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922F8D" w14:textId="77777777" w:rsidR="00D95D66" w:rsidRPr="00D95D66" w:rsidRDefault="00D95D66" w:rsidP="00D95D66">
      <w:pPr>
        <w:jc w:val="center"/>
        <w:rPr>
          <w:rFonts w:ascii="Arial" w:hAnsi="Arial" w:cs="Arial"/>
          <w:sz w:val="36"/>
          <w:szCs w:val="36"/>
          <w:shd w:val="clear" w:color="auto" w:fill="FAF9F8"/>
        </w:rPr>
      </w:pPr>
      <w:r w:rsidRPr="00D95D66">
        <w:rPr>
          <w:rFonts w:ascii="Arial" w:hAnsi="Arial" w:cs="Arial"/>
          <w:sz w:val="36"/>
          <w:szCs w:val="36"/>
          <w:shd w:val="clear" w:color="auto" w:fill="FAF9F8"/>
        </w:rPr>
        <w:t>University of Wales Trinity Saint David</w:t>
      </w:r>
    </w:p>
    <w:p w14:paraId="247B69D4" w14:textId="358F19FD" w:rsidR="00D95D66" w:rsidRDefault="00D95D66" w:rsidP="00D95D66">
      <w:pPr>
        <w:jc w:val="center"/>
        <w:rPr>
          <w:rFonts w:ascii="Arial" w:hAnsi="Arial" w:cs="Arial"/>
          <w:sz w:val="24"/>
          <w:szCs w:val="36"/>
          <w:shd w:val="clear" w:color="auto" w:fill="FAF9F8"/>
        </w:rPr>
      </w:pPr>
      <w:r w:rsidRPr="001261F2">
        <w:rPr>
          <w:rFonts w:ascii="Arial" w:hAnsi="Arial" w:cs="Arial"/>
          <w:sz w:val="24"/>
          <w:szCs w:val="36"/>
          <w:shd w:val="clear" w:color="auto" w:fill="FAF9F8"/>
        </w:rPr>
        <w:t>School of Engineering</w:t>
      </w:r>
    </w:p>
    <w:p w14:paraId="4DE4E004" w14:textId="0AA4F8AF" w:rsidR="001261F2" w:rsidRDefault="001261F2" w:rsidP="00D95D66">
      <w:pPr>
        <w:jc w:val="center"/>
        <w:rPr>
          <w:rFonts w:ascii="Arial" w:hAnsi="Arial" w:cs="Arial"/>
          <w:sz w:val="24"/>
          <w:szCs w:val="36"/>
          <w:shd w:val="clear" w:color="auto" w:fill="FAF9F8"/>
        </w:rPr>
      </w:pPr>
    </w:p>
    <w:p w14:paraId="75E501FA" w14:textId="77777777" w:rsidR="001261F2" w:rsidRPr="001261F2" w:rsidRDefault="001261F2" w:rsidP="00D95D66">
      <w:pPr>
        <w:jc w:val="center"/>
        <w:rPr>
          <w:rFonts w:ascii="Arial" w:hAnsi="Arial" w:cs="Arial"/>
          <w:sz w:val="24"/>
          <w:szCs w:val="36"/>
          <w:shd w:val="clear" w:color="auto" w:fill="FAF9F8"/>
        </w:rPr>
      </w:pPr>
    </w:p>
    <w:p w14:paraId="7328544D" w14:textId="7D71DAB9" w:rsidR="00D95D66" w:rsidRDefault="001261F2" w:rsidP="00D95D66">
      <w:pPr>
        <w:jc w:val="center"/>
        <w:rPr>
          <w:rFonts w:ascii="Arial" w:hAnsi="Arial" w:cs="Arial"/>
          <w:i/>
          <w:sz w:val="36"/>
          <w:szCs w:val="36"/>
          <w:shd w:val="clear" w:color="auto" w:fill="FAF9F8"/>
        </w:rPr>
      </w:pPr>
      <w:r>
        <w:rPr>
          <w:noProof/>
          <w:lang w:val="en-GB" w:eastAsia="en-GB"/>
        </w:rPr>
        <w:drawing>
          <wp:inline distT="0" distB="0" distL="0" distR="0" wp14:anchorId="10B0E922" wp14:editId="4B0204CD">
            <wp:extent cx="3990062" cy="1323975"/>
            <wp:effectExtent l="0" t="0" r="0" b="0"/>
            <wp:docPr id="3" name="Picture 3" descr="https://www.uwtsd.ac.uk/media/uwtsd-website/styles-and-assets/images/logos/uwtsd-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3990062" cy="1323975"/>
                    </a:xfrm>
                    <a:prstGeom prst="rect">
                      <a:avLst/>
                    </a:prstGeom>
                  </pic:spPr>
                </pic:pic>
              </a:graphicData>
            </a:graphic>
          </wp:inline>
        </w:drawing>
      </w:r>
    </w:p>
    <w:p w14:paraId="71D64761" w14:textId="3D4BC4B8" w:rsidR="001261F2" w:rsidRDefault="001261F2" w:rsidP="00D95D66">
      <w:pPr>
        <w:jc w:val="center"/>
        <w:rPr>
          <w:rFonts w:ascii="Arial" w:hAnsi="Arial" w:cs="Arial"/>
          <w:i/>
          <w:sz w:val="36"/>
          <w:szCs w:val="36"/>
          <w:shd w:val="clear" w:color="auto" w:fill="FAF9F8"/>
        </w:rPr>
      </w:pPr>
    </w:p>
    <w:p w14:paraId="127D4107" w14:textId="77777777" w:rsidR="001261F2" w:rsidRDefault="001261F2" w:rsidP="001261F2">
      <w:pPr>
        <w:rPr>
          <w:rFonts w:ascii="Arial" w:hAnsi="Arial" w:cs="Arial"/>
          <w:i/>
          <w:sz w:val="36"/>
          <w:szCs w:val="36"/>
          <w:shd w:val="clear" w:color="auto" w:fill="FAF9F8"/>
        </w:rPr>
      </w:pPr>
    </w:p>
    <w:p w14:paraId="7CB54FB8" w14:textId="191A068B" w:rsidR="00D95D66" w:rsidRPr="003E6198" w:rsidRDefault="003E6198" w:rsidP="001261F2">
      <w:pPr>
        <w:jc w:val="center"/>
        <w:rPr>
          <w:rFonts w:ascii="Arial" w:hAnsi="Arial" w:cs="Arial"/>
          <w:sz w:val="36"/>
          <w:szCs w:val="36"/>
          <w:shd w:val="clear" w:color="auto" w:fill="FAF9F8"/>
        </w:rPr>
      </w:pPr>
      <w:r w:rsidRPr="003E6198">
        <w:rPr>
          <w:rFonts w:ascii="Arial" w:hAnsi="Arial" w:cs="Arial"/>
          <w:sz w:val="36"/>
          <w:szCs w:val="36"/>
          <w:shd w:val="clear" w:color="auto" w:fill="FAF9F8"/>
        </w:rPr>
        <w:t>Engine Performance Characteristics</w:t>
      </w:r>
    </w:p>
    <w:p w14:paraId="6F3706EB" w14:textId="0D729D7B" w:rsidR="00D95D66" w:rsidRPr="003E6198" w:rsidRDefault="003E6198" w:rsidP="00D95D66">
      <w:pPr>
        <w:jc w:val="center"/>
        <w:rPr>
          <w:rFonts w:ascii="Arial" w:hAnsi="Arial" w:cs="Arial"/>
          <w:sz w:val="28"/>
          <w:szCs w:val="36"/>
          <w:shd w:val="clear" w:color="auto" w:fill="FAF9F8"/>
        </w:rPr>
      </w:pPr>
      <w:r w:rsidRPr="003E6198">
        <w:rPr>
          <w:rFonts w:ascii="Arial" w:hAnsi="Arial" w:cs="Arial"/>
          <w:sz w:val="28"/>
          <w:szCs w:val="36"/>
          <w:shd w:val="clear" w:color="auto" w:fill="FAF9F8"/>
        </w:rPr>
        <w:t>Motorcycle Technology (ACHA 4003)</w:t>
      </w:r>
    </w:p>
    <w:p w14:paraId="091CA9F8" w14:textId="1262EB2C" w:rsidR="00D95D66" w:rsidRPr="003E6198" w:rsidRDefault="00D95D66" w:rsidP="00D95D66">
      <w:pPr>
        <w:jc w:val="center"/>
        <w:rPr>
          <w:rFonts w:ascii="Arial" w:hAnsi="Arial" w:cs="Arial"/>
          <w:sz w:val="36"/>
          <w:szCs w:val="36"/>
          <w:shd w:val="clear" w:color="auto" w:fill="FAF9F8"/>
        </w:rPr>
      </w:pPr>
    </w:p>
    <w:p w14:paraId="77E49F98" w14:textId="7BDC325F" w:rsidR="001261F2" w:rsidRPr="003E6198" w:rsidRDefault="001261F2" w:rsidP="00D95D66">
      <w:pPr>
        <w:jc w:val="center"/>
        <w:rPr>
          <w:rFonts w:ascii="Arial" w:hAnsi="Arial" w:cs="Arial"/>
          <w:sz w:val="36"/>
          <w:szCs w:val="36"/>
          <w:shd w:val="clear" w:color="auto" w:fill="FAF9F8"/>
        </w:rPr>
      </w:pPr>
    </w:p>
    <w:p w14:paraId="71BF53A6" w14:textId="4B91D51E" w:rsidR="001261F2" w:rsidRPr="003E6198" w:rsidRDefault="001261F2" w:rsidP="00D95D66">
      <w:pPr>
        <w:jc w:val="center"/>
        <w:rPr>
          <w:rFonts w:ascii="Arial" w:hAnsi="Arial" w:cs="Arial"/>
          <w:sz w:val="36"/>
          <w:szCs w:val="36"/>
          <w:shd w:val="clear" w:color="auto" w:fill="FAF9F8"/>
        </w:rPr>
      </w:pPr>
    </w:p>
    <w:p w14:paraId="6EEA59B3" w14:textId="7B333171" w:rsidR="001261F2" w:rsidRPr="003E6198" w:rsidRDefault="001261F2" w:rsidP="00D95D66">
      <w:pPr>
        <w:jc w:val="center"/>
        <w:rPr>
          <w:rFonts w:ascii="Arial" w:hAnsi="Arial" w:cs="Arial"/>
          <w:sz w:val="36"/>
          <w:szCs w:val="36"/>
          <w:shd w:val="clear" w:color="auto" w:fill="FAF9F8"/>
        </w:rPr>
      </w:pPr>
    </w:p>
    <w:p w14:paraId="5CAE4FB7" w14:textId="145A7C5D" w:rsidR="00D95D66" w:rsidRPr="003E6198" w:rsidRDefault="003E6198" w:rsidP="00D95D66">
      <w:pPr>
        <w:jc w:val="center"/>
        <w:rPr>
          <w:rFonts w:ascii="Arial" w:hAnsi="Arial" w:cs="Arial"/>
          <w:sz w:val="28"/>
          <w:szCs w:val="36"/>
          <w:shd w:val="clear" w:color="auto" w:fill="FAF9F8"/>
        </w:rPr>
      </w:pPr>
      <w:r w:rsidRPr="003E6198">
        <w:rPr>
          <w:rFonts w:ascii="Arial" w:hAnsi="Arial" w:cs="Arial"/>
          <w:sz w:val="28"/>
          <w:szCs w:val="36"/>
          <w:shd w:val="clear" w:color="auto" w:fill="FAF9F8"/>
        </w:rPr>
        <w:t>Jacob Quarry</w:t>
      </w:r>
    </w:p>
    <w:p w14:paraId="56C774E0" w14:textId="68C34803" w:rsidR="00D95D66" w:rsidRPr="003E6198" w:rsidRDefault="003E6198" w:rsidP="00D95D66">
      <w:pPr>
        <w:jc w:val="center"/>
        <w:rPr>
          <w:rFonts w:ascii="Arial" w:hAnsi="Arial" w:cs="Arial"/>
          <w:sz w:val="28"/>
          <w:szCs w:val="36"/>
          <w:shd w:val="clear" w:color="auto" w:fill="FAF9F8"/>
        </w:rPr>
      </w:pPr>
      <w:r w:rsidRPr="003E6198">
        <w:rPr>
          <w:rFonts w:ascii="Arial" w:hAnsi="Arial" w:cs="Arial"/>
          <w:sz w:val="28"/>
          <w:szCs w:val="36"/>
          <w:shd w:val="clear" w:color="auto" w:fill="FAF9F8"/>
        </w:rPr>
        <w:t>2000885</w:t>
      </w:r>
    </w:p>
    <w:p w14:paraId="3C2A0620" w14:textId="72A9BBEB" w:rsidR="006B5426" w:rsidRPr="003E6198" w:rsidRDefault="003E6198" w:rsidP="003E6198">
      <w:pPr>
        <w:jc w:val="center"/>
        <w:rPr>
          <w:i/>
          <w:sz w:val="18"/>
        </w:rPr>
      </w:pPr>
      <w:r w:rsidRPr="003E6198">
        <w:rPr>
          <w:rFonts w:ascii="Arial" w:hAnsi="Arial" w:cs="Arial"/>
          <w:sz w:val="28"/>
          <w:szCs w:val="36"/>
          <w:shd w:val="clear" w:color="auto" w:fill="FAF9F8"/>
        </w:rPr>
        <w:t>11/2020</w:t>
      </w:r>
      <w:r w:rsidR="006B5426" w:rsidRPr="00D95D66">
        <w:rPr>
          <w:i/>
        </w:rPr>
        <w:br w:type="page"/>
      </w:r>
    </w:p>
    <w:sdt>
      <w:sdtPr>
        <w:rPr>
          <w:rFonts w:asciiTheme="minorHAnsi" w:eastAsiaTheme="minorHAnsi" w:hAnsiTheme="minorHAnsi" w:cstheme="minorBidi"/>
          <w:color w:val="auto"/>
          <w:sz w:val="22"/>
          <w:szCs w:val="22"/>
        </w:rPr>
        <w:id w:val="250556264"/>
        <w:docPartObj>
          <w:docPartGallery w:val="Table of Contents"/>
          <w:docPartUnique/>
        </w:docPartObj>
      </w:sdtPr>
      <w:sdtEndPr>
        <w:rPr>
          <w:b/>
          <w:bCs/>
          <w:noProof/>
        </w:rPr>
      </w:sdtEndPr>
      <w:sdtContent>
        <w:p w14:paraId="04529349" w14:textId="1335868E" w:rsidR="006B5426" w:rsidRDefault="006B5426">
          <w:pPr>
            <w:pStyle w:val="TOCHeading"/>
          </w:pPr>
          <w:r>
            <w:t>Contents</w:t>
          </w:r>
        </w:p>
        <w:p w14:paraId="514F7E14" w14:textId="2A95A8D1" w:rsidR="00437ECC" w:rsidRDefault="006B5426">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57559120" w:history="1">
            <w:r w:rsidR="00437ECC" w:rsidRPr="00AD40BE">
              <w:rPr>
                <w:rStyle w:val="Hyperlink"/>
                <w:noProof/>
              </w:rPr>
              <w:t>1</w:t>
            </w:r>
            <w:r w:rsidR="00437ECC">
              <w:rPr>
                <w:rFonts w:eastAsiaTheme="minorEastAsia"/>
                <w:noProof/>
                <w:lang w:val="en-GB" w:eastAsia="en-GB"/>
              </w:rPr>
              <w:tab/>
            </w:r>
            <w:r w:rsidR="00437ECC" w:rsidRPr="00AD40BE">
              <w:rPr>
                <w:rStyle w:val="Hyperlink"/>
                <w:noProof/>
              </w:rPr>
              <w:t>Introduction</w:t>
            </w:r>
            <w:r w:rsidR="00437ECC">
              <w:rPr>
                <w:noProof/>
                <w:webHidden/>
              </w:rPr>
              <w:tab/>
            </w:r>
            <w:r w:rsidR="00437ECC">
              <w:rPr>
                <w:noProof/>
                <w:webHidden/>
              </w:rPr>
              <w:fldChar w:fldCharType="begin"/>
            </w:r>
            <w:r w:rsidR="00437ECC">
              <w:rPr>
                <w:noProof/>
                <w:webHidden/>
              </w:rPr>
              <w:instrText xml:space="preserve"> PAGEREF _Toc57559120 \h </w:instrText>
            </w:r>
            <w:r w:rsidR="00437ECC">
              <w:rPr>
                <w:noProof/>
                <w:webHidden/>
              </w:rPr>
            </w:r>
            <w:r w:rsidR="00437ECC">
              <w:rPr>
                <w:noProof/>
                <w:webHidden/>
              </w:rPr>
              <w:fldChar w:fldCharType="separate"/>
            </w:r>
            <w:r w:rsidR="00437ECC">
              <w:rPr>
                <w:noProof/>
                <w:webHidden/>
              </w:rPr>
              <w:t>1</w:t>
            </w:r>
            <w:r w:rsidR="00437ECC">
              <w:rPr>
                <w:noProof/>
                <w:webHidden/>
              </w:rPr>
              <w:fldChar w:fldCharType="end"/>
            </w:r>
          </w:hyperlink>
        </w:p>
        <w:p w14:paraId="71A4B5BB" w14:textId="03E2554A" w:rsidR="00437ECC" w:rsidRDefault="00437ECC">
          <w:pPr>
            <w:pStyle w:val="TOC2"/>
            <w:tabs>
              <w:tab w:val="left" w:pos="880"/>
              <w:tab w:val="right" w:leader="dot" w:pos="9350"/>
            </w:tabs>
            <w:rPr>
              <w:rFonts w:eastAsiaTheme="minorEastAsia"/>
              <w:noProof/>
              <w:lang w:val="en-GB" w:eastAsia="en-GB"/>
            </w:rPr>
          </w:pPr>
          <w:hyperlink w:anchor="_Toc57559121" w:history="1">
            <w:r w:rsidRPr="00AD40BE">
              <w:rPr>
                <w:rStyle w:val="Hyperlink"/>
                <w:noProof/>
              </w:rPr>
              <w:t>1.1</w:t>
            </w:r>
            <w:r>
              <w:rPr>
                <w:rFonts w:eastAsiaTheme="minorEastAsia"/>
                <w:noProof/>
                <w:lang w:val="en-GB" w:eastAsia="en-GB"/>
              </w:rPr>
              <w:tab/>
            </w:r>
            <w:r w:rsidRPr="00AD40BE">
              <w:rPr>
                <w:rStyle w:val="Hyperlink"/>
                <w:noProof/>
              </w:rPr>
              <w:t>Aims</w:t>
            </w:r>
            <w:r>
              <w:rPr>
                <w:noProof/>
                <w:webHidden/>
              </w:rPr>
              <w:tab/>
            </w:r>
            <w:r>
              <w:rPr>
                <w:noProof/>
                <w:webHidden/>
              </w:rPr>
              <w:fldChar w:fldCharType="begin"/>
            </w:r>
            <w:r>
              <w:rPr>
                <w:noProof/>
                <w:webHidden/>
              </w:rPr>
              <w:instrText xml:space="preserve"> PAGEREF _Toc57559121 \h </w:instrText>
            </w:r>
            <w:r>
              <w:rPr>
                <w:noProof/>
                <w:webHidden/>
              </w:rPr>
            </w:r>
            <w:r>
              <w:rPr>
                <w:noProof/>
                <w:webHidden/>
              </w:rPr>
              <w:fldChar w:fldCharType="separate"/>
            </w:r>
            <w:r>
              <w:rPr>
                <w:noProof/>
                <w:webHidden/>
              </w:rPr>
              <w:t>1</w:t>
            </w:r>
            <w:r>
              <w:rPr>
                <w:noProof/>
                <w:webHidden/>
              </w:rPr>
              <w:fldChar w:fldCharType="end"/>
            </w:r>
          </w:hyperlink>
        </w:p>
        <w:p w14:paraId="56DCB96C" w14:textId="23453D0C" w:rsidR="00437ECC" w:rsidRDefault="00437ECC">
          <w:pPr>
            <w:pStyle w:val="TOC2"/>
            <w:tabs>
              <w:tab w:val="left" w:pos="880"/>
              <w:tab w:val="right" w:leader="dot" w:pos="9350"/>
            </w:tabs>
            <w:rPr>
              <w:rFonts w:eastAsiaTheme="minorEastAsia"/>
              <w:noProof/>
              <w:lang w:val="en-GB" w:eastAsia="en-GB"/>
            </w:rPr>
          </w:pPr>
          <w:hyperlink w:anchor="_Toc57559122" w:history="1">
            <w:r w:rsidRPr="00AD40BE">
              <w:rPr>
                <w:rStyle w:val="Hyperlink"/>
                <w:noProof/>
              </w:rPr>
              <w:t>1.2</w:t>
            </w:r>
            <w:r>
              <w:rPr>
                <w:rFonts w:eastAsiaTheme="minorEastAsia"/>
                <w:noProof/>
                <w:lang w:val="en-GB" w:eastAsia="en-GB"/>
              </w:rPr>
              <w:tab/>
            </w:r>
            <w:r w:rsidRPr="00AD40BE">
              <w:rPr>
                <w:rStyle w:val="Hyperlink"/>
                <w:noProof/>
              </w:rPr>
              <w:t>Objectives</w:t>
            </w:r>
            <w:r>
              <w:rPr>
                <w:noProof/>
                <w:webHidden/>
              </w:rPr>
              <w:tab/>
            </w:r>
            <w:r>
              <w:rPr>
                <w:noProof/>
                <w:webHidden/>
              </w:rPr>
              <w:fldChar w:fldCharType="begin"/>
            </w:r>
            <w:r>
              <w:rPr>
                <w:noProof/>
                <w:webHidden/>
              </w:rPr>
              <w:instrText xml:space="preserve"> PAGEREF _Toc57559122 \h </w:instrText>
            </w:r>
            <w:r>
              <w:rPr>
                <w:noProof/>
                <w:webHidden/>
              </w:rPr>
            </w:r>
            <w:r>
              <w:rPr>
                <w:noProof/>
                <w:webHidden/>
              </w:rPr>
              <w:fldChar w:fldCharType="separate"/>
            </w:r>
            <w:r>
              <w:rPr>
                <w:noProof/>
                <w:webHidden/>
              </w:rPr>
              <w:t>1</w:t>
            </w:r>
            <w:r>
              <w:rPr>
                <w:noProof/>
                <w:webHidden/>
              </w:rPr>
              <w:fldChar w:fldCharType="end"/>
            </w:r>
          </w:hyperlink>
        </w:p>
        <w:p w14:paraId="6CC2530D" w14:textId="12C29CE3" w:rsidR="00437ECC" w:rsidRDefault="00437ECC">
          <w:pPr>
            <w:pStyle w:val="TOC1"/>
            <w:tabs>
              <w:tab w:val="left" w:pos="440"/>
              <w:tab w:val="right" w:leader="dot" w:pos="9350"/>
            </w:tabs>
            <w:rPr>
              <w:rFonts w:eastAsiaTheme="minorEastAsia"/>
              <w:noProof/>
              <w:lang w:val="en-GB" w:eastAsia="en-GB"/>
            </w:rPr>
          </w:pPr>
          <w:hyperlink w:anchor="_Toc57559123" w:history="1">
            <w:r w:rsidRPr="00AD40BE">
              <w:rPr>
                <w:rStyle w:val="Hyperlink"/>
                <w:noProof/>
              </w:rPr>
              <w:t>2</w:t>
            </w:r>
            <w:r>
              <w:rPr>
                <w:rFonts w:eastAsiaTheme="minorEastAsia"/>
                <w:noProof/>
                <w:lang w:val="en-GB" w:eastAsia="en-GB"/>
              </w:rPr>
              <w:tab/>
            </w:r>
            <w:r w:rsidRPr="00AD40BE">
              <w:rPr>
                <w:rStyle w:val="Hyperlink"/>
                <w:noProof/>
              </w:rPr>
              <w:t>Literature Review</w:t>
            </w:r>
            <w:r>
              <w:rPr>
                <w:noProof/>
                <w:webHidden/>
              </w:rPr>
              <w:tab/>
            </w:r>
            <w:r>
              <w:rPr>
                <w:noProof/>
                <w:webHidden/>
              </w:rPr>
              <w:fldChar w:fldCharType="begin"/>
            </w:r>
            <w:r>
              <w:rPr>
                <w:noProof/>
                <w:webHidden/>
              </w:rPr>
              <w:instrText xml:space="preserve"> PAGEREF _Toc57559123 \h </w:instrText>
            </w:r>
            <w:r>
              <w:rPr>
                <w:noProof/>
                <w:webHidden/>
              </w:rPr>
            </w:r>
            <w:r>
              <w:rPr>
                <w:noProof/>
                <w:webHidden/>
              </w:rPr>
              <w:fldChar w:fldCharType="separate"/>
            </w:r>
            <w:r>
              <w:rPr>
                <w:noProof/>
                <w:webHidden/>
              </w:rPr>
              <w:t>2</w:t>
            </w:r>
            <w:r>
              <w:rPr>
                <w:noProof/>
                <w:webHidden/>
              </w:rPr>
              <w:fldChar w:fldCharType="end"/>
            </w:r>
          </w:hyperlink>
        </w:p>
        <w:p w14:paraId="75F90C5C" w14:textId="0328DE71" w:rsidR="00437ECC" w:rsidRDefault="00437ECC">
          <w:pPr>
            <w:pStyle w:val="TOC1"/>
            <w:tabs>
              <w:tab w:val="left" w:pos="440"/>
              <w:tab w:val="right" w:leader="dot" w:pos="9350"/>
            </w:tabs>
            <w:rPr>
              <w:rFonts w:eastAsiaTheme="minorEastAsia"/>
              <w:noProof/>
              <w:lang w:val="en-GB" w:eastAsia="en-GB"/>
            </w:rPr>
          </w:pPr>
          <w:hyperlink w:anchor="_Toc57559124" w:history="1">
            <w:r w:rsidRPr="00AD40BE">
              <w:rPr>
                <w:rStyle w:val="Hyperlink"/>
                <w:noProof/>
              </w:rPr>
              <w:t>3</w:t>
            </w:r>
            <w:r>
              <w:rPr>
                <w:rFonts w:eastAsiaTheme="minorEastAsia"/>
                <w:noProof/>
                <w:lang w:val="en-GB" w:eastAsia="en-GB"/>
              </w:rPr>
              <w:tab/>
            </w:r>
            <w:r w:rsidRPr="00AD40BE">
              <w:rPr>
                <w:rStyle w:val="Hyperlink"/>
                <w:noProof/>
              </w:rPr>
              <w:t>Methodology</w:t>
            </w:r>
            <w:r>
              <w:rPr>
                <w:noProof/>
                <w:webHidden/>
              </w:rPr>
              <w:tab/>
            </w:r>
            <w:r>
              <w:rPr>
                <w:noProof/>
                <w:webHidden/>
              </w:rPr>
              <w:fldChar w:fldCharType="begin"/>
            </w:r>
            <w:r>
              <w:rPr>
                <w:noProof/>
                <w:webHidden/>
              </w:rPr>
              <w:instrText xml:space="preserve"> PAGEREF _Toc57559124 \h </w:instrText>
            </w:r>
            <w:r>
              <w:rPr>
                <w:noProof/>
                <w:webHidden/>
              </w:rPr>
            </w:r>
            <w:r>
              <w:rPr>
                <w:noProof/>
                <w:webHidden/>
              </w:rPr>
              <w:fldChar w:fldCharType="separate"/>
            </w:r>
            <w:r>
              <w:rPr>
                <w:noProof/>
                <w:webHidden/>
              </w:rPr>
              <w:t>3</w:t>
            </w:r>
            <w:r>
              <w:rPr>
                <w:noProof/>
                <w:webHidden/>
              </w:rPr>
              <w:fldChar w:fldCharType="end"/>
            </w:r>
          </w:hyperlink>
        </w:p>
        <w:p w14:paraId="6E5C2253" w14:textId="4CF47D97" w:rsidR="00437ECC" w:rsidRDefault="00437ECC">
          <w:pPr>
            <w:pStyle w:val="TOC1"/>
            <w:tabs>
              <w:tab w:val="left" w:pos="440"/>
              <w:tab w:val="right" w:leader="dot" w:pos="9350"/>
            </w:tabs>
            <w:rPr>
              <w:rFonts w:eastAsiaTheme="minorEastAsia"/>
              <w:noProof/>
              <w:lang w:val="en-GB" w:eastAsia="en-GB"/>
            </w:rPr>
          </w:pPr>
          <w:hyperlink w:anchor="_Toc57559125" w:history="1">
            <w:r w:rsidRPr="00AD40BE">
              <w:rPr>
                <w:rStyle w:val="Hyperlink"/>
                <w:noProof/>
              </w:rPr>
              <w:t>4</w:t>
            </w:r>
            <w:r>
              <w:rPr>
                <w:rFonts w:eastAsiaTheme="minorEastAsia"/>
                <w:noProof/>
                <w:lang w:val="en-GB" w:eastAsia="en-GB"/>
              </w:rPr>
              <w:tab/>
            </w:r>
            <w:r w:rsidRPr="00AD40BE">
              <w:rPr>
                <w:rStyle w:val="Hyperlink"/>
                <w:noProof/>
              </w:rPr>
              <w:t>Discussion</w:t>
            </w:r>
            <w:r>
              <w:rPr>
                <w:noProof/>
                <w:webHidden/>
              </w:rPr>
              <w:tab/>
            </w:r>
            <w:r>
              <w:rPr>
                <w:noProof/>
                <w:webHidden/>
              </w:rPr>
              <w:fldChar w:fldCharType="begin"/>
            </w:r>
            <w:r>
              <w:rPr>
                <w:noProof/>
                <w:webHidden/>
              </w:rPr>
              <w:instrText xml:space="preserve"> PAGEREF _Toc57559125 \h </w:instrText>
            </w:r>
            <w:r>
              <w:rPr>
                <w:noProof/>
                <w:webHidden/>
              </w:rPr>
            </w:r>
            <w:r>
              <w:rPr>
                <w:noProof/>
                <w:webHidden/>
              </w:rPr>
              <w:fldChar w:fldCharType="separate"/>
            </w:r>
            <w:r>
              <w:rPr>
                <w:noProof/>
                <w:webHidden/>
              </w:rPr>
              <w:t>5</w:t>
            </w:r>
            <w:r>
              <w:rPr>
                <w:noProof/>
                <w:webHidden/>
              </w:rPr>
              <w:fldChar w:fldCharType="end"/>
            </w:r>
          </w:hyperlink>
        </w:p>
        <w:p w14:paraId="5F9DC28F" w14:textId="7C44873D" w:rsidR="00437ECC" w:rsidRDefault="00437ECC">
          <w:pPr>
            <w:pStyle w:val="TOC1"/>
            <w:tabs>
              <w:tab w:val="left" w:pos="440"/>
              <w:tab w:val="right" w:leader="dot" w:pos="9350"/>
            </w:tabs>
            <w:rPr>
              <w:rFonts w:eastAsiaTheme="minorEastAsia"/>
              <w:noProof/>
              <w:lang w:val="en-GB" w:eastAsia="en-GB"/>
            </w:rPr>
          </w:pPr>
          <w:hyperlink w:anchor="_Toc57559126" w:history="1">
            <w:r w:rsidRPr="00AD40BE">
              <w:rPr>
                <w:rStyle w:val="Hyperlink"/>
                <w:noProof/>
              </w:rPr>
              <w:t>5</w:t>
            </w:r>
            <w:r>
              <w:rPr>
                <w:rFonts w:eastAsiaTheme="minorEastAsia"/>
                <w:noProof/>
                <w:lang w:val="en-GB" w:eastAsia="en-GB"/>
              </w:rPr>
              <w:tab/>
            </w:r>
            <w:r w:rsidRPr="00AD40BE">
              <w:rPr>
                <w:rStyle w:val="Hyperlink"/>
                <w:noProof/>
              </w:rPr>
              <w:t>Conclusion</w:t>
            </w:r>
            <w:r>
              <w:rPr>
                <w:noProof/>
                <w:webHidden/>
              </w:rPr>
              <w:tab/>
            </w:r>
            <w:r>
              <w:rPr>
                <w:noProof/>
                <w:webHidden/>
              </w:rPr>
              <w:fldChar w:fldCharType="begin"/>
            </w:r>
            <w:r>
              <w:rPr>
                <w:noProof/>
                <w:webHidden/>
              </w:rPr>
              <w:instrText xml:space="preserve"> PAGEREF _Toc57559126 \h </w:instrText>
            </w:r>
            <w:r>
              <w:rPr>
                <w:noProof/>
                <w:webHidden/>
              </w:rPr>
            </w:r>
            <w:r>
              <w:rPr>
                <w:noProof/>
                <w:webHidden/>
              </w:rPr>
              <w:fldChar w:fldCharType="separate"/>
            </w:r>
            <w:r>
              <w:rPr>
                <w:noProof/>
                <w:webHidden/>
              </w:rPr>
              <w:t>8</w:t>
            </w:r>
            <w:r>
              <w:rPr>
                <w:noProof/>
                <w:webHidden/>
              </w:rPr>
              <w:fldChar w:fldCharType="end"/>
            </w:r>
          </w:hyperlink>
        </w:p>
        <w:p w14:paraId="423DE441" w14:textId="048E3778" w:rsidR="00437ECC" w:rsidRDefault="00437ECC">
          <w:pPr>
            <w:pStyle w:val="TOC1"/>
            <w:tabs>
              <w:tab w:val="left" w:pos="440"/>
              <w:tab w:val="right" w:leader="dot" w:pos="9350"/>
            </w:tabs>
            <w:rPr>
              <w:rFonts w:eastAsiaTheme="minorEastAsia"/>
              <w:noProof/>
              <w:lang w:val="en-GB" w:eastAsia="en-GB"/>
            </w:rPr>
          </w:pPr>
          <w:hyperlink w:anchor="_Toc57559127" w:history="1">
            <w:r w:rsidRPr="00AD40BE">
              <w:rPr>
                <w:rStyle w:val="Hyperlink"/>
                <w:noProof/>
              </w:rPr>
              <w:t>6</w:t>
            </w:r>
            <w:r>
              <w:rPr>
                <w:rFonts w:eastAsiaTheme="minorEastAsia"/>
                <w:noProof/>
                <w:lang w:val="en-GB" w:eastAsia="en-GB"/>
              </w:rPr>
              <w:tab/>
            </w:r>
            <w:r w:rsidRPr="00AD40BE">
              <w:rPr>
                <w:rStyle w:val="Hyperlink"/>
                <w:noProof/>
              </w:rPr>
              <w:t>References</w:t>
            </w:r>
            <w:r>
              <w:rPr>
                <w:noProof/>
                <w:webHidden/>
              </w:rPr>
              <w:tab/>
            </w:r>
            <w:r>
              <w:rPr>
                <w:noProof/>
                <w:webHidden/>
              </w:rPr>
              <w:fldChar w:fldCharType="begin"/>
            </w:r>
            <w:r>
              <w:rPr>
                <w:noProof/>
                <w:webHidden/>
              </w:rPr>
              <w:instrText xml:space="preserve"> PAGEREF _Toc57559127 \h </w:instrText>
            </w:r>
            <w:r>
              <w:rPr>
                <w:noProof/>
                <w:webHidden/>
              </w:rPr>
            </w:r>
            <w:r>
              <w:rPr>
                <w:noProof/>
                <w:webHidden/>
              </w:rPr>
              <w:fldChar w:fldCharType="separate"/>
            </w:r>
            <w:r>
              <w:rPr>
                <w:noProof/>
                <w:webHidden/>
              </w:rPr>
              <w:t>9</w:t>
            </w:r>
            <w:r>
              <w:rPr>
                <w:noProof/>
                <w:webHidden/>
              </w:rPr>
              <w:fldChar w:fldCharType="end"/>
            </w:r>
          </w:hyperlink>
        </w:p>
        <w:p w14:paraId="5B6A7890" w14:textId="7CE460E8" w:rsidR="00437ECC" w:rsidRDefault="00437ECC">
          <w:pPr>
            <w:pStyle w:val="TOC1"/>
            <w:tabs>
              <w:tab w:val="left" w:pos="440"/>
              <w:tab w:val="right" w:leader="dot" w:pos="9350"/>
            </w:tabs>
            <w:rPr>
              <w:rFonts w:eastAsiaTheme="minorEastAsia"/>
              <w:noProof/>
              <w:lang w:val="en-GB" w:eastAsia="en-GB"/>
            </w:rPr>
          </w:pPr>
          <w:hyperlink w:anchor="_Toc57559128" w:history="1">
            <w:r w:rsidRPr="00AD40BE">
              <w:rPr>
                <w:rStyle w:val="Hyperlink"/>
                <w:noProof/>
              </w:rPr>
              <w:t>7</w:t>
            </w:r>
            <w:r>
              <w:rPr>
                <w:rFonts w:eastAsiaTheme="minorEastAsia"/>
                <w:noProof/>
                <w:lang w:val="en-GB" w:eastAsia="en-GB"/>
              </w:rPr>
              <w:tab/>
            </w:r>
            <w:r w:rsidRPr="00AD40BE">
              <w:rPr>
                <w:rStyle w:val="Hyperlink"/>
                <w:noProof/>
              </w:rPr>
              <w:t>Appendix</w:t>
            </w:r>
            <w:r>
              <w:rPr>
                <w:noProof/>
                <w:webHidden/>
              </w:rPr>
              <w:tab/>
            </w:r>
            <w:r>
              <w:rPr>
                <w:noProof/>
                <w:webHidden/>
              </w:rPr>
              <w:fldChar w:fldCharType="begin"/>
            </w:r>
            <w:r>
              <w:rPr>
                <w:noProof/>
                <w:webHidden/>
              </w:rPr>
              <w:instrText xml:space="preserve"> PAGEREF _Toc57559128 \h </w:instrText>
            </w:r>
            <w:r>
              <w:rPr>
                <w:noProof/>
                <w:webHidden/>
              </w:rPr>
            </w:r>
            <w:r>
              <w:rPr>
                <w:noProof/>
                <w:webHidden/>
              </w:rPr>
              <w:fldChar w:fldCharType="separate"/>
            </w:r>
            <w:r>
              <w:rPr>
                <w:noProof/>
                <w:webHidden/>
              </w:rPr>
              <w:t>10</w:t>
            </w:r>
            <w:r>
              <w:rPr>
                <w:noProof/>
                <w:webHidden/>
              </w:rPr>
              <w:fldChar w:fldCharType="end"/>
            </w:r>
          </w:hyperlink>
        </w:p>
        <w:p w14:paraId="6EE8F809" w14:textId="0A82A70E" w:rsidR="006B5426" w:rsidRDefault="006B5426">
          <w:r>
            <w:rPr>
              <w:b/>
              <w:bCs/>
              <w:noProof/>
            </w:rPr>
            <w:fldChar w:fldCharType="end"/>
          </w:r>
        </w:p>
      </w:sdtContent>
    </w:sdt>
    <w:p w14:paraId="53E5E235" w14:textId="0AEA8A91" w:rsidR="006B5426" w:rsidRDefault="006B5426"/>
    <w:p w14:paraId="62D2A37B" w14:textId="77777777" w:rsidR="006B5426" w:rsidRDefault="006B5426">
      <w:pPr>
        <w:spacing w:line="259" w:lineRule="auto"/>
      </w:pPr>
      <w:r>
        <w:br w:type="page"/>
      </w:r>
    </w:p>
    <w:p w14:paraId="27733CA7" w14:textId="77777777" w:rsidR="006B5426" w:rsidRDefault="006B5426">
      <w:pPr>
        <w:sectPr w:rsidR="006B5426" w:rsidSect="006B5426">
          <w:footerReference w:type="default" r:id="rId12"/>
          <w:pgSz w:w="12240" w:h="15840"/>
          <w:pgMar w:top="1440" w:right="1440" w:bottom="1440" w:left="1440" w:header="720" w:footer="720" w:gutter="0"/>
          <w:pgNumType w:fmt="lowerRoman"/>
          <w:cols w:space="720"/>
          <w:titlePg/>
          <w:docGrid w:linePitch="360"/>
        </w:sectPr>
      </w:pPr>
      <w:bookmarkStart w:id="0" w:name="_GoBack"/>
      <w:bookmarkEnd w:id="0"/>
    </w:p>
    <w:p w14:paraId="6F9DF55C" w14:textId="732DCC4C" w:rsidR="342DB4F9" w:rsidRDefault="342DB4F9" w:rsidP="006B5426">
      <w:pPr>
        <w:pStyle w:val="Heading1"/>
      </w:pPr>
      <w:bookmarkStart w:id="1" w:name="_Toc57559120"/>
      <w:r>
        <w:lastRenderedPageBreak/>
        <w:t>Introduction</w:t>
      </w:r>
      <w:bookmarkEnd w:id="1"/>
    </w:p>
    <w:p w14:paraId="6D1108AD" w14:textId="4B7FECEC" w:rsidR="006B5426" w:rsidRDefault="006B5426" w:rsidP="006B5426">
      <w:pPr>
        <w:pStyle w:val="Heading2"/>
      </w:pPr>
      <w:bookmarkStart w:id="2" w:name="_Toc57559121"/>
      <w:r>
        <w:t>Aims</w:t>
      </w:r>
      <w:bookmarkEnd w:id="2"/>
    </w:p>
    <w:p w14:paraId="294DDAC0" w14:textId="2E3D6FC2" w:rsidR="00000CD8" w:rsidRPr="0051189E" w:rsidRDefault="00830F94" w:rsidP="0051189E">
      <w:r>
        <w:t>The aim of this report is to assess how the RPM of an engine impacts the Specific Fuel Consumption, Torque and Brake Horsepower using a 1.6l Honda Civic engine.</w:t>
      </w:r>
    </w:p>
    <w:p w14:paraId="65CBAD70" w14:textId="0CCFC42A" w:rsidR="006B5426" w:rsidRDefault="006B5426" w:rsidP="006B5426">
      <w:pPr>
        <w:pStyle w:val="Heading2"/>
      </w:pPr>
      <w:bookmarkStart w:id="3" w:name="_Toc57559122"/>
      <w:r>
        <w:t>Objectives</w:t>
      </w:r>
      <w:bookmarkEnd w:id="3"/>
    </w:p>
    <w:p w14:paraId="19A527CC" w14:textId="3FFE3EA3" w:rsidR="00000CD8" w:rsidRPr="00000CD8" w:rsidRDefault="00830F94" w:rsidP="00000CD8">
      <w:r>
        <w:t>This will be achieved by calculating the Specific Fuel Consumption, Torque and Brake Horsepower from the results of a dynamometer run</w:t>
      </w:r>
      <w:r w:rsidR="000C41DD">
        <w:t xml:space="preserve"> (included the Appendix)</w:t>
      </w:r>
      <w:r>
        <w:t xml:space="preserve"> and then graphing those results against the RPM at that time.</w:t>
      </w:r>
    </w:p>
    <w:p w14:paraId="31116CF4" w14:textId="3E77EA78" w:rsidR="0A679716" w:rsidRDefault="0A679716" w:rsidP="006B5426">
      <w:pPr>
        <w:pStyle w:val="Heading1"/>
        <w:rPr>
          <w:rStyle w:val="Heading1Char"/>
        </w:rPr>
      </w:pPr>
      <w:r>
        <w:br w:type="page"/>
      </w:r>
      <w:bookmarkStart w:id="4" w:name="_Toc57559123"/>
      <w:r w:rsidR="342DB4F9" w:rsidRPr="006B5426">
        <w:rPr>
          <w:rStyle w:val="Heading1Char"/>
        </w:rPr>
        <w:lastRenderedPageBreak/>
        <w:t>Literature Review</w:t>
      </w:r>
      <w:bookmarkEnd w:id="4"/>
    </w:p>
    <w:p w14:paraId="56F89914" w14:textId="19934E5B" w:rsidR="005F1795" w:rsidRDefault="005F1795" w:rsidP="006B5426">
      <w:r>
        <w:t>For the power correction the DIN70020 standard was used as its one of the most accurate correction factors (</w:t>
      </w:r>
      <w:proofErr w:type="spellStart"/>
      <w:r>
        <w:t>Sodre</w:t>
      </w:r>
      <w:proofErr w:type="spellEnd"/>
      <w:r>
        <w:t xml:space="preserve"> and </w:t>
      </w:r>
      <w:proofErr w:type="spellStart"/>
      <w:r>
        <w:t>Soares</w:t>
      </w:r>
      <w:proofErr w:type="spellEnd"/>
      <w:r>
        <w:t xml:space="preserve">, 2003, p. 284) but also common in Europe. The specific gravity of the fuel was treated to be 0.75 as this is a common number for </w:t>
      </w:r>
      <w:r w:rsidR="006A18B4">
        <w:t>pump petrol.</w:t>
      </w:r>
      <w:r w:rsidR="000A4BEC">
        <w:t xml:space="preserve"> The specific gravity range is generally between 0.71 and 0.77 (Bell Fuels, 1994)</w:t>
      </w:r>
    </w:p>
    <w:p w14:paraId="28B28988" w14:textId="18714AEE" w:rsidR="006B5426" w:rsidRDefault="000A4BEC" w:rsidP="006B5426">
      <w:r>
        <w:t>The data on the physical properties of the engine was taken from the factory manual</w:t>
      </w:r>
      <w:r w:rsidR="000F0309">
        <w:t xml:space="preserve"> (Honda Motor Co. LTD, 1987)</w:t>
      </w:r>
    </w:p>
    <w:p w14:paraId="0B04D93F" w14:textId="75BEB104" w:rsidR="0A679716" w:rsidRDefault="0A679716" w:rsidP="003E6198">
      <w:pPr>
        <w:pStyle w:val="Heading1"/>
        <w:rPr>
          <w:rStyle w:val="Heading1Char"/>
        </w:rPr>
      </w:pPr>
      <w:r>
        <w:br w:type="page"/>
      </w:r>
      <w:bookmarkStart w:id="5" w:name="_Toc57559124"/>
      <w:r w:rsidR="342DB4F9" w:rsidRPr="43B7E2DE">
        <w:rPr>
          <w:rStyle w:val="Heading1Char"/>
        </w:rPr>
        <w:lastRenderedPageBreak/>
        <w:t>Methodology</w:t>
      </w:r>
      <w:bookmarkEnd w:id="5"/>
    </w:p>
    <w:p w14:paraId="0259F1B1" w14:textId="0CBF8F85" w:rsidR="00000CD8" w:rsidRDefault="7043048E" w:rsidP="00000CD8">
      <w:r>
        <w:t>The dynamometer used i</w:t>
      </w:r>
      <w:r w:rsidR="33127AEE">
        <w:t>s</w:t>
      </w:r>
      <w:r>
        <w:t xml:space="preserve"> an eddy current type W</w:t>
      </w:r>
      <w:r w:rsidR="07E964B5">
        <w:t>S</w:t>
      </w:r>
      <w:r>
        <w:t>230</w:t>
      </w:r>
      <w:r w:rsidR="41D3163F">
        <w:t xml:space="preserve"> by </w:t>
      </w:r>
      <w:proofErr w:type="spellStart"/>
      <w:r w:rsidR="41D3163F">
        <w:t>Schenck</w:t>
      </w:r>
      <w:proofErr w:type="spellEnd"/>
      <w:r w:rsidR="12B78FE2">
        <w:t>.</w:t>
      </w:r>
      <w:r w:rsidR="22676A35">
        <w:t xml:space="preserve"> </w:t>
      </w:r>
      <w:r w:rsidR="4C1F886C">
        <w:t xml:space="preserve">The engine is directly connected to the central drum of </w:t>
      </w:r>
      <w:r w:rsidR="6CCD15D3">
        <w:t xml:space="preserve">the dynamometer which normally rotates freely. </w:t>
      </w:r>
      <w:r w:rsidR="4ED5BE09">
        <w:t xml:space="preserve">Current is passed through the </w:t>
      </w:r>
      <w:r w:rsidR="56F15624">
        <w:t>outer drum however which resists th</w:t>
      </w:r>
      <w:r w:rsidR="30DE663F">
        <w:t>e rotation of the</w:t>
      </w:r>
      <w:r w:rsidR="56F15624">
        <w:t xml:space="preserve"> inner drum</w:t>
      </w:r>
      <w:r w:rsidR="16FDF81B">
        <w:t xml:space="preserve">. As a result, </w:t>
      </w:r>
      <w:r w:rsidR="094F37E8">
        <w:t xml:space="preserve">torque is transferred to the outer drum and a </w:t>
      </w:r>
      <w:r w:rsidR="174D3445">
        <w:t xml:space="preserve">calibrated </w:t>
      </w:r>
      <w:r w:rsidR="094F37E8">
        <w:t xml:space="preserve">strain gauge on the </w:t>
      </w:r>
      <w:r w:rsidR="4443BC52">
        <w:t>torque arm outputs that torque as a value between 0</w:t>
      </w:r>
      <w:r w:rsidR="771CA8A1">
        <w:t xml:space="preserve"> and </w:t>
      </w:r>
      <w:r w:rsidR="4443BC52">
        <w:t xml:space="preserve">10. The computer translates that </w:t>
      </w:r>
      <w:r w:rsidR="6AC0BC4D">
        <w:t xml:space="preserve">value </w:t>
      </w:r>
      <w:r w:rsidR="4443BC52">
        <w:t xml:space="preserve">to a load in </w:t>
      </w:r>
      <w:r w:rsidR="61C51B14">
        <w:t>n</w:t>
      </w:r>
      <w:r w:rsidR="4443BC52">
        <w:t>ewton</w:t>
      </w:r>
      <w:r w:rsidR="35EC2B44">
        <w:t xml:space="preserve"> </w:t>
      </w:r>
      <w:proofErr w:type="spellStart"/>
      <w:r w:rsidR="4443BC52">
        <w:t>metres</w:t>
      </w:r>
      <w:proofErr w:type="spellEnd"/>
      <w:r w:rsidR="4443BC52">
        <w:t>.</w:t>
      </w:r>
      <w:r w:rsidR="17CA3609">
        <w:t xml:space="preserve"> </w:t>
      </w:r>
      <w:r w:rsidR="47B838A2">
        <w:t>This system transfers the engine drive to heat and as a result needs coolin</w:t>
      </w:r>
      <w:r w:rsidR="00942647">
        <w:t>g (UWTSD WISA Workshops, 2020a)</w:t>
      </w:r>
      <w:r w:rsidR="47B838A2">
        <w:t>.</w:t>
      </w:r>
    </w:p>
    <w:p w14:paraId="4231C9B7" w14:textId="089744EC" w:rsidR="00000CD8" w:rsidRDefault="52BEBA73" w:rsidP="43B7E2DE">
      <w:r>
        <w:t>The en</w:t>
      </w:r>
      <w:r w:rsidR="001C5883">
        <w:t>gine being tested is a 1.6l VTEC</w:t>
      </w:r>
      <w:r>
        <w:t xml:space="preserve"> Honda </w:t>
      </w:r>
      <w:r w:rsidR="001C5883">
        <w:t xml:space="preserve">d16 </w:t>
      </w:r>
      <w:r w:rsidR="36364FCC">
        <w:t xml:space="preserve">civic engine. </w:t>
      </w:r>
      <w:r w:rsidR="1C4C3C59">
        <w:t>It however differs from factory specification as it has a drum air filte</w:t>
      </w:r>
      <w:r w:rsidR="001C5883">
        <w:t>r from a lawnmower, instead of the</w:t>
      </w:r>
      <w:r w:rsidR="1C4C3C59">
        <w:t xml:space="preserve"> factory </w:t>
      </w:r>
      <w:r w:rsidR="007913DC">
        <w:t>air box</w:t>
      </w:r>
      <w:r w:rsidR="5DA75727">
        <w:t>. Another difference is that there is no catalytic converter or silencer and instead just the extractor from the dynamometer room</w:t>
      </w:r>
      <w:r w:rsidR="00942647">
        <w:t xml:space="preserve"> (UWTSD WISA Workshops, 2020a)</w:t>
      </w:r>
      <w:r w:rsidR="5DA75727">
        <w:t>.</w:t>
      </w:r>
    </w:p>
    <w:p w14:paraId="21CFFCD6" w14:textId="10E14D87" w:rsidR="00000CD8" w:rsidRDefault="00A171BF" w:rsidP="43B7E2DE">
      <w:r>
        <w:t>A sweep test was used</w:t>
      </w:r>
      <w:r w:rsidR="186A7720">
        <w:t xml:space="preserve"> on the engine where the throttle is held at 100% and the </w:t>
      </w:r>
      <w:r w:rsidR="001C5883">
        <w:t>resistance from the dynamometer</w:t>
      </w:r>
      <w:r w:rsidR="186A7720">
        <w:t xml:space="preserve"> is used to control the RPM of the engine</w:t>
      </w:r>
      <w:r w:rsidR="004D577D">
        <w:t xml:space="preserve"> (UWTSD WISA Workshops, 2020b)</w:t>
      </w:r>
      <w:r w:rsidR="186A7720">
        <w:t>.</w:t>
      </w:r>
      <w:r w:rsidR="001C5883">
        <w:t xml:space="preserve"> Data was recorded every 50 RPM</w:t>
      </w:r>
      <w:r w:rsidR="00235CCD">
        <w:t xml:space="preserve"> </w:t>
      </w:r>
      <w:r w:rsidR="001C5883">
        <w:t>giving the</w:t>
      </w:r>
      <w:r w:rsidR="00235CCD">
        <w:t>:</w:t>
      </w:r>
      <w:r w:rsidR="001C5883">
        <w:t xml:space="preserve"> load measured by the strain gauge,</w:t>
      </w:r>
      <w:r w:rsidR="00235CCD">
        <w:t xml:space="preserve"> fuel flow rate and engine lambda. It was recorded between 1000 and 5500 RPM. The data also included: the ambient air temperature, air pressure and humidity.</w:t>
      </w:r>
    </w:p>
    <w:p w14:paraId="431FF0AA" w14:textId="422BC043" w:rsidR="0055217A" w:rsidRPr="0055217A" w:rsidRDefault="004D577D" w:rsidP="43B7E2DE">
      <w:r>
        <w:t>The provided data was used to calculate torque,</w:t>
      </w:r>
      <w:r w:rsidR="0055217A">
        <w:t xml:space="preserve"> brake power,</w:t>
      </w:r>
      <w:r>
        <w:t xml:space="preserve"> correc</w:t>
      </w:r>
      <w:r w:rsidR="007913DC">
        <w:t>ted power, specific fuel consumption (</w:t>
      </w:r>
      <w:r w:rsidR="000B3010">
        <w:t xml:space="preserve">SFC), brake mean effective </w:t>
      </w:r>
      <w:r>
        <w:t>pressure (BMEP) and the overall thermal efficiency of the engine.</w:t>
      </w:r>
      <w:r w:rsidR="0055217A">
        <w:t xml:space="preserve"> This was achieved by using these equations:</w:t>
      </w:r>
    </w:p>
    <w:p w14:paraId="118AA4D8" w14:textId="16F15376" w:rsidR="0055217A" w:rsidRDefault="0055217A" w:rsidP="00000CD8">
      <m:oMathPara>
        <m:oMath>
          <m:r>
            <w:rPr>
              <w:rFonts w:ascii="Cambria Math" w:hAnsi="Cambria Math"/>
            </w:rPr>
            <m:t>Torque</m:t>
          </m:r>
          <m:d>
            <m:dPr>
              <m:ctrlPr>
                <w:rPr>
                  <w:rFonts w:ascii="Cambria Math" w:hAnsi="Cambria Math"/>
                  <w:i/>
                </w:rPr>
              </m:ctrlPr>
            </m:dPr>
            <m:e>
              <m:r>
                <w:rPr>
                  <w:rFonts w:ascii="Cambria Math" w:hAnsi="Cambria Math"/>
                </w:rPr>
                <m:t>Nm</m:t>
              </m:r>
            </m:e>
          </m:d>
          <m:r>
            <w:rPr>
              <w:rFonts w:ascii="Cambria Math" w:hAnsi="Cambria Math"/>
            </w:rPr>
            <m:t xml:space="preserve">=Engine Load(N)×0.815776 </m:t>
          </m:r>
        </m:oMath>
      </m:oMathPara>
    </w:p>
    <w:p w14:paraId="6A89FB0F" w14:textId="4DEFB6B4" w:rsidR="00000CD8" w:rsidRDefault="0055217A" w:rsidP="0055217A">
      <w:pPr>
        <w:pStyle w:val="Caption"/>
      </w:pPr>
      <w:r>
        <w:t xml:space="preserve">Equation </w:t>
      </w:r>
      <w:r>
        <w:fldChar w:fldCharType="begin"/>
      </w:r>
      <w:r>
        <w:instrText>SEQ Equation \* ARABIC</w:instrText>
      </w:r>
      <w:r>
        <w:fldChar w:fldCharType="separate"/>
      </w:r>
      <w:r w:rsidR="000B3010">
        <w:rPr>
          <w:noProof/>
        </w:rPr>
        <w:t>1</w:t>
      </w:r>
      <w:r>
        <w:fldChar w:fldCharType="end"/>
      </w:r>
      <w:r>
        <w:t xml:space="preserve">- Torque equation with the torque arm length included </w:t>
      </w:r>
      <w:r w:rsidRPr="0072727F">
        <w:t>(UWTSD WISA Workshops, 2020a)</w:t>
      </w:r>
      <w:r>
        <w:t xml:space="preserve"> </w:t>
      </w:r>
    </w:p>
    <w:p w14:paraId="2895D753" w14:textId="1D108659" w:rsidR="0055217A" w:rsidRPr="0055217A" w:rsidRDefault="00E62FCB" w:rsidP="0055217A">
      <m:oMathPara>
        <m:oMath>
          <m:r>
            <w:rPr>
              <w:rFonts w:ascii="Cambria Math" w:hAnsi="Cambria Math"/>
            </w:rPr>
            <m:t xml:space="preserve">Brake Power </m:t>
          </m:r>
          <m:d>
            <m:dPr>
              <m:ctrlPr>
                <w:rPr>
                  <w:rFonts w:ascii="Cambria Math" w:hAnsi="Cambria Math"/>
                  <w:i/>
                </w:rPr>
              </m:ctrlPr>
            </m:dPr>
            <m:e>
              <m:r>
                <w:rPr>
                  <w:rFonts w:ascii="Cambria Math" w:hAnsi="Cambria Math"/>
                </w:rPr>
                <m:t>kW</m:t>
              </m:r>
            </m:e>
          </m:d>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2×π×Engine Speed</m:t>
              </m:r>
              <m:d>
                <m:dPr>
                  <m:ctrlPr>
                    <w:rPr>
                      <w:rFonts w:ascii="Cambria Math" w:eastAsiaTheme="minorEastAsia" w:hAnsi="Cambria Math"/>
                      <w:i/>
                    </w:rPr>
                  </m:ctrlPr>
                </m:dPr>
                <m:e>
                  <m:r>
                    <w:rPr>
                      <w:rFonts w:ascii="Cambria Math" w:eastAsiaTheme="minorEastAsia" w:hAnsi="Cambria Math"/>
                    </w:rPr>
                    <m:t>RPM</m:t>
                  </m:r>
                </m:e>
              </m:d>
              <m:r>
                <w:rPr>
                  <w:rFonts w:ascii="Cambria Math" w:eastAsiaTheme="minorEastAsia" w:hAnsi="Cambria Math"/>
                </w:rPr>
                <m:t>×Torque(Nm)</m:t>
              </m:r>
            </m:num>
            <m:den>
              <m:r>
                <w:rPr>
                  <w:rFonts w:ascii="Cambria Math" w:eastAsiaTheme="minorEastAsia" w:hAnsi="Cambria Math"/>
                </w:rPr>
                <m:t>60×1000</m:t>
              </m:r>
            </m:den>
          </m:f>
        </m:oMath>
      </m:oMathPara>
    </w:p>
    <w:p w14:paraId="5731219F" w14:textId="543211B9" w:rsidR="0A679716" w:rsidRDefault="00021048" w:rsidP="00021048">
      <w:pPr>
        <w:pStyle w:val="Caption"/>
      </w:pPr>
      <w:r>
        <w:t xml:space="preserve">Equation </w:t>
      </w:r>
      <w:fldSimple w:instr=" SEQ Equation \* ARABIC ">
        <w:r w:rsidR="000B3010">
          <w:rPr>
            <w:noProof/>
          </w:rPr>
          <w:t>2</w:t>
        </w:r>
      </w:fldSimple>
      <w:r>
        <w:t>- Power Equation</w:t>
      </w:r>
    </w:p>
    <w:p w14:paraId="46F591DB" w14:textId="60FA85E7" w:rsidR="00516781" w:rsidRPr="00516781" w:rsidRDefault="009C27FA" w:rsidP="00516781">
      <m:oMathPara>
        <m:oMath>
          <m:r>
            <w:rPr>
              <w:rFonts w:ascii="Cambria Math" w:hAnsi="Cambria Math"/>
            </w:rPr>
            <m:t xml:space="preserve">Corrected Power </m:t>
          </m:r>
          <m:d>
            <m:dPr>
              <m:ctrlPr>
                <w:rPr>
                  <w:rFonts w:ascii="Cambria Math" w:hAnsi="Cambria Math"/>
                  <w:i/>
                </w:rPr>
              </m:ctrlPr>
            </m:dPr>
            <m:e>
              <m:r>
                <w:rPr>
                  <w:rFonts w:ascii="Cambria Math" w:hAnsi="Cambria Math"/>
                </w:rPr>
                <m:t>kW</m:t>
              </m:r>
            </m:e>
          </m:d>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Ambient Pressure (Bar)</m:t>
              </m:r>
            </m:num>
            <m:den>
              <m:r>
                <w:rPr>
                  <w:rFonts w:ascii="Cambria Math" w:eastAsiaTheme="minorEastAsia" w:hAnsi="Cambria Math"/>
                </w:rPr>
                <m:t>1.01325</m:t>
              </m:r>
            </m:den>
          </m:f>
          <m:r>
            <w:rPr>
              <w:rFonts w:ascii="Cambria Math" w:hAnsi="Cambria Math"/>
            </w:rPr>
            <m:t>×√</m:t>
          </m:r>
          <m:f>
            <m:fPr>
              <m:ctrlPr>
                <w:rPr>
                  <w:rFonts w:ascii="Cambria Math" w:hAnsi="Cambria Math"/>
                  <w:i/>
                </w:rPr>
              </m:ctrlPr>
            </m:fPr>
            <m:num>
              <m:r>
                <w:rPr>
                  <w:rFonts w:ascii="Cambria Math" w:hAnsi="Cambria Math"/>
                </w:rPr>
                <m:t>293</m:t>
              </m:r>
            </m:num>
            <m:den>
              <m:r>
                <w:rPr>
                  <w:rFonts w:ascii="Cambria Math" w:hAnsi="Cambria Math"/>
                </w:rPr>
                <m:t>Ambient Temperature (K)</m:t>
              </m:r>
            </m:den>
          </m:f>
        </m:oMath>
      </m:oMathPara>
    </w:p>
    <w:p w14:paraId="255EA193" w14:textId="46AB2B3C" w:rsidR="0A679716" w:rsidRDefault="009C27FA" w:rsidP="009C27FA">
      <w:pPr>
        <w:pStyle w:val="Caption"/>
      </w:pPr>
      <w:r>
        <w:t xml:space="preserve">Equation </w:t>
      </w:r>
      <w:fldSimple w:instr=" SEQ Equation \* ARABIC ">
        <w:r w:rsidR="000B3010">
          <w:rPr>
            <w:noProof/>
          </w:rPr>
          <w:t>3</w:t>
        </w:r>
      </w:fldSimple>
      <w:r w:rsidRPr="00D75A44">
        <w:t>- DIN70020 Corrected Power equation (DIN, 1986</w:t>
      </w:r>
      <w:r w:rsidR="0045562F">
        <w:t xml:space="preserve"> cited in </w:t>
      </w:r>
      <w:proofErr w:type="spellStart"/>
      <w:r w:rsidR="0045562F">
        <w:t>Sodre</w:t>
      </w:r>
      <w:proofErr w:type="spellEnd"/>
      <w:r w:rsidR="0045562F">
        <w:t xml:space="preserve"> and </w:t>
      </w:r>
      <w:proofErr w:type="spellStart"/>
      <w:r w:rsidR="0045562F">
        <w:t>Soares</w:t>
      </w:r>
      <w:proofErr w:type="spellEnd"/>
      <w:r w:rsidR="0045562F">
        <w:t>, 2003, p. 281</w:t>
      </w:r>
      <w:r w:rsidRPr="00D75A44">
        <w:t>)</w:t>
      </w:r>
    </w:p>
    <w:p w14:paraId="1939D77E" w14:textId="77777777" w:rsidR="000B3010" w:rsidRDefault="000B3010" w:rsidP="000B3010">
      <w:pPr>
        <w:rPr>
          <w:rFonts w:eastAsiaTheme="minorEastAsia"/>
          <w:i/>
        </w:rPr>
      </w:pPr>
    </w:p>
    <w:p w14:paraId="57049EBD" w14:textId="450FFF9E" w:rsidR="000B3010" w:rsidRPr="0055217A" w:rsidRDefault="000B3010" w:rsidP="000B3010">
      <m:oMathPara>
        <m:oMath>
          <m:r>
            <w:rPr>
              <w:rFonts w:ascii="Cambria Math" w:hAnsi="Cambria Math"/>
            </w:rPr>
            <w:lastRenderedPageBreak/>
            <m:t xml:space="preserve">SFC </m:t>
          </m:r>
          <m:d>
            <m:dPr>
              <m:ctrlPr>
                <w:rPr>
                  <w:rFonts w:ascii="Cambria Math" w:hAnsi="Cambria Math"/>
                  <w:i/>
                </w:rPr>
              </m:ctrlPr>
            </m:dPr>
            <m:e>
              <m:r>
                <w:rPr>
                  <w:rFonts w:ascii="Cambria Math" w:hAnsi="Cambria Math"/>
                </w:rPr>
                <m:t>kg/kWh</m:t>
              </m:r>
            </m:e>
          </m:d>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 xml:space="preserve">Fuel Flow Rate </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l</m:t>
                      </m:r>
                    </m:num>
                    <m:den>
                      <m:r>
                        <m:rPr>
                          <m:sty m:val="p"/>
                        </m:rPr>
                        <w:rPr>
                          <w:rFonts w:ascii="Cambria Math" w:eastAsiaTheme="minorEastAsia" w:hAnsi="Cambria Math"/>
                        </w:rPr>
                        <m:t>minute</m:t>
                      </m:r>
                    </m:den>
                  </m:f>
                </m:e>
              </m:d>
              <m:r>
                <w:rPr>
                  <w:rFonts w:ascii="Cambria Math" w:eastAsiaTheme="minorEastAsia" w:hAnsi="Cambria Math"/>
                </w:rPr>
                <m:t xml:space="preserve">×Fuel Specific Gravity×60 </m:t>
              </m:r>
            </m:num>
            <m:den>
              <m:r>
                <w:rPr>
                  <w:rFonts w:ascii="Cambria Math" w:eastAsiaTheme="minorEastAsia" w:hAnsi="Cambria Math"/>
                </w:rPr>
                <m:t>Corrected Power (kW)</m:t>
              </m:r>
            </m:den>
          </m:f>
        </m:oMath>
      </m:oMathPara>
    </w:p>
    <w:p w14:paraId="5FAB2DFE" w14:textId="545BDFC8" w:rsidR="00125634" w:rsidRDefault="000B3010" w:rsidP="000B3010">
      <w:pPr>
        <w:pStyle w:val="Caption"/>
        <w:rPr>
          <w:rFonts w:eastAsiaTheme="minorEastAsia"/>
          <w:i w:val="0"/>
        </w:rPr>
      </w:pPr>
      <w:r>
        <w:t xml:space="preserve">Equation </w:t>
      </w:r>
      <w:fldSimple w:instr=" SEQ Equation \* ARABIC ">
        <w:r>
          <w:rPr>
            <w:noProof/>
          </w:rPr>
          <w:t>4</w:t>
        </w:r>
      </w:fldSimple>
      <w:r>
        <w:t>-BSFC Equation</w:t>
      </w:r>
      <w:r w:rsidR="005469D4">
        <w:t xml:space="preserve"> (Derived from Heywood’s Equation (1988, p.52)</w:t>
      </w:r>
      <w:r w:rsidR="00BE742D">
        <w:t>)</w:t>
      </w:r>
    </w:p>
    <w:p w14:paraId="3776D441" w14:textId="3A45B2D7" w:rsidR="00E62FCB" w:rsidRPr="00125634" w:rsidRDefault="00E62FCB" w:rsidP="00E62FCB">
      <w:pPr>
        <w:rPr>
          <w:rFonts w:eastAsiaTheme="minorEastAsia"/>
        </w:rPr>
      </w:pPr>
      <m:oMathPara>
        <m:oMath>
          <m:r>
            <w:rPr>
              <w:rFonts w:ascii="Cambria Math" w:hAnsi="Cambria Math"/>
            </w:rPr>
            <m:t>BMEP (kPa)</m:t>
          </m:r>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120×Brake Power (kW)</m:t>
              </m:r>
            </m:num>
            <m:den>
              <m:r>
                <w:rPr>
                  <w:rFonts w:ascii="Cambria Math" w:eastAsiaTheme="minorEastAsia" w:hAnsi="Cambria Math"/>
                </w:rPr>
                <m:t xml:space="preserve">Engine Speed </m:t>
              </m:r>
              <m:d>
                <m:dPr>
                  <m:ctrlPr>
                    <w:rPr>
                      <w:rFonts w:ascii="Cambria Math" w:eastAsiaTheme="minorEastAsia" w:hAnsi="Cambria Math"/>
                      <w:i/>
                    </w:rPr>
                  </m:ctrlPr>
                </m:dPr>
                <m:e>
                  <m:r>
                    <w:rPr>
                      <w:rFonts w:ascii="Cambria Math" w:eastAsiaTheme="minorEastAsia" w:hAnsi="Cambria Math"/>
                    </w:rPr>
                    <m:t>RPM</m:t>
                  </m:r>
                </m:e>
              </m:d>
              <m:r>
                <w:rPr>
                  <w:rFonts w:ascii="Cambria Math" w:eastAsiaTheme="minorEastAsia" w:hAnsi="Cambria Math"/>
                </w:rPr>
                <m:t>×Engine Volume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m:t>
              </m:r>
            </m:den>
          </m:f>
        </m:oMath>
      </m:oMathPara>
    </w:p>
    <w:p w14:paraId="1EEAA671" w14:textId="49299FE5" w:rsidR="00125634" w:rsidRPr="0055217A" w:rsidRDefault="00125634" w:rsidP="00125634">
      <w:pPr>
        <w:pStyle w:val="Caption"/>
      </w:pPr>
      <w:r>
        <w:t xml:space="preserve">Equation </w:t>
      </w:r>
      <w:fldSimple w:instr=" SEQ Equation \* ARABIC ">
        <w:r w:rsidR="000B3010">
          <w:rPr>
            <w:noProof/>
          </w:rPr>
          <w:t>5</w:t>
        </w:r>
      </w:fldSimple>
      <w:r>
        <w:t>- BMEP Equation</w:t>
      </w:r>
    </w:p>
    <w:p w14:paraId="26ADEFB6" w14:textId="25AA14DF" w:rsidR="00125634" w:rsidRPr="0055217A" w:rsidRDefault="00125634" w:rsidP="00125634">
      <m:oMathPara>
        <m:oMath>
          <m:r>
            <w:rPr>
              <w:rFonts w:ascii="Cambria Math" w:hAnsi="Cambria Math"/>
            </w:rPr>
            <m:t>Overall Thermal Efficiency(%)</m:t>
          </m:r>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Corrected Power (kW)</m:t>
              </m:r>
            </m:num>
            <m:den>
              <m:r>
                <w:rPr>
                  <w:rFonts w:ascii="Cambria Math" w:eastAsiaTheme="minorEastAsia" w:hAnsi="Cambria Math"/>
                </w:rPr>
                <m:t xml:space="preserve">Fuel Consumption </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kg</m:t>
                      </m:r>
                    </m:num>
                    <m:den>
                      <m:r>
                        <w:rPr>
                          <w:rFonts w:ascii="Cambria Math" w:eastAsiaTheme="minorEastAsia" w:hAnsi="Cambria Math"/>
                        </w:rPr>
                        <m:t>s</m:t>
                      </m:r>
                    </m:den>
                  </m:f>
                </m:e>
              </m:d>
              <m:r>
                <w:rPr>
                  <w:rFonts w:ascii="Cambria Math" w:eastAsiaTheme="minorEastAsia" w:hAnsi="Cambria Math"/>
                </w:rPr>
                <m:t>×Calorific Value of fuel (</m:t>
              </m:r>
              <m:f>
                <m:fPr>
                  <m:ctrlPr>
                    <w:rPr>
                      <w:rFonts w:ascii="Cambria Math" w:eastAsiaTheme="minorEastAsia" w:hAnsi="Cambria Math"/>
                      <w:i/>
                    </w:rPr>
                  </m:ctrlPr>
                </m:fPr>
                <m:num>
                  <m:r>
                    <w:rPr>
                      <w:rFonts w:ascii="Cambria Math" w:eastAsiaTheme="minorEastAsia" w:hAnsi="Cambria Math"/>
                    </w:rPr>
                    <m:t>kJ</m:t>
                  </m:r>
                </m:num>
                <m:den>
                  <m:r>
                    <w:rPr>
                      <w:rFonts w:ascii="Cambria Math" w:eastAsiaTheme="minorEastAsia" w:hAnsi="Cambria Math"/>
                    </w:rPr>
                    <m:t>kg</m:t>
                  </m:r>
                </m:den>
              </m:f>
              <m:r>
                <w:rPr>
                  <w:rFonts w:ascii="Cambria Math" w:eastAsiaTheme="minorEastAsia" w:hAnsi="Cambria Math"/>
                </w:rPr>
                <m:t>)</m:t>
              </m:r>
            </m:den>
          </m:f>
        </m:oMath>
      </m:oMathPara>
    </w:p>
    <w:p w14:paraId="3E56D1CE" w14:textId="68C49CB9" w:rsidR="00125634" w:rsidRPr="00E62FCB" w:rsidRDefault="00125634" w:rsidP="00125634">
      <w:pPr>
        <w:pStyle w:val="Caption"/>
      </w:pPr>
      <w:r>
        <w:t xml:space="preserve">Equation </w:t>
      </w:r>
      <w:fldSimple w:instr=" SEQ Equation \* ARABIC ">
        <w:r w:rsidR="000B3010">
          <w:rPr>
            <w:noProof/>
          </w:rPr>
          <w:t>6</w:t>
        </w:r>
      </w:fldSimple>
      <w:r>
        <w:t>- Overall Thermal Efficiency Calculation</w:t>
      </w:r>
      <w:r w:rsidR="00BE742D">
        <w:t xml:space="preserve"> (from Heywood </w:t>
      </w:r>
      <w:r w:rsidR="00BE742D">
        <w:t>(1988, p.52)</w:t>
      </w:r>
      <w:r w:rsidR="00BE742D">
        <w:t>)</w:t>
      </w:r>
    </w:p>
    <w:p w14:paraId="1665E437" w14:textId="6085D012" w:rsidR="0A679716" w:rsidRDefault="000B3010" w:rsidP="78EF5785">
      <w:r>
        <w:t>The calculated values were added to the spreadsheet with the original data (Appendix) and torque</w:t>
      </w:r>
      <w:r w:rsidR="007913DC">
        <w:t xml:space="preserve">, corrected horsepower and the </w:t>
      </w:r>
      <w:r>
        <w:t>SFC were plotted against the RPM of the engine.</w:t>
      </w:r>
      <w:r w:rsidR="00021048">
        <w:br w:type="page"/>
      </w:r>
    </w:p>
    <w:p w14:paraId="3D9B9E31" w14:textId="450A2292" w:rsidR="0A679716" w:rsidRDefault="342DB4F9" w:rsidP="2CA51AAA">
      <w:pPr>
        <w:pStyle w:val="Heading1"/>
      </w:pPr>
      <w:bookmarkStart w:id="6" w:name="_Toc57559125"/>
      <w:r>
        <w:lastRenderedPageBreak/>
        <w:t>Discussion</w:t>
      </w:r>
      <w:bookmarkEnd w:id="6"/>
      <w:r>
        <w:t xml:space="preserve"> </w:t>
      </w:r>
    </w:p>
    <w:p w14:paraId="2CBCC275" w14:textId="77777777" w:rsidR="00F872B1" w:rsidRDefault="00F872B1" w:rsidP="00F872B1">
      <w:pPr>
        <w:keepNext/>
      </w:pPr>
      <w:r>
        <w:rPr>
          <w:noProof/>
          <w:lang w:val="en-GB" w:eastAsia="en-GB"/>
        </w:rPr>
        <w:drawing>
          <wp:inline distT="0" distB="0" distL="0" distR="0" wp14:anchorId="5209469B" wp14:editId="48E67A34">
            <wp:extent cx="4571054" cy="2743200"/>
            <wp:effectExtent l="0" t="0" r="1270" b="0"/>
            <wp:docPr id="6" name="Chart 6">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9A2C29E" w14:textId="33864BE4" w:rsidR="00F872B1" w:rsidRDefault="00F872B1" w:rsidP="00F872B1">
      <w:pPr>
        <w:pStyle w:val="Caption"/>
      </w:pPr>
      <w:r>
        <w:t xml:space="preserve">Figure </w:t>
      </w:r>
      <w:fldSimple w:instr=" SEQ Figure \* ARABIC ">
        <w:r w:rsidR="004F485E">
          <w:rPr>
            <w:noProof/>
          </w:rPr>
          <w:t>1</w:t>
        </w:r>
      </w:fldSimple>
      <w:r>
        <w:t xml:space="preserve"> Torque plotted against RPM (Max Torque from </w:t>
      </w:r>
      <w:proofErr w:type="spellStart"/>
      <w:r>
        <w:t>encycarpedia</w:t>
      </w:r>
      <w:proofErr w:type="spellEnd"/>
      <w:r>
        <w:t xml:space="preserve"> (2018))</w:t>
      </w:r>
    </w:p>
    <w:p w14:paraId="74112D71" w14:textId="57FD04FA" w:rsidR="00F872B1" w:rsidRDefault="00F872B1" w:rsidP="00F872B1">
      <w:r>
        <w:t>The engine will be designed to take advantage of valve overlap, leaving the intake valve whilst the piston is starting to return up on the compression stroke to take advantage of the momentum of the air through the intake</w:t>
      </w:r>
      <w:r w:rsidR="005469D4">
        <w:t>. As a result, air pressure in the cylinder is a little higher than ambient</w:t>
      </w:r>
      <w:r>
        <w:t>. This will be ineffective at low RPM which is a reason as to why the torque increases between 1000 and 2000 rpm. The piston also must suck this column of air through the intake and the length of the intake will be tuned for higher RPM, as a result then the velocity of the intake air will peak too late in the travel of the piston which will result in poor cylinder filling. As Engine RPM increases then, according to Heywood (1988, p. 825), friction increases linearly. This is what leads to the torque dropping off as RPM increases as more work is lost to friction. As well as this, volumetric efficiency decreases at high RPM as the engine cannot pull in enough air through the throttle body and valves to properly fill the cylinders and sustain the cylinder pressures. It would also be limited by how much fuel the engine is able to provide.</w:t>
      </w:r>
    </w:p>
    <w:p w14:paraId="72EBBB88" w14:textId="77777777" w:rsidR="00F872B1" w:rsidRDefault="00F872B1" w:rsidP="00F872B1">
      <w:pPr>
        <w:keepNext/>
      </w:pPr>
      <w:r>
        <w:rPr>
          <w:noProof/>
          <w:lang w:val="en-GB" w:eastAsia="en-GB"/>
        </w:rPr>
        <w:lastRenderedPageBreak/>
        <w:drawing>
          <wp:inline distT="0" distB="0" distL="0" distR="0" wp14:anchorId="4A601645" wp14:editId="634336B2">
            <wp:extent cx="4521573" cy="2743200"/>
            <wp:effectExtent l="0" t="0" r="12700" b="0"/>
            <wp:docPr id="5" name="Chart 5">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C972B5C" w14:textId="3C50C5CA" w:rsidR="00F872B1" w:rsidRDefault="00F872B1" w:rsidP="00F872B1">
      <w:pPr>
        <w:pStyle w:val="Caption"/>
      </w:pPr>
      <w:r>
        <w:t xml:space="preserve">Figure </w:t>
      </w:r>
      <w:fldSimple w:instr=" SEQ Figure \* ARABIC ">
        <w:r w:rsidR="004F485E">
          <w:rPr>
            <w:noProof/>
          </w:rPr>
          <w:t>2</w:t>
        </w:r>
      </w:fldSimple>
      <w:r w:rsidR="007A62DA">
        <w:t>- Corrected</w:t>
      </w:r>
      <w:r>
        <w:t xml:space="preserve"> Power against RPM (</w:t>
      </w:r>
      <w:r w:rsidRPr="00AB152E">
        <w:t>Max T</w:t>
      </w:r>
      <w:r>
        <w:t xml:space="preserve">orque from </w:t>
      </w:r>
      <w:proofErr w:type="spellStart"/>
      <w:r>
        <w:t>encycarpedia</w:t>
      </w:r>
      <w:proofErr w:type="spellEnd"/>
      <w:r>
        <w:t xml:space="preserve"> (2018))</w:t>
      </w:r>
    </w:p>
    <w:p w14:paraId="4A5EA59A" w14:textId="17B24AA0" w:rsidR="00000CD8" w:rsidRDefault="00F872B1" w:rsidP="00F872B1">
      <w:r>
        <w:t>The power curve of the engine follows the torque curve as it is a product of torque. It carries on increasing as the torque decreases however as the RPM increases at a greater rate than the torque decreases</w:t>
      </w:r>
    </w:p>
    <w:p w14:paraId="6D814BC4" w14:textId="77777777" w:rsidR="004F485E" w:rsidRDefault="001C5883" w:rsidP="004F485E">
      <w:pPr>
        <w:keepNext/>
      </w:pPr>
      <w:r>
        <w:rPr>
          <w:noProof/>
          <w:lang w:val="en-GB" w:eastAsia="en-GB"/>
        </w:rPr>
        <w:drawing>
          <wp:inline distT="0" distB="0" distL="0" distR="0" wp14:anchorId="707D36DE" wp14:editId="6F3BEB4D">
            <wp:extent cx="4521573" cy="2743200"/>
            <wp:effectExtent l="0" t="0" r="12700" b="0"/>
            <wp:docPr id="4" name="Chart 4">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47C62B4" w14:textId="1FC2C80D" w:rsidR="006B5426" w:rsidRDefault="004F485E" w:rsidP="004F485E">
      <w:pPr>
        <w:pStyle w:val="Caption"/>
      </w:pPr>
      <w:r>
        <w:t xml:space="preserve">Figure </w:t>
      </w:r>
      <w:fldSimple w:instr=" SEQ Figure \* ARABIC ">
        <w:r>
          <w:rPr>
            <w:noProof/>
          </w:rPr>
          <w:t>3</w:t>
        </w:r>
      </w:fldSimple>
      <w:r>
        <w:t>- Specific Fuel Consumption against RPM</w:t>
      </w:r>
    </w:p>
    <w:p w14:paraId="3E2ADBBA" w14:textId="7FDAFD88" w:rsidR="2CA51AAA" w:rsidRDefault="00BE742D" w:rsidP="2CA51AAA">
      <w:r>
        <w:t>The Specific Fuel Consumption</w:t>
      </w:r>
      <w:r w:rsidR="005D5BCF">
        <w:t xml:space="preserve"> (SFC)</w:t>
      </w:r>
      <w:r>
        <w:t xml:space="preserve"> is least in the low middle RPM range as it is a </w:t>
      </w:r>
      <w:r w:rsidR="005D5BCF">
        <w:t>tradeoff</w:t>
      </w:r>
      <w:r>
        <w:t xml:space="preserve"> between heat transfer and friction.</w:t>
      </w:r>
      <w:r w:rsidR="005D5BCF">
        <w:t xml:space="preserve"> At low RPM then heat transfer per cycle is important whereas it has less of a role as RPM increases and as a result the engine becomes more efficient. As RPM increases yet further however then friction begins taking more of the energy that combustion releases (Heywood, 1988, </w:t>
      </w:r>
      <w:r w:rsidR="005D5BCF">
        <w:lastRenderedPageBreak/>
        <w:t>p.839-840). Also in the case of this engine then the lambda value increases towards the point of lowest SFC Meaning that there is a leaner mixture and less fuel is being provided in relation to the air. A</w:t>
      </w:r>
      <w:r w:rsidR="00C77C7A">
        <w:t xml:space="preserve">way from this point at lower and higher RPM, </w:t>
      </w:r>
      <w:r w:rsidR="005D5BCF">
        <w:t xml:space="preserve">the mixture is made richer and </w:t>
      </w:r>
      <w:r w:rsidR="00C77C7A">
        <w:t>therefore the engine becomes less fuel efficient.</w:t>
      </w:r>
    </w:p>
    <w:p w14:paraId="381CF6A9" w14:textId="4EEB57E2" w:rsidR="006B5426" w:rsidRPr="006B5426" w:rsidRDefault="006B5426" w:rsidP="006B5426">
      <w:pPr>
        <w:pStyle w:val="Caption"/>
      </w:pPr>
    </w:p>
    <w:p w14:paraId="5C25F49A" w14:textId="22C366E7" w:rsidR="0A679716" w:rsidRDefault="0A679716" w:rsidP="003E6198">
      <w:pPr>
        <w:pStyle w:val="Heading1"/>
      </w:pPr>
      <w:r>
        <w:br w:type="page"/>
      </w:r>
      <w:bookmarkStart w:id="7" w:name="_Toc57559126"/>
      <w:r w:rsidR="342DB4F9" w:rsidRPr="2CA51AAA">
        <w:rPr>
          <w:rStyle w:val="Heading1Char"/>
        </w:rPr>
        <w:lastRenderedPageBreak/>
        <w:t>Conclusion</w:t>
      </w:r>
      <w:bookmarkEnd w:id="7"/>
      <w:r w:rsidR="342DB4F9" w:rsidRPr="2CA51AAA">
        <w:rPr>
          <w:rStyle w:val="Heading1Char"/>
        </w:rPr>
        <w:t xml:space="preserve"> </w:t>
      </w:r>
    </w:p>
    <w:p w14:paraId="177945B5" w14:textId="73397DA4" w:rsidR="00EE0EB3" w:rsidRDefault="00D3347F" w:rsidP="00000CD8">
      <w:r>
        <w:t xml:space="preserve">The engine is clearly running poorly when compared to the factory specifications. It has far less power and peaks at a low RPM. I believe that this is due to the engine running with a less restrictive drum filter from a lawnmower </w:t>
      </w:r>
      <w:r>
        <w:t>(UWTSD WISA Workshops, 2020a).</w:t>
      </w:r>
      <w:r>
        <w:t xml:space="preserve"> </w:t>
      </w:r>
      <w:r w:rsidR="00581991">
        <w:t>The lesser restriction would allow more air into the engine and if it isn’t correctly mapped to suit then not enough fuel would be injected to reach the stoichiometric ratio. This is shown in the data as the lambda is in a region of 1.3 at low RPM, quite a way lean of stoichiometric. This is shown as a low cylinder pressure, the</w:t>
      </w:r>
      <w:r>
        <w:t xml:space="preserve"> </w:t>
      </w:r>
      <w:proofErr w:type="spellStart"/>
      <w:r>
        <w:t>the</w:t>
      </w:r>
      <w:proofErr w:type="spellEnd"/>
      <w:r>
        <w:t xml:space="preserve"> peak calculated BMEP value was 817kPa, the factory peak value was 1,130kPa (</w:t>
      </w:r>
      <w:proofErr w:type="spellStart"/>
      <w:r>
        <w:t>Encycarpedia</w:t>
      </w:r>
      <w:proofErr w:type="spellEnd"/>
      <w:r>
        <w:t xml:space="preserve">, 2018). </w:t>
      </w:r>
      <w:r w:rsidR="00581991">
        <w:t xml:space="preserve">The is indicates that there is not enough fuel to combust with the oxygen in the cylinder. </w:t>
      </w:r>
      <w:r>
        <w:t>As this is the acting pressure on the piston it is proportional to both power and torque and is the reason why these figures are so low.</w:t>
      </w:r>
      <w:r w:rsidR="00EE0EB3">
        <w:t xml:space="preserve"> This is potentially worsened as there is reduced backpressure from the exhaust than the engine was designed for due to the use of just an exhaust tube outside without a catalytic converter or silencer as intended. This will increase scavenging from the exhaust which means more of the air fuel mixture may be dragged out during the valve overlap period, further leaning out the mixture.</w:t>
      </w:r>
    </w:p>
    <w:p w14:paraId="557DEEC6" w14:textId="628C64E1" w:rsidR="002E4461" w:rsidRDefault="00EE0EB3" w:rsidP="00000CD8">
      <w:r>
        <w:t>As a result of this, it is a poor test as it is not a good representation of how the engine performs and runs in a real world situation. It also lessens the accuracy of the DIN70020 power correction factor as that is intended to be used with all the engine fittings as it would be when fitted in a road car.</w:t>
      </w:r>
    </w:p>
    <w:p w14:paraId="1250CDE5" w14:textId="2F624CB5" w:rsidR="002E4461" w:rsidRPr="00000CD8" w:rsidRDefault="00EE0EB3" w:rsidP="00EE0EB3">
      <w:r>
        <w:t xml:space="preserve">To get a more representative test there are two options: adjusting the engine to run properly in that format or reverting entirely to factory. It could have the fuel map changed to eliminate the lean condition however this just solves that singular problem and may deviate from how it was intended to be operated. A more accurate test would be to outfit as intended, with the factory </w:t>
      </w:r>
      <w:proofErr w:type="spellStart"/>
      <w:r>
        <w:t>airbox</w:t>
      </w:r>
      <w:proofErr w:type="spellEnd"/>
      <w:r>
        <w:t xml:space="preserve"> and full exhaust system. </w:t>
      </w:r>
    </w:p>
    <w:p w14:paraId="21FCC1C8" w14:textId="315B59D3" w:rsidR="000C41DD" w:rsidRDefault="0A679716" w:rsidP="00A915A1">
      <w:pPr>
        <w:pStyle w:val="Heading1"/>
      </w:pPr>
      <w:r>
        <w:br w:type="page"/>
      </w:r>
      <w:bookmarkStart w:id="8" w:name="_Toc57559127"/>
      <w:r w:rsidR="342DB4F9">
        <w:lastRenderedPageBreak/>
        <w:t>References</w:t>
      </w:r>
      <w:bookmarkEnd w:id="8"/>
    </w:p>
    <w:p w14:paraId="1E4B28EA" w14:textId="5835CD39" w:rsidR="006A18B4" w:rsidRDefault="006A18B4" w:rsidP="000C41DD">
      <w:r>
        <w:t xml:space="preserve">Bell Fuels (1994) </w:t>
      </w:r>
      <w:r>
        <w:rPr>
          <w:i/>
        </w:rPr>
        <w:t xml:space="preserve">Lead-Free Gasoline. </w:t>
      </w:r>
      <w:r>
        <w:t xml:space="preserve">Available at: </w:t>
      </w:r>
      <w:hyperlink r:id="rId16" w:history="1">
        <w:r w:rsidRPr="00C9302A">
          <w:rPr>
            <w:rStyle w:val="Hyperlink"/>
          </w:rPr>
          <w:t>https://web.archive.org/web/20020820074636/http://www.sefsc.noaa.gov/HTMLdocs/Gasoline.htm</w:t>
        </w:r>
      </w:hyperlink>
      <w:r>
        <w:t xml:space="preserve"> (Accessed: 29 November 2020)</w:t>
      </w:r>
    </w:p>
    <w:p w14:paraId="22F473BA" w14:textId="29CC50F9" w:rsidR="005D5BCF" w:rsidRDefault="007A62DA" w:rsidP="000C41DD">
      <w:proofErr w:type="spellStart"/>
      <w:r>
        <w:t>Encarpedia</w:t>
      </w:r>
      <w:proofErr w:type="spellEnd"/>
      <w:r>
        <w:t xml:space="preserve"> (2018) </w:t>
      </w:r>
      <w:r w:rsidRPr="007A62DA">
        <w:rPr>
          <w:i/>
        </w:rPr>
        <w:t xml:space="preserve">Honda Civic CRX 1.6i </w:t>
      </w:r>
      <w:r w:rsidR="00AC32C6">
        <w:rPr>
          <w:i/>
        </w:rPr>
        <w:t>–</w:t>
      </w:r>
      <w:r w:rsidRPr="007A62DA">
        <w:rPr>
          <w:i/>
        </w:rPr>
        <w:t xml:space="preserve"> Specifications</w:t>
      </w:r>
      <w:r w:rsidR="00AC32C6">
        <w:t xml:space="preserve">. Available at: </w:t>
      </w:r>
      <w:hyperlink r:id="rId17" w:history="1">
        <w:r w:rsidR="00AC32C6" w:rsidRPr="002026B1">
          <w:rPr>
            <w:rStyle w:val="Hyperlink"/>
          </w:rPr>
          <w:t>https://www.encycarpedia.com/honda/87-civic-crx-1-6i-coupe</w:t>
        </w:r>
      </w:hyperlink>
      <w:r w:rsidR="0045562F">
        <w:t xml:space="preserve"> (Ac</w:t>
      </w:r>
      <w:r w:rsidR="00AC32C6">
        <w:t>cessed</w:t>
      </w:r>
      <w:r w:rsidR="0045562F">
        <w:t>:</w:t>
      </w:r>
      <w:r w:rsidR="00AC32C6">
        <w:t xml:space="preserve"> 27 November 2020)</w:t>
      </w:r>
    </w:p>
    <w:p w14:paraId="343FB942" w14:textId="03A899A8" w:rsidR="0045562F" w:rsidRDefault="005D5BCF" w:rsidP="000C41DD">
      <w:r>
        <w:t>Heywood</w:t>
      </w:r>
      <w:r w:rsidR="0045562F">
        <w:t>, J.B.</w:t>
      </w:r>
      <w:r>
        <w:t xml:space="preserve"> (1988)</w:t>
      </w:r>
      <w:r w:rsidR="00C77C7A">
        <w:t xml:space="preserve"> Internal Combustion Engine Fundamentals. 1</w:t>
      </w:r>
      <w:r w:rsidR="00C77C7A" w:rsidRPr="00C77C7A">
        <w:rPr>
          <w:vertAlign w:val="superscript"/>
        </w:rPr>
        <w:t>st</w:t>
      </w:r>
      <w:r w:rsidR="00C77C7A">
        <w:t xml:space="preserve"> </w:t>
      </w:r>
      <w:proofErr w:type="spellStart"/>
      <w:r w:rsidR="00C77C7A">
        <w:t>edn</w:t>
      </w:r>
      <w:proofErr w:type="spellEnd"/>
      <w:r w:rsidR="00C77C7A">
        <w:t>. Singapore: McGraw-Hill, Inc.</w:t>
      </w:r>
    </w:p>
    <w:p w14:paraId="761B7C79" w14:textId="1FFF1A2C" w:rsidR="000F0309" w:rsidRDefault="000F0309" w:rsidP="000C41DD">
      <w:r>
        <w:t>Honda Motor Co. LTD</w:t>
      </w:r>
      <w:r>
        <w:t xml:space="preserve"> (1987) </w:t>
      </w:r>
      <w:r>
        <w:rPr>
          <w:i/>
        </w:rPr>
        <w:t>Shop Manual Honda Civic Coupe CRX. Japan: Honda Motor Co. LTD.</w:t>
      </w:r>
    </w:p>
    <w:p w14:paraId="06838532" w14:textId="77777777" w:rsidR="006A18B4" w:rsidRDefault="0045562F" w:rsidP="000C41DD">
      <w:proofErr w:type="spellStart"/>
      <w:r>
        <w:t>Sodre</w:t>
      </w:r>
      <w:proofErr w:type="spellEnd"/>
      <w:r>
        <w:t xml:space="preserve">, J.R and </w:t>
      </w:r>
      <w:proofErr w:type="spellStart"/>
      <w:r>
        <w:t>Soares</w:t>
      </w:r>
      <w:proofErr w:type="spellEnd"/>
      <w:r>
        <w:t xml:space="preserve">, S.M.C (2003) ‘Comparison of Engine Power Correction Factors for Varying Atmospheric Conditions’ </w:t>
      </w:r>
      <w:r w:rsidRPr="0045562F">
        <w:rPr>
          <w:i/>
        </w:rPr>
        <w:t>Journal of Brazilian Society of Mechanical Sciences and Engineering</w:t>
      </w:r>
      <w:r>
        <w:rPr>
          <w:i/>
        </w:rPr>
        <w:t xml:space="preserve">, </w:t>
      </w:r>
      <w:r>
        <w:t>25(3), p.279-285. Available at:</w:t>
      </w:r>
      <w:r w:rsidRPr="0045562F">
        <w:t xml:space="preserve"> </w:t>
      </w:r>
      <w:hyperlink r:id="rId18" w:history="1">
        <w:r w:rsidRPr="00C9302A">
          <w:rPr>
            <w:rStyle w:val="Hyperlink"/>
          </w:rPr>
          <w:t>https://www.researchgate.net/publication/26375726_Comparison_of_engine_power_correction_factors_for_varying_atmospheric_conditions</w:t>
        </w:r>
      </w:hyperlink>
      <w:r>
        <w:t xml:space="preserve"> (Accessed: 27 November 2020)</w:t>
      </w:r>
    </w:p>
    <w:p w14:paraId="5CCB2695" w14:textId="77777777" w:rsidR="006A18B4" w:rsidRDefault="006A18B4" w:rsidP="006A18B4">
      <w:r>
        <w:t xml:space="preserve">UWTSD WISA Workshops (2020a) </w:t>
      </w:r>
      <w:r w:rsidRPr="00942647">
        <w:rPr>
          <w:i/>
        </w:rPr>
        <w:t>Engine Dynamometer Overview</w:t>
      </w:r>
      <w:r>
        <w:t xml:space="preserve"> [video]</w:t>
      </w:r>
      <w:r>
        <w:rPr>
          <w:i/>
        </w:rPr>
        <w:t xml:space="preserve">. </w:t>
      </w:r>
      <w:r>
        <w:t xml:space="preserve">Available at: </w:t>
      </w:r>
      <w:hyperlink r:id="rId19" w:history="1">
        <w:r>
          <w:rPr>
            <w:rStyle w:val="Hyperlink"/>
            <w:rFonts w:ascii="Calibri" w:eastAsia="Calibri" w:hAnsi="Calibri" w:cs="Calibri"/>
          </w:rPr>
          <w:t>https://youtu.be/-WajOAp2LUE</w:t>
        </w:r>
      </w:hyperlink>
      <w:r>
        <w:t xml:space="preserve"> (Accessed: 23 November 2020)</w:t>
      </w:r>
    </w:p>
    <w:p w14:paraId="7894052E" w14:textId="77777777" w:rsidR="006A18B4" w:rsidRDefault="006A18B4" w:rsidP="006A18B4">
      <w:r>
        <w:t xml:space="preserve">UWTSD WISA Workshops (2020b) </w:t>
      </w:r>
      <w:r w:rsidRPr="00942647">
        <w:rPr>
          <w:i/>
        </w:rPr>
        <w:t xml:space="preserve">Engine Dynamometer </w:t>
      </w:r>
      <w:r>
        <w:rPr>
          <w:i/>
        </w:rPr>
        <w:t xml:space="preserve">Testing </w:t>
      </w:r>
      <w:r>
        <w:t>[video]</w:t>
      </w:r>
      <w:r>
        <w:rPr>
          <w:i/>
        </w:rPr>
        <w:t xml:space="preserve">. </w:t>
      </w:r>
      <w:r>
        <w:t xml:space="preserve">Available at: </w:t>
      </w:r>
      <w:hyperlink r:id="rId20" w:history="1">
        <w:r>
          <w:rPr>
            <w:rStyle w:val="Hyperlink"/>
            <w:rFonts w:ascii="Calibri" w:eastAsia="Calibri" w:hAnsi="Calibri" w:cs="Calibri"/>
          </w:rPr>
          <w:t>https://youtu.be/VD9OPoaAcJU</w:t>
        </w:r>
      </w:hyperlink>
      <w:r>
        <w:t xml:space="preserve"> (Accessed: 23 November 2020)</w:t>
      </w:r>
    </w:p>
    <w:p w14:paraId="1891B930" w14:textId="3DE49DB9" w:rsidR="000C41DD" w:rsidRDefault="000C41DD" w:rsidP="000C41DD">
      <w:pPr>
        <w:rPr>
          <w:rFonts w:asciiTheme="majorHAnsi" w:eastAsiaTheme="majorEastAsia" w:hAnsiTheme="majorHAnsi" w:cstheme="majorBidi"/>
          <w:color w:val="2F5496" w:themeColor="accent1" w:themeShade="BF"/>
          <w:sz w:val="32"/>
          <w:szCs w:val="32"/>
        </w:rPr>
      </w:pPr>
      <w:r>
        <w:br w:type="page"/>
      </w:r>
    </w:p>
    <w:p w14:paraId="7F730227" w14:textId="7568297C" w:rsidR="000C41DD" w:rsidRDefault="000C41DD" w:rsidP="000C41DD">
      <w:pPr>
        <w:pStyle w:val="Heading1"/>
      </w:pPr>
      <w:bookmarkStart w:id="9" w:name="_Toc57559128"/>
      <w:r>
        <w:lastRenderedPageBreak/>
        <w:t>Appendix</w:t>
      </w:r>
      <w:bookmarkEnd w:id="9"/>
    </w:p>
    <w:p w14:paraId="380C7142" w14:textId="77777777" w:rsidR="000C41DD" w:rsidRPr="000C41DD" w:rsidRDefault="000C41DD" w:rsidP="000C41DD"/>
    <w:p w14:paraId="6FBC56F2" w14:textId="280261EF" w:rsidR="0091043F" w:rsidRDefault="0091043F" w:rsidP="0091043F">
      <w:pPr>
        <w:pStyle w:val="Caption"/>
        <w:keepNext/>
      </w:pPr>
      <w:r>
        <w:t xml:space="preserve">Table </w:t>
      </w:r>
      <w:r>
        <w:fldChar w:fldCharType="begin"/>
      </w:r>
      <w:r>
        <w:instrText>SEQ Table \* ARABIC</w:instrText>
      </w:r>
      <w:r>
        <w:fldChar w:fldCharType="separate"/>
      </w:r>
      <w:r>
        <w:rPr>
          <w:noProof/>
        </w:rPr>
        <w:t>1</w:t>
      </w:r>
      <w:r>
        <w:fldChar w:fldCharType="end"/>
      </w:r>
      <w:r>
        <w:t>- Raw data, calculated results and engine information.</w:t>
      </w:r>
    </w:p>
    <w:p w14:paraId="7EBD784D" w14:textId="279157DB" w:rsidR="000C41DD" w:rsidRPr="000C41DD" w:rsidRDefault="000C41DD" w:rsidP="000C41DD">
      <w:r w:rsidRPr="000C41DD">
        <w:rPr>
          <w:noProof/>
          <w:lang w:val="en-GB" w:eastAsia="en-GB"/>
        </w:rPr>
        <w:drawing>
          <wp:inline distT="0" distB="0" distL="0" distR="0" wp14:anchorId="62455F93" wp14:editId="200F9AE5">
            <wp:extent cx="5943600" cy="69539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6953905"/>
                    </a:xfrm>
                    <a:prstGeom prst="rect">
                      <a:avLst/>
                    </a:prstGeom>
                    <a:noFill/>
                    <a:ln>
                      <a:noFill/>
                    </a:ln>
                  </pic:spPr>
                </pic:pic>
              </a:graphicData>
            </a:graphic>
          </wp:inline>
        </w:drawing>
      </w:r>
    </w:p>
    <w:sectPr w:rsidR="000C41DD" w:rsidRPr="000C41DD" w:rsidSect="006B542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CB9CB0" w14:textId="77777777" w:rsidR="006B5426" w:rsidRDefault="006B5426" w:rsidP="006B5426">
      <w:pPr>
        <w:spacing w:after="0" w:line="240" w:lineRule="auto"/>
      </w:pPr>
      <w:r>
        <w:separator/>
      </w:r>
    </w:p>
  </w:endnote>
  <w:endnote w:type="continuationSeparator" w:id="0">
    <w:p w14:paraId="310E748B" w14:textId="77777777" w:rsidR="006B5426" w:rsidRDefault="006B5426" w:rsidP="006B5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6896325"/>
      <w:docPartObj>
        <w:docPartGallery w:val="Page Numbers (Bottom of Page)"/>
        <w:docPartUnique/>
      </w:docPartObj>
    </w:sdtPr>
    <w:sdtEndPr>
      <w:rPr>
        <w:noProof/>
      </w:rPr>
    </w:sdtEndPr>
    <w:sdtContent>
      <w:p w14:paraId="49E34EB3" w14:textId="3E2CE630" w:rsidR="006B5426" w:rsidRDefault="006B5426">
        <w:pPr>
          <w:pStyle w:val="Footer"/>
        </w:pPr>
        <w:r>
          <w:fldChar w:fldCharType="begin"/>
        </w:r>
        <w:r>
          <w:instrText xml:space="preserve"> PAGE   \* MERGEFORMAT </w:instrText>
        </w:r>
        <w:r>
          <w:fldChar w:fldCharType="separate"/>
        </w:r>
        <w:r w:rsidR="00437ECC">
          <w:rPr>
            <w:noProof/>
          </w:rPr>
          <w:t>1</w:t>
        </w:r>
        <w:r>
          <w:rPr>
            <w:noProof/>
          </w:rPr>
          <w:fldChar w:fldCharType="end"/>
        </w:r>
      </w:p>
    </w:sdtContent>
  </w:sdt>
  <w:p w14:paraId="395F2280" w14:textId="77777777" w:rsidR="006B5426" w:rsidRDefault="006B542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4F3989" w14:textId="77777777" w:rsidR="006B5426" w:rsidRDefault="006B5426" w:rsidP="006B5426">
      <w:pPr>
        <w:spacing w:after="0" w:line="240" w:lineRule="auto"/>
      </w:pPr>
      <w:r>
        <w:separator/>
      </w:r>
    </w:p>
  </w:footnote>
  <w:footnote w:type="continuationSeparator" w:id="0">
    <w:p w14:paraId="0761CE70" w14:textId="77777777" w:rsidR="006B5426" w:rsidRDefault="006B5426" w:rsidP="006B54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971E0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5341BB9"/>
    <w:multiLevelType w:val="hybridMultilevel"/>
    <w:tmpl w:val="597C3D18"/>
    <w:lvl w:ilvl="0" w:tplc="0A9ED264">
      <w:start w:val="1"/>
      <w:numFmt w:val="decimal"/>
      <w:lvlText w:val="%1."/>
      <w:lvlJc w:val="left"/>
      <w:pPr>
        <w:ind w:left="720" w:hanging="360"/>
      </w:pPr>
    </w:lvl>
    <w:lvl w:ilvl="1" w:tplc="C094809A">
      <w:start w:val="1"/>
      <w:numFmt w:val="lowerLetter"/>
      <w:lvlText w:val="%2."/>
      <w:lvlJc w:val="left"/>
      <w:pPr>
        <w:ind w:left="1440" w:hanging="360"/>
      </w:pPr>
    </w:lvl>
    <w:lvl w:ilvl="2" w:tplc="23C6A4EA">
      <w:start w:val="1"/>
      <w:numFmt w:val="lowerRoman"/>
      <w:lvlText w:val="%3."/>
      <w:lvlJc w:val="right"/>
      <w:pPr>
        <w:ind w:left="2160" w:hanging="180"/>
      </w:pPr>
    </w:lvl>
    <w:lvl w:ilvl="3" w:tplc="51324EB8">
      <w:start w:val="1"/>
      <w:numFmt w:val="decimal"/>
      <w:lvlText w:val="%4."/>
      <w:lvlJc w:val="left"/>
      <w:pPr>
        <w:ind w:left="2880" w:hanging="360"/>
      </w:pPr>
    </w:lvl>
    <w:lvl w:ilvl="4" w:tplc="78C83054">
      <w:start w:val="1"/>
      <w:numFmt w:val="lowerLetter"/>
      <w:lvlText w:val="%5."/>
      <w:lvlJc w:val="left"/>
      <w:pPr>
        <w:ind w:left="3600" w:hanging="360"/>
      </w:pPr>
    </w:lvl>
    <w:lvl w:ilvl="5" w:tplc="77849BE0">
      <w:start w:val="1"/>
      <w:numFmt w:val="lowerRoman"/>
      <w:lvlText w:val="%6."/>
      <w:lvlJc w:val="right"/>
      <w:pPr>
        <w:ind w:left="4320" w:hanging="180"/>
      </w:pPr>
    </w:lvl>
    <w:lvl w:ilvl="6" w:tplc="455C3C20">
      <w:start w:val="1"/>
      <w:numFmt w:val="decimal"/>
      <w:lvlText w:val="%7."/>
      <w:lvlJc w:val="left"/>
      <w:pPr>
        <w:ind w:left="5040" w:hanging="360"/>
      </w:pPr>
    </w:lvl>
    <w:lvl w:ilvl="7" w:tplc="28908564">
      <w:start w:val="1"/>
      <w:numFmt w:val="lowerLetter"/>
      <w:lvlText w:val="%8."/>
      <w:lvlJc w:val="left"/>
      <w:pPr>
        <w:ind w:left="5760" w:hanging="360"/>
      </w:pPr>
    </w:lvl>
    <w:lvl w:ilvl="8" w:tplc="E892EC8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734357"/>
    <w:rsid w:val="00000CD8"/>
    <w:rsid w:val="00021048"/>
    <w:rsid w:val="000A4BEC"/>
    <w:rsid w:val="000B3010"/>
    <w:rsid w:val="000C29CF"/>
    <w:rsid w:val="000C41DD"/>
    <w:rsid w:val="000F0309"/>
    <w:rsid w:val="00125634"/>
    <w:rsid w:val="001261F2"/>
    <w:rsid w:val="001827EA"/>
    <w:rsid w:val="001C5883"/>
    <w:rsid w:val="00235CCD"/>
    <w:rsid w:val="002E4461"/>
    <w:rsid w:val="003E6198"/>
    <w:rsid w:val="00437ECC"/>
    <w:rsid w:val="0045562F"/>
    <w:rsid w:val="00477123"/>
    <w:rsid w:val="004D577D"/>
    <w:rsid w:val="004F485E"/>
    <w:rsid w:val="0051189E"/>
    <w:rsid w:val="00516781"/>
    <w:rsid w:val="005469D4"/>
    <w:rsid w:val="0055217A"/>
    <w:rsid w:val="00581991"/>
    <w:rsid w:val="005D5BCF"/>
    <w:rsid w:val="005F1795"/>
    <w:rsid w:val="006251B7"/>
    <w:rsid w:val="00691488"/>
    <w:rsid w:val="006A18B4"/>
    <w:rsid w:val="006B5426"/>
    <w:rsid w:val="007913DC"/>
    <w:rsid w:val="007A62DA"/>
    <w:rsid w:val="00830F94"/>
    <w:rsid w:val="008A6F54"/>
    <w:rsid w:val="0091043F"/>
    <w:rsid w:val="00942647"/>
    <w:rsid w:val="009C27FA"/>
    <w:rsid w:val="00A171BF"/>
    <w:rsid w:val="00A915A1"/>
    <w:rsid w:val="00AC32C6"/>
    <w:rsid w:val="00BE742D"/>
    <w:rsid w:val="00C77C7A"/>
    <w:rsid w:val="00CD7FCD"/>
    <w:rsid w:val="00D3347F"/>
    <w:rsid w:val="00D5069C"/>
    <w:rsid w:val="00D95D66"/>
    <w:rsid w:val="00E62FCB"/>
    <w:rsid w:val="00EE0EB3"/>
    <w:rsid w:val="00F872B1"/>
    <w:rsid w:val="035A50F0"/>
    <w:rsid w:val="067C7301"/>
    <w:rsid w:val="070E2148"/>
    <w:rsid w:val="07E964B5"/>
    <w:rsid w:val="082DC213"/>
    <w:rsid w:val="094F37E8"/>
    <w:rsid w:val="0A13CBF6"/>
    <w:rsid w:val="0A18E325"/>
    <w:rsid w:val="0A48C5AD"/>
    <w:rsid w:val="0A679716"/>
    <w:rsid w:val="0A88D3C5"/>
    <w:rsid w:val="0B6FFC5C"/>
    <w:rsid w:val="0BE4960E"/>
    <w:rsid w:val="0C19967F"/>
    <w:rsid w:val="0D013336"/>
    <w:rsid w:val="0E9D0397"/>
    <w:rsid w:val="0ECA91BD"/>
    <w:rsid w:val="12734357"/>
    <w:rsid w:val="12B78FE2"/>
    <w:rsid w:val="134366A6"/>
    <w:rsid w:val="1381C504"/>
    <w:rsid w:val="1667B214"/>
    <w:rsid w:val="16CB60D1"/>
    <w:rsid w:val="16E5D147"/>
    <w:rsid w:val="16FDF81B"/>
    <w:rsid w:val="174A48FE"/>
    <w:rsid w:val="174D3445"/>
    <w:rsid w:val="17CA3609"/>
    <w:rsid w:val="186A7720"/>
    <w:rsid w:val="194F0E89"/>
    <w:rsid w:val="1AD46AB8"/>
    <w:rsid w:val="1AF5BC0E"/>
    <w:rsid w:val="1BB088DE"/>
    <w:rsid w:val="1C4C3C59"/>
    <w:rsid w:val="1EC92789"/>
    <w:rsid w:val="1F6686EC"/>
    <w:rsid w:val="22676A35"/>
    <w:rsid w:val="25178BC1"/>
    <w:rsid w:val="26C4BE37"/>
    <w:rsid w:val="27635716"/>
    <w:rsid w:val="2896F21C"/>
    <w:rsid w:val="29423665"/>
    <w:rsid w:val="2A1ACFB3"/>
    <w:rsid w:val="2A46E00D"/>
    <w:rsid w:val="2BADFDB8"/>
    <w:rsid w:val="2CA51AAA"/>
    <w:rsid w:val="2D9BA9C1"/>
    <w:rsid w:val="2DE0DA55"/>
    <w:rsid w:val="2EBA237C"/>
    <w:rsid w:val="30DE663F"/>
    <w:rsid w:val="321CD49D"/>
    <w:rsid w:val="325BFDFA"/>
    <w:rsid w:val="32DCF178"/>
    <w:rsid w:val="33127AEE"/>
    <w:rsid w:val="342DB4F9"/>
    <w:rsid w:val="3568E55B"/>
    <w:rsid w:val="357F09E6"/>
    <w:rsid w:val="35EC2B44"/>
    <w:rsid w:val="36364FCC"/>
    <w:rsid w:val="36B9196D"/>
    <w:rsid w:val="36C8B199"/>
    <w:rsid w:val="37341A8B"/>
    <w:rsid w:val="37D1FE26"/>
    <w:rsid w:val="394387DC"/>
    <w:rsid w:val="3952B58D"/>
    <w:rsid w:val="3AA63500"/>
    <w:rsid w:val="3AF6BEB0"/>
    <w:rsid w:val="3B99F7F3"/>
    <w:rsid w:val="3BC11DCE"/>
    <w:rsid w:val="3BD11F8E"/>
    <w:rsid w:val="3E0CFE53"/>
    <w:rsid w:val="3ED198B5"/>
    <w:rsid w:val="3FEF8537"/>
    <w:rsid w:val="406D6916"/>
    <w:rsid w:val="40BE20D5"/>
    <w:rsid w:val="40C453A3"/>
    <w:rsid w:val="41D3163F"/>
    <w:rsid w:val="42B8D388"/>
    <w:rsid w:val="42E82459"/>
    <w:rsid w:val="43385C11"/>
    <w:rsid w:val="43B7E2DE"/>
    <w:rsid w:val="43FEBB62"/>
    <w:rsid w:val="44051A8E"/>
    <w:rsid w:val="4443BC52"/>
    <w:rsid w:val="4543FA93"/>
    <w:rsid w:val="47B838A2"/>
    <w:rsid w:val="47D78DCF"/>
    <w:rsid w:val="48FB9FAB"/>
    <w:rsid w:val="499E280B"/>
    <w:rsid w:val="49FFABEE"/>
    <w:rsid w:val="4A256D93"/>
    <w:rsid w:val="4B2C8DA0"/>
    <w:rsid w:val="4B9A14B5"/>
    <w:rsid w:val="4C1F886C"/>
    <w:rsid w:val="4C6016B1"/>
    <w:rsid w:val="4E941A6F"/>
    <w:rsid w:val="4ED5BE09"/>
    <w:rsid w:val="4ED82F2E"/>
    <w:rsid w:val="4F1A58FE"/>
    <w:rsid w:val="50CF91D7"/>
    <w:rsid w:val="52BEBA73"/>
    <w:rsid w:val="549A5127"/>
    <w:rsid w:val="55D95F88"/>
    <w:rsid w:val="564D8741"/>
    <w:rsid w:val="56F15624"/>
    <w:rsid w:val="574F851B"/>
    <w:rsid w:val="57FF800F"/>
    <w:rsid w:val="58634E23"/>
    <w:rsid w:val="5899ACA5"/>
    <w:rsid w:val="58AAFCAC"/>
    <w:rsid w:val="59EEDFE9"/>
    <w:rsid w:val="5B3720D1"/>
    <w:rsid w:val="5C929862"/>
    <w:rsid w:val="5DA75727"/>
    <w:rsid w:val="5E57B6DF"/>
    <w:rsid w:val="5E69DAD1"/>
    <w:rsid w:val="5EB68C75"/>
    <w:rsid w:val="60525CD6"/>
    <w:rsid w:val="61C51B14"/>
    <w:rsid w:val="61EE2D37"/>
    <w:rsid w:val="627A5372"/>
    <w:rsid w:val="63C01695"/>
    <w:rsid w:val="6631B55B"/>
    <w:rsid w:val="6734DBAA"/>
    <w:rsid w:val="67E77E3B"/>
    <w:rsid w:val="67EB7A4A"/>
    <w:rsid w:val="67EC691A"/>
    <w:rsid w:val="68F33E5F"/>
    <w:rsid w:val="6AC0BC4D"/>
    <w:rsid w:val="6B6FBBEA"/>
    <w:rsid w:val="6CCD15D3"/>
    <w:rsid w:val="6EA21926"/>
    <w:rsid w:val="6EBCCA9B"/>
    <w:rsid w:val="6F996BA2"/>
    <w:rsid w:val="6FB0383E"/>
    <w:rsid w:val="7043048E"/>
    <w:rsid w:val="709400E4"/>
    <w:rsid w:val="70E527E7"/>
    <w:rsid w:val="73FA3655"/>
    <w:rsid w:val="771CA8A1"/>
    <w:rsid w:val="786B4517"/>
    <w:rsid w:val="78EF5785"/>
    <w:rsid w:val="7A33E029"/>
    <w:rsid w:val="7B11D4BE"/>
    <w:rsid w:val="7B201679"/>
    <w:rsid w:val="7B6BDB55"/>
    <w:rsid w:val="7E60DA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2734357"/>
  <w15:chartTrackingRefBased/>
  <w15:docId w15:val="{E7FDF3FB-3337-4CAC-95FA-17D68315D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15A1"/>
    <w:pPr>
      <w:spacing w:line="360" w:lineRule="auto"/>
    </w:pPr>
  </w:style>
  <w:style w:type="paragraph" w:styleId="Heading1">
    <w:name w:val="heading 1"/>
    <w:basedOn w:val="Normal"/>
    <w:next w:val="Normal"/>
    <w:link w:val="Heading1Char"/>
    <w:uiPriority w:val="9"/>
    <w:qFormat/>
    <w:rsid w:val="00A915A1"/>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15A1"/>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915A1"/>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915A1"/>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15A1"/>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915A1"/>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915A1"/>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915A1"/>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915A1"/>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15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915A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915A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915A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915A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915A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915A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915A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B5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426"/>
  </w:style>
  <w:style w:type="paragraph" w:styleId="Footer">
    <w:name w:val="footer"/>
    <w:basedOn w:val="Normal"/>
    <w:link w:val="FooterChar"/>
    <w:uiPriority w:val="99"/>
    <w:unhideWhenUsed/>
    <w:rsid w:val="006B5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426"/>
  </w:style>
  <w:style w:type="paragraph" w:styleId="TOCHeading">
    <w:name w:val="TOC Heading"/>
    <w:basedOn w:val="Heading1"/>
    <w:next w:val="Normal"/>
    <w:uiPriority w:val="39"/>
    <w:unhideWhenUsed/>
    <w:qFormat/>
    <w:rsid w:val="006B5426"/>
    <w:pPr>
      <w:numPr>
        <w:numId w:val="0"/>
      </w:numPr>
      <w:spacing w:line="259" w:lineRule="auto"/>
      <w:outlineLvl w:val="9"/>
    </w:pPr>
  </w:style>
  <w:style w:type="paragraph" w:styleId="TOC1">
    <w:name w:val="toc 1"/>
    <w:basedOn w:val="Normal"/>
    <w:next w:val="Normal"/>
    <w:autoRedefine/>
    <w:uiPriority w:val="39"/>
    <w:unhideWhenUsed/>
    <w:rsid w:val="006B5426"/>
    <w:pPr>
      <w:spacing w:after="100"/>
    </w:pPr>
  </w:style>
  <w:style w:type="character" w:styleId="Hyperlink">
    <w:name w:val="Hyperlink"/>
    <w:basedOn w:val="DefaultParagraphFont"/>
    <w:uiPriority w:val="99"/>
    <w:unhideWhenUsed/>
    <w:rsid w:val="006B5426"/>
    <w:rPr>
      <w:color w:val="0563C1" w:themeColor="hyperlink"/>
      <w:u w:val="single"/>
    </w:rPr>
  </w:style>
  <w:style w:type="paragraph" w:styleId="TOC2">
    <w:name w:val="toc 2"/>
    <w:basedOn w:val="Normal"/>
    <w:next w:val="Normal"/>
    <w:autoRedefine/>
    <w:uiPriority w:val="39"/>
    <w:unhideWhenUsed/>
    <w:rsid w:val="006B5426"/>
    <w:pPr>
      <w:spacing w:after="100"/>
      <w:ind w:left="220"/>
    </w:pPr>
  </w:style>
  <w:style w:type="table" w:styleId="TableGrid">
    <w:name w:val="Table Grid"/>
    <w:basedOn w:val="TableNormal"/>
    <w:uiPriority w:val="39"/>
    <w:rsid w:val="006B54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B5426"/>
    <w:pPr>
      <w:spacing w:after="200" w:line="240" w:lineRule="auto"/>
    </w:pPr>
    <w:rPr>
      <w:i/>
      <w:iCs/>
      <w:color w:val="44546A" w:themeColor="text2"/>
      <w:sz w:val="18"/>
      <w:szCs w:val="18"/>
    </w:rPr>
  </w:style>
  <w:style w:type="paragraph" w:styleId="NoSpacing">
    <w:name w:val="No Spacing"/>
    <w:uiPriority w:val="1"/>
    <w:qFormat/>
    <w:rsid w:val="003E6198"/>
    <w:pPr>
      <w:spacing w:after="0" w:line="240" w:lineRule="auto"/>
    </w:pPr>
  </w:style>
  <w:style w:type="character" w:styleId="PlaceholderText">
    <w:name w:val="Placeholder Text"/>
    <w:basedOn w:val="DefaultParagraphFont"/>
    <w:uiPriority w:val="99"/>
    <w:semiHidden/>
    <w:rsid w:val="0055217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hyperlink" Target="https://www.researchgate.net/publication/26375726_Comparison_of_engine_power_correction_factors_for_varying_atmospheric_conditions" TargetMode="External"/><Relationship Id="rId3" Type="http://schemas.openxmlformats.org/officeDocument/2006/relationships/customXml" Target="../customXml/item3.xml"/><Relationship Id="rId21" Type="http://schemas.openxmlformats.org/officeDocument/2006/relationships/image" Target="media/image2.emf"/><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encycarpedia.com/honda/87-civic-crx-1-6i-coupe" TargetMode="External"/><Relationship Id="rId2" Type="http://schemas.openxmlformats.org/officeDocument/2006/relationships/customXml" Target="../customXml/item2.xml"/><Relationship Id="rId16" Type="http://schemas.openxmlformats.org/officeDocument/2006/relationships/hyperlink" Target="https://web.archive.org/web/20020820074636/http://www.sefsc.noaa.gov/HTMLdocs/Gasoline.htm" TargetMode="External"/><Relationship Id="rId20" Type="http://schemas.openxmlformats.org/officeDocument/2006/relationships/hyperlink" Target="https://eur01.safelinks.protection.outlook.com/?url=https%3A%2F%2Fyoutu.be%2FVD9OPoaAcJU&amp;data=04%7C01%7C%7C5f714ccb56204fee783208d87378a6e2%7C4e0f11f9046e45059cb8db2152311e21%7C0%7C0%7C637386309369455586%7CUnknown%7CTWFpbGZsb3d8eyJWIjoiMC4wLjAwMDAiLCJQIjoiV2luMzIiLCJBTiI6Ik1haWwiLCJXVCI6Mn0%3D%7C1000&amp;sdata=9pqtcVMIvygNbnT3f5zbcH6063lOEyxlQHuCIeFRGWE%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3.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eur01.safelinks.protection.outlook.com/?url=https%3A%2F%2Fyoutu.be%2F-WajOAp2LUE&amp;data=04%7C01%7C%7C5f714ccb56204fee783208d87378a6e2%7C4e0f11f9046e45059cb8db2152311e21%7C0%7C0%7C637386309369445635%7CUnknown%7CTWFpbGZsb3d8eyJWIjoiMC4wLjAwMDAiLCJQIjoiV2luMzIiLCJBTiI6Ik1haWwiLCJXVCI6Mn0%3D%7C1000&amp;sdata=R%2Fs8zz1nAr1I%2Fw3gz5l3ri3FyoFxFKEMAcOxuxsvMMg%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00885_student_uwtsd_ac_uk/Documents/Engine%20performance%20characteristic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0885_student_uwtsd_ac_uk/Documents/Engine%20performance%20characteristic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00885_student_uwtsd_ac_uk/Documents/Engine%20performance%20characteristic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smoothMarker"/>
        <c:varyColors val="0"/>
        <c:ser>
          <c:idx val="0"/>
          <c:order val="0"/>
          <c:tx>
            <c:strRef>
              <c:f>Sheet1!$B$5:$B$6</c:f>
              <c:strCache>
                <c:ptCount val="2"/>
                <c:pt idx="0">
                  <c:v>Torque</c:v>
                </c:pt>
                <c:pt idx="1">
                  <c:v>Nm</c:v>
                </c:pt>
              </c:strCache>
            </c:strRef>
          </c:tx>
          <c:spPr>
            <a:ln w="19050" cap="rnd">
              <a:solidFill>
                <a:schemeClr val="accent1"/>
              </a:solidFill>
              <a:round/>
            </a:ln>
            <a:effectLst/>
          </c:spPr>
          <c:marker>
            <c:symbol val="none"/>
          </c:marker>
          <c:xVal>
            <c:numRef>
              <c:f>Sheet1!$A$7:$A$97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Sheet1!$B$7:$B$97</c:f>
              <c:numCache>
                <c:formatCode>0.000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1"/>
          <c:extLst>
            <c:ext xmlns:c16="http://schemas.microsoft.com/office/drawing/2014/chart" uri="{C3380CC4-5D6E-409C-BE32-E72D297353CC}">
              <c16:uniqueId val="{00000000-F7D0-445D-BDB6-8B004B1DB025}"/>
            </c:ext>
          </c:extLst>
        </c:ser>
        <c:ser>
          <c:idx val="1"/>
          <c:order val="1"/>
          <c:tx>
            <c:v>Max</c:v>
          </c:tx>
          <c:spPr>
            <a:ln w="19050" cap="rnd">
              <a:solidFill>
                <a:schemeClr val="accent2"/>
              </a:solidFill>
              <a:round/>
            </a:ln>
            <a:effectLst/>
          </c:spPr>
          <c:marker>
            <c:symbol val="circle"/>
            <c:size val="4"/>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0"/>
            <c:showCatName val="0"/>
            <c:showSerName val="1"/>
            <c:showPercent val="0"/>
            <c:showBubbleSize val="0"/>
            <c:showLeaderLines val="0"/>
            <c:extLst>
              <c:ext xmlns:c15="http://schemas.microsoft.com/office/drawing/2012/chart" uri="{CE6537A1-D6FC-4f65-9D91-7224C49458BB}">
                <c15:layout/>
                <c15:showLeaderLines val="0"/>
              </c:ext>
            </c:extLst>
          </c:dLbls>
          <c:errBars>
            <c:errDir val="x"/>
            <c:errBarType val="minus"/>
            <c:errValType val="percentage"/>
            <c:noEndCap val="1"/>
            <c:val val="100"/>
            <c:spPr>
              <a:noFill/>
              <a:ln w="0" cap="flat" cmpd="sng" algn="ctr">
                <a:solidFill>
                  <a:schemeClr val="accent2"/>
                </a:solidFill>
                <a:prstDash val="sysDot"/>
                <a:round/>
              </a:ln>
              <a:effectLst/>
            </c:spPr>
          </c:errBars>
          <c:errBars>
            <c:errDir val="y"/>
            <c:errBarType val="minus"/>
            <c:errValType val="percentage"/>
            <c:noEndCap val="1"/>
            <c:val val="100"/>
            <c:spPr>
              <a:noFill/>
              <a:ln w="0" cap="flat" cmpd="sng" algn="ctr">
                <a:solidFill>
                  <a:schemeClr val="accent2"/>
                </a:solidFill>
                <a:prstDash val="sysDot"/>
                <a:round/>
              </a:ln>
              <a:effectLst/>
            </c:spPr>
          </c:errBars>
          <c:xVal>
            <c:numRef>
              <c:f>Sheet1!$O$3</c:f>
              <c:numCache>
                <c:formatCode>General</c:formatCode>
                <c:ptCount val="1"/>
                <c:pt idx="0">
                  <c:v>2350</c:v>
                </c:pt>
              </c:numCache>
            </c:numRef>
          </c:xVal>
          <c:yVal>
            <c:numRef>
              <c:f>Sheet1!$N$3</c:f>
              <c:numCache>
                <c:formatCode>0.000</c:formatCode>
                <c:ptCount val="1"/>
                <c:pt idx="0">
                  <c:v>103.458343872</c:v>
                </c:pt>
              </c:numCache>
            </c:numRef>
          </c:yVal>
          <c:smooth val="1"/>
          <c:extLst>
            <c:ext xmlns:c16="http://schemas.microsoft.com/office/drawing/2014/chart" uri="{C3380CC4-5D6E-409C-BE32-E72D297353CC}">
              <c16:uniqueId val="{00000001-F7D0-445D-BDB6-8B004B1DB025}"/>
            </c:ext>
          </c:extLst>
        </c:ser>
        <c:ser>
          <c:idx val="2"/>
          <c:order val="2"/>
          <c:tx>
            <c:v>Factory Max</c:v>
          </c:tx>
          <c:spPr>
            <a:ln w="19050" cap="rnd">
              <a:solidFill>
                <a:schemeClr val="accent3"/>
              </a:solidFill>
              <a:round/>
            </a:ln>
            <a:effectLst/>
          </c:spPr>
          <c:marker>
            <c:symbol val="circle"/>
            <c:size val="4"/>
            <c:spPr>
              <a:solidFill>
                <a:schemeClr val="accent3"/>
              </a:solidFill>
              <a:ln w="9525">
                <a:solidFill>
                  <a:schemeClr val="accent3"/>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0"/>
            <c:showCatName val="0"/>
            <c:showSerName val="1"/>
            <c:showPercent val="0"/>
            <c:showBubbleSize val="0"/>
            <c:showLeaderLines val="0"/>
            <c:extLst>
              <c:ext xmlns:c15="http://schemas.microsoft.com/office/drawing/2012/chart" uri="{CE6537A1-D6FC-4f65-9D91-7224C49458BB}">
                <c15:layout/>
                <c15:showLeaderLines val="0"/>
              </c:ext>
            </c:extLst>
          </c:dLbls>
          <c:errBars>
            <c:errDir val="x"/>
            <c:errBarType val="minus"/>
            <c:errValType val="percentage"/>
            <c:noEndCap val="1"/>
            <c:val val="100"/>
            <c:spPr>
              <a:noFill/>
              <a:ln w="0" cap="flat" cmpd="sng" algn="ctr">
                <a:solidFill>
                  <a:schemeClr val="accent3"/>
                </a:solidFill>
                <a:prstDash val="sysDot"/>
                <a:round/>
              </a:ln>
              <a:effectLst/>
            </c:spPr>
          </c:errBars>
          <c:errBars>
            <c:errDir val="y"/>
            <c:errBarType val="minus"/>
            <c:errValType val="percentage"/>
            <c:noEndCap val="1"/>
            <c:val val="100"/>
            <c:spPr>
              <a:noFill/>
              <a:ln w="0" cap="flat" cmpd="sng" algn="ctr">
                <a:solidFill>
                  <a:schemeClr val="accent3"/>
                </a:solidFill>
                <a:prstDash val="sysDot"/>
                <a:round/>
              </a:ln>
              <a:effectLst/>
            </c:spPr>
          </c:errBars>
          <c:xVal>
            <c:numRef>
              <c:f>Sheet1!$O$6</c:f>
              <c:numCache>
                <c:formatCode>General</c:formatCode>
                <c:ptCount val="1"/>
                <c:pt idx="0">
                  <c:v>5700</c:v>
                </c:pt>
              </c:numCache>
            </c:numRef>
          </c:xVal>
          <c:yVal>
            <c:numRef>
              <c:f>Sheet1!$N$6</c:f>
              <c:numCache>
                <c:formatCode>General</c:formatCode>
                <c:ptCount val="1"/>
                <c:pt idx="0">
                  <c:v>143</c:v>
                </c:pt>
              </c:numCache>
            </c:numRef>
          </c:yVal>
          <c:smooth val="1"/>
          <c:extLst>
            <c:ext xmlns:c16="http://schemas.microsoft.com/office/drawing/2014/chart" uri="{C3380CC4-5D6E-409C-BE32-E72D297353CC}">
              <c16:uniqueId val="{00000002-F7D0-445D-BDB6-8B004B1DB025}"/>
            </c:ext>
          </c:extLst>
        </c:ser>
        <c:dLbls>
          <c:showLegendKey val="0"/>
          <c:showVal val="0"/>
          <c:showCatName val="0"/>
          <c:showSerName val="0"/>
          <c:showPercent val="0"/>
          <c:showBubbleSize val="0"/>
        </c:dLbls>
        <c:axId val="368782544"/>
        <c:axId val="368782216"/>
      </c:scatterChart>
      <c:valAx>
        <c:axId val="368782544"/>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8782216"/>
        <c:crosses val="autoZero"/>
        <c:crossBetween val="midCat"/>
      </c:valAx>
      <c:valAx>
        <c:axId val="36878221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878254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smoothMarker"/>
        <c:varyColors val="0"/>
        <c:ser>
          <c:idx val="0"/>
          <c:order val="0"/>
          <c:tx>
            <c:strRef>
              <c:f>Sheet1!$I$5:$I$6</c:f>
              <c:strCache>
                <c:ptCount val="2"/>
                <c:pt idx="0">
                  <c:v>Brake Power</c:v>
                </c:pt>
                <c:pt idx="1">
                  <c:v>kW</c:v>
                </c:pt>
              </c:strCache>
            </c:strRef>
          </c:tx>
          <c:spPr>
            <a:ln w="19050" cap="rnd">
              <a:solidFill>
                <a:schemeClr val="accent1"/>
              </a:solidFill>
              <a:round/>
            </a:ln>
            <a:effectLst/>
          </c:spPr>
          <c:marker>
            <c:symbol val="none"/>
          </c:marker>
          <c:xVal>
            <c:numRef>
              <c:f>Sheet1!$A$7:$A$97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Sheet1!$I$7:$I$97</c:f>
              <c:numCache>
                <c:formatCode>0.000</c:formatCode>
                <c:ptCount val="91"/>
                <c:pt idx="0">
                  <c:v>8.7371346834664827</c:v>
                </c:pt>
                <c:pt idx="1">
                  <c:v>9.2171367598239655</c:v>
                </c:pt>
                <c:pt idx="2">
                  <c:v>9.7437226498494454</c:v>
                </c:pt>
                <c:pt idx="3">
                  <c:v>10.237704995979101</c:v>
                </c:pt>
                <c:pt idx="4">
                  <c:v>10.84704912823981</c:v>
                </c:pt>
                <c:pt idx="5">
                  <c:v>11.480436932528498</c:v>
                </c:pt>
                <c:pt idx="6">
                  <c:v>12.159323616625683</c:v>
                </c:pt>
                <c:pt idx="7">
                  <c:v>12.893281372575197</c:v>
                </c:pt>
                <c:pt idx="8">
                  <c:v>13.666339461398067</c:v>
                </c:pt>
                <c:pt idx="9">
                  <c:v>14.342086671531749</c:v>
                </c:pt>
                <c:pt idx="10">
                  <c:v>14.990667821246541</c:v>
                </c:pt>
                <c:pt idx="11">
                  <c:v>15.596684538245249</c:v>
                </c:pt>
                <c:pt idx="12">
                  <c:v>16.193158962952165</c:v>
                </c:pt>
                <c:pt idx="13">
                  <c:v>16.741622928679778</c:v>
                </c:pt>
                <c:pt idx="14">
                  <c:v>17.232098461035232</c:v>
                </c:pt>
                <c:pt idx="15">
                  <c:v>17.769572132194007</c:v>
                </c:pt>
                <c:pt idx="16">
                  <c:v>18.38845001396021</c:v>
                </c:pt>
                <c:pt idx="17">
                  <c:v>18.954554833387515</c:v>
                </c:pt>
                <c:pt idx="18">
                  <c:v>19.506119830540303</c:v>
                </c:pt>
                <c:pt idx="19">
                  <c:v>20.148041878337946</c:v>
                </c:pt>
                <c:pt idx="20">
                  <c:v>20.871222909375998</c:v>
                </c:pt>
                <c:pt idx="21">
                  <c:v>21.513490940018599</c:v>
                </c:pt>
                <c:pt idx="22">
                  <c:v>22.208818216340998</c:v>
                </c:pt>
                <c:pt idx="23">
                  <c:v>22.92090216798152</c:v>
                </c:pt>
                <c:pt idx="24">
                  <c:v>23.518410269830163</c:v>
                </c:pt>
                <c:pt idx="25">
                  <c:v>24.2241811023985</c:v>
                </c:pt>
                <c:pt idx="26">
                  <c:v>24.886674179595101</c:v>
                </c:pt>
                <c:pt idx="27">
                  <c:v>25.460211223099272</c:v>
                </c:pt>
                <c:pt idx="28">
                  <c:v>25.97485429788399</c:v>
                </c:pt>
                <c:pt idx="29">
                  <c:v>26.487113935292339</c:v>
                </c:pt>
                <c:pt idx="30">
                  <c:v>27.003320339969086</c:v>
                </c:pt>
                <c:pt idx="31">
                  <c:v>27.500036377713229</c:v>
                </c:pt>
                <c:pt idx="32">
                  <c:v>28.021928006669459</c:v>
                </c:pt>
                <c:pt idx="33">
                  <c:v>28.489726712804178</c:v>
                </c:pt>
                <c:pt idx="34">
                  <c:v>28.811375430999771</c:v>
                </c:pt>
                <c:pt idx="35">
                  <c:v>29.113751623313274</c:v>
                </c:pt>
                <c:pt idx="36">
                  <c:v>29.586163434047421</c:v>
                </c:pt>
                <c:pt idx="37">
                  <c:v>30.041446958259602</c:v>
                </c:pt>
                <c:pt idx="38">
                  <c:v>30.35295538912273</c:v>
                </c:pt>
                <c:pt idx="39">
                  <c:v>30.70440988870245</c:v>
                </c:pt>
                <c:pt idx="40">
                  <c:v>31.192019316255848</c:v>
                </c:pt>
                <c:pt idx="41">
                  <c:v>31.559201085405117</c:v>
                </c:pt>
                <c:pt idx="42">
                  <c:v>32.076829864000025</c:v>
                </c:pt>
                <c:pt idx="43">
                  <c:v>32.520734396866928</c:v>
                </c:pt>
                <c:pt idx="44">
                  <c:v>32.967227393981297</c:v>
                </c:pt>
                <c:pt idx="45">
                  <c:v>33.550084617333589</c:v>
                </c:pt>
                <c:pt idx="46">
                  <c:v>34.289795939852951</c:v>
                </c:pt>
                <c:pt idx="47">
                  <c:v>34.966166773386185</c:v>
                </c:pt>
                <c:pt idx="48">
                  <c:v>35.706471819553066</c:v>
                </c:pt>
                <c:pt idx="49">
                  <c:v>36.391308554304892</c:v>
                </c:pt>
                <c:pt idx="50">
                  <c:v>36.904665939752178</c:v>
                </c:pt>
                <c:pt idx="51">
                  <c:v>37.667515398952226</c:v>
                </c:pt>
                <c:pt idx="52">
                  <c:v>38.155295682231532</c:v>
                </c:pt>
                <c:pt idx="53">
                  <c:v>38.654360986206868</c:v>
                </c:pt>
                <c:pt idx="54">
                  <c:v>39.135828150413978</c:v>
                </c:pt>
                <c:pt idx="55">
                  <c:v>39.649313677655698</c:v>
                </c:pt>
                <c:pt idx="56">
                  <c:v>40.09421771651914</c:v>
                </c:pt>
                <c:pt idx="57">
                  <c:v>40.346486195817867</c:v>
                </c:pt>
                <c:pt idx="58">
                  <c:v>40.698884673283203</c:v>
                </c:pt>
                <c:pt idx="59">
                  <c:v>40.89233606893913</c:v>
                </c:pt>
                <c:pt idx="60">
                  <c:v>41.006741063005101</c:v>
                </c:pt>
                <c:pt idx="61">
                  <c:v>41.079927113196511</c:v>
                </c:pt>
                <c:pt idx="62">
                  <c:v>41.134558231554628</c:v>
                </c:pt>
                <c:pt idx="63">
                  <c:v>41.302236040957794</c:v>
                </c:pt>
                <c:pt idx="64">
                  <c:v>41.595697835772199</c:v>
                </c:pt>
                <c:pt idx="65">
                  <c:v>41.765212344228843</c:v>
                </c:pt>
                <c:pt idx="66">
                  <c:v>42.020368285295362</c:v>
                </c:pt>
                <c:pt idx="67">
                  <c:v>42.369623017404045</c:v>
                </c:pt>
                <c:pt idx="68">
                  <c:v>42.802127201959941</c:v>
                </c:pt>
                <c:pt idx="69">
                  <c:v>43.331852565948921</c:v>
                </c:pt>
                <c:pt idx="70">
                  <c:v>43.557702478629587</c:v>
                </c:pt>
                <c:pt idx="71">
                  <c:v>43.9514992984817</c:v>
                </c:pt>
                <c:pt idx="72">
                  <c:v>44.089063786194096</c:v>
                </c:pt>
                <c:pt idx="73">
                  <c:v>44.117823076257061</c:v>
                </c:pt>
                <c:pt idx="74">
                  <c:v>44.15536435063153</c:v>
                </c:pt>
                <c:pt idx="75">
                  <c:v>44.08987535089215</c:v>
                </c:pt>
                <c:pt idx="76">
                  <c:v>43.906914496806785</c:v>
                </c:pt>
                <c:pt idx="77">
                  <c:v>43.603577241035069</c:v>
                </c:pt>
                <c:pt idx="78">
                  <c:v>43.379995438115799</c:v>
                </c:pt>
                <c:pt idx="79">
                  <c:v>43.274188758455985</c:v>
                </c:pt>
                <c:pt idx="80">
                  <c:v>43.186347558375083</c:v>
                </c:pt>
                <c:pt idx="81">
                  <c:v>42.845511315021049</c:v>
                </c:pt>
                <c:pt idx="82">
                  <c:v>42.514512944364625</c:v>
                </c:pt>
                <c:pt idx="83">
                  <c:v>42.16892648469112</c:v>
                </c:pt>
                <c:pt idx="84">
                  <c:v>42.113985263190472</c:v>
                </c:pt>
                <c:pt idx="85">
                  <c:v>41.753927323532814</c:v>
                </c:pt>
                <c:pt idx="86">
                  <c:v>41.558910889427615</c:v>
                </c:pt>
                <c:pt idx="87">
                  <c:v>41.404905809489989</c:v>
                </c:pt>
                <c:pt idx="88">
                  <c:v>41.350670222137339</c:v>
                </c:pt>
                <c:pt idx="89">
                  <c:v>41.402145635238</c:v>
                </c:pt>
                <c:pt idx="90">
                  <c:v>41.651268660622797</c:v>
                </c:pt>
              </c:numCache>
            </c:numRef>
          </c:yVal>
          <c:smooth val="1"/>
          <c:extLst>
            <c:ext xmlns:c16="http://schemas.microsoft.com/office/drawing/2014/chart" uri="{C3380CC4-5D6E-409C-BE32-E72D297353CC}">
              <c16:uniqueId val="{00000000-F091-4EEA-BE30-E448949970B0}"/>
            </c:ext>
          </c:extLst>
        </c:ser>
        <c:ser>
          <c:idx val="1"/>
          <c:order val="1"/>
          <c:tx>
            <c:v>Max</c:v>
          </c:tx>
          <c:spPr>
            <a:ln w="19050" cap="rnd">
              <a:solidFill>
                <a:schemeClr val="accent2"/>
              </a:solidFill>
              <a:round/>
            </a:ln>
            <a:effectLst/>
          </c:spPr>
          <c:marker>
            <c:symbol val="circle"/>
            <c:size val="4"/>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0"/>
            <c:showCatName val="0"/>
            <c:showSerName val="1"/>
            <c:showPercent val="0"/>
            <c:showBubbleSize val="0"/>
            <c:showLeaderLines val="0"/>
            <c:extLst>
              <c:ext xmlns:c15="http://schemas.microsoft.com/office/drawing/2012/chart" uri="{CE6537A1-D6FC-4f65-9D91-7224C49458BB}">
                <c15:layout/>
                <c15:showLeaderLines val="0"/>
              </c:ext>
            </c:extLst>
          </c:dLbls>
          <c:errBars>
            <c:errDir val="x"/>
            <c:errBarType val="minus"/>
            <c:errValType val="percentage"/>
            <c:noEndCap val="1"/>
            <c:val val="100"/>
            <c:spPr>
              <a:noFill/>
              <a:ln w="0" cap="flat" cmpd="sng" algn="ctr">
                <a:solidFill>
                  <a:schemeClr val="accent2"/>
                </a:solidFill>
                <a:prstDash val="sysDot"/>
                <a:round/>
              </a:ln>
              <a:effectLst/>
            </c:spPr>
          </c:errBars>
          <c:errBars>
            <c:errDir val="y"/>
            <c:errBarType val="minus"/>
            <c:errValType val="percentage"/>
            <c:noEndCap val="1"/>
            <c:val val="100"/>
            <c:spPr>
              <a:noFill/>
              <a:ln w="0" cap="flat" cmpd="sng" algn="ctr">
                <a:solidFill>
                  <a:schemeClr val="accent2"/>
                </a:solidFill>
                <a:prstDash val="sysDot"/>
                <a:round/>
              </a:ln>
              <a:effectLst/>
            </c:spPr>
          </c:errBars>
          <c:xVal>
            <c:numRef>
              <c:f>Sheet1!$O$2</c:f>
              <c:numCache>
                <c:formatCode>General</c:formatCode>
                <c:ptCount val="1"/>
                <c:pt idx="0">
                  <c:v>4700</c:v>
                </c:pt>
              </c:numCache>
            </c:numRef>
          </c:xVal>
          <c:yVal>
            <c:numRef>
              <c:f>Sheet1!$N$2</c:f>
              <c:numCache>
                <c:formatCode>0.000</c:formatCode>
                <c:ptCount val="1"/>
                <c:pt idx="0">
                  <c:v>44.431946561575046</c:v>
                </c:pt>
              </c:numCache>
            </c:numRef>
          </c:yVal>
          <c:smooth val="1"/>
          <c:extLst>
            <c:ext xmlns:c16="http://schemas.microsoft.com/office/drawing/2014/chart" uri="{C3380CC4-5D6E-409C-BE32-E72D297353CC}">
              <c16:uniqueId val="{00000001-F091-4EEA-BE30-E448949970B0}"/>
            </c:ext>
          </c:extLst>
        </c:ser>
        <c:ser>
          <c:idx val="2"/>
          <c:order val="2"/>
          <c:tx>
            <c:v>Factory Max</c:v>
          </c:tx>
          <c:spPr>
            <a:ln w="19050" cap="rnd">
              <a:solidFill>
                <a:schemeClr val="accent3"/>
              </a:solidFill>
              <a:round/>
            </a:ln>
            <a:effectLst/>
          </c:spPr>
          <c:marker>
            <c:symbol val="circle"/>
            <c:size val="4"/>
            <c:spPr>
              <a:solidFill>
                <a:schemeClr val="accent3"/>
              </a:solidFill>
              <a:ln w="9525">
                <a:solidFill>
                  <a:schemeClr val="accent3"/>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0"/>
            <c:showCatName val="0"/>
            <c:showSerName val="1"/>
            <c:showPercent val="0"/>
            <c:showBubbleSize val="0"/>
            <c:showLeaderLines val="0"/>
            <c:extLst>
              <c:ext xmlns:c15="http://schemas.microsoft.com/office/drawing/2012/chart" uri="{CE6537A1-D6FC-4f65-9D91-7224C49458BB}">
                <c15:layout/>
                <c15:showLeaderLines val="0"/>
              </c:ext>
            </c:extLst>
          </c:dLbls>
          <c:errBars>
            <c:errDir val="x"/>
            <c:errBarType val="minus"/>
            <c:errValType val="percentage"/>
            <c:noEndCap val="1"/>
            <c:val val="100"/>
            <c:spPr>
              <a:noFill/>
              <a:ln w="0" cap="flat" cmpd="sng" algn="ctr">
                <a:solidFill>
                  <a:schemeClr val="accent3"/>
                </a:solidFill>
                <a:prstDash val="sysDot"/>
                <a:round/>
              </a:ln>
              <a:effectLst/>
            </c:spPr>
          </c:errBars>
          <c:errBars>
            <c:errDir val="y"/>
            <c:errBarType val="minus"/>
            <c:errValType val="percentage"/>
            <c:noEndCap val="1"/>
            <c:val val="100"/>
            <c:spPr>
              <a:noFill/>
              <a:ln w="0" cap="flat" cmpd="sng" algn="ctr">
                <a:solidFill>
                  <a:schemeClr val="accent3"/>
                </a:solidFill>
                <a:prstDash val="sysDot"/>
                <a:round/>
              </a:ln>
              <a:effectLst/>
            </c:spPr>
          </c:errBars>
          <c:xVal>
            <c:numRef>
              <c:f>Sheet1!$O$5</c:f>
              <c:numCache>
                <c:formatCode>General</c:formatCode>
                <c:ptCount val="1"/>
                <c:pt idx="0">
                  <c:v>6800</c:v>
                </c:pt>
              </c:numCache>
            </c:numRef>
          </c:xVal>
          <c:yVal>
            <c:numRef>
              <c:f>Sheet1!$N$5</c:f>
              <c:numCache>
                <c:formatCode>General</c:formatCode>
                <c:ptCount val="1"/>
                <c:pt idx="0">
                  <c:v>95.449600000000004</c:v>
                </c:pt>
              </c:numCache>
            </c:numRef>
          </c:yVal>
          <c:smooth val="1"/>
          <c:extLst>
            <c:ext xmlns:c16="http://schemas.microsoft.com/office/drawing/2014/chart" uri="{C3380CC4-5D6E-409C-BE32-E72D297353CC}">
              <c16:uniqueId val="{00000002-F091-4EEA-BE30-E448949970B0}"/>
            </c:ext>
          </c:extLst>
        </c:ser>
        <c:dLbls>
          <c:showLegendKey val="0"/>
          <c:showVal val="0"/>
          <c:showCatName val="0"/>
          <c:showSerName val="0"/>
          <c:showPercent val="0"/>
          <c:showBubbleSize val="0"/>
        </c:dLbls>
        <c:axId val="365968944"/>
        <c:axId val="365975176"/>
      </c:scatterChart>
      <c:valAx>
        <c:axId val="365968944"/>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975176"/>
        <c:crosses val="autoZero"/>
        <c:crossBetween val="midCat"/>
      </c:valAx>
      <c:valAx>
        <c:axId val="36597517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 Power (kW)</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96894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smoothMarker"/>
        <c:varyColors val="0"/>
        <c:ser>
          <c:idx val="0"/>
          <c:order val="0"/>
          <c:tx>
            <c:strRef>
              <c:f>Sheet1!$E$5:$E$6</c:f>
              <c:strCache>
                <c:ptCount val="2"/>
                <c:pt idx="0">
                  <c:v>Specific Fuel Consumption</c:v>
                </c:pt>
                <c:pt idx="1">
                  <c:v>kg/kWh</c:v>
                </c:pt>
              </c:strCache>
            </c:strRef>
          </c:tx>
          <c:spPr>
            <a:ln w="19050" cap="rnd">
              <a:solidFill>
                <a:schemeClr val="accent1"/>
              </a:solidFill>
              <a:round/>
            </a:ln>
            <a:effectLst/>
          </c:spPr>
          <c:marker>
            <c:symbol val="none"/>
          </c:marker>
          <c:xVal>
            <c:numRef>
              <c:f>Sheet1!$A$7:$A$97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Sheet1!$E$7:$E$97</c:f>
              <c:numCache>
                <c:formatCode>0.000</c:formatCode>
                <c:ptCount val="91"/>
                <c:pt idx="0">
                  <c:v>0.36033319717039386</c:v>
                </c:pt>
                <c:pt idx="1">
                  <c:v>0.35127171511629562</c:v>
                </c:pt>
                <c:pt idx="2">
                  <c:v>0.33825421789891569</c:v>
                </c:pt>
                <c:pt idx="3">
                  <c:v>0.31800168026526199</c:v>
                </c:pt>
                <c:pt idx="4">
                  <c:v>0.3067340400354337</c:v>
                </c:pt>
                <c:pt idx="5">
                  <c:v>0.30753486859790308</c:v>
                </c:pt>
                <c:pt idx="6">
                  <c:v>0.29054828779687847</c:v>
                </c:pt>
                <c:pt idx="7">
                  <c:v>0.27608973105910406</c:v>
                </c:pt>
                <c:pt idx="8">
                  <c:v>0.27323411188218094</c:v>
                </c:pt>
                <c:pt idx="9">
                  <c:v>0.26410201459902133</c:v>
                </c:pt>
                <c:pt idx="10">
                  <c:v>0.26445903302355916</c:v>
                </c:pt>
                <c:pt idx="11">
                  <c:v>0.26722942097647917</c:v>
                </c:pt>
                <c:pt idx="12">
                  <c:v>0.26484249730531162</c:v>
                </c:pt>
                <c:pt idx="13">
                  <c:v>0.26377898611061795</c:v>
                </c:pt>
                <c:pt idx="14">
                  <c:v>0.2596447657465733</c:v>
                </c:pt>
                <c:pt idx="15">
                  <c:v>0.25934129303612519</c:v>
                </c:pt>
                <c:pt idx="16">
                  <c:v>0.26581267429476013</c:v>
                </c:pt>
                <c:pt idx="17">
                  <c:v>0.26931650706988713</c:v>
                </c:pt>
                <c:pt idx="18">
                  <c:v>0.26926678171616902</c:v>
                </c:pt>
                <c:pt idx="19">
                  <c:v>0.26756851988352653</c:v>
                </c:pt>
                <c:pt idx="20">
                  <c:v>0.26901064575969164</c:v>
                </c:pt>
                <c:pt idx="21">
                  <c:v>0.26576053586988058</c:v>
                </c:pt>
                <c:pt idx="22">
                  <c:v>0.26358145052741094</c:v>
                </c:pt>
                <c:pt idx="23">
                  <c:v>0.262123893201889</c:v>
                </c:pt>
                <c:pt idx="24">
                  <c:v>0.26183435211624262</c:v>
                </c:pt>
                <c:pt idx="25">
                  <c:v>0.26039019824758736</c:v>
                </c:pt>
                <c:pt idx="26">
                  <c:v>0.26046657788229732</c:v>
                </c:pt>
                <c:pt idx="27">
                  <c:v>0.26320576134436657</c:v>
                </c:pt>
                <c:pt idx="28">
                  <c:v>0.26461922538017685</c:v>
                </c:pt>
                <c:pt idx="29">
                  <c:v>0.26279381023050385</c:v>
                </c:pt>
                <c:pt idx="30">
                  <c:v>0.26431168597365373</c:v>
                </c:pt>
                <c:pt idx="31">
                  <c:v>0.26441611462962922</c:v>
                </c:pt>
                <c:pt idx="32">
                  <c:v>0.26818911692553454</c:v>
                </c:pt>
                <c:pt idx="33">
                  <c:v>0.26912240337969984</c:v>
                </c:pt>
                <c:pt idx="34">
                  <c:v>0.27108484858206172</c:v>
                </c:pt>
                <c:pt idx="35">
                  <c:v>0.274029503511173</c:v>
                </c:pt>
                <c:pt idx="36">
                  <c:v>0.27214798314443445</c:v>
                </c:pt>
                <c:pt idx="37">
                  <c:v>0.27256378024154854</c:v>
                </c:pt>
                <c:pt idx="38">
                  <c:v>0.27683847162506192</c:v>
                </c:pt>
                <c:pt idx="39">
                  <c:v>0.2804422316057838</c:v>
                </c:pt>
                <c:pt idx="40">
                  <c:v>0.28530555769184268</c:v>
                </c:pt>
                <c:pt idx="41">
                  <c:v>0.2919760740425732</c:v>
                </c:pt>
                <c:pt idx="42">
                  <c:v>0.2928410070330853</c:v>
                </c:pt>
                <c:pt idx="43">
                  <c:v>0.29709447309352743</c:v>
                </c:pt>
                <c:pt idx="44">
                  <c:v>0.29564810255593432</c:v>
                </c:pt>
                <c:pt idx="45">
                  <c:v>0.29730982011558943</c:v>
                </c:pt>
                <c:pt idx="46">
                  <c:v>0.29409137780807049</c:v>
                </c:pt>
                <c:pt idx="47">
                  <c:v>0.29223943946040587</c:v>
                </c:pt>
                <c:pt idx="48">
                  <c:v>0.29331927155358772</c:v>
                </c:pt>
                <c:pt idx="49">
                  <c:v>0.29007278123372299</c:v>
                </c:pt>
                <c:pt idx="50">
                  <c:v>0.2931871922379829</c:v>
                </c:pt>
                <c:pt idx="51">
                  <c:v>0.29140480483502368</c:v>
                </c:pt>
                <c:pt idx="52">
                  <c:v>0.29893113483279593</c:v>
                </c:pt>
                <c:pt idx="53">
                  <c:v>0.29796393598729942</c:v>
                </c:pt>
                <c:pt idx="54">
                  <c:v>0.30218276411803446</c:v>
                </c:pt>
                <c:pt idx="55">
                  <c:v>0.29900241769767272</c:v>
                </c:pt>
                <c:pt idx="56">
                  <c:v>0.30036910155313817</c:v>
                </c:pt>
                <c:pt idx="57">
                  <c:v>0.30342339026305137</c:v>
                </c:pt>
                <c:pt idx="58">
                  <c:v>0.3031585624895542</c:v>
                </c:pt>
                <c:pt idx="59">
                  <c:v>0.30932491920391986</c:v>
                </c:pt>
                <c:pt idx="60">
                  <c:v>0.31031586562787833</c:v>
                </c:pt>
                <c:pt idx="61">
                  <c:v>0.31253896854800162</c:v>
                </c:pt>
                <c:pt idx="62">
                  <c:v>0.31413513076931227</c:v>
                </c:pt>
                <c:pt idx="63">
                  <c:v>0.31729907628612641</c:v>
                </c:pt>
                <c:pt idx="64">
                  <c:v>0.31704945010509455</c:v>
                </c:pt>
                <c:pt idx="65">
                  <c:v>0.31817180168901621</c:v>
                </c:pt>
                <c:pt idx="66">
                  <c:v>0.32161422695125302</c:v>
                </c:pt>
                <c:pt idx="67">
                  <c:v>0.32302670716152077</c:v>
                </c:pt>
                <c:pt idx="68">
                  <c:v>0.32305374378307938</c:v>
                </c:pt>
                <c:pt idx="69">
                  <c:v>0.31982688325175007</c:v>
                </c:pt>
                <c:pt idx="70">
                  <c:v>0.32283995742233773</c:v>
                </c:pt>
                <c:pt idx="71">
                  <c:v>0.32264370332232301</c:v>
                </c:pt>
                <c:pt idx="72">
                  <c:v>0.32396991456889973</c:v>
                </c:pt>
                <c:pt idx="73">
                  <c:v>0.32492442039719455</c:v>
                </c:pt>
                <c:pt idx="74">
                  <c:v>0.32480008455178572</c:v>
                </c:pt>
                <c:pt idx="75">
                  <c:v>0.32949182704898045</c:v>
                </c:pt>
                <c:pt idx="76">
                  <c:v>0.33055927034591243</c:v>
                </c:pt>
                <c:pt idx="77">
                  <c:v>0.33403831531281464</c:v>
                </c:pt>
                <c:pt idx="78">
                  <c:v>0.33782173323638021</c:v>
                </c:pt>
                <c:pt idx="79">
                  <c:v>0.33942277323746528</c:v>
                </c:pt>
                <c:pt idx="80">
                  <c:v>0.34037203791227777</c:v>
                </c:pt>
                <c:pt idx="81">
                  <c:v>0.34428000832991179</c:v>
                </c:pt>
                <c:pt idx="82">
                  <c:v>0.34680263253792998</c:v>
                </c:pt>
                <c:pt idx="83">
                  <c:v>0.35097039683292375</c:v>
                </c:pt>
                <c:pt idx="84">
                  <c:v>0.35445461720197302</c:v>
                </c:pt>
                <c:pt idx="85">
                  <c:v>0.35483361136689351</c:v>
                </c:pt>
                <c:pt idx="86">
                  <c:v>0.3576823447184504</c:v>
                </c:pt>
                <c:pt idx="87">
                  <c:v>0.35728464033116042</c:v>
                </c:pt>
                <c:pt idx="88">
                  <c:v>0.36640508733302213</c:v>
                </c:pt>
                <c:pt idx="89">
                  <c:v>0.37135020677873054</c:v>
                </c:pt>
                <c:pt idx="90">
                  <c:v>0.37449747037796532</c:v>
                </c:pt>
              </c:numCache>
            </c:numRef>
          </c:yVal>
          <c:smooth val="1"/>
          <c:extLst>
            <c:ext xmlns:c16="http://schemas.microsoft.com/office/drawing/2014/chart" uri="{C3380CC4-5D6E-409C-BE32-E72D297353CC}">
              <c16:uniqueId val="{00000000-D6C3-49AB-A308-1813804BA083}"/>
            </c:ext>
          </c:extLst>
        </c:ser>
        <c:ser>
          <c:idx val="1"/>
          <c:order val="1"/>
          <c:tx>
            <c:v>Min Point</c:v>
          </c:tx>
          <c:spPr>
            <a:ln w="19050" cap="rnd">
              <a:solidFill>
                <a:schemeClr val="accent2"/>
              </a:solidFill>
              <a:round/>
            </a:ln>
            <a:effectLst/>
          </c:spPr>
          <c:marker>
            <c:symbol val="circle"/>
            <c:size val="4"/>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0"/>
            <c:showCatName val="0"/>
            <c:showSerName val="1"/>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errBars>
            <c:errDir val="x"/>
            <c:errBarType val="minus"/>
            <c:errValType val="percentage"/>
            <c:noEndCap val="1"/>
            <c:val val="100"/>
            <c:spPr>
              <a:noFill/>
              <a:ln w="0" cap="flat" cmpd="sng" algn="ctr">
                <a:solidFill>
                  <a:schemeClr val="accent2"/>
                </a:solidFill>
                <a:prstDash val="sysDot"/>
                <a:round/>
              </a:ln>
              <a:effectLst/>
            </c:spPr>
          </c:errBars>
          <c:errBars>
            <c:errDir val="y"/>
            <c:errBarType val="minus"/>
            <c:errValType val="percentage"/>
            <c:noEndCap val="0"/>
            <c:val val="100"/>
            <c:spPr>
              <a:noFill/>
              <a:ln w="0" cap="flat" cmpd="sng" algn="ctr">
                <a:solidFill>
                  <a:schemeClr val="accent2"/>
                </a:solidFill>
                <a:prstDash val="sysDot"/>
                <a:round/>
              </a:ln>
              <a:effectLst/>
            </c:spPr>
          </c:errBars>
          <c:xVal>
            <c:numRef>
              <c:f>Sheet1!$O$4</c:f>
              <c:numCache>
                <c:formatCode>General</c:formatCode>
                <c:ptCount val="1"/>
                <c:pt idx="0">
                  <c:v>1750</c:v>
                </c:pt>
              </c:numCache>
            </c:numRef>
          </c:xVal>
          <c:yVal>
            <c:numRef>
              <c:f>Sheet1!$N$4</c:f>
              <c:numCache>
                <c:formatCode>0.000</c:formatCode>
                <c:ptCount val="1"/>
                <c:pt idx="0">
                  <c:v>0.25934129303612519</c:v>
                </c:pt>
              </c:numCache>
            </c:numRef>
          </c:yVal>
          <c:smooth val="1"/>
          <c:extLst>
            <c:ext xmlns:c16="http://schemas.microsoft.com/office/drawing/2014/chart" uri="{C3380CC4-5D6E-409C-BE32-E72D297353CC}">
              <c16:uniqueId val="{00000001-D6C3-49AB-A308-1813804BA083}"/>
            </c:ext>
          </c:extLst>
        </c:ser>
        <c:dLbls>
          <c:showLegendKey val="0"/>
          <c:showVal val="0"/>
          <c:showCatName val="0"/>
          <c:showSerName val="0"/>
          <c:showPercent val="0"/>
          <c:showBubbleSize val="0"/>
        </c:dLbls>
        <c:axId val="502304640"/>
        <c:axId val="502302344"/>
      </c:scatterChart>
      <c:valAx>
        <c:axId val="502304640"/>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302344"/>
        <c:crosses val="autoZero"/>
        <c:crossBetween val="midCat"/>
      </c:valAx>
      <c:valAx>
        <c:axId val="50230234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Specific Fuel Consumption (kg/kWh)</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30464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E81295-F203-4D67-BDAC-3AD188D93143}">
  <ds:schemaRefs>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7b23fa32-4003-4364-bee1-595462966394"/>
    <ds:schemaRef ds:uri="http://www.w3.org/XML/1998/namespace"/>
  </ds:schemaRefs>
</ds:datastoreItem>
</file>

<file path=customXml/itemProps2.xml><?xml version="1.0" encoding="utf-8"?>
<ds:datastoreItem xmlns:ds="http://schemas.openxmlformats.org/officeDocument/2006/customXml" ds:itemID="{C4C4533E-F3AF-4D3A-8894-D59BBC36FF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21097F-84C0-44F2-AA63-546076F810E9}">
  <ds:schemaRefs>
    <ds:schemaRef ds:uri="http://schemas.microsoft.com/sharepoint/v3/contenttype/forms"/>
  </ds:schemaRefs>
</ds:datastoreItem>
</file>

<file path=customXml/itemProps4.xml><?xml version="1.0" encoding="utf-8"?>
<ds:datastoreItem xmlns:ds="http://schemas.openxmlformats.org/officeDocument/2006/customXml" ds:itemID="{AAA345FA-80A2-479D-9AE9-423C2B93E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12</Pages>
  <Words>1745</Words>
  <Characters>9951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Quarry (2000885)</dc:creator>
  <cp:keywords/>
  <dc:description/>
  <cp:lastModifiedBy>Jacob Quarry (2000885)</cp:lastModifiedBy>
  <cp:revision>15</cp:revision>
  <dcterms:created xsi:type="dcterms:W3CDTF">2020-11-20T13:47:00Z</dcterms:created>
  <dcterms:modified xsi:type="dcterms:W3CDTF">2020-11-29T16:18:00Z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