
<file path=[Content_Types].xml><?xml version="1.0" encoding="utf-8"?>
<Types xmlns="http://schemas.openxmlformats.org/package/2006/content-types">
  <Default Extension="xml" ContentType="application/xml"/>
  <Default Extension="png" ContentType="image/png"/>
  <Default Extension="jpeg" ContentType="image/jpeg"/>
  <Default Extension="JPG" ContentType="image/.jp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2AFE3782">
      <w:pPr>
        <w:pBdr>
          <w:top w:val="none" w:color="auto" w:sz="0" w:space="0"/>
          <w:left w:val="none" w:color="auto" w:sz="0" w:space="0"/>
          <w:bottom w:val="none" w:color="auto" w:sz="0" w:space="0"/>
          <w:right w:val="none" w:color="auto" w:sz="0" w:space="0"/>
          <w:between w:val="none" w:color="auto" w:sz="0" w:space="0"/>
        </w:pBdr>
        <w:jc w:val="center"/>
        <w:rPr>
          <w:b/>
          <w:color w:val="000000"/>
          <w:sz w:val="36"/>
          <w:szCs w:val="36"/>
        </w:rPr>
      </w:pPr>
    </w:p>
    <w:p w14:paraId="0007D9E5">
      <w:pPr>
        <w:pBdr>
          <w:top w:val="none" w:color="auto" w:sz="0" w:space="0"/>
          <w:left w:val="none" w:color="auto" w:sz="0" w:space="0"/>
          <w:bottom w:val="none" w:color="auto" w:sz="0" w:space="0"/>
          <w:right w:val="none" w:color="auto" w:sz="0" w:space="0"/>
          <w:between w:val="none" w:color="auto" w:sz="0" w:space="0"/>
        </w:pBdr>
        <w:jc w:val="center"/>
        <w:rPr>
          <w:b/>
          <w:color w:val="000000"/>
          <w:sz w:val="36"/>
          <w:szCs w:val="36"/>
        </w:rPr>
      </w:pPr>
      <w:r>
        <w:rPr>
          <w:lang w:val="en-IN"/>
        </w:rPr>
        <w:drawing>
          <wp:inline distT="0" distB="0" distL="0" distR="0">
            <wp:extent cx="2590800" cy="847725"/>
            <wp:effectExtent l="0" t="0" r="0" b="0"/>
            <wp:docPr id="1836998857" name="image5.png"/>
            <wp:cNvGraphicFramePr/>
            <a:graphic xmlns:a="http://schemas.openxmlformats.org/drawingml/2006/main">
              <a:graphicData uri="http://schemas.openxmlformats.org/drawingml/2006/picture">
                <pic:pic xmlns:pic="http://schemas.openxmlformats.org/drawingml/2006/picture">
                  <pic:nvPicPr>
                    <pic:cNvPr id="1836998857" name="image5.png"/>
                    <pic:cNvPicPr preferRelativeResize="0"/>
                  </pic:nvPicPr>
                  <pic:blipFill>
                    <a:blip r:embed="rId7"/>
                    <a:srcRect b="39456"/>
                    <a:stretch>
                      <a:fillRect/>
                    </a:stretch>
                  </pic:blipFill>
                  <pic:spPr>
                    <a:xfrm>
                      <a:off x="0" y="0"/>
                      <a:ext cx="2590800" cy="847725"/>
                    </a:xfrm>
                    <a:prstGeom prst="rect">
                      <a:avLst/>
                    </a:prstGeom>
                  </pic:spPr>
                </pic:pic>
              </a:graphicData>
            </a:graphic>
          </wp:inline>
        </w:drawing>
      </w:r>
    </w:p>
    <w:p w14:paraId="47225E81">
      <w:pPr>
        <w:pBdr>
          <w:top w:val="none" w:color="auto" w:sz="0" w:space="0"/>
          <w:left w:val="none" w:color="auto" w:sz="0" w:space="0"/>
          <w:bottom w:val="none" w:color="auto" w:sz="0" w:space="0"/>
          <w:right w:val="none" w:color="auto" w:sz="0" w:space="0"/>
          <w:between w:val="none" w:color="auto" w:sz="0" w:space="0"/>
        </w:pBdr>
        <w:jc w:val="center"/>
        <w:rPr>
          <w:b/>
          <w:color w:val="000000"/>
          <w:sz w:val="36"/>
          <w:szCs w:val="36"/>
        </w:rPr>
      </w:pPr>
    </w:p>
    <w:p w14:paraId="72139E2F">
      <w:pPr>
        <w:pBdr>
          <w:top w:val="none" w:color="auto" w:sz="0" w:space="0"/>
          <w:left w:val="none" w:color="auto" w:sz="0" w:space="0"/>
          <w:bottom w:val="none" w:color="auto" w:sz="0" w:space="0"/>
          <w:right w:val="none" w:color="auto" w:sz="0" w:space="0"/>
          <w:between w:val="none" w:color="auto" w:sz="0" w:space="0"/>
        </w:pBdr>
        <w:jc w:val="center"/>
        <w:rPr>
          <w:b/>
          <w:color w:val="000000"/>
          <w:sz w:val="36"/>
          <w:szCs w:val="36"/>
        </w:rPr>
      </w:pPr>
      <w:r>
        <w:rPr>
          <w:b/>
          <w:color w:val="000000"/>
          <w:sz w:val="36"/>
          <w:szCs w:val="36"/>
        </w:rPr>
        <w:t>BMIH6005</w:t>
      </w:r>
    </w:p>
    <w:p w14:paraId="5F5B7AF9">
      <w:pPr>
        <w:pBdr>
          <w:top w:val="none" w:color="auto" w:sz="0" w:space="0"/>
          <w:left w:val="none" w:color="auto" w:sz="0" w:space="0"/>
          <w:bottom w:val="none" w:color="auto" w:sz="0" w:space="0"/>
          <w:right w:val="none" w:color="auto" w:sz="0" w:space="0"/>
          <w:between w:val="none" w:color="auto" w:sz="0" w:space="0"/>
        </w:pBdr>
        <w:jc w:val="center"/>
        <w:rPr>
          <w:b/>
          <w:color w:val="000000"/>
          <w:sz w:val="36"/>
          <w:szCs w:val="36"/>
        </w:rPr>
      </w:pPr>
      <w:r>
        <w:rPr>
          <w:b/>
          <w:color w:val="000000"/>
          <w:sz w:val="36"/>
          <w:szCs w:val="36"/>
        </w:rPr>
        <w:t>Organisational Consultancy</w:t>
      </w:r>
    </w:p>
    <w:p w14:paraId="44B67C34">
      <w:pPr>
        <w:pBdr>
          <w:top w:val="none" w:color="auto" w:sz="0" w:space="0"/>
          <w:left w:val="none" w:color="auto" w:sz="0" w:space="0"/>
          <w:bottom w:val="none" w:color="auto" w:sz="0" w:space="0"/>
          <w:right w:val="none" w:color="auto" w:sz="0" w:space="0"/>
          <w:between w:val="none" w:color="auto" w:sz="0" w:space="0"/>
        </w:pBdr>
        <w:jc w:val="center"/>
        <w:rPr>
          <w:rFonts w:hint="default"/>
          <w:b/>
          <w:color w:val="000000"/>
          <w:sz w:val="36"/>
          <w:szCs w:val="36"/>
          <w:lang w:val="en-GB"/>
        </w:rPr>
      </w:pPr>
      <w:r>
        <w:rPr>
          <w:b/>
          <w:color w:val="000000"/>
          <w:sz w:val="36"/>
          <w:szCs w:val="36"/>
        </w:rPr>
        <w:t xml:space="preserve">Name and Student Number: </w:t>
      </w:r>
      <w:r>
        <w:rPr>
          <w:rFonts w:hint="default"/>
          <w:b/>
          <w:color w:val="000000"/>
          <w:sz w:val="36"/>
          <w:szCs w:val="36"/>
          <w:lang w:val="en-GB"/>
        </w:rPr>
        <w:t xml:space="preserve">Catalin Mircea Leva </w:t>
      </w:r>
    </w:p>
    <w:p w14:paraId="5570A39F">
      <w:pPr>
        <w:pBdr>
          <w:top w:val="none" w:color="auto" w:sz="0" w:space="0"/>
          <w:left w:val="none" w:color="auto" w:sz="0" w:space="0"/>
          <w:bottom w:val="none" w:color="auto" w:sz="0" w:space="0"/>
          <w:right w:val="none" w:color="auto" w:sz="0" w:space="0"/>
          <w:between w:val="none" w:color="auto" w:sz="0" w:space="0"/>
        </w:pBdr>
        <w:jc w:val="center"/>
        <w:rPr>
          <w:rFonts w:hint="default"/>
          <w:b/>
          <w:color w:val="000000"/>
          <w:sz w:val="36"/>
          <w:szCs w:val="36"/>
          <w:lang w:val="en-GB"/>
        </w:rPr>
      </w:pPr>
      <w:r>
        <w:rPr>
          <w:rFonts w:hint="default"/>
          <w:b/>
          <w:color w:val="000000"/>
          <w:sz w:val="36"/>
          <w:szCs w:val="36"/>
        </w:rPr>
        <w:t>Student ID number: 2244690</w:t>
      </w:r>
      <w:r>
        <w:rPr>
          <w:rFonts w:hint="default"/>
          <w:b/>
          <w:color w:val="000000"/>
          <w:sz w:val="36"/>
          <w:szCs w:val="36"/>
        </w:rPr>
        <w:br w:type="textWrapping"/>
      </w:r>
      <w:r>
        <w:rPr>
          <w:rFonts w:hint="default"/>
          <w:b/>
          <w:color w:val="000000"/>
          <w:sz w:val="36"/>
          <w:szCs w:val="36"/>
          <w:lang w:val="en-GB"/>
        </w:rPr>
        <w:t>Module Leader : Neil Dyer</w:t>
      </w:r>
    </w:p>
    <w:p w14:paraId="77A881BC">
      <w:pPr>
        <w:jc w:val="center"/>
        <w:rPr>
          <w:b/>
        </w:rPr>
      </w:pPr>
    </w:p>
    <w:p w14:paraId="336F33CC">
      <w:pPr>
        <w:jc w:val="center"/>
        <w:rPr>
          <w:b/>
        </w:rPr>
      </w:pPr>
    </w:p>
    <w:p w14:paraId="0EDBABB2">
      <w:pPr>
        <w:jc w:val="center"/>
        <w:rPr>
          <w:b/>
        </w:rPr>
      </w:pPr>
    </w:p>
    <w:p w14:paraId="7DF3BA4C">
      <w:pPr>
        <w:jc w:val="center"/>
        <w:rPr>
          <w:b/>
        </w:rPr>
      </w:pPr>
    </w:p>
    <w:p w14:paraId="36B0B968">
      <w:pPr>
        <w:jc w:val="center"/>
        <w:rPr>
          <w:b/>
        </w:rPr>
      </w:pPr>
    </w:p>
    <w:p w14:paraId="7B0D66A9">
      <w:pPr>
        <w:jc w:val="center"/>
        <w:rPr>
          <w:b/>
        </w:rPr>
      </w:pPr>
    </w:p>
    <w:p w14:paraId="4A5ACFF7">
      <w:pPr>
        <w:jc w:val="center"/>
        <w:rPr>
          <w:b/>
        </w:rPr>
      </w:pPr>
    </w:p>
    <w:p w14:paraId="6883B9EE">
      <w:pPr>
        <w:jc w:val="center"/>
        <w:rPr>
          <w:b/>
        </w:rPr>
      </w:pPr>
    </w:p>
    <w:p w14:paraId="133DF830">
      <w:pPr>
        <w:jc w:val="center"/>
        <w:rPr>
          <w:b/>
        </w:rPr>
      </w:pPr>
    </w:p>
    <w:p w14:paraId="45D11ABB">
      <w:pPr>
        <w:jc w:val="center"/>
        <w:rPr>
          <w:b/>
        </w:rPr>
      </w:pPr>
    </w:p>
    <w:p w14:paraId="631EEC18">
      <w:pPr>
        <w:jc w:val="center"/>
        <w:rPr>
          <w:b/>
        </w:rPr>
      </w:pPr>
    </w:p>
    <w:p w14:paraId="4C583F23">
      <w:pPr>
        <w:jc w:val="center"/>
        <w:rPr>
          <w:b/>
        </w:rPr>
      </w:pPr>
    </w:p>
    <w:p w14:paraId="4FF35228">
      <w:pPr>
        <w:jc w:val="center"/>
        <w:rPr>
          <w:rFonts w:hint="default"/>
        </w:rPr>
      </w:pPr>
      <w:r>
        <w:rPr>
          <w:rFonts w:hint="default"/>
        </w:rPr>
        <w:t>I confirm that I have not used any AI tools in the research and creation of this</w:t>
      </w:r>
      <w:r>
        <w:rPr>
          <w:rFonts w:hint="default"/>
          <w:lang w:val="en-GB"/>
        </w:rPr>
        <w:t xml:space="preserve"> </w:t>
      </w:r>
      <w:r>
        <w:rPr>
          <w:rFonts w:hint="default"/>
        </w:rPr>
        <w:t>assignment. I confirm that I have not presented any AI generated materials as my own work. I</w:t>
      </w:r>
      <w:r>
        <w:rPr>
          <w:rFonts w:hint="default"/>
          <w:lang w:val="en-GB"/>
        </w:rPr>
        <w:t xml:space="preserve"> </w:t>
      </w:r>
      <w:r>
        <w:rPr>
          <w:rFonts w:hint="default"/>
        </w:rPr>
        <w:t>confirm I have copies of my drafts, notes, and other resources I used, which I may be asked to</w:t>
      </w:r>
      <w:r>
        <w:rPr>
          <w:rFonts w:hint="default"/>
          <w:lang w:val="en-GB"/>
        </w:rPr>
        <w:t xml:space="preserve"> </w:t>
      </w:r>
      <w:r>
        <w:rPr>
          <w:rFonts w:hint="default"/>
        </w:rPr>
        <w:t>provide in evidence.</w:t>
      </w:r>
    </w:p>
    <w:p w14:paraId="1D544B67">
      <w:pPr>
        <w:rPr>
          <w:rFonts w:hint="default"/>
        </w:rPr>
      </w:pPr>
      <w:bookmarkStart w:id="29" w:name="_GoBack"/>
      <w:bookmarkEnd w:id="29"/>
    </w:p>
    <w:p w14:paraId="4E387419">
      <w:pPr>
        <w:rPr>
          <w:rFonts w:hint="default"/>
        </w:rPr>
      </w:pPr>
    </w:p>
    <w:p w14:paraId="4DFA2648">
      <w:pPr>
        <w:rPr>
          <w:rFonts w:hint="default"/>
        </w:rPr>
      </w:pPr>
    </w:p>
    <w:p w14:paraId="0719F152">
      <w:pPr>
        <w:jc w:val="center"/>
        <w:rPr>
          <w:b/>
        </w:rPr>
      </w:pPr>
      <w:r>
        <w:rPr>
          <w:b/>
        </w:rPr>
        <w:t>Executive Summary</w:t>
      </w:r>
    </w:p>
    <w:p w14:paraId="6691A891">
      <w:pPr>
        <w:rPr>
          <w:highlight w:val="white"/>
        </w:rPr>
      </w:pPr>
      <w:r>
        <w:rPr>
          <w:highlight w:val="white"/>
        </w:rPr>
        <w:t>Greyfriars Hotel, a luxury boutique establishment in Colchester, Essex, enjoys a prime location and well-appointed accommodations. It has multiple strengths, and the hotel currently faces challenges with limited repeat booking issues. The consultancy report prepared by Elevate Hospitality Solutions investigated the underlying factors that contribute to the trend and proposed strategic interventions. Preliminary analysis reveals the absence of leisure amenities, and it has significantly reduced the competitiveness of the hotel in the luxury markets. Modern guests increasingly seek more than just comfort options, and they desire immersive, wellness-oriented experiences that add value and meaning to the stay. Lack of offering results in missed opportunities for upselling, diminished brand loyalty and weaker customer lifetime value. Use of the analytical tools, such as SWOT, TOWS and STEPPLED, identifies both internal limitations and external pressures impacting guest experiences. The report sets the foundation for targeted recommendations to reposition the organisation for better guest satisfaction and profitability.</w:t>
      </w:r>
    </w:p>
    <w:p w14:paraId="096854E5">
      <w:pPr>
        <w:rPr>
          <w:highlight w:val="white"/>
        </w:rPr>
      </w:pPr>
      <w:r>
        <w:rPr>
          <w:highlight w:val="white"/>
        </w:rPr>
        <w:t>Greyfriars Hotel faces major challenges due to declining guest retention and a lack of leisure amenities and curated experiences. There are major recommendations that include introducing the wellness facilities, offering personalised local experience packages, enhancing digital marketing, staff roles and other updates to align with the new and changed service model. The change management strategies, such as Kotter's 8-stage, Lewin's Change Management model or ADKAR's model, ensure smooth transitions into the process. These measures aim to reposition the holistic luxury destination of Greyfriars, which can boost repeat bookings and strengthen long-term customer loyalty in a competitive hospitality sector. The recommendations must align with the contemporary trends of hospitality to focus on wellness, professionalism and immersive experiences. The detailed recommendations are accompanied by implementation strategies and changes in management procedures to ensure a smooth and effective transition.</w:t>
      </w:r>
    </w:p>
    <w:p w14:paraId="7E2FBCE0">
      <w:r>
        <w:t xml:space="preserve">Feedback in a recurring form showcases dissatisfaction regarding the lack of amenities related to wellness in spite of Greyfriars' major location, standard of service, and quality of dining. This influences the satisfaction of guests, the perception of the brand, and the reduction in the number of visits. A number of studies showcase a check of reviews by 70% of travellers before booking. On the other hand, repeat customers spend 67% more compared to the exclusive ones. The hotel additionally witnesses a number of stays for shorter periods, missed opportunities regarding upselling, and risks associated with reputation as a luxury brand. SWOT analysis highlights a core set of weaknesses. These include a low level of engagement in a digital environment and a fluctuation, considering demand during a season. However, the growth of tourism based on wellness, with a CAGR of 11% and the support of the government after the pandemic, provides an opportunity. The TOWS matrix recommends a partnership for pop-ups in spas, programs related to loyalty, and an exclusive set of experiences. A major focus on curated packages and digital marketing can be helpful for Greyfriars in introducing improvements in the satisfaction considering guests. This can additionally increase stays, along with enhancing its position in the market against competitors in the form of Old Course Hotel and Fairmont St Andrews. Each strategy included a neat method for measuring success. These include feedback from guests, datasets related to booking, and analytics over the Internet. A number of reviews will ensure an improvement and alignment with a set of goals. Benefits include an enhanced level of spending by guests, differentiation in the brand, and enhanced engagement of staff. For instance, travellers associated with wellness spend 53% more per trip. Efficient digital strategies can attract 55% of additional visitors. </w:t>
      </w:r>
    </w:p>
    <w:p w14:paraId="5A7B68B9">
      <w:r>
        <w:t>This consultancy report section highlights three key aspects of helping Greyfriars Hotel to tackle their decreasing customer retention, that is STEEPLED analysis, cost of strategic recommendations estimation and a detailed action plan for implementation.</w:t>
      </w:r>
    </w:p>
    <w:p w14:paraId="65BFF916">
      <w:r>
        <w:t>The STEEPLED analysis that was carried out (Social, Technological, Economic, Environmental, Political, Legal, Ethical and Demographic) also showed how many external factors affect the hotel's current challenges and opportunities. Wellness and experience-based stays are gaining demand and service expectations are rising based on technology. There are important threats of economic inflation and platform-based competition. Political support via UK government recovery schemes and increasing demand from older demographics are key growth opportunities, however. Potential advantages of the proactive addressing of environmental sustainability and ethical operations can also be found.</w:t>
      </w:r>
    </w:p>
    <w:p w14:paraId="4259C808">
      <w:r>
        <w:t>The report then describes cost estimates based on this analysis for proposed initiatives to establish pop-up Wellness Pools, local experience packages and digital marketing upskilling of staff. The total investment costs have been estimated between £19,000 and £28,500. This is a realistic budget for a boutique hotel of Greyfriars’ scale and targets high-impact, low-capital initiatives which have the potential to drive guest satisfaction and revenue growth.</w:t>
      </w:r>
    </w:p>
    <w:p w14:paraId="54AF6108">
      <w:pPr>
        <w:rPr>
          <w:b/>
          <w:sz w:val="28"/>
          <w:szCs w:val="28"/>
        </w:rPr>
      </w:pPr>
      <w:bookmarkStart w:id="0" w:name="_heading=h.vknboji9g3i1" w:colFirst="0" w:colLast="0"/>
      <w:bookmarkEnd w:id="0"/>
      <w:r>
        <w:t>Moreover, an action plan has been formed to disassemble each recommendation into achievable things to get done, together with a timeline, completion target and individual budget for each thing to do. This plan has the guarantee that the strategies can be aligned to the strengths of the hotel and also that it’s in line with the expectations of the guests. The cost effective and structured way in which these elements would enhance guest experience; develop brand loyalty and improve the competitive position of Greyfriars Hotel in the UK luxury hospitality market. The proposed roadmap however supports growth in a manner that is sustainable and one that protects the special boutique identity of the hotel.</w:t>
      </w:r>
      <w:r>
        <w:br w:type="page"/>
      </w:r>
    </w:p>
    <w:p w14:paraId="3BF48188">
      <w:pPr>
        <w:keepNext/>
        <w:keepLines/>
        <w:pBdr>
          <w:top w:val="none" w:color="auto" w:sz="0" w:space="0"/>
          <w:left w:val="none" w:color="auto" w:sz="0" w:space="0"/>
          <w:bottom w:val="none" w:color="auto" w:sz="0" w:space="0"/>
          <w:right w:val="none" w:color="auto" w:sz="0" w:space="0"/>
          <w:between w:val="none" w:color="auto" w:sz="0" w:space="0"/>
        </w:pBdr>
        <w:jc w:val="left"/>
        <w:rPr>
          <w:color w:val="366091"/>
          <w:sz w:val="32"/>
          <w:szCs w:val="32"/>
        </w:rPr>
      </w:pPr>
      <w:r>
        <w:rPr>
          <w:color w:val="366091"/>
          <w:sz w:val="32"/>
          <w:szCs w:val="32"/>
        </w:rPr>
        <w:t>Table of Contents</w:t>
      </w:r>
    </w:p>
    <w:sdt>
      <w:sdtPr>
        <w:id w:val="73488404"/>
        <w:docPartObj>
          <w:docPartGallery w:val="Table of Contents"/>
          <w:docPartUnique/>
        </w:docPartObj>
      </w:sdtPr>
      <w:sdtContent>
        <w:p w14:paraId="67B3DC94">
          <w:pPr>
            <w:pStyle w:val="18"/>
            <w:tabs>
              <w:tab w:val="right" w:leader="dot" w:pos="9350"/>
            </w:tabs>
            <w:rPr>
              <w:rFonts w:asciiTheme="minorHAnsi" w:hAnsiTheme="minorHAnsi" w:eastAsiaTheme="minorEastAsia" w:cstheme="minorBidi"/>
              <w:sz w:val="22"/>
              <w:szCs w:val="22"/>
              <w:lang w:val="en-IN"/>
            </w:rPr>
          </w:pPr>
          <w:r>
            <w:fldChar w:fldCharType="begin"/>
          </w:r>
          <w:r>
            <w:instrText xml:space="preserve"> TOC \h \u \z \t "Heading 1,1,Heading 2,2,Heading 3,3,"</w:instrText>
          </w:r>
          <w:r>
            <w:fldChar w:fldCharType="separate"/>
          </w:r>
          <w:r>
            <w:fldChar w:fldCharType="begin"/>
          </w:r>
          <w:r>
            <w:instrText xml:space="preserve"> HYPERLINK \l "_Toc199774776" </w:instrText>
          </w:r>
          <w:r>
            <w:fldChar w:fldCharType="separate"/>
          </w:r>
          <w:r>
            <w:rPr>
              <w:rStyle w:val="15"/>
            </w:rPr>
            <w:t>1. Introduction</w:t>
          </w:r>
          <w:r>
            <w:tab/>
          </w:r>
          <w:r>
            <w:fldChar w:fldCharType="begin"/>
          </w:r>
          <w:r>
            <w:instrText xml:space="preserve"> PAGEREF _Toc199774776 \h </w:instrText>
          </w:r>
          <w:r>
            <w:fldChar w:fldCharType="separate"/>
          </w:r>
          <w:r>
            <w:t>6</w:t>
          </w:r>
          <w:r>
            <w:fldChar w:fldCharType="end"/>
          </w:r>
          <w:r>
            <w:fldChar w:fldCharType="end"/>
          </w:r>
        </w:p>
        <w:p w14:paraId="073F85CA">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"_Toc199774777" </w:instrText>
          </w:r>
          <w:r>
            <w:fldChar w:fldCharType="separate"/>
          </w:r>
          <w:r>
            <w:rPr>
              <w:rStyle w:val="15"/>
            </w:rPr>
            <w:t>1.1 Background of the Hotel</w:t>
          </w:r>
          <w:r>
            <w:tab/>
          </w:r>
          <w:r>
            <w:fldChar w:fldCharType="begin"/>
          </w:r>
          <w:r>
            <w:instrText xml:space="preserve"> PAGEREF _Toc199774777 \h </w:instrText>
          </w:r>
          <w:r>
            <w:fldChar w:fldCharType="separate"/>
          </w:r>
          <w:r>
            <w:t>6</w:t>
          </w:r>
          <w:r>
            <w:fldChar w:fldCharType="end"/>
          </w:r>
          <w:r>
            <w:fldChar w:fldCharType="end"/>
          </w:r>
        </w:p>
        <w:p w14:paraId="7AD2A188">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"_Toc199774778" </w:instrText>
          </w:r>
          <w:r>
            <w:fldChar w:fldCharType="separate"/>
          </w:r>
          <w:r>
            <w:rPr>
              <w:rStyle w:val="15"/>
            </w:rPr>
            <w:t>1.2 Background of the Consultancy Firm</w:t>
          </w:r>
          <w:r>
            <w:tab/>
          </w:r>
          <w:r>
            <w:fldChar w:fldCharType="begin"/>
          </w:r>
          <w:r>
            <w:instrText xml:space="preserve"> PAGEREF _Toc199774778 \h </w:instrText>
          </w:r>
          <w:r>
            <w:fldChar w:fldCharType="separate"/>
          </w:r>
          <w:r>
            <w:t>6</w:t>
          </w:r>
          <w:r>
            <w:fldChar w:fldCharType="end"/>
          </w:r>
          <w:r>
            <w:fldChar w:fldCharType="end"/>
          </w:r>
        </w:p>
        <w:p w14:paraId="6BE027F7">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"_Toc199774779" </w:instrText>
          </w:r>
          <w:r>
            <w:fldChar w:fldCharType="separate"/>
          </w:r>
          <w:r>
            <w:rPr>
              <w:rStyle w:val="15"/>
            </w:rPr>
            <w:t>1.3 The Issue: Low Guest Retention and Limited Repeat Bookings</w:t>
          </w:r>
          <w:r>
            <w:tab/>
          </w:r>
          <w:r>
            <w:fldChar w:fldCharType="begin"/>
          </w:r>
          <w:r>
            <w:instrText xml:space="preserve"> PAGEREF _Toc199774779 \h </w:instrText>
          </w:r>
          <w:r>
            <w:fldChar w:fldCharType="separate"/>
          </w:r>
          <w:r>
            <w:t>7</w:t>
          </w:r>
          <w:r>
            <w:fldChar w:fldCharType="end"/>
          </w:r>
          <w:r>
            <w:fldChar w:fldCharType="end"/>
          </w:r>
        </w:p>
        <w:p w14:paraId="50422959">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"_Toc199774780" </w:instrText>
          </w:r>
          <w:r>
            <w:fldChar w:fldCharType="separate"/>
          </w:r>
          <w:r>
            <w:rPr>
              <w:rStyle w:val="15"/>
            </w:rPr>
            <w:t>1.4 Theoretical Frameworks to Be Applied</w:t>
          </w:r>
          <w:r>
            <w:tab/>
          </w:r>
          <w:r>
            <w:fldChar w:fldCharType="begin"/>
          </w:r>
          <w:r>
            <w:instrText xml:space="preserve"> PAGEREF _Toc199774780 \h </w:instrText>
          </w:r>
          <w:r>
            <w:fldChar w:fldCharType="separate"/>
          </w:r>
          <w:r>
            <w:t>7</w:t>
          </w:r>
          <w:r>
            <w:fldChar w:fldCharType="end"/>
          </w:r>
          <w:r>
            <w:fldChar w:fldCharType="end"/>
          </w:r>
        </w:p>
        <w:p w14:paraId="75B0EE82">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"_Toc199774781" </w:instrText>
          </w:r>
          <w:r>
            <w:fldChar w:fldCharType="separate"/>
          </w:r>
          <w:r>
            <w:rPr>
              <w:rStyle w:val="15"/>
            </w:rPr>
            <w:t>1.5 Purpose of the report</w:t>
          </w:r>
          <w:r>
            <w:tab/>
          </w:r>
          <w:r>
            <w:fldChar w:fldCharType="begin"/>
          </w:r>
          <w:r>
            <w:instrText xml:space="preserve"> PAGEREF _Toc199774781 \h </w:instrText>
          </w:r>
          <w:r>
            <w:fldChar w:fldCharType="separate"/>
          </w:r>
          <w:r>
            <w:t>8</w:t>
          </w:r>
          <w:r>
            <w:fldChar w:fldCharType="end"/>
          </w:r>
          <w:r>
            <w:fldChar w:fldCharType="end"/>
          </w:r>
        </w:p>
        <w:p w14:paraId="42F62283">
          <w:pPr>
            <w:pStyle w:val="18"/>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"_Toc199774782" </w:instrText>
          </w:r>
          <w:r>
            <w:fldChar w:fldCharType="separate"/>
          </w:r>
          <w:r>
            <w:rPr>
              <w:rStyle w:val="15"/>
            </w:rPr>
            <w:t>2. Analysis</w:t>
          </w:r>
          <w:r>
            <w:tab/>
          </w:r>
          <w:r>
            <w:fldChar w:fldCharType="begin"/>
          </w:r>
          <w:r>
            <w:instrText xml:space="preserve"> PAGEREF _Toc199774782 \h </w:instrText>
          </w:r>
          <w:r>
            <w:fldChar w:fldCharType="separate"/>
          </w:r>
          <w:r>
            <w:t>8</w:t>
          </w:r>
          <w:r>
            <w:fldChar w:fldCharType="end"/>
          </w:r>
          <w:r>
            <w:fldChar w:fldCharType="end"/>
          </w:r>
        </w:p>
        <w:p w14:paraId="557C5347">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"_Toc199774783" </w:instrText>
          </w:r>
          <w:r>
            <w:fldChar w:fldCharType="separate"/>
          </w:r>
          <w:r>
            <w:rPr>
              <w:rStyle w:val="15"/>
            </w:rPr>
            <w:t>2.1 Identified Issue: Decline in Guest Retention and Repeat Bookings</w:t>
          </w:r>
          <w:r>
            <w:tab/>
          </w:r>
          <w:r>
            <w:fldChar w:fldCharType="begin"/>
          </w:r>
          <w:r>
            <w:instrText xml:space="preserve"> PAGEREF _Toc199774783 \h </w:instrText>
          </w:r>
          <w:r>
            <w:fldChar w:fldCharType="separate"/>
          </w:r>
          <w:r>
            <w:t>8</w:t>
          </w:r>
          <w:r>
            <w:fldChar w:fldCharType="end"/>
          </w:r>
          <w:r>
            <w:fldChar w:fldCharType="end"/>
          </w:r>
        </w:p>
        <w:p w14:paraId="69E3DB2D">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"_Toc199774784" </w:instrText>
          </w:r>
          <w:r>
            <w:fldChar w:fldCharType="separate"/>
          </w:r>
          <w:r>
            <w:rPr>
              <w:rStyle w:val="15"/>
            </w:rPr>
            <w:t>2.2 Impact on the Hotel</w:t>
          </w:r>
          <w:r>
            <w:tab/>
          </w:r>
          <w:r>
            <w:fldChar w:fldCharType="begin"/>
          </w:r>
          <w:r>
            <w:instrText xml:space="preserve"> PAGEREF _Toc199774784 \h </w:instrText>
          </w:r>
          <w:r>
            <w:fldChar w:fldCharType="separate"/>
          </w:r>
          <w:r>
            <w:t>9</w:t>
          </w:r>
          <w:r>
            <w:fldChar w:fldCharType="end"/>
          </w:r>
          <w:r>
            <w:fldChar w:fldCharType="end"/>
          </w:r>
        </w:p>
        <w:p w14:paraId="06BC2C27">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"_Toc199774785" </w:instrText>
          </w:r>
          <w:r>
            <w:fldChar w:fldCharType="separate"/>
          </w:r>
          <w:r>
            <w:rPr>
              <w:rStyle w:val="15"/>
            </w:rPr>
            <w:t>2.3 External Factors Affecting Guest Expectations: STEEPLED Analysis</w:t>
          </w:r>
          <w:r>
            <w:tab/>
          </w:r>
          <w:r>
            <w:fldChar w:fldCharType="begin"/>
          </w:r>
          <w:r>
            <w:instrText xml:space="preserve"> PAGEREF _Toc199774785 \h </w:instrText>
          </w:r>
          <w:r>
            <w:fldChar w:fldCharType="separate"/>
          </w:r>
          <w:r>
            <w:t>10</w:t>
          </w:r>
          <w:r>
            <w:fldChar w:fldCharType="end"/>
          </w:r>
          <w:r>
            <w:fldChar w:fldCharType="end"/>
          </w:r>
        </w:p>
        <w:p w14:paraId="5FBC3691">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"_Toc199774786" </w:instrText>
          </w:r>
          <w:r>
            <w:fldChar w:fldCharType="separate"/>
          </w:r>
          <w:r>
            <w:rPr>
              <w:rStyle w:val="15"/>
            </w:rPr>
            <w:t>2.4 SWOT and TOWS</w:t>
          </w:r>
          <w:r>
            <w:tab/>
          </w:r>
          <w:r>
            <w:fldChar w:fldCharType="begin"/>
          </w:r>
          <w:r>
            <w:instrText xml:space="preserve"> PAGEREF _Toc199774786 \h </w:instrText>
          </w:r>
          <w:r>
            <w:fldChar w:fldCharType="separate"/>
          </w:r>
          <w:r>
            <w:t>13</w:t>
          </w:r>
          <w:r>
            <w:fldChar w:fldCharType="end"/>
          </w:r>
          <w:r>
            <w:fldChar w:fldCharType="end"/>
          </w:r>
        </w:p>
        <w:p w14:paraId="78B969B0">
          <w:pPr>
            <w:pStyle w:val="18"/>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"_Toc199774787" </w:instrText>
          </w:r>
          <w:r>
            <w:fldChar w:fldCharType="separate"/>
          </w:r>
          <w:r>
            <w:rPr>
              <w:rStyle w:val="15"/>
            </w:rPr>
            <w:t>3. Recommendations and Change Management</w:t>
          </w:r>
          <w:r>
            <w:tab/>
          </w:r>
          <w:r>
            <w:fldChar w:fldCharType="begin"/>
          </w:r>
          <w:r>
            <w:instrText xml:space="preserve"> PAGEREF _Toc199774787 \h </w:instrText>
          </w:r>
          <w:r>
            <w:fldChar w:fldCharType="separate"/>
          </w:r>
          <w:r>
            <w:t>16</w:t>
          </w:r>
          <w:r>
            <w:fldChar w:fldCharType="end"/>
          </w:r>
          <w:r>
            <w:fldChar w:fldCharType="end"/>
          </w:r>
        </w:p>
        <w:p w14:paraId="6151E41F">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"_Toc199774788" </w:instrText>
          </w:r>
          <w:r>
            <w:fldChar w:fldCharType="separate"/>
          </w:r>
          <w:r>
            <w:rPr>
              <w:rStyle w:val="15"/>
            </w:rPr>
            <w:t>3.1 Recommendations</w:t>
          </w:r>
          <w:r>
            <w:tab/>
          </w:r>
          <w:r>
            <w:fldChar w:fldCharType="begin"/>
          </w:r>
          <w:r>
            <w:instrText xml:space="preserve"> PAGEREF _Toc199774788 \h </w:instrText>
          </w:r>
          <w:r>
            <w:fldChar w:fldCharType="separate"/>
          </w:r>
          <w:r>
            <w:t>16</w:t>
          </w:r>
          <w:r>
            <w:fldChar w:fldCharType="end"/>
          </w:r>
          <w:r>
            <w:fldChar w:fldCharType="end"/>
          </w:r>
        </w:p>
        <w:p w14:paraId="629F0B47">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"_Toc199774789" </w:instrText>
          </w:r>
          <w:r>
            <w:fldChar w:fldCharType="separate"/>
          </w:r>
          <w:r>
            <w:rPr>
              <w:rStyle w:val="15"/>
            </w:rPr>
            <w:t>3.2 Measuring Impact and Success Rates</w:t>
          </w:r>
          <w:r>
            <w:tab/>
          </w:r>
          <w:r>
            <w:fldChar w:fldCharType="begin"/>
          </w:r>
          <w:r>
            <w:instrText xml:space="preserve"> PAGEREF _Toc199774789 \h </w:instrText>
          </w:r>
          <w:r>
            <w:fldChar w:fldCharType="separate"/>
          </w:r>
          <w:r>
            <w:t>19</w:t>
          </w:r>
          <w:r>
            <w:fldChar w:fldCharType="end"/>
          </w:r>
          <w:r>
            <w:fldChar w:fldCharType="end"/>
          </w:r>
        </w:p>
        <w:p w14:paraId="07986381">
          <w:pPr>
            <w:pStyle w:val="19"/>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"_Toc199774790" </w:instrText>
          </w:r>
          <w:r>
            <w:fldChar w:fldCharType="separate"/>
          </w:r>
          <w:r>
            <w:rPr>
              <w:rStyle w:val="15"/>
            </w:rPr>
            <w:t>3.3 Estimated Costs of Proposed Recommendations</w:t>
          </w:r>
          <w:r>
            <w:tab/>
          </w:r>
          <w:r>
            <w:fldChar w:fldCharType="begin"/>
          </w:r>
          <w:r>
            <w:instrText xml:space="preserve"> PAGEREF _Toc199774790 \h </w:instrText>
          </w:r>
          <w:r>
            <w:fldChar w:fldCharType="separate"/>
          </w:r>
          <w:r>
            <w:t>22</w:t>
          </w:r>
          <w:r>
            <w:fldChar w:fldCharType="end"/>
          </w:r>
          <w:r>
            <w:fldChar w:fldCharType="end"/>
          </w:r>
        </w:p>
        <w:p w14:paraId="4BE5E45C">
          <w:pPr>
            <w:pStyle w:val="18"/>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"_Toc199774791" </w:instrText>
          </w:r>
          <w:r>
            <w:fldChar w:fldCharType="separate"/>
          </w:r>
          <w:r>
            <w:rPr>
              <w:rStyle w:val="15"/>
            </w:rPr>
            <w:t>4. Action Plan for Greyfriars Hotel</w:t>
          </w:r>
          <w:r>
            <w:tab/>
          </w:r>
          <w:r>
            <w:fldChar w:fldCharType="begin"/>
          </w:r>
          <w:r>
            <w:instrText xml:space="preserve"> PAGEREF _Toc199774791 \h </w:instrText>
          </w:r>
          <w:r>
            <w:fldChar w:fldCharType="separate"/>
          </w:r>
          <w:r>
            <w:t>23</w:t>
          </w:r>
          <w:r>
            <w:fldChar w:fldCharType="end"/>
          </w:r>
          <w:r>
            <w:fldChar w:fldCharType="end"/>
          </w:r>
        </w:p>
        <w:p w14:paraId="783231F8">
          <w:pPr>
            <w:pStyle w:val="18"/>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"_Toc199774792" </w:instrText>
          </w:r>
          <w:r>
            <w:fldChar w:fldCharType="separate"/>
          </w:r>
          <w:r>
            <w:rPr>
              <w:rStyle w:val="15"/>
            </w:rPr>
            <w:t>5. Conclusion</w:t>
          </w:r>
          <w:r>
            <w:tab/>
          </w:r>
          <w:r>
            <w:fldChar w:fldCharType="begin"/>
          </w:r>
          <w:r>
            <w:instrText xml:space="preserve"> PAGEREF _Toc199774792 \h </w:instrText>
          </w:r>
          <w:r>
            <w:fldChar w:fldCharType="separate"/>
          </w:r>
          <w:r>
            <w:t>25</w:t>
          </w:r>
          <w:r>
            <w:fldChar w:fldCharType="end"/>
          </w:r>
          <w:r>
            <w:fldChar w:fldCharType="end"/>
          </w:r>
        </w:p>
        <w:p w14:paraId="7FE5D016">
          <w:pPr>
            <w:pStyle w:val="18"/>
            <w:tabs>
              <w:tab w:val="right" w:leader="dot" w:pos="9350"/>
            </w:tabs>
            <w:rPr>
              <w:rFonts w:asciiTheme="minorHAnsi" w:hAnsiTheme="minorHAnsi" w:eastAsiaTheme="minorEastAsia" w:cstheme="minorBidi"/>
              <w:sz w:val="22"/>
              <w:szCs w:val="22"/>
              <w:lang w:val="en-IN"/>
            </w:rPr>
          </w:pPr>
          <w:r>
            <w:fldChar w:fldCharType="begin"/>
          </w:r>
          <w:r>
            <w:instrText xml:space="preserve"> HYPERLINK \l "_Toc199774793" </w:instrText>
          </w:r>
          <w:r>
            <w:fldChar w:fldCharType="separate"/>
          </w:r>
          <w:r>
            <w:rPr>
              <w:rStyle w:val="15"/>
            </w:rPr>
            <w:t>References</w:t>
          </w:r>
          <w:r>
            <w:tab/>
          </w:r>
          <w:r>
            <w:fldChar w:fldCharType="begin"/>
          </w:r>
          <w:r>
            <w:instrText xml:space="preserve"> PAGEREF _Toc199774793 \h </w:instrText>
          </w:r>
          <w:r>
            <w:fldChar w:fldCharType="separate"/>
          </w:r>
          <w:r>
            <w:t>27</w:t>
          </w:r>
          <w:r>
            <w:fldChar w:fldCharType="end"/>
          </w:r>
          <w:r>
            <w:fldChar w:fldCharType="end"/>
          </w:r>
        </w:p>
        <w:p w14:paraId="685F93B9">
          <w:r>
            <w:fldChar w:fldCharType="end"/>
          </w:r>
        </w:p>
      </w:sdtContent>
    </w:sdt>
    <w:p w14:paraId="4A8BFFBB">
      <w:pPr>
        <w:rPr>
          <w:b/>
          <w:sz w:val="28"/>
          <w:szCs w:val="28"/>
        </w:rPr>
      </w:pPr>
      <w:r>
        <w:br w:type="page"/>
      </w:r>
    </w:p>
    <w:p w14:paraId="40B6E6F5">
      <w:pPr>
        <w:pStyle w:val="2"/>
      </w:pPr>
      <w:bookmarkStart w:id="1" w:name="_Toc199774776"/>
      <w:r>
        <w:t>1. Introduction</w:t>
      </w:r>
      <w:bookmarkEnd w:id="1"/>
      <w:r>
        <w:t xml:space="preserve"> </w:t>
      </w:r>
    </w:p>
    <w:p w14:paraId="30E0D640">
      <w:pPr>
        <w:pStyle w:val="3"/>
      </w:pPr>
      <w:bookmarkStart w:id="2" w:name="_Toc199774777"/>
      <w:r>
        <w:t>1.1 Background of the Hotel</w:t>
      </w:r>
      <w:bookmarkEnd w:id="2"/>
    </w:p>
    <w:p w14:paraId="561FFDB2">
      <w:r>
        <w:t>Greyfriars Hotel is a luxury boutique property located primarily on High Street in the historic town of Colchester, Essex, United Kingdom. Situated just 656 feet from Colchester Castle and close to various key landmarks, including Colchester Zoo and Flatford, the motel offers a prime location for both leisure and business travelers. Housed in a beautifully restored historical building, the hotel combines classical structure with contemporary interiors, reflecting its dedication to sophistication and luxury.</w:t>
      </w:r>
    </w:p>
    <w:p w14:paraId="1D647369">
      <w:r>
        <w:t xml:space="preserve">The accommodations include fully fully designed Standard Suites, comprising a Duplex Suite and the Signature Suite (Wu </w:t>
      </w:r>
      <w:r>
        <w:rPr>
          <w:i/>
        </w:rPr>
        <w:t xml:space="preserve">et al., </w:t>
      </w:r>
      <w:r>
        <w:t>2021). Each room is equipped with modern facilities, including flat-screen TVs, coffee machines, luxury toilets, and complimentary Wi-Fi. The lodge also features an in-house restaurant serving British delicacies, as well as a room service option for guests seeking private dining experiences. Despite these strengths, Greyfriars lacks key leisure services, including a pool, fitness center, spa, or wellbeing services—functions frequently expected by visitors staying in a luxury property.</w:t>
      </w:r>
    </w:p>
    <w:p w14:paraId="1F704011">
      <w:r>
        <w:t>Since opening its doors in the early 2010s, Greyfriars has enjoyed strong recognition for its beauty and is an excellent provider. However, the latest visitor remarks and occupancy information suggest a decline in repeat bookings and long-term visitor retention, raising concerns about the resort's ability to remain competitive in a saturated and experience-driven hospitality market.</w:t>
      </w:r>
    </w:p>
    <w:p w14:paraId="6FE08C90">
      <w:pPr>
        <w:jc w:val="center"/>
      </w:pPr>
      <w:r>
        <w:rPr>
          <w:lang w:val="en-IN"/>
        </w:rPr>
        <w:drawing>
          <wp:inline distT="0" distB="0" distL="0" distR="0">
            <wp:extent cx="2865120" cy="1592580"/>
            <wp:effectExtent l="0" t="0" r="0" b="0"/>
            <wp:docPr id="1836998858" name="image9.jpg" descr="GREYFRIARS HOTEL (St Andrews, Scotland ..."/>
            <wp:cNvGraphicFramePr/>
            <a:graphic xmlns:a="http://schemas.openxmlformats.org/drawingml/2006/main">
              <a:graphicData uri="http://schemas.openxmlformats.org/drawingml/2006/picture">
                <pic:pic xmlns:pic="http://schemas.openxmlformats.org/drawingml/2006/picture">
                  <pic:nvPicPr>
                    <pic:cNvPr id="1836998858" name="image9.jpg" descr="GREYFRIARS HOTEL (St Andrews, Scotland ..."/>
                    <pic:cNvPicPr preferRelativeResize="0"/>
                  </pic:nvPicPr>
                  <pic:blipFill>
                    <a:blip r:embed="rId8"/>
                    <a:srcRect/>
                    <a:stretch>
                      <a:fillRect/>
                    </a:stretch>
                  </pic:blipFill>
                  <pic:spPr>
                    <a:xfrm>
                      <a:off x="0" y="0"/>
                      <a:ext cx="2865120" cy="1592580"/>
                    </a:xfrm>
                    <a:prstGeom prst="rect">
                      <a:avLst/>
                    </a:prstGeom>
                  </pic:spPr>
                </pic:pic>
              </a:graphicData>
            </a:graphic>
          </wp:inline>
        </w:drawing>
      </w:r>
    </w:p>
    <w:p w14:paraId="3963E434">
      <w:pPr>
        <w:jc w:val="center"/>
        <w:rPr>
          <w:b/>
        </w:rPr>
      </w:pPr>
      <w:r>
        <w:rPr>
          <w:b/>
        </w:rPr>
        <w:t>Figure: Greyfriars Hotel</w:t>
      </w:r>
    </w:p>
    <w:p w14:paraId="264755A1">
      <w:pPr>
        <w:jc w:val="center"/>
      </w:pPr>
      <w:r>
        <w:t>(Source: TripAdvisor, 2021)</w:t>
      </w:r>
    </w:p>
    <w:p w14:paraId="4C4AD8A6">
      <w:pPr>
        <w:pStyle w:val="3"/>
      </w:pPr>
      <w:bookmarkStart w:id="3" w:name="_Toc199774778"/>
      <w:r>
        <w:t>1.2 Background of the Consultancy Firm</w:t>
      </w:r>
      <w:bookmarkEnd w:id="3"/>
    </w:p>
    <w:p w14:paraId="773CFAF1">
      <w:r>
        <w:t xml:space="preserve">Elevate Hospitality Solutions has requested this consultancy report. A UK-based consultancy firm specializing in organizational performance provides organizational patron retention techniques within the hospitality industry (AGYEI </w:t>
      </w:r>
      <w:r>
        <w:rPr>
          <w:i/>
        </w:rPr>
        <w:t xml:space="preserve">et al., </w:t>
      </w:r>
      <w:r>
        <w:t>2021). With more than ten years of experience in supporting boutique and independent accommodations, Elevate Hospitality Solutions is dedicated to driving realistic and sustainable improvements by harnessing internal strengths and addressing operational challenges through bespoke strategic solutions.</w:t>
      </w:r>
    </w:p>
    <w:p w14:paraId="0D8E8C8C">
      <w:pPr>
        <w:pStyle w:val="3"/>
      </w:pPr>
      <w:bookmarkStart w:id="4" w:name="_Toc199774779"/>
      <w:r>
        <w:t>1.3 The Issue: Low Guest Retention and Limited Repeat Bookings</w:t>
      </w:r>
      <w:bookmarkEnd w:id="4"/>
    </w:p>
    <w:p w14:paraId="08821ACD">
      <w:r>
        <w:t>Despite its premium location and well-appointed rooms, Greyfriars Hotel has experienced a concerning decline in return visits from former guests. Preliminary investigation reveals a critical gap in the hotel's overall offering—namely, the actual absence of leisure amenities and curated guest experiences. In an increasingly competitive marketplace, luxury guests often expect more than just comfortable rooms and excellent food; they are seeking wellness experiences that enhance their liv</w:t>
      </w:r>
    </w:p>
    <w:p w14:paraId="338ED543">
      <w:r>
        <w:t>es. Of facilities, which include a spa, health Centre, or curated local partnerships, have placed Greyfriars at a significant disadvantage, especially when compared to similarly priced inns in neighboring regions that offer a more comprehensive visitor experience. This difficulty not only affects revenue per guest but also results in missed opportunities for upselling, brand loyalty, and positive word-of-mouth advertising.</w:t>
      </w:r>
    </w:p>
    <w:p w14:paraId="32AB5A2B">
      <w:pPr>
        <w:pStyle w:val="3"/>
      </w:pPr>
      <w:bookmarkStart w:id="5" w:name="_Toc199774780"/>
      <w:r>
        <w:t>1.4 Theoretical Frameworks to Be Applied</w:t>
      </w:r>
      <w:bookmarkEnd w:id="5"/>
    </w:p>
    <w:p w14:paraId="752C3C3B">
      <w:r>
        <w:t>To ensure a comprehensive understanding of the issue and offer strategic, well-grounded recommendations, this report will draw upon several established frameworks and analytical tools:</w:t>
      </w:r>
    </w:p>
    <w:p w14:paraId="235EBF6D">
      <w:r>
        <w:t>STEEPLED Analysis: This framework will help identify the external macro-environmental factors—social, technological, economic, environmental, political, legal, ethical, and demographic—that may influence visitor expectations, behaviors, and aggressive dynamics within the luxury hospitality sector.</w:t>
      </w:r>
    </w:p>
    <w:p w14:paraId="45A12493">
      <w:r>
        <w:rPr>
          <w:b/>
        </w:rPr>
        <w:t>SWOT Analysis:</w:t>
      </w:r>
      <w:r>
        <w:t xml:space="preserve"> This tool can be used to examine GreyFriars' internal strengths and weaknesses, as well as external opportunities and threats (Bardukova </w:t>
      </w:r>
      <w:r>
        <w:rPr>
          <w:i/>
        </w:rPr>
        <w:t xml:space="preserve">et al., </w:t>
      </w:r>
      <w:r>
        <w:t>2021). This evaluation could be essential in explaining how the hotel's current provider structure contributes to the retention problem.</w:t>
      </w:r>
    </w:p>
    <w:p w14:paraId="39F684E3">
      <w:r>
        <w:rPr>
          <w:b/>
        </w:rPr>
        <w:t>TOWS Matrix:</w:t>
      </w:r>
      <w:r>
        <w:t xml:space="preserve"> Building on the SWOT evaluation, the TOWS matrix will be employed to broaden strategic responses to the diagnosed issues. It will provide a framework for aligning inner capabilities with external possibilities while addressing threats and minimizing weaknesses.</w:t>
      </w:r>
    </w:p>
    <w:p w14:paraId="6BE47458">
      <w:pPr>
        <w:pStyle w:val="3"/>
      </w:pPr>
      <w:bookmarkStart w:id="6" w:name="_Toc199774781"/>
      <w:r>
        <w:t>1.5 Purpose of the report</w:t>
      </w:r>
      <w:bookmarkEnd w:id="6"/>
    </w:p>
    <w:p w14:paraId="27FB2ABA">
      <w:r>
        <w:t>The purpose of this consultancy report is to specifically investigate the underlying causes of Greyfriars Hotel's guest retention problem, explore the various impacts of limited leisure amenities on customer loyalty, and propose actionable, resource-sensitive solutions. The record will similarly provide a roadmap for the implementation of the latest service offerings and partnership models that might enhance the inn's enchantment, enlarge the common duration of life, and, boom, repeat bookings. By leveraging a strategic, data-driven approach, this report aims to position Greyfriars not only as a luxury hotel but also as a comprehensive destination for a guest experience.</w:t>
      </w:r>
    </w:p>
    <w:p w14:paraId="23B89316">
      <w:pPr>
        <w:pStyle w:val="2"/>
      </w:pPr>
      <w:bookmarkStart w:id="7" w:name="_Toc199774782"/>
      <w:r>
        <w:t>2. Analysis</w:t>
      </w:r>
      <w:bookmarkEnd w:id="7"/>
    </w:p>
    <w:p w14:paraId="02C5C213">
      <w:pPr>
        <w:pStyle w:val="3"/>
      </w:pPr>
      <w:bookmarkStart w:id="8" w:name="_Toc199774783"/>
      <w:r>
        <w:t>2.1 Identified Issue: Decline in Guest Retention and Repeat Bookings</w:t>
      </w:r>
      <w:bookmarkEnd w:id="8"/>
    </w:p>
    <w:p w14:paraId="54257DDE">
      <w:r>
        <w:t xml:space="preserve">Greyfriars Hotel, located on High Street in the historic town of Colchester, Essex, is a boutique luxury property known for its massive level of elegant Georgian architecture, bespoke interior design, as well as personalized service (Li </w:t>
      </w:r>
      <w:r>
        <w:rPr>
          <w:i/>
        </w:rPr>
        <w:t xml:space="preserve">et al., </w:t>
      </w:r>
      <w:r>
        <w:t>2021) personalizedeedingly small quantity of rooms and a focal point on exclusivity, it has constructed a recognition as a premium destination for enterprise travelers, couples, and weekend visitors looking for a sophisticated and tranquil revel in. However, despite these benefits, the hotel is currently facing a growing issue: low visitor retention and a decline in repeat bookings.</w:t>
      </w:r>
    </w:p>
    <w:p w14:paraId="7AD09B68">
      <w:r>
        <w:t xml:space="preserve">In today's competitive hospitality landscape, repeat business is a key indicator of guest satisfaction and long-term brand value. While Greyfriars continues to attract first-time visitors, it has struggled to convert them into repeat guests. The root of this challenge lies in its limited on-website online amusement facilities and curated experience services. Modern guests, particularly those in the luxury segment, are increasingly seeking not just the most effective comfort but also immersive, wellness-targeted experiences that add depth to their stay. The absence of features, including a spa, fitness center, wellness applications, or personalized guest reports, significantly impacts the inn's ability to meet these evolving expectations. (House </w:t>
      </w:r>
      <w:r>
        <w:rPr>
          <w:i/>
        </w:rPr>
        <w:t xml:space="preserve">et al., </w:t>
      </w:r>
      <w:r>
        <w:t xml:space="preserve">2021). </w:t>
      </w:r>
    </w:p>
    <w:p w14:paraId="2A786DCA">
      <w:pPr>
        <w:jc w:val="center"/>
      </w:pPr>
      <w:r>
        <w:rPr>
          <w:lang w:val="en-IN"/>
        </w:rPr>
        <w:drawing>
          <wp:inline distT="0" distB="0" distL="0" distR="0">
            <wp:extent cx="5943600" cy="3820160"/>
            <wp:effectExtent l="0" t="0" r="0" b="0"/>
            <wp:docPr id="1836998861" name="image1.png"/>
            <wp:cNvGraphicFramePr/>
            <a:graphic xmlns:a="http://schemas.openxmlformats.org/drawingml/2006/main">
              <a:graphicData uri="http://schemas.openxmlformats.org/drawingml/2006/picture">
                <pic:pic xmlns:pic="http://schemas.openxmlformats.org/drawingml/2006/picture">
                  <pic:nvPicPr>
                    <pic:cNvPr id="1836998861" name="image1.png"/>
                    <pic:cNvPicPr preferRelativeResize="0"/>
                  </pic:nvPicPr>
                  <pic:blipFill>
                    <a:blip r:embed="rId9"/>
                    <a:srcRect/>
                    <a:stretch>
                      <a:fillRect/>
                    </a:stretch>
                  </pic:blipFill>
                  <pic:spPr>
                    <a:xfrm>
                      <a:off x="0" y="0"/>
                      <a:ext cx="5943600" cy="3820160"/>
                    </a:xfrm>
                    <a:prstGeom prst="rect">
                      <a:avLst/>
                    </a:prstGeom>
                  </pic:spPr>
                </pic:pic>
              </a:graphicData>
            </a:graphic>
          </wp:inline>
        </w:drawing>
      </w:r>
    </w:p>
    <w:p w14:paraId="16A319C6">
      <w:pPr>
        <w:jc w:val="center"/>
        <w:rPr>
          <w:b/>
        </w:rPr>
      </w:pPr>
      <w:r>
        <w:rPr>
          <w:b/>
        </w:rPr>
        <w:t>Figure: Factors affecting customer retention</w:t>
      </w:r>
    </w:p>
    <w:p w14:paraId="3F461580">
      <w:pPr>
        <w:jc w:val="center"/>
      </w:pPr>
      <w:r>
        <w:t>(Source: Gengeswari, 2021)</w:t>
      </w:r>
    </w:p>
    <w:p w14:paraId="55DA0B3B">
      <w:pPr>
        <w:pStyle w:val="3"/>
      </w:pPr>
      <w:bookmarkStart w:id="9" w:name="_Toc199774784"/>
      <w:r>
        <w:t>2.2 Impact on the Hotel</w:t>
      </w:r>
      <w:bookmarkEnd w:id="9"/>
    </w:p>
    <w:p w14:paraId="6492B177">
      <w:pPr>
        <w:rPr>
          <w:b/>
        </w:rPr>
      </w:pPr>
      <w:bookmarkStart w:id="10" w:name="_heading=h.vaevpdmm6stp" w:colFirst="0" w:colLast="0"/>
      <w:bookmarkEnd w:id="10"/>
      <w:r>
        <w:rPr>
          <w:b/>
        </w:rPr>
        <w:t>Guest Satisfaction and Reviews</w:t>
      </w:r>
    </w:p>
    <w:p w14:paraId="67F62C2E">
      <w:r>
        <w:t xml:space="preserve">Guest reviews serve as both a reflection of the level of satisfaction and a marketing tool. In a highly competitive market, even boutique hotels must not only meet but also exceed expectations (Naru </w:t>
      </w:r>
      <w:r>
        <w:rPr>
          <w:i/>
        </w:rPr>
        <w:t xml:space="preserve">et al., </w:t>
      </w:r>
      <w:r>
        <w:t>2021). While Greyfriars maintains its generally high rating, recurring feedback highlighting the lack of leisure amenities has the potential to erode its brand image slowly over time. Studies from TrustYou (2023) suggest that over 70% of travelers consult reviews before booking, with amenities often influencing their decision-making.</w:t>
      </w:r>
    </w:p>
    <w:p w14:paraId="259DB132">
      <w:pPr>
        <w:rPr>
          <w:b/>
        </w:rPr>
      </w:pPr>
      <w:bookmarkStart w:id="11" w:name="_heading=h.qar9ybaaqgx6" w:colFirst="0" w:colLast="0"/>
      <w:bookmarkEnd w:id="11"/>
      <w:r>
        <w:rPr>
          <w:b/>
        </w:rPr>
        <w:t>Revenue Loss and Missed Upsell Opportunities</w:t>
      </w:r>
    </w:p>
    <w:p w14:paraId="747F963E">
      <w:r>
        <w:t>Repeat guests are more likely to engage in upselling opportunities, including dining, special packages, and longer stays. With fewer repeat customers, Greyfriars is missing out on sustained revenue and purchaser lifetime price (CLV). According to the British Hospitality Association (2023), repeat clients spend, on average, 67% more than new ones. The lack of reports on wellbeing or enjoyment also limits the resort's ability to diversify its earnings through spa offerings, wellbeing packages, or local experience add-ons.</w:t>
      </w:r>
    </w:p>
    <w:p w14:paraId="4B5D489E">
      <w:pPr>
        <w:rPr>
          <w:b/>
        </w:rPr>
      </w:pPr>
      <w:r>
        <w:rPr>
          <w:b/>
        </w:rPr>
        <w:t>Reputation and Brand Perception</w:t>
      </w:r>
    </w:p>
    <w:p w14:paraId="61A241A1">
      <w:r>
        <w:t xml:space="preserve">Greyfriars markets itself as a luxurious resort. However, the absence of leisure-based offerings contradicts visitor expectations of luxurious enjoyment (Castillo </w:t>
      </w:r>
      <w:r>
        <w:rPr>
          <w:i/>
        </w:rPr>
        <w:t xml:space="preserve">et al., </w:t>
      </w:r>
      <w:r>
        <w:t>2021). The logo risks being perceived as merely an upmarket bed-and-breakfast rather than a full-carrier luxurious destination. In a logo-touchy market, this mismatch between promise and shipping can undermine client consideration and loyalty.</w:t>
      </w:r>
    </w:p>
    <w:p w14:paraId="75971688">
      <w:pPr>
        <w:rPr>
          <w:b/>
        </w:rPr>
      </w:pPr>
      <w:r>
        <w:rPr>
          <w:b/>
        </w:rPr>
        <w:t>Limited Length of Stay</w:t>
      </w:r>
    </w:p>
    <w:p w14:paraId="4DF8CD89">
      <w:r>
        <w:t>The absence of on-website online reports frequently leads to shorter guest remains. A 2022 report by VisitBritain notes that hotels offering on-site health or entertainment facilities see average stays prolonged by 1.3 nights. GreyFriars' one-night stay pattern, commonplace among its reviews, displays its inability to anchor visitors to the property for longer intervals.</w:t>
      </w:r>
    </w:p>
    <w:p w14:paraId="124B146B">
      <w:pPr>
        <w:pStyle w:val="3"/>
      </w:pPr>
      <w:bookmarkStart w:id="12" w:name="_Toc199774785"/>
      <w:r>
        <w:t>2.3 External Factors Affecting Guest Expectations: STEEPLED Analysis</w:t>
      </w:r>
      <w:bookmarkEnd w:id="12"/>
    </w:p>
    <w:p w14:paraId="195D55A0">
      <w:pPr>
        <w:pStyle w:val="3"/>
      </w:pPr>
      <w:bookmarkStart w:id="13" w:name="_heading=h.47ih2x4hmaga" w:colFirst="0" w:colLast="0"/>
      <w:bookmarkEnd w:id="13"/>
    </w:p>
    <w:tbl>
      <w:tblPr>
        <w:tblStyle w:val="29"/>
        <w:tblW w:w="936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763"/>
        <w:gridCol w:w="4745"/>
        <w:gridCol w:w="2852"/>
      </w:tblGrid>
      <w:tr w14:paraId="7BA2D7E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500" w:hRule="atLeast"/>
        </w:trPr>
        <w:tc>
          <w:tcPr>
            <w:tcW w:w="176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6238656">
            <w:pPr>
              <w:jc w:val="center"/>
            </w:pPr>
            <w:r>
              <w:rPr>
                <w:b/>
              </w:rPr>
              <w:t>Factor</w:t>
            </w:r>
          </w:p>
        </w:tc>
        <w:tc>
          <w:tcPr>
            <w:tcW w:w="474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5B1CECA">
            <w:pPr>
              <w:jc w:val="center"/>
            </w:pPr>
            <w:r>
              <w:rPr>
                <w:b/>
              </w:rPr>
              <w:t>Description &amp; UK Data</w:t>
            </w:r>
          </w:p>
        </w:tc>
        <w:tc>
          <w:tcPr>
            <w:tcW w:w="28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D7CB879">
            <w:pPr>
              <w:jc w:val="center"/>
            </w:pPr>
            <w:r>
              <w:rPr>
                <w:b/>
              </w:rPr>
              <w:t>Opportunity or Threat</w:t>
            </w:r>
          </w:p>
        </w:tc>
      </w:tr>
      <w:tr w14:paraId="4308E5F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435" w:hRule="atLeast"/>
        </w:trPr>
        <w:tc>
          <w:tcPr>
            <w:tcW w:w="176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DE49654">
            <w:r>
              <w:rPr>
                <w:b/>
              </w:rPr>
              <w:t>Social</w:t>
            </w:r>
          </w:p>
        </w:tc>
        <w:tc>
          <w:tcPr>
            <w:tcW w:w="474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3F8005F">
            <w:r>
              <w:t>Changing guest preferences toward wellness and experiential stays has reshaped expectations. According to VisitBritain (2025), over 65% of UK tourists in the luxury segment now prefer hotels offering wellness or unique local experiences. On demand, immersive travel matches a wider trend toward wellbeing tourism.</w:t>
            </w:r>
          </w:p>
        </w:tc>
        <w:tc>
          <w:tcPr>
            <w:tcW w:w="28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CEC8385">
            <w:r>
              <w:rPr>
                <w:b/>
              </w:rPr>
              <w:t>Opportunity</w:t>
            </w:r>
            <w:r>
              <w:t xml:space="preserve"> – Greyfriars can introduce wellness packages and local cultural experiences to meet this demand.</w:t>
            </w:r>
          </w:p>
        </w:tc>
      </w:tr>
      <w:tr w14:paraId="23551089">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165" w:hRule="atLeast"/>
        </w:trPr>
        <w:tc>
          <w:tcPr>
            <w:tcW w:w="176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AACE89">
            <w:r>
              <w:rPr>
                <w:b/>
              </w:rPr>
              <w:t>Technological</w:t>
            </w:r>
          </w:p>
        </w:tc>
        <w:tc>
          <w:tcPr>
            <w:tcW w:w="474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74C238B">
            <w:r>
              <w:t>UK hospitality is starting to rise on the expectations of the increasing digital service incumbents, for example, online booking, AI personalised booking experience and smart room tech. Statista (2025) reports that 79% of UK travellers expect mobile check-in and room automation features. Greyfriars currently lacks these capabilities.</w:t>
            </w:r>
          </w:p>
        </w:tc>
        <w:tc>
          <w:tcPr>
            <w:tcW w:w="28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D6D3CDB">
            <w:r>
              <w:rPr>
                <w:b/>
              </w:rPr>
              <w:t>Threat</w:t>
            </w:r>
            <w:r>
              <w:t xml:space="preserve"> – Falling behind on tech integration may cause further dissatisfaction and limit appeal to tech-savvy guests.</w:t>
            </w:r>
          </w:p>
        </w:tc>
      </w:tr>
      <w:tr w14:paraId="5F6A15A0">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880" w:hRule="atLeast"/>
        </w:trPr>
        <w:tc>
          <w:tcPr>
            <w:tcW w:w="176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62A423E">
            <w:r>
              <w:rPr>
                <w:b/>
              </w:rPr>
              <w:t>Economic</w:t>
            </w:r>
          </w:p>
        </w:tc>
        <w:tc>
          <w:tcPr>
            <w:tcW w:w="474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0B80AB4">
            <w:r>
              <w:t>The UK inflation rate stood at 3.5% in April 2025, with rising costs in utilities, wages, and imported goods impacting hospitality margins (ONS, 2025). Guests are also more value-conscious, choosing to stay in properties offering all-inclusive experiences.</w:t>
            </w:r>
          </w:p>
        </w:tc>
        <w:tc>
          <w:tcPr>
            <w:tcW w:w="28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7569867">
            <w:r>
              <w:rPr>
                <w:b/>
              </w:rPr>
              <w:t>Threat</w:t>
            </w:r>
            <w:r>
              <w:t xml:space="preserve"> – Economic pressure may limit investment in leisure facilities while guests expect more value for money.</w:t>
            </w:r>
          </w:p>
        </w:tc>
      </w:tr>
      <w:tr w14:paraId="301788E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880" w:hRule="atLeast"/>
        </w:trPr>
        <w:tc>
          <w:tcPr>
            <w:tcW w:w="176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84855CD">
            <w:r>
              <w:rPr>
                <w:b/>
              </w:rPr>
              <w:t>Environmental</w:t>
            </w:r>
          </w:p>
        </w:tc>
        <w:tc>
          <w:tcPr>
            <w:tcW w:w="474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759F461">
            <w:r>
              <w:t>Pressure on the UK hospitality industry to adopt sustainable practices is ever-growing. According to the Sustainable Hospitality Alliance (2024), 72% of guests say they are more likely to stay at environmentally conscious hotels.</w:t>
            </w:r>
          </w:p>
        </w:tc>
        <w:tc>
          <w:tcPr>
            <w:tcW w:w="28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477F5F0">
            <w:r>
              <w:rPr>
                <w:b/>
              </w:rPr>
              <w:t>Opportunity</w:t>
            </w:r>
            <w:r>
              <w:t xml:space="preserve"> – Greyfriars can promote low-carbon initiatives, source local products, and adopt green building certifications to boost brand appeal.</w:t>
            </w:r>
          </w:p>
        </w:tc>
      </w:tr>
      <w:tr w14:paraId="113586EB">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610" w:hRule="atLeast"/>
        </w:trPr>
        <w:tc>
          <w:tcPr>
            <w:tcW w:w="176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1C6FA76">
            <w:r>
              <w:rPr>
                <w:b/>
              </w:rPr>
              <w:t>Political</w:t>
            </w:r>
          </w:p>
        </w:tc>
        <w:tc>
          <w:tcPr>
            <w:tcW w:w="474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EEF929F">
            <w:r>
              <w:t>The UK government’s “Hospitality Strategy: Reopening, Recovery, Resilience” offers recovery grants, training schemes, and VAT relief to boost tourism growth post-COVID (GOV.UK, 2025)</w:t>
            </w:r>
          </w:p>
        </w:tc>
        <w:tc>
          <w:tcPr>
            <w:tcW w:w="28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36DE952">
            <w:r>
              <w:rPr>
                <w:b/>
              </w:rPr>
              <w:t>Opportunity</w:t>
            </w:r>
            <w:r>
              <w:t xml:space="preserve"> – Greyfriars can capitalise on policy support to invest in staff training and service upgrades.</w:t>
            </w:r>
          </w:p>
        </w:tc>
      </w:tr>
      <w:tr w14:paraId="3D444DC1">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165" w:hRule="atLeast"/>
        </w:trPr>
        <w:tc>
          <w:tcPr>
            <w:tcW w:w="176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AB67174">
            <w:r>
              <w:rPr>
                <w:b/>
              </w:rPr>
              <w:t>Legal</w:t>
            </w:r>
          </w:p>
        </w:tc>
        <w:tc>
          <w:tcPr>
            <w:tcW w:w="474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EB725A4">
            <w:r>
              <w:t>The Employment Rights Act 1996 and Working Time Regulations 1998 require fair treatment of employees (Legislation.gov.uk,</w:t>
            </w:r>
            <w:r>
              <w:rPr>
                <w:i/>
              </w:rPr>
              <w:t xml:space="preserve"> </w:t>
            </w:r>
            <w:r>
              <w:t>2025). Additionally, the Consumer Rights Act 2015 obliges hotels to deliver advertised services, meaning the absence of facilities like spas could be legally contentious if promoted misleadingly (Legislation.gov.uk, 2025).</w:t>
            </w:r>
          </w:p>
        </w:tc>
        <w:tc>
          <w:tcPr>
            <w:tcW w:w="28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B4340D6">
            <w:r>
              <w:rPr>
                <w:b/>
              </w:rPr>
              <w:t>Threat</w:t>
            </w:r>
            <w:r>
              <w:t xml:space="preserve"> – Failing to align services with marketing can lead to legal complaints or reputational damage.</w:t>
            </w:r>
          </w:p>
        </w:tc>
      </w:tr>
      <w:tr w14:paraId="58C0F3D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1880" w:hRule="atLeast"/>
        </w:trPr>
        <w:tc>
          <w:tcPr>
            <w:tcW w:w="1763"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611DD9A">
            <w:r>
              <w:rPr>
                <w:b/>
              </w:rPr>
              <w:t>Ethical</w:t>
            </w:r>
          </w:p>
        </w:tc>
        <w:tc>
          <w:tcPr>
            <w:tcW w:w="4744"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4324DF6">
            <w:r>
              <w:t>There is increasing public scrutiny around ethical sourcing, diversity in staffing, and community involvement in UK hotels (</w:t>
            </w:r>
            <w:r>
              <w:rPr>
                <w:highlight w:val="white"/>
              </w:rPr>
              <w:t>Dimitriou, 2022)</w:t>
            </w:r>
            <w:r>
              <w:t>. Ethical practices now influence brand perception and booking behaviour.</w:t>
            </w:r>
          </w:p>
        </w:tc>
        <w:tc>
          <w:tcPr>
            <w:tcW w:w="28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A355AA4">
            <w:r>
              <w:rPr>
                <w:b/>
              </w:rPr>
              <w:t>Opportunity</w:t>
            </w:r>
            <w:r>
              <w:t xml:space="preserve"> – By promoting ethical employment, fair sourcing, and inclusive marketing, Greyfriars can enhance its trust and reputation.</w:t>
            </w:r>
          </w:p>
        </w:tc>
      </w:tr>
    </w:tbl>
    <w:p w14:paraId="7E26B911">
      <w:pPr>
        <w:jc w:val="center"/>
      </w:pPr>
      <w:r>
        <w:t>(Source: Learner)</w:t>
      </w:r>
    </w:p>
    <w:p w14:paraId="12E09AE2">
      <w:r>
        <w:t>The STEEPLED analysis also points to challenges and strategic opportunities for Greyfriars Hotel. Rising operational costs coupled with changing guest expectations for digital convenience place a significant threat from economic and technological perspectives. Keep legal compliance and accurately tune service promotion to avoid reputational or regulatory risks. Although there are still issues of sustainable tourism since it’s new and a mix between the tourist activity and the protected natural area, there are new opportunities like the growing demand of wellness tourism, government support policies and new ethical and sustainable practices. Similarly, retention can also be increased through targeted experiences aimed at the ageing demographic. Aligned with these macro-environmental trends, Greyfriars can further position itself favorably and at the same time satisfy the needs of modern luxury travellers in the UK market.</w:t>
      </w:r>
    </w:p>
    <w:p w14:paraId="11BC4103">
      <w:pPr>
        <w:pBdr>
          <w:top w:val="none" w:color="auto" w:sz="0" w:space="0"/>
          <w:left w:val="none" w:color="auto" w:sz="0" w:space="0"/>
          <w:bottom w:val="none" w:color="auto" w:sz="0" w:space="0"/>
          <w:right w:val="none" w:color="auto" w:sz="0" w:space="0"/>
          <w:between w:val="none" w:color="auto" w:sz="0" w:space="0"/>
        </w:pBdr>
        <w:jc w:val="left"/>
        <w:rPr>
          <w:b/>
          <w:color w:val="000000"/>
        </w:rPr>
      </w:pPr>
      <w:r>
        <w:br w:type="page"/>
      </w:r>
    </w:p>
    <w:p w14:paraId="3F27E6A4">
      <w:pPr>
        <w:pStyle w:val="3"/>
      </w:pPr>
      <w:bookmarkStart w:id="14" w:name="_Toc199774786"/>
      <w:r>
        <w:t>2.4 SWOT and TOWS</w:t>
      </w:r>
      <w:bookmarkEnd w:id="14"/>
    </w:p>
    <w:tbl>
      <w:tblPr>
        <w:tblStyle w:val="30"/>
        <w:tblW w:w="9029" w:type="dxa"/>
        <w:tblInd w:w="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CellMar>
          <w:top w:w="100" w:type="dxa"/>
          <w:left w:w="100" w:type="dxa"/>
          <w:bottom w:w="100" w:type="dxa"/>
          <w:right w:w="100" w:type="dxa"/>
        </w:tblCellMar>
      </w:tblPr>
      <w:tblGrid>
        <w:gridCol w:w="4514"/>
        <w:gridCol w:w="4515"/>
      </w:tblGrid>
      <w:tr w14:paraId="5818AACA">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4514" w:type="dxa"/>
            <w:shd w:val="clear" w:color="auto" w:fill="auto"/>
            <w:tcMar>
              <w:top w:w="100" w:type="dxa"/>
              <w:left w:w="100" w:type="dxa"/>
              <w:bottom w:w="100" w:type="dxa"/>
              <w:right w:w="100" w:type="dxa"/>
            </w:tcMar>
          </w:tcPr>
          <w:p w14:paraId="4FA135E4">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 xml:space="preserve">Strengths </w:t>
            </w:r>
          </w:p>
          <w:p w14:paraId="0413A916">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key strength of the hotel is its prime location in the heart of St Andrews, one of the most popular tourist destinations.</w:t>
            </w:r>
          </w:p>
          <w:p w14:paraId="3947F1B4">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Moreover, the hotel is a boutique-style establishment with individually designed rooms, appealing to high-income travelers.</w:t>
            </w:r>
          </w:p>
          <w:p w14:paraId="572C0217">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hotel also has a strong reputation for providing high-quality food and beverage products through its restaurant and on-site bar (Greyfriars Hotel Colchester, 2025).</w:t>
            </w:r>
          </w:p>
          <w:p w14:paraId="3EC51681">
            <w:pPr>
              <w:widowControl w:val="0"/>
              <w:numPr>
                <w:ilvl w:val="0"/>
                <w:numId w:val="1"/>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The hotel excels in both friendly service and high standards, and its workforce is highly skilled, knowledgeable, and friendly. </w:t>
            </w:r>
          </w:p>
          <w:p w14:paraId="35ABB5CE">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p>
        </w:tc>
        <w:tc>
          <w:tcPr>
            <w:tcW w:w="4515" w:type="dxa"/>
            <w:shd w:val="clear" w:color="auto" w:fill="auto"/>
            <w:tcMar>
              <w:top w:w="100" w:type="dxa"/>
              <w:left w:w="100" w:type="dxa"/>
              <w:bottom w:w="100" w:type="dxa"/>
              <w:right w:w="100" w:type="dxa"/>
            </w:tcMar>
          </w:tcPr>
          <w:p w14:paraId="6DFF2537">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 xml:space="preserve">Weaknesses </w:t>
            </w:r>
          </w:p>
          <w:p w14:paraId="01BAA6B1">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However, on the contrary, one of the significant weaknesses faced by the hotel is its limited leisure amenities, as it does not provide a spa, in-house entertainment, or gym. </w:t>
            </w:r>
          </w:p>
          <w:p w14:paraId="5B33DC1A">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Additionally, the low rate of repeat customers is another major weakness of the hotel, as it fails to implement engaging experiences and marketing tactics for its customers.</w:t>
            </w:r>
          </w:p>
          <w:p w14:paraId="0337C33D">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Furthermore, it is also ineffective in terms of social media marketing and digital marketing, thereby limiting engagement among the guests.</w:t>
            </w:r>
          </w:p>
          <w:p w14:paraId="58979BDC">
            <w:pPr>
              <w:widowControl w:val="0"/>
              <w:numPr>
                <w:ilvl w:val="0"/>
                <w:numId w:val="2"/>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There is significant fluctuation in demand across different seasons, which affects the occupancy rate (Lozano </w:t>
            </w:r>
            <w:r>
              <w:rPr>
                <w:rFonts w:ascii="Times New Roman" w:hAnsi="Times New Roman" w:eastAsia="Times New Roman" w:cs="Times New Roman"/>
                <w:i/>
                <w:color w:val="000000"/>
                <w:sz w:val="24"/>
                <w:szCs w:val="24"/>
              </w:rPr>
              <w:t xml:space="preserve">et al., </w:t>
            </w:r>
            <w:r>
              <w:rPr>
                <w:rFonts w:ascii="Times New Roman" w:hAnsi="Times New Roman" w:eastAsia="Times New Roman" w:cs="Times New Roman"/>
                <w:color w:val="000000"/>
                <w:sz w:val="24"/>
                <w:szCs w:val="24"/>
              </w:rPr>
              <w:t xml:space="preserve">2021). </w:t>
            </w:r>
          </w:p>
          <w:p w14:paraId="37C733A5">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p>
        </w:tc>
      </w:tr>
      <w:tr w14:paraId="21599314">
        <w:tblPrEx>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CellMar>
            <w:top w:w="100" w:type="dxa"/>
            <w:left w:w="100" w:type="dxa"/>
            <w:bottom w:w="100" w:type="dxa"/>
            <w:right w:w="100" w:type="dxa"/>
          </w:tblCellMar>
        </w:tblPrEx>
        <w:trPr>
          <w:cantSplit/>
          <w:tblHeader/>
        </w:trPr>
        <w:tc>
          <w:tcPr>
            <w:tcW w:w="4514" w:type="dxa"/>
            <w:shd w:val="clear" w:color="auto" w:fill="auto"/>
            <w:tcMar>
              <w:top w:w="100" w:type="dxa"/>
              <w:left w:w="100" w:type="dxa"/>
              <w:bottom w:w="100" w:type="dxa"/>
              <w:right w:w="100" w:type="dxa"/>
            </w:tcMar>
          </w:tcPr>
          <w:p w14:paraId="36B9C5AF">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Opportunities</w:t>
            </w:r>
          </w:p>
          <w:p w14:paraId="35DE84F1">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As mentioned by Grand View Research (2025), there is an increase in demand for wellness tourism and experiential tourism, with a CAGR of 11%, which is likely to boost the occupancy rate and profitability of hotels.</w:t>
            </w:r>
          </w:p>
          <w:p w14:paraId="20B4C997">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Moreover, it could also leverage collaboration with local businesses to improve guest experiences, such as tours.</w:t>
            </w:r>
          </w:p>
          <w:p w14:paraId="1D9E8CF1">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In the post-pandemic period, the UK government has provided substantial support to the UK's hospitality and tourism sector, allowing Greyfriars Hotel to access government aid and funding assistance (Gov.uk, 2025).</w:t>
            </w:r>
          </w:p>
          <w:p w14:paraId="49F9EAA2">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It could also benefit from targeted marketing strategies and loyalty programs in fostering engagement among visitors and potential customers.</w:t>
            </w:r>
          </w:p>
          <w:p w14:paraId="41499B6A">
            <w:pPr>
              <w:widowControl w:val="0"/>
              <w:numPr>
                <w:ilvl w:val="0"/>
                <w:numId w:val="3"/>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To mitigate the issue of a lack of wellness programs, such as spas or gyms, hosting events or packages could be hugely beneficial (Buttrick, 2009).</w:t>
            </w:r>
          </w:p>
          <w:p w14:paraId="5AD83395">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p>
        </w:tc>
        <w:tc>
          <w:tcPr>
            <w:tcW w:w="4515" w:type="dxa"/>
            <w:shd w:val="clear" w:color="auto" w:fill="auto"/>
            <w:tcMar>
              <w:top w:w="100" w:type="dxa"/>
              <w:left w:w="100" w:type="dxa"/>
              <w:bottom w:w="100" w:type="dxa"/>
              <w:right w:w="100" w:type="dxa"/>
            </w:tcMar>
          </w:tcPr>
          <w:p w14:paraId="006E6FAC">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Threats</w:t>
            </w:r>
          </w:p>
          <w:p w14:paraId="188B970C">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hotel faces a primary threat due to intense competition from local hotels, which offer leisure packages and wellness programs. As mentioned by the Old Course Hotel (2025), some of the direct competitors of the hotel include the Old Course Hotel, Rufflets St Andrews, and Fairmont St Andrews.</w:t>
            </w:r>
          </w:p>
          <w:p w14:paraId="579AAE19">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According to the Office for National Statistics (2025), as of 2025, the inflation rate in the UK stood at 3.5%, which could impact customer spending on boutique hotels.</w:t>
            </w:r>
          </w:p>
          <w:p w14:paraId="096521A6">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hotel’s investment in leisure activities could be impeded by increasing operational costs.</w:t>
            </w:r>
          </w:p>
          <w:p w14:paraId="1E1A1CD9">
            <w:pPr>
              <w:widowControl w:val="0"/>
              <w:numPr>
                <w:ilvl w:val="0"/>
                <w:numId w:val="4"/>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In the opinion of Bumbak (2024), Greyfriars Hotel faces intense platform-based competition from booking platforms, including Airbnb and Booking.com. </w:t>
            </w:r>
          </w:p>
          <w:p w14:paraId="74BAC0E1">
            <w:pPr>
              <w:widowControl w:val="0"/>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p>
        </w:tc>
      </w:tr>
    </w:tbl>
    <w:p w14:paraId="77A8B650">
      <w:pPr>
        <w:pBdr>
          <w:top w:val="none" w:color="auto" w:sz="0" w:space="0"/>
          <w:left w:val="none" w:color="auto" w:sz="0" w:space="0"/>
          <w:bottom w:val="none" w:color="auto" w:sz="0" w:space="0"/>
          <w:right w:val="none" w:color="auto" w:sz="0" w:space="0"/>
          <w:between w:val="none" w:color="auto" w:sz="0" w:space="0"/>
        </w:pBdr>
        <w:jc w:val="center"/>
        <w:rPr>
          <w:b/>
          <w:color w:val="000000"/>
        </w:rPr>
      </w:pPr>
      <w:r>
        <w:rPr>
          <w:b/>
          <w:color w:val="000000"/>
        </w:rPr>
        <w:t xml:space="preserve">Table: SWOT analysis </w:t>
      </w:r>
    </w:p>
    <w:p w14:paraId="3B6E5265">
      <w:pPr>
        <w:pBdr>
          <w:top w:val="none" w:color="auto" w:sz="0" w:space="0"/>
          <w:left w:val="none" w:color="auto" w:sz="0" w:space="0"/>
          <w:bottom w:val="none" w:color="auto" w:sz="0" w:space="0"/>
          <w:right w:val="none" w:color="auto" w:sz="0" w:space="0"/>
          <w:between w:val="none" w:color="auto" w:sz="0" w:space="0"/>
        </w:pBdr>
        <w:jc w:val="center"/>
        <w:rPr>
          <w:color w:val="000000"/>
        </w:rPr>
      </w:pPr>
      <w:r>
        <w:rPr>
          <w:color w:val="000000"/>
        </w:rPr>
        <w:t xml:space="preserve">(Source: Created by Author) </w:t>
      </w:r>
    </w:p>
    <w:p w14:paraId="1134A7FD">
      <w:pPr>
        <w:pBdr>
          <w:top w:val="none" w:color="auto" w:sz="0" w:space="0"/>
          <w:left w:val="none" w:color="auto" w:sz="0" w:space="0"/>
          <w:bottom w:val="none" w:color="auto" w:sz="0" w:space="0"/>
          <w:right w:val="none" w:color="auto" w:sz="0" w:space="0"/>
          <w:between w:val="none" w:color="auto" w:sz="0" w:space="0"/>
        </w:pBdr>
        <w:jc w:val="center"/>
        <w:rPr>
          <w:color w:val="000000"/>
        </w:rPr>
      </w:pPr>
    </w:p>
    <w:tbl>
      <w:tblPr>
        <w:tblStyle w:val="31"/>
        <w:tblW w:w="8835"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1275"/>
        <w:gridCol w:w="3765"/>
        <w:gridCol w:w="3795"/>
      </w:tblGrid>
      <w:tr w14:paraId="3E1E63B8">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315" w:hRule="atLeast"/>
          <w:tblHeader/>
        </w:trPr>
        <w:tc>
          <w:tcPr>
            <w:tcW w:w="1275" w:type="dxa"/>
            <w:tcBorders>
              <w:top w:val="single" w:color="000000" w:sz="6" w:space="0"/>
              <w:left w:val="single" w:color="000000" w:sz="6" w:space="0"/>
              <w:bottom w:val="single" w:color="000000" w:sz="6" w:space="0"/>
              <w:right w:val="single" w:color="000000" w:sz="6" w:space="0"/>
            </w:tcBorders>
            <w:tcMar>
              <w:top w:w="0" w:type="dxa"/>
              <w:left w:w="100" w:type="dxa"/>
              <w:bottom w:w="0" w:type="dxa"/>
              <w:right w:w="100" w:type="dxa"/>
            </w:tcMar>
          </w:tcPr>
          <w:p w14:paraId="638CC0F8">
            <w:pPr>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 </w:t>
            </w:r>
          </w:p>
        </w:tc>
        <w:tc>
          <w:tcPr>
            <w:tcW w:w="3765"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14:paraId="3AB309DC">
            <w:pPr>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Opportunities</w:t>
            </w:r>
          </w:p>
        </w:tc>
        <w:tc>
          <w:tcPr>
            <w:tcW w:w="3795" w:type="dxa"/>
            <w:tcBorders>
              <w:top w:val="single" w:color="000000" w:sz="6" w:space="0"/>
              <w:left w:val="nil"/>
              <w:bottom w:val="single" w:color="000000" w:sz="6" w:space="0"/>
              <w:right w:val="single" w:color="000000" w:sz="6" w:space="0"/>
            </w:tcBorders>
            <w:tcMar>
              <w:top w:w="0" w:type="dxa"/>
              <w:left w:w="100" w:type="dxa"/>
              <w:bottom w:w="0" w:type="dxa"/>
              <w:right w:w="100" w:type="dxa"/>
            </w:tcMar>
          </w:tcPr>
          <w:p w14:paraId="3C643B39">
            <w:pPr>
              <w:pBdr>
                <w:top w:val="none" w:color="auto" w:sz="0" w:space="0"/>
                <w:left w:val="none" w:color="auto" w:sz="0" w:space="0"/>
                <w:bottom w:val="none" w:color="auto" w:sz="0" w:space="0"/>
                <w:right w:val="none" w:color="auto" w:sz="0" w:space="0"/>
                <w:between w:val="none" w:color="auto" w:sz="0" w:space="0"/>
              </w:pBdr>
              <w:spacing w:line="360" w:lineRule="auto"/>
              <w:jc w:val="center"/>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Threats</w:t>
            </w:r>
          </w:p>
        </w:tc>
      </w:tr>
      <w:tr w14:paraId="249AEDF7">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4995" w:hRule="atLeast"/>
          <w:tblHeader/>
        </w:trPr>
        <w:tc>
          <w:tcPr>
            <w:tcW w:w="1275"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2B82A27A">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Strengths</w:t>
            </w:r>
          </w:p>
        </w:tc>
        <w:tc>
          <w:tcPr>
            <w:tcW w:w="3765" w:type="dxa"/>
            <w:tcBorders>
              <w:top w:val="nil"/>
              <w:left w:val="nil"/>
              <w:bottom w:val="single" w:color="000000" w:sz="6" w:space="0"/>
              <w:right w:val="single" w:color="000000" w:sz="6" w:space="0"/>
            </w:tcBorders>
            <w:tcMar>
              <w:top w:w="0" w:type="dxa"/>
              <w:left w:w="100" w:type="dxa"/>
              <w:bottom w:w="0" w:type="dxa"/>
              <w:right w:w="100" w:type="dxa"/>
            </w:tcMar>
          </w:tcPr>
          <w:p w14:paraId="3FF63131">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Strengths/opportunities</w:t>
            </w:r>
          </w:p>
          <w:p w14:paraId="655D7AA8">
            <w:pPr>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hotel should use its central location and historical features to develop local experience packages, including gold, spa, or heritage tours (Burnes, 2014</w:t>
            </w:r>
            <w:r>
              <w:rPr>
                <w:rFonts w:ascii="Times New Roman" w:hAnsi="Times New Roman" w:eastAsia="Times New Roman" w:cs="Times New Roman"/>
                <w:color w:val="000000"/>
                <w:sz w:val="22"/>
                <w:szCs w:val="22"/>
              </w:rPr>
              <w:t>)</w:t>
            </w:r>
            <w:r>
              <w:rPr>
                <w:rFonts w:ascii="Times New Roman" w:hAnsi="Times New Roman" w:eastAsia="Times New Roman" w:cs="Times New Roman"/>
                <w:color w:val="000000"/>
                <w:sz w:val="24"/>
                <w:szCs w:val="24"/>
              </w:rPr>
              <w:t>.</w:t>
            </w:r>
          </w:p>
          <w:p w14:paraId="567FDCB9">
            <w:pPr>
              <w:numPr>
                <w:ilvl w:val="0"/>
                <w:numId w:val="5"/>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It should also capitalize on its reputation in the food capitalization sector to host exclusive tasting nights, which would help attract experience-driven guests (Liu </w:t>
            </w:r>
            <w:r>
              <w:rPr>
                <w:rFonts w:ascii="Times New Roman" w:hAnsi="Times New Roman" w:eastAsia="Times New Roman" w:cs="Times New Roman"/>
                <w:i/>
                <w:color w:val="000000"/>
                <w:sz w:val="24"/>
                <w:szCs w:val="24"/>
              </w:rPr>
              <w:t xml:space="preserve">et al., </w:t>
            </w:r>
            <w:r>
              <w:rPr>
                <w:rFonts w:ascii="Times New Roman" w:hAnsi="Times New Roman" w:eastAsia="Times New Roman" w:cs="Times New Roman"/>
                <w:color w:val="000000"/>
                <w:sz w:val="24"/>
                <w:szCs w:val="24"/>
              </w:rPr>
              <w:t>2024).</w:t>
            </w:r>
          </w:p>
        </w:tc>
        <w:tc>
          <w:tcPr>
            <w:tcW w:w="3795" w:type="dxa"/>
            <w:tcBorders>
              <w:top w:val="nil"/>
              <w:left w:val="nil"/>
              <w:bottom w:val="single" w:color="000000" w:sz="6" w:space="0"/>
              <w:right w:val="single" w:color="000000" w:sz="6" w:space="0"/>
            </w:tcBorders>
            <w:tcMar>
              <w:top w:w="0" w:type="dxa"/>
              <w:left w:w="100" w:type="dxa"/>
              <w:bottom w:w="0" w:type="dxa"/>
              <w:right w:w="100" w:type="dxa"/>
            </w:tcMar>
          </w:tcPr>
          <w:p w14:paraId="3B289AB2">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Strengths/Threats</w:t>
            </w:r>
          </w:p>
          <w:p w14:paraId="2BAD66FB">
            <w:pPr>
              <w:numPr>
                <w:ilvl w:val="0"/>
                <w:numId w:val="6"/>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It could leverage excellent service standards to outcompete the market by providing enhanced and stronger amenities.</w:t>
            </w:r>
          </w:p>
          <w:p w14:paraId="3AF68D93">
            <w:pPr>
              <w:numPr>
                <w:ilvl w:val="0"/>
                <w:numId w:val="6"/>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Additionally, as suggested by Shin </w:t>
            </w:r>
            <w:r>
              <w:rPr>
                <w:rFonts w:ascii="Times New Roman" w:hAnsi="Times New Roman" w:eastAsia="Times New Roman" w:cs="Times New Roman"/>
                <w:i/>
                <w:color w:val="000000"/>
                <w:sz w:val="24"/>
                <w:szCs w:val="24"/>
              </w:rPr>
              <w:t xml:space="preserve">et al. </w:t>
            </w:r>
            <w:r>
              <w:rPr>
                <w:rFonts w:ascii="Times New Roman" w:hAnsi="Times New Roman" w:eastAsia="Times New Roman" w:cs="Times New Roman"/>
                <w:color w:val="000000"/>
                <w:sz w:val="24"/>
                <w:szCs w:val="24"/>
              </w:rPr>
              <w:t>(2023), it could also consider collecting testimonials from guests and addressing any negative reviews to enhance its brand reputation.</w:t>
            </w:r>
          </w:p>
        </w:tc>
      </w:tr>
      <w:tr w14:paraId="6198A2E4">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cantSplit/>
          <w:trHeight w:val="315" w:hRule="atLeast"/>
          <w:tblHeader/>
        </w:trPr>
        <w:tc>
          <w:tcPr>
            <w:tcW w:w="1275" w:type="dxa"/>
            <w:tcBorders>
              <w:top w:val="nil"/>
              <w:left w:val="single" w:color="000000" w:sz="6" w:space="0"/>
              <w:bottom w:val="single" w:color="000000" w:sz="6" w:space="0"/>
              <w:right w:val="single" w:color="000000" w:sz="6" w:space="0"/>
            </w:tcBorders>
            <w:tcMar>
              <w:top w:w="0" w:type="dxa"/>
              <w:left w:w="100" w:type="dxa"/>
              <w:bottom w:w="0" w:type="dxa"/>
              <w:right w:w="100" w:type="dxa"/>
            </w:tcMar>
          </w:tcPr>
          <w:p w14:paraId="319FD431">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Weaknesses</w:t>
            </w:r>
          </w:p>
        </w:tc>
        <w:tc>
          <w:tcPr>
            <w:tcW w:w="3765" w:type="dxa"/>
            <w:tcBorders>
              <w:top w:val="nil"/>
              <w:left w:val="nil"/>
              <w:bottom w:val="single" w:color="000000" w:sz="6" w:space="0"/>
              <w:right w:val="single" w:color="000000" w:sz="6" w:space="0"/>
            </w:tcBorders>
            <w:tcMar>
              <w:top w:w="0" w:type="dxa"/>
              <w:left w:w="100" w:type="dxa"/>
              <w:bottom w:w="0" w:type="dxa"/>
              <w:right w:w="100" w:type="dxa"/>
            </w:tcMar>
          </w:tcPr>
          <w:p w14:paraId="2A8BFBE2">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 xml:space="preserve"> Weaknesses/Opportunities</w:t>
            </w:r>
          </w:p>
          <w:p w14:paraId="688D9B12">
            <w:pPr>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The hotel must form partnerships and collaborations with wellness providers to introduce pop-up fitness or spa activities, which would also require less capital investment for the hotel.</w:t>
            </w:r>
          </w:p>
          <w:p w14:paraId="77BFD040">
            <w:pPr>
              <w:numPr>
                <w:ilvl w:val="0"/>
                <w:numId w:val="7"/>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It must launch affordable loyalty programs to enhance long-term customer retention and repeat purchase behavior (Lentz </w:t>
            </w:r>
            <w:r>
              <w:rPr>
                <w:rFonts w:ascii="Times New Roman" w:hAnsi="Times New Roman" w:eastAsia="Times New Roman" w:cs="Times New Roman"/>
                <w:i/>
                <w:color w:val="000000"/>
                <w:sz w:val="24"/>
                <w:szCs w:val="24"/>
              </w:rPr>
              <w:t xml:space="preserve">et al., </w:t>
            </w:r>
            <w:r>
              <w:rPr>
                <w:rFonts w:ascii="Times New Roman" w:hAnsi="Times New Roman" w:eastAsia="Times New Roman" w:cs="Times New Roman"/>
                <w:color w:val="000000"/>
                <w:sz w:val="24"/>
                <w:szCs w:val="24"/>
              </w:rPr>
              <w:t xml:space="preserve">2021). </w:t>
            </w:r>
          </w:p>
          <w:p w14:paraId="10A18F03">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p>
        </w:tc>
        <w:tc>
          <w:tcPr>
            <w:tcW w:w="3795" w:type="dxa"/>
            <w:tcBorders>
              <w:top w:val="nil"/>
              <w:left w:val="nil"/>
              <w:bottom w:val="single" w:color="000000" w:sz="6" w:space="0"/>
              <w:right w:val="single" w:color="000000" w:sz="6" w:space="0"/>
            </w:tcBorders>
            <w:tcMar>
              <w:top w:w="0" w:type="dxa"/>
              <w:left w:w="100" w:type="dxa"/>
              <w:bottom w:w="0" w:type="dxa"/>
              <w:right w:w="100" w:type="dxa"/>
            </w:tcMar>
          </w:tcPr>
          <w:p w14:paraId="47E46DEF">
            <w:p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b/>
                <w:color w:val="000000"/>
                <w:sz w:val="24"/>
                <w:szCs w:val="24"/>
              </w:rPr>
            </w:pPr>
            <w:r>
              <w:rPr>
                <w:rFonts w:ascii="Times New Roman" w:hAnsi="Times New Roman" w:eastAsia="Times New Roman" w:cs="Times New Roman"/>
                <w:b/>
                <w:color w:val="000000"/>
                <w:sz w:val="24"/>
                <w:szCs w:val="24"/>
              </w:rPr>
              <w:t xml:space="preserve"> Weaknesses/Threats </w:t>
            </w:r>
          </w:p>
          <w:p w14:paraId="26ACE789">
            <w:pPr>
              <w:numPr>
                <w:ilvl w:val="0"/>
                <w:numId w:val="8"/>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To eliminate competition from local hotels, it must address the gaps in its loyalty programs and digital marketing campaigns.</w:t>
            </w:r>
          </w:p>
          <w:p w14:paraId="7B2AD776">
            <w:pPr>
              <w:numPr>
                <w:ilvl w:val="0"/>
                <w:numId w:val="8"/>
              </w:numPr>
              <w:pBdr>
                <w:top w:val="none" w:color="auto" w:sz="0" w:space="0"/>
                <w:left w:val="none" w:color="auto" w:sz="0" w:space="0"/>
                <w:bottom w:val="none" w:color="auto" w:sz="0" w:space="0"/>
                <w:right w:val="none" w:color="auto" w:sz="0" w:space="0"/>
                <w:between w:val="none" w:color="auto" w:sz="0" w:space="0"/>
              </w:pBdr>
              <w:spacing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 xml:space="preserve">Additionally, as influenced by Nguyen (2024), the reputational risks facing the hotel can be mitigated by enhancing its online presence and tailoring its services to meet the specific needs of customers in the highly competitive UK hotel and tourism sector. </w:t>
            </w:r>
          </w:p>
        </w:tc>
      </w:tr>
    </w:tbl>
    <w:p w14:paraId="014E5A08">
      <w:pPr>
        <w:pBdr>
          <w:top w:val="none" w:color="auto" w:sz="0" w:space="0"/>
          <w:left w:val="none" w:color="auto" w:sz="0" w:space="0"/>
          <w:bottom w:val="none" w:color="auto" w:sz="0" w:space="0"/>
          <w:right w:val="none" w:color="auto" w:sz="0" w:space="0"/>
          <w:between w:val="none" w:color="auto" w:sz="0" w:space="0"/>
        </w:pBdr>
        <w:jc w:val="center"/>
        <w:rPr>
          <w:b/>
          <w:color w:val="000000"/>
        </w:rPr>
      </w:pPr>
      <w:r>
        <w:rPr>
          <w:b/>
          <w:color w:val="000000"/>
        </w:rPr>
        <w:t>Table: TOWS matrix</w:t>
      </w:r>
    </w:p>
    <w:p w14:paraId="2B307B64">
      <w:pPr>
        <w:jc w:val="center"/>
      </w:pPr>
      <w:r>
        <w:t>(Source: Created by Author)</w:t>
      </w:r>
    </w:p>
    <w:p w14:paraId="3A893F80">
      <w:pPr>
        <w:pStyle w:val="2"/>
      </w:pPr>
      <w:bookmarkStart w:id="15" w:name="_Toc199774787"/>
      <w:r>
        <w:t>3. Recommendations and Change Management</w:t>
      </w:r>
      <w:bookmarkEnd w:id="15"/>
    </w:p>
    <w:p w14:paraId="213DBADC">
      <w:pPr>
        <w:pStyle w:val="3"/>
      </w:pPr>
      <w:bookmarkStart w:id="16" w:name="_Toc199774788"/>
      <w:r>
        <w:t>3.1 Recommendations</w:t>
      </w:r>
      <w:bookmarkEnd w:id="16"/>
    </w:p>
    <w:p w14:paraId="4EA29D83">
      <w:pPr>
        <w:rPr>
          <w:highlight w:val="white"/>
        </w:rPr>
      </w:pPr>
      <w:r>
        <w:rPr>
          <w:highlight w:val="white"/>
        </w:rPr>
        <w:t>To address the particular issues of low guest retention and limited repeat bookings at the Greyfriars Hotel, it is crucial to implement some strategic and customer-centric operational movements as follows.</w:t>
      </w:r>
    </w:p>
    <w:p w14:paraId="1316FDBB">
      <w:pPr>
        <w:numPr>
          <w:ilvl w:val="0"/>
          <w:numId w:val="9"/>
        </w:numPr>
        <w:rPr>
          <w:b/>
          <w:highlight w:val="white"/>
        </w:rPr>
      </w:pPr>
      <w:r>
        <w:rPr>
          <w:b/>
          <w:highlight w:val="white"/>
        </w:rPr>
        <w:t>Introduce wellness and leisure facilities</w:t>
      </w:r>
    </w:p>
    <w:p w14:paraId="664D702D">
      <w:pPr>
        <w:rPr>
          <w:highlight w:val="white"/>
        </w:rPr>
      </w:pPr>
      <w:r>
        <w:rPr>
          <w:highlight w:val="white"/>
        </w:rPr>
        <w:t>Greyfriars should incorporate wellness features such as a compact in-house spa or collaborate with local providers to offer fitness, massage and mindfulness services. The implementation strategy regarding the recommendation includes converting the underutilised areas into a spa treatment room or wellness zones. A hospitality organisation needs to partner with wellness professionals, including yoga instructors, on a commission basis to enhance wellness attributes (</w:t>
      </w:r>
      <w:r>
        <w:rPr>
          <w:color w:val="222222"/>
          <w:highlight w:val="white"/>
        </w:rPr>
        <w:t>Popel and Uhlir, 2023</w:t>
      </w:r>
      <w:r>
        <w:rPr>
          <w:highlight w:val="white"/>
        </w:rPr>
        <w:t xml:space="preserve">). The company can facilitate this with strategic partnering, and it can further promote wellness packages via online mode and guest emails. This can be ensured through flexible scheduling and redesigning uniforms to be comfortable for the new roles. The change management model of </w:t>
      </w:r>
      <w:r>
        <w:rPr>
          <w:b/>
          <w:i/>
          <w:highlight w:val="white"/>
        </w:rPr>
        <w:t xml:space="preserve">Kotter's 8-Step Change model </w:t>
      </w:r>
      <w:r>
        <w:rPr>
          <w:highlight w:val="white"/>
        </w:rPr>
        <w:t>includes creating urgency by presenting the staff with guest feedback and competitive benchmarking data (</w:t>
      </w:r>
      <w:r>
        <w:t>Kotter, 2012)</w:t>
      </w:r>
      <w:r>
        <w:rPr>
          <w:highlight w:val="white"/>
        </w:rPr>
        <w:t>. This involves the department heads in planning the new wellness services and training the key team members to liaise with the wellness professionals. The anchoring of changes integrates wellness services into the brands and training manuals of the hotel. This process of change management can be facilitated through collaboration and an inclusive work culture that also creates opportunities for improved options.</w:t>
      </w:r>
    </w:p>
    <w:p w14:paraId="1DAB727C">
      <w:pPr>
        <w:jc w:val="center"/>
        <w:rPr>
          <w:highlight w:val="white"/>
        </w:rPr>
      </w:pPr>
      <w:r>
        <w:rPr>
          <w:highlight w:val="white"/>
          <w:lang w:val="en-IN"/>
        </w:rPr>
        <w:drawing>
          <wp:inline distT="114300" distB="114300" distL="114300" distR="114300">
            <wp:extent cx="3790950" cy="3106420"/>
            <wp:effectExtent l="12700" t="12700" r="12700" b="12700"/>
            <wp:docPr id="1836998860" name="image7.png"/>
            <wp:cNvGraphicFramePr/>
            <a:graphic xmlns:a="http://schemas.openxmlformats.org/drawingml/2006/main">
              <a:graphicData uri="http://schemas.openxmlformats.org/drawingml/2006/picture">
                <pic:pic xmlns:pic="http://schemas.openxmlformats.org/drawingml/2006/picture">
                  <pic:nvPicPr>
                    <pic:cNvPr id="1836998860" name="image7.png"/>
                    <pic:cNvPicPr preferRelativeResize="0"/>
                  </pic:nvPicPr>
                  <pic:blipFill>
                    <a:blip r:embed="rId10"/>
                    <a:srcRect/>
                    <a:stretch>
                      <a:fillRect/>
                    </a:stretch>
                  </pic:blipFill>
                  <pic:spPr>
                    <a:xfrm>
                      <a:off x="0" y="0"/>
                      <a:ext cx="3790950" cy="3106899"/>
                    </a:xfrm>
                    <a:prstGeom prst="rect">
                      <a:avLst/>
                    </a:prstGeom>
                    <a:ln w="12700">
                      <a:solidFill>
                        <a:srgbClr val="000000"/>
                      </a:solidFill>
                      <a:prstDash val="solid"/>
                    </a:ln>
                  </pic:spPr>
                </pic:pic>
              </a:graphicData>
            </a:graphic>
          </wp:inline>
        </w:drawing>
      </w:r>
    </w:p>
    <w:p w14:paraId="2B2D0844">
      <w:pPr>
        <w:jc w:val="center"/>
        <w:rPr>
          <w:b/>
          <w:highlight w:val="white"/>
        </w:rPr>
      </w:pPr>
      <w:r>
        <w:rPr>
          <w:b/>
          <w:highlight w:val="white"/>
        </w:rPr>
        <w:t>Figure: Kotter's 8-Step Change Model</w:t>
      </w:r>
    </w:p>
    <w:p w14:paraId="0D700AFA">
      <w:pPr>
        <w:jc w:val="center"/>
        <w:rPr>
          <w:b/>
          <w:highlight w:val="white"/>
        </w:rPr>
      </w:pPr>
      <w:r>
        <w:rPr>
          <w:b/>
          <w:highlight w:val="white"/>
        </w:rPr>
        <w:t xml:space="preserve">(Source: </w:t>
      </w:r>
      <w:r>
        <w:rPr>
          <w:b/>
          <w:color w:val="222222"/>
          <w:highlight w:val="white"/>
        </w:rPr>
        <w:t xml:space="preserve">Ghani </w:t>
      </w:r>
      <w:r>
        <w:rPr>
          <w:b/>
          <w:i/>
          <w:color w:val="222222"/>
          <w:highlight w:val="white"/>
        </w:rPr>
        <w:t>et al.,</w:t>
      </w:r>
      <w:r>
        <w:rPr>
          <w:b/>
          <w:color w:val="222222"/>
          <w:highlight w:val="white"/>
        </w:rPr>
        <w:t xml:space="preserve"> 2016</w:t>
      </w:r>
      <w:r>
        <w:rPr>
          <w:b/>
          <w:highlight w:val="white"/>
        </w:rPr>
        <w:t>)</w:t>
      </w:r>
    </w:p>
    <w:p w14:paraId="40486C3D">
      <w:pPr>
        <w:numPr>
          <w:ilvl w:val="0"/>
          <w:numId w:val="10"/>
        </w:numPr>
        <w:rPr>
          <w:b/>
          <w:highlight w:val="white"/>
        </w:rPr>
      </w:pPr>
      <w:r>
        <w:rPr>
          <w:b/>
          <w:highlight w:val="white"/>
        </w:rPr>
        <w:t>Design curates local experiences and Guest packages</w:t>
      </w:r>
    </w:p>
    <w:p w14:paraId="6275DD13">
      <w:pPr>
        <w:rPr>
          <w:highlight w:val="white"/>
        </w:rPr>
      </w:pPr>
      <w:r>
        <w:rPr>
          <w:highlight w:val="white"/>
        </w:rPr>
        <w:t>To improve the guest experience by collaborating with local businesses, the organisation can design curated tours such as nature walks, Colchester castle visits, wine tasting and so on. The implementation strategies for a curated and cultural guest experience include collaboration with artisan shops, local tour guides and museums as well as incorporating local features (</w:t>
      </w:r>
      <w:r>
        <w:rPr>
          <w:color w:val="222222"/>
          <w:highlight w:val="white"/>
        </w:rPr>
        <w:t>Batat, 2020</w:t>
      </w:r>
      <w:r>
        <w:rPr>
          <w:highlight w:val="white"/>
        </w:rPr>
        <w:t xml:space="preserve">). The organisation can offer packaging at the time of booking via the website or reception by using a digital marketing strategy to promote the offerings to reach broader audiences. The application of </w:t>
      </w:r>
      <w:r>
        <w:rPr>
          <w:b/>
          <w:i/>
          <w:highlight w:val="white"/>
        </w:rPr>
        <w:t>Lewin’s Change Management Model,</w:t>
      </w:r>
      <w:r>
        <w:rPr>
          <w:highlight w:val="white"/>
        </w:rPr>
        <w:t xml:space="preserve"> incorporating all 3 stages, such as Unfreeze, Change and Freeze, can facilitate the change process within an organisation (</w:t>
      </w:r>
      <w:r>
        <w:rPr>
          <w:color w:val="222222"/>
          <w:highlight w:val="white"/>
        </w:rPr>
        <w:t>Dissanayake and Rajapakse, 2020</w:t>
      </w:r>
      <w:r>
        <w:rPr>
          <w:highlight w:val="white"/>
        </w:rPr>
        <w:t>). Greyfriars should explain the value of a personalised experience to the workforce first during the team briefing as a part of the unfreeze stage of the change management model. In the change stage, assigning a front desk manager to coordinate the experiences can facilitate a seamless transition into the process. Finally, in the Refreeze stage, setting the standard procedures for guest package sales and follow-ups can also be significant to finalise the change regarding the process.</w:t>
      </w:r>
    </w:p>
    <w:p w14:paraId="6ED2B4C6">
      <w:pPr>
        <w:jc w:val="center"/>
        <w:rPr>
          <w:highlight w:val="white"/>
        </w:rPr>
      </w:pPr>
      <w:r>
        <w:rPr>
          <w:highlight w:val="white"/>
          <w:lang w:val="en-IN"/>
        </w:rPr>
        <w:drawing>
          <wp:inline distT="114300" distB="114300" distL="114300" distR="114300">
            <wp:extent cx="4133850" cy="3057525"/>
            <wp:effectExtent l="12700" t="12700" r="12700" b="12700"/>
            <wp:docPr id="1836998863" name="image3.png"/>
            <wp:cNvGraphicFramePr/>
            <a:graphic xmlns:a="http://schemas.openxmlformats.org/drawingml/2006/main">
              <a:graphicData uri="http://schemas.openxmlformats.org/drawingml/2006/picture">
                <pic:pic xmlns:pic="http://schemas.openxmlformats.org/drawingml/2006/picture">
                  <pic:nvPicPr>
                    <pic:cNvPr id="1836998863" name="image3.png"/>
                    <pic:cNvPicPr preferRelativeResize="0"/>
                  </pic:nvPicPr>
                  <pic:blipFill>
                    <a:blip r:embed="rId11"/>
                    <a:srcRect/>
                    <a:stretch>
                      <a:fillRect/>
                    </a:stretch>
                  </pic:blipFill>
                  <pic:spPr>
                    <a:xfrm>
                      <a:off x="0" y="0"/>
                      <a:ext cx="4133850" cy="3057525"/>
                    </a:xfrm>
                    <a:prstGeom prst="rect">
                      <a:avLst/>
                    </a:prstGeom>
                    <a:ln w="12700">
                      <a:solidFill>
                        <a:srgbClr val="000000"/>
                      </a:solidFill>
                      <a:prstDash val="solid"/>
                    </a:ln>
                  </pic:spPr>
                </pic:pic>
              </a:graphicData>
            </a:graphic>
          </wp:inline>
        </w:drawing>
      </w:r>
    </w:p>
    <w:p w14:paraId="3C069F32">
      <w:pPr>
        <w:jc w:val="center"/>
        <w:rPr>
          <w:b/>
          <w:highlight w:val="white"/>
        </w:rPr>
      </w:pPr>
      <w:r>
        <w:rPr>
          <w:b/>
          <w:highlight w:val="white"/>
        </w:rPr>
        <w:t>Figure: Lewin’s Change Management Model</w:t>
      </w:r>
    </w:p>
    <w:p w14:paraId="62602324">
      <w:pPr>
        <w:jc w:val="center"/>
        <w:rPr>
          <w:b/>
          <w:highlight w:val="white"/>
        </w:rPr>
      </w:pPr>
      <w:r>
        <w:rPr>
          <w:b/>
          <w:highlight w:val="white"/>
        </w:rPr>
        <w:t xml:space="preserve">(Source: </w:t>
      </w:r>
      <w:r>
        <w:rPr>
          <w:b/>
          <w:color w:val="222222"/>
          <w:highlight w:val="white"/>
        </w:rPr>
        <w:t>Dissanayake and Rajapakse, 2020</w:t>
      </w:r>
      <w:r>
        <w:rPr>
          <w:b/>
          <w:highlight w:val="white"/>
        </w:rPr>
        <w:t>)</w:t>
      </w:r>
    </w:p>
    <w:p w14:paraId="78D959D7">
      <w:pPr>
        <w:numPr>
          <w:ilvl w:val="0"/>
          <w:numId w:val="11"/>
        </w:numPr>
        <w:rPr>
          <w:b/>
          <w:highlight w:val="white"/>
        </w:rPr>
      </w:pPr>
      <w:r>
        <w:rPr>
          <w:b/>
          <w:highlight w:val="white"/>
        </w:rPr>
        <w:t>Improve digital marketing and online presence</w:t>
      </w:r>
    </w:p>
    <w:p w14:paraId="69376692">
      <w:pPr>
        <w:rPr>
          <w:highlight w:val="white"/>
        </w:rPr>
      </w:pPr>
      <w:r>
        <w:rPr>
          <w:highlight w:val="white"/>
        </w:rPr>
        <w:t>Improvements in digital marketing and online presence can enhance the visibility of the organisation through social media participation by SEO, storytelling and email campaigns. The implementation strategies for this include the appointment or outsourcing of a digital marketing specialist who can manage the content and analytics as well. Sharing the weekly posts of the organisation helps to highlight the guest experiences, along with special offers and local attractions. As a part of improved digital strategies, regular updates of the website, including guest testimonials and seasonal packaging offers, are significant for a hospitality industry-based organization (</w:t>
      </w:r>
      <w:r>
        <w:rPr>
          <w:color w:val="222222"/>
          <w:highlight w:val="white"/>
        </w:rPr>
        <w:t>Chamboko-Mpotaringa and Tichaawa, 2021</w:t>
      </w:r>
      <w:r>
        <w:rPr>
          <w:highlight w:val="white"/>
        </w:rPr>
        <w:t>).  The change management through digital upskilling of the workforce, assigning social media champions within the team to lead online engagement and use of KPIs to measure engagement is crucial.</w:t>
      </w:r>
    </w:p>
    <w:p w14:paraId="3553242E">
      <w:pPr>
        <w:numPr>
          <w:ilvl w:val="0"/>
          <w:numId w:val="12"/>
        </w:numPr>
        <w:rPr>
          <w:b/>
          <w:highlight w:val="white"/>
        </w:rPr>
      </w:pPr>
      <w:r>
        <w:rPr>
          <w:b/>
          <w:highlight w:val="white"/>
        </w:rPr>
        <w:t>Redesign staff roles and training</w:t>
      </w:r>
    </w:p>
    <w:p w14:paraId="0E9EE5A9">
      <w:pPr>
        <w:rPr>
          <w:highlight w:val="white"/>
        </w:rPr>
      </w:pPr>
      <w:r>
        <w:rPr>
          <w:highlight w:val="white"/>
        </w:rPr>
        <w:t>Redefining staff roles to support personalised guest services and experiential hospitality is significant through the creation of "Guest Experiences Host" roles that blend customer service duties and concierge duties. Offering regular training on local attractions, upskilling techniques, and wellness services can be effective for a hospitality-based organisation (</w:t>
      </w:r>
      <w:r>
        <w:rPr>
          <w:color w:val="222222"/>
          <w:highlight w:val="white"/>
        </w:rPr>
        <w:t xml:space="preserve">Spowage </w:t>
      </w:r>
      <w:r>
        <w:rPr>
          <w:i/>
          <w:color w:val="222222"/>
          <w:highlight w:val="white"/>
        </w:rPr>
        <w:t>et al.,</w:t>
      </w:r>
      <w:r>
        <w:rPr>
          <w:color w:val="222222"/>
          <w:highlight w:val="white"/>
        </w:rPr>
        <w:t xml:space="preserve"> 2023</w:t>
      </w:r>
      <w:r>
        <w:rPr>
          <w:highlight w:val="white"/>
        </w:rPr>
        <w:t xml:space="preserve">). Adequate recognition programs and proactive guest service rewards can also benefit the process. The </w:t>
      </w:r>
      <w:r>
        <w:rPr>
          <w:b/>
          <w:i/>
          <w:highlight w:val="white"/>
        </w:rPr>
        <w:t xml:space="preserve">ADKAR model </w:t>
      </w:r>
      <w:r>
        <w:rPr>
          <w:highlight w:val="white"/>
        </w:rPr>
        <w:t>of change management can be incorporated into this, where awareness can be achieved by conducting team meetings to discuss changes, and desire by highlighting the benefits such as guest satisfaction, knowledge through clear training modules and mentoring, ability building through schedules shadowing session with senior staff and reinforcement by recognise and rewarding successful role adaption can take place.</w:t>
      </w:r>
    </w:p>
    <w:p w14:paraId="6E3A3A8B">
      <w:pPr>
        <w:rPr>
          <w:highlight w:val="white"/>
        </w:rPr>
      </w:pPr>
      <w:r>
        <w:rPr>
          <w:b/>
          <w:highlight w:val="white"/>
          <w:lang w:val="en-IN"/>
        </w:rPr>
        <w:drawing>
          <wp:inline distT="114300" distB="114300" distL="114300" distR="114300">
            <wp:extent cx="5730875" cy="1206500"/>
            <wp:effectExtent l="12700" t="12700" r="12700" b="12700"/>
            <wp:docPr id="1836998862" name="image6.png"/>
            <wp:cNvGraphicFramePr/>
            <a:graphic xmlns:a="http://schemas.openxmlformats.org/drawingml/2006/main">
              <a:graphicData uri="http://schemas.openxmlformats.org/drawingml/2006/picture">
                <pic:pic xmlns:pic="http://schemas.openxmlformats.org/drawingml/2006/picture">
                  <pic:nvPicPr>
                    <pic:cNvPr id="1836998862" name="image6.png"/>
                    <pic:cNvPicPr preferRelativeResize="0"/>
                  </pic:nvPicPr>
                  <pic:blipFill>
                    <a:blip r:embed="rId12"/>
                    <a:srcRect/>
                    <a:stretch>
                      <a:fillRect/>
                    </a:stretch>
                  </pic:blipFill>
                  <pic:spPr>
                    <a:xfrm>
                      <a:off x="0" y="0"/>
                      <a:ext cx="5731200" cy="1206500"/>
                    </a:xfrm>
                    <a:prstGeom prst="rect">
                      <a:avLst/>
                    </a:prstGeom>
                    <a:ln w="12700">
                      <a:solidFill>
                        <a:srgbClr val="000000"/>
                      </a:solidFill>
                      <a:prstDash val="solid"/>
                    </a:ln>
                  </pic:spPr>
                </pic:pic>
              </a:graphicData>
            </a:graphic>
          </wp:inline>
        </w:drawing>
      </w:r>
    </w:p>
    <w:p w14:paraId="456AA108">
      <w:pPr>
        <w:jc w:val="center"/>
        <w:rPr>
          <w:b/>
          <w:highlight w:val="white"/>
        </w:rPr>
      </w:pPr>
      <w:r>
        <w:rPr>
          <w:b/>
          <w:highlight w:val="white"/>
        </w:rPr>
        <w:t>Figure: ADKAR model</w:t>
      </w:r>
    </w:p>
    <w:p w14:paraId="76C476BE">
      <w:pPr>
        <w:jc w:val="center"/>
      </w:pPr>
      <w:r>
        <w:rPr>
          <w:b/>
          <w:highlight w:val="white"/>
        </w:rPr>
        <w:t xml:space="preserve">(Source: </w:t>
      </w:r>
      <w:r>
        <w:rPr>
          <w:b/>
          <w:color w:val="222222"/>
          <w:highlight w:val="white"/>
        </w:rPr>
        <w:t>Walshe, 2024</w:t>
      </w:r>
      <w:r>
        <w:rPr>
          <w:b/>
          <w:highlight w:val="white"/>
        </w:rPr>
        <w:t>)</w:t>
      </w:r>
    </w:p>
    <w:p w14:paraId="6143F7F4">
      <w:pPr>
        <w:pStyle w:val="3"/>
      </w:pPr>
      <w:bookmarkStart w:id="17" w:name="_Toc199774789"/>
      <w:r>
        <w:t>3.2 Measuring Impact and Success Rates</w:t>
      </w:r>
      <w:bookmarkEnd w:id="17"/>
    </w:p>
    <w:p w14:paraId="3471E56D">
      <w:pPr>
        <w:rPr>
          <w:b/>
        </w:rPr>
      </w:pPr>
      <w:bookmarkStart w:id="18" w:name="_heading=h.z78mq4nqf0py" w:colFirst="0" w:colLast="0"/>
      <w:bookmarkEnd w:id="18"/>
      <w:r>
        <w:rPr>
          <w:b/>
        </w:rPr>
        <w:t>Wellness and Leisure Facilities</w:t>
      </w:r>
    </w:p>
    <w:p w14:paraId="2A39A117">
      <w:pPr>
        <w:rPr>
          <w:b/>
          <w:i/>
        </w:rPr>
      </w:pPr>
      <w:r>
        <w:rPr>
          <w:b/>
          <w:i/>
        </w:rPr>
        <w:t>Measurement Methods</w:t>
      </w:r>
    </w:p>
    <w:p w14:paraId="27611DF7">
      <w:r>
        <w:t>Participation by guests in services related to wellness will be tracked by utilising records based on booking and reports regarding the usage of services. Forms of feedback at checkout and emails will collect datasets related to the satisfaction of guests (Bardukova, 2023). Platforms based on reviews online, in the form of TripAdvisor, will additionally be monitored for comments on an exclusive facility.</w:t>
      </w:r>
    </w:p>
    <w:p w14:paraId="6F2F28AA">
      <w:pPr>
        <w:rPr>
          <w:b/>
          <w:i/>
        </w:rPr>
      </w:pPr>
      <w:r>
        <w:rPr>
          <w:b/>
          <w:i/>
        </w:rPr>
        <w:t>Review Method</w:t>
      </w:r>
    </w:p>
    <w:p w14:paraId="2C561E60">
      <w:r>
        <w:t>A number of reports will be produced by the spa or team on a monthly basis. These reports will include rates of usage, income generated, and ratings of guests (Sayfuddin and Chen, 2021). A number of meetings of departments will discuss the progress and concerns of staff and guests. Benchmarking against a hotel with a similar range of features will support a comparison of performance.</w:t>
      </w:r>
    </w:p>
    <w:p w14:paraId="214A01DE">
      <w:pPr>
        <w:rPr>
          <w:b/>
          <w:i/>
        </w:rPr>
      </w:pPr>
      <w:r>
        <w:rPr>
          <w:b/>
          <w:i/>
        </w:rPr>
        <w:t>Expected Benefits</w:t>
      </w:r>
    </w:p>
    <w:p w14:paraId="6FEBC9A0">
      <w:r>
        <w:t>The addition of services based on wellness may enhance the satisfaction and spending of guests. According to the CBI (2024), wellness-related travellers spend 53% more per trip compared to an average tourist. Hence, such a strategy can additionally be helpful in the targeting of an exclusive segment of the market. These include guests focused on health in a major way.</w:t>
      </w:r>
    </w:p>
    <w:p w14:paraId="2C6D82A3">
      <w:pPr>
        <w:rPr>
          <w:b/>
        </w:rPr>
      </w:pPr>
      <w:bookmarkStart w:id="19" w:name="_heading=h.edikg1ytgubd" w:colFirst="0" w:colLast="0"/>
      <w:bookmarkEnd w:id="19"/>
      <w:r>
        <w:rPr>
          <w:b/>
        </w:rPr>
        <w:t>Curated Local Experiences and Guest Packages</w:t>
      </w:r>
    </w:p>
    <w:p w14:paraId="026FD8C9">
      <w:pPr>
        <w:rPr>
          <w:b/>
          <w:i/>
        </w:rPr>
      </w:pPr>
      <w:r>
        <w:rPr>
          <w:b/>
          <w:i/>
        </w:rPr>
        <w:t>Measurement Methods</w:t>
      </w:r>
    </w:p>
    <w:p w14:paraId="11FB63B7">
      <w:r>
        <w:t xml:space="preserve">Sales of packages will be recorded at reception and through the website. Satisfaction of guests will be assessed through a number of questionnaires at checkout and feedback on sites related to reviews (Pei </w:t>
      </w:r>
      <w:r>
        <w:rPr>
          <w:i/>
        </w:rPr>
        <w:t>et al.</w:t>
      </w:r>
      <w:r>
        <w:t>, 2020). Staff will additionally track the experiences of guests at the local level with the highest quality.</w:t>
      </w:r>
    </w:p>
    <w:p w14:paraId="52506AA8">
      <w:pPr>
        <w:rPr>
          <w:b/>
          <w:i/>
        </w:rPr>
      </w:pPr>
      <w:r>
        <w:rPr>
          <w:b/>
          <w:i/>
        </w:rPr>
        <w:t>Review Method</w:t>
      </w:r>
    </w:p>
    <w:p w14:paraId="69AA1B0F">
      <w:r>
        <w:t xml:space="preserve">A number of reports will showcase the types and packages sold on a quarterly basis. The feedback of guests will be reviewed by the manager of the front desk on a weekly basis (Jawabreh </w:t>
      </w:r>
      <w:r>
        <w:rPr>
          <w:i/>
        </w:rPr>
        <w:t>et al.</w:t>
      </w:r>
      <w:r>
        <w:t>, 2022). Trends will be shared in meetings. The goal is to refine the offerings. Feedback from a number of partners will additionally be collected. The goal is to introduce improvements in collaboration.</w:t>
      </w:r>
    </w:p>
    <w:p w14:paraId="42FE3EEE">
      <w:pPr>
        <w:rPr>
          <w:b/>
          <w:i/>
        </w:rPr>
      </w:pPr>
      <w:r>
        <w:rPr>
          <w:b/>
          <w:i/>
        </w:rPr>
        <w:t>Expected Benefits</w:t>
      </w:r>
    </w:p>
    <w:p w14:paraId="1316A9DD">
      <w:r>
        <w:t>Curated experiences can enhance the engagement of guests, along with encouraging opportunities, considering upselling. According to Rariel (2022), more than 70% of travellers demand an authentic set of experiences at a local level. This can be helpful for Greyfriars to stand out, along with boosting both the satisfaction of guests and revenue.</w:t>
      </w:r>
    </w:p>
    <w:p w14:paraId="2A821A15">
      <w:pPr>
        <w:rPr>
          <w:b/>
        </w:rPr>
      </w:pPr>
      <w:bookmarkStart w:id="20" w:name="_heading=h.ul6x605ad7h5" w:colFirst="0" w:colLast="0"/>
      <w:bookmarkEnd w:id="20"/>
      <w:r>
        <w:rPr>
          <w:b/>
        </w:rPr>
        <w:t>Digital Marketing and Online Presence</w:t>
      </w:r>
    </w:p>
    <w:p w14:paraId="62AD4A44">
      <w:pPr>
        <w:rPr>
          <w:b/>
          <w:i/>
        </w:rPr>
      </w:pPr>
      <w:r>
        <w:rPr>
          <w:b/>
          <w:i/>
        </w:rPr>
        <w:t>Measurement Methods</w:t>
      </w:r>
    </w:p>
    <w:p w14:paraId="477A8C55">
      <w:r>
        <w:t>Traffic in websites, sources of bookings, and engagement on social media through likes, shares, and comments will be tracked. This will be achieved through Google Analytics (Mission, 2023). Apart from these, reviews online will be monitored on a regular basis.</w:t>
      </w:r>
    </w:p>
    <w:p w14:paraId="445D60C2">
      <w:pPr>
        <w:rPr>
          <w:b/>
          <w:i/>
        </w:rPr>
      </w:pPr>
      <w:r>
        <w:rPr>
          <w:b/>
          <w:i/>
        </w:rPr>
        <w:t>Review Method</w:t>
      </w:r>
    </w:p>
    <w:p w14:paraId="6D59E506">
      <w:r>
        <w:t>A number of reports regarding digital marketing on a monthly basis will provide a summary related to engagement, bookings, and content of the highest quality (County, 2025). These will be reviewed by management and the specialist associated with digital marketing. An adjustment to the strategy will be based on trends in datasets and performance in a season.</w:t>
      </w:r>
    </w:p>
    <w:p w14:paraId="16381D0E">
      <w:pPr>
        <w:rPr>
          <w:b/>
          <w:i/>
        </w:rPr>
      </w:pPr>
      <w:r>
        <w:rPr>
          <w:b/>
          <w:i/>
        </w:rPr>
        <w:t>Expected Benefits</w:t>
      </w:r>
    </w:p>
    <w:p w14:paraId="7AAC8104">
      <w:r>
        <w:t>Improvement in the visibility in a digital environment can increase bookings in a direct way. Business entities with an efficient digital strategy in the form of an engaging blog can attract 55% more visitors (Amazon, 2022). This can tend toward a reduction in dependence on a platform associated with booking from third parties, along with an excessively high level of profit.</w:t>
      </w:r>
    </w:p>
    <w:p w14:paraId="060697E2">
      <w:pPr>
        <w:jc w:val="center"/>
      </w:pPr>
      <w:r>
        <w:rPr>
          <w:lang w:val="en-IN"/>
        </w:rPr>
        <w:drawing>
          <wp:inline distT="0" distB="0" distL="0" distR="0">
            <wp:extent cx="5943600" cy="1362075"/>
            <wp:effectExtent l="0" t="0" r="0" b="0"/>
            <wp:docPr id="1836998865" name="image8.png"/>
            <wp:cNvGraphicFramePr/>
            <a:graphic xmlns:a="http://schemas.openxmlformats.org/drawingml/2006/main">
              <a:graphicData uri="http://schemas.openxmlformats.org/drawingml/2006/picture">
                <pic:pic xmlns:pic="http://schemas.openxmlformats.org/drawingml/2006/picture">
                  <pic:nvPicPr>
                    <pic:cNvPr id="1836998865" name="image8.png"/>
                    <pic:cNvPicPr preferRelativeResize="0"/>
                  </pic:nvPicPr>
                  <pic:blipFill>
                    <a:blip r:embed="rId13"/>
                    <a:srcRect t="7059" b="8823"/>
                    <a:stretch>
                      <a:fillRect/>
                    </a:stretch>
                  </pic:blipFill>
                  <pic:spPr>
                    <a:xfrm>
                      <a:off x="0" y="0"/>
                      <a:ext cx="5943600" cy="1362075"/>
                    </a:xfrm>
                    <a:prstGeom prst="rect">
                      <a:avLst/>
                    </a:prstGeom>
                  </pic:spPr>
                </pic:pic>
              </a:graphicData>
            </a:graphic>
          </wp:inline>
        </w:drawing>
      </w:r>
    </w:p>
    <w:p w14:paraId="1C3AC320">
      <w:pPr>
        <w:jc w:val="center"/>
        <w:rPr>
          <w:b/>
        </w:rPr>
      </w:pPr>
      <w:r>
        <w:rPr>
          <w:b/>
        </w:rPr>
        <w:t>Figure: Google Analytics function</w:t>
      </w:r>
    </w:p>
    <w:p w14:paraId="2A2698BA">
      <w:pPr>
        <w:jc w:val="center"/>
      </w:pPr>
      <w:r>
        <w:t>(Source: Mission, 2023)</w:t>
      </w:r>
    </w:p>
    <w:p w14:paraId="027A3825">
      <w:pPr>
        <w:rPr>
          <w:b/>
        </w:rPr>
      </w:pPr>
      <w:bookmarkStart w:id="21" w:name="_heading=h.s8fyy6qdxsti" w:colFirst="0" w:colLast="0"/>
      <w:bookmarkEnd w:id="21"/>
      <w:r>
        <w:rPr>
          <w:b/>
        </w:rPr>
        <w:t>Redesign of Staff Roles and Training</w:t>
      </w:r>
    </w:p>
    <w:p w14:paraId="71F820E8">
      <w:pPr>
        <w:rPr>
          <w:b/>
          <w:i/>
        </w:rPr>
      </w:pPr>
      <w:r>
        <w:rPr>
          <w:b/>
          <w:i/>
        </w:rPr>
        <w:t>Measurement Methods</w:t>
      </w:r>
    </w:p>
    <w:p w14:paraId="0677F82F">
      <w:r>
        <w:t>The performance of the staff will be assessed through the evaluation by the manager and feedback from guests (Jawabreh</w:t>
      </w:r>
      <w:r>
        <w:rPr>
          <w:i/>
        </w:rPr>
        <w:t xml:space="preserve"> et al.</w:t>
      </w:r>
      <w:r>
        <w:t>, 2020). The records of training will showcase the individuals associated with completing the exclusive session related to training. The success of the role will be measured by the rate of upselling and a set of positive comments from guests.</w:t>
      </w:r>
    </w:p>
    <w:p w14:paraId="12C57C44">
      <w:pPr>
        <w:rPr>
          <w:b/>
          <w:i/>
        </w:rPr>
      </w:pPr>
      <w:r>
        <w:rPr>
          <w:b/>
          <w:i/>
        </w:rPr>
        <w:t>Review Method</w:t>
      </w:r>
    </w:p>
    <w:p w14:paraId="47FBD133">
      <w:r>
        <w:t>Managers will conduct a number of reviews with staff on a monthly basis. The goal is to discuss progress, along with collecting feedback. Surveys of staff will assess morale and the influence of training (Tovmasyan and Minasyan, 2020). A survey of guests will be helpful in tracking the quality of services.</w:t>
      </w:r>
    </w:p>
    <w:p w14:paraId="4691E6E1">
      <w:pPr>
        <w:rPr>
          <w:b/>
          <w:i/>
        </w:rPr>
      </w:pPr>
      <w:r>
        <w:rPr>
          <w:b/>
          <w:i/>
        </w:rPr>
        <w:t>Expected Benefits</w:t>
      </w:r>
    </w:p>
    <w:p w14:paraId="020AF068">
      <w:r>
        <w:t>A staff trained in a better way can deliver an enhanced experience for guests. According to Power (2024), engaged employees tend toward 23% excessively high profitability for an organisation. The creation of an exclusive role can provide personalisation in the services, along with building loyalty to the guests.</w:t>
      </w:r>
    </w:p>
    <w:p w14:paraId="19E73680">
      <w:pPr>
        <w:jc w:val="center"/>
      </w:pPr>
      <w:r>
        <w:rPr>
          <w:lang w:val="en-IN"/>
        </w:rPr>
        <w:drawing>
          <wp:inline distT="0" distB="0" distL="0" distR="0">
            <wp:extent cx="3220085" cy="2354580"/>
            <wp:effectExtent l="0" t="0" r="0" b="0"/>
            <wp:docPr id="1836998864" name="image2.png"/>
            <wp:cNvGraphicFramePr/>
            <a:graphic xmlns:a="http://schemas.openxmlformats.org/drawingml/2006/main">
              <a:graphicData uri="http://schemas.openxmlformats.org/drawingml/2006/picture">
                <pic:pic xmlns:pic="http://schemas.openxmlformats.org/drawingml/2006/picture">
                  <pic:nvPicPr>
                    <pic:cNvPr id="1836998864" name="image2.png"/>
                    <pic:cNvPicPr preferRelativeResize="0"/>
                  </pic:nvPicPr>
                  <pic:blipFill>
                    <a:blip r:embed="rId14"/>
                    <a:srcRect/>
                    <a:stretch>
                      <a:fillRect/>
                    </a:stretch>
                  </pic:blipFill>
                  <pic:spPr>
                    <a:xfrm>
                      <a:off x="0" y="0"/>
                      <a:ext cx="3220674" cy="2355038"/>
                    </a:xfrm>
                    <a:prstGeom prst="rect">
                      <a:avLst/>
                    </a:prstGeom>
                  </pic:spPr>
                </pic:pic>
              </a:graphicData>
            </a:graphic>
          </wp:inline>
        </w:drawing>
      </w:r>
    </w:p>
    <w:p w14:paraId="2BDC75CF">
      <w:pPr>
        <w:jc w:val="center"/>
        <w:rPr>
          <w:b/>
        </w:rPr>
      </w:pPr>
      <w:r>
        <w:rPr>
          <w:b/>
        </w:rPr>
        <w:t>Figure: Service performance and staff training</w:t>
      </w:r>
    </w:p>
    <w:p w14:paraId="613B54E1">
      <w:pPr>
        <w:jc w:val="center"/>
      </w:pPr>
      <w:r>
        <w:t xml:space="preserve">(Source: Jawabreh </w:t>
      </w:r>
      <w:r>
        <w:rPr>
          <w:i/>
        </w:rPr>
        <w:t>et al.</w:t>
      </w:r>
      <w:r>
        <w:t>, 2020)</w:t>
      </w:r>
    </w:p>
    <w:p w14:paraId="471947E3">
      <w:pPr>
        <w:pStyle w:val="3"/>
      </w:pPr>
      <w:bookmarkStart w:id="22" w:name="_heading=h.5ei6h42o8362" w:colFirst="0" w:colLast="0"/>
      <w:bookmarkEnd w:id="22"/>
      <w:bookmarkStart w:id="23" w:name="_Toc199774790"/>
      <w:r>
        <w:t>3.3 Estimated Costs of Proposed Recommendations</w:t>
      </w:r>
      <w:bookmarkEnd w:id="23"/>
    </w:p>
    <w:p w14:paraId="5DAAEA37">
      <w:r>
        <w:t>As a luxury boutique property, Greyfriars Hotel has limited room capacity and is in a prime location, all recommendations need to be scalable and proportionate to its size and revenue generation. These proposed initiatives will focus on both improving guest satisfaction and retention without the need for excessive capital investment.</w:t>
      </w:r>
    </w:p>
    <w:p w14:paraId="11D05761">
      <w:pPr>
        <w:rPr>
          <w:b/>
        </w:rPr>
      </w:pPr>
      <w:r>
        <w:rPr>
          <w:b/>
        </w:rPr>
        <w:t>1. Introduce facilities for Wellness and Leisure</w:t>
      </w:r>
    </w:p>
    <w:p w14:paraId="19D09461">
      <w:r>
        <w:t>Building a permanent spa or leisure amenity costs in excess of £150,000 which is not feasible for Greyfriars, so rather than doing that, Greyfriars will enter into partnerships with local wellness providers to provide pop-up spa services or offer in-room treatments (Noordzife, 2014). Enlisting a mobile massage therapist or prepaying for a wellness room within walking distance could incur one-time setup costs of £5,000–£8,000, with ongoing bookings at around £40–£60 per service and charged to the guests. With this low-investment approach there is a better level of flexibility and also a better guest experience.</w:t>
      </w:r>
    </w:p>
    <w:p w14:paraId="41CAD236">
      <w:pPr>
        <w:rPr>
          <w:b/>
        </w:rPr>
      </w:pPr>
      <w:r>
        <w:rPr>
          <w:b/>
        </w:rPr>
        <w:t>2. Curate Design Local Experiences &amp; Guest Packages</w:t>
      </w:r>
    </w:p>
    <w:p w14:paraId="44867C01">
      <w:r>
        <w:t>Local business partnerships (e.g., historical tours, wine tastings, art galleries) require little up-front money. Branding, creating web content and negotiation of the contracts of the partnership costs £2,000–£3,000. The packages themselves can be priced as an add-on, enabling the hotel to split the revenue with the local vendors without having to bear the full costs of service delivery (</w:t>
      </w:r>
      <w:r>
        <w:rPr>
          <w:highlight w:val="white"/>
        </w:rPr>
        <w:t xml:space="preserve">Whittington </w:t>
      </w:r>
      <w:r>
        <w:rPr>
          <w:i/>
          <w:highlight w:val="white"/>
        </w:rPr>
        <w:t>et al</w:t>
      </w:r>
      <w:r>
        <w:rPr>
          <w:highlight w:val="white"/>
        </w:rPr>
        <w:t>., 2020)</w:t>
      </w:r>
      <w:r>
        <w:t>. This is a high-impact low-cost recommendation on the scale of Greyfriars'.</w:t>
      </w:r>
    </w:p>
    <w:p w14:paraId="64984779">
      <w:pPr>
        <w:rPr>
          <w:b/>
        </w:rPr>
      </w:pPr>
      <w:r>
        <w:rPr>
          <w:b/>
        </w:rPr>
        <w:t>3. Optimising Digital Marketing and Online Presence</w:t>
      </w:r>
    </w:p>
    <w:p w14:paraId="34976420">
      <w:r>
        <w:t>Investment in social media marketing, search engine optimisation (SEO) and website enhancements is crucial to revamp Greyfriars’ digital footprint. It could cost between £7,000–£10,000 a year for a full digital marketing campaign. It means creating social media content, influencer partnerships, Google Ads and TripAdvisor promotions. Since online presence has such a high influence on guest decision making, this is a justifiable and strategic investment (</w:t>
      </w:r>
      <w:r>
        <w:rPr>
          <w:highlight w:val="white"/>
        </w:rPr>
        <w:t>Mavridopoulou and O’Mahoney, 2020)</w:t>
      </w:r>
      <w:r>
        <w:t>.</w:t>
      </w:r>
    </w:p>
    <w:p w14:paraId="077E2021">
      <w:pPr>
        <w:rPr>
          <w:b/>
        </w:rPr>
      </w:pPr>
      <w:r>
        <w:rPr>
          <w:b/>
        </w:rPr>
        <w:t xml:space="preserve">4. Redesigned Staff Roles and Training </w:t>
      </w:r>
    </w:p>
    <w:p w14:paraId="5A8EAA9E">
      <w:r>
        <w:t>Implementing new services requires staff development with cross-training (</w:t>
      </w:r>
      <w:r>
        <w:rPr>
          <w:highlight w:val="white"/>
        </w:rPr>
        <w:t>O'Mahoney, 2021)</w:t>
      </w:r>
      <w:r>
        <w:t>. This would then be delivered at £3,000–£4,500 p.a. by a certified hospitality trainer conducting tailored training on guest interaction, wellness package promotion and digital tools. In the additional costs this might mean small pay rate adjustments or incentives for multi-skilled staff (£2,000 – £3,000 per year).</w:t>
      </w:r>
    </w:p>
    <w:p w14:paraId="7EB653AA">
      <w:pPr>
        <w:rPr>
          <w:b/>
        </w:rPr>
      </w:pPr>
      <w:r>
        <w:rPr>
          <w:b/>
        </w:rPr>
        <w:t>Initial Estimated Investment (Total): Between £19,000 and £28,500</w:t>
      </w:r>
    </w:p>
    <w:p w14:paraId="59C5A9CB">
      <w:r>
        <w:t>Greyfriars can now upgrade its guest offering strategically and manageably without embarking on capital-heavy expansion which fits perfectly with the scale of operation and luxury positioning of the hotel.</w:t>
      </w:r>
    </w:p>
    <w:p w14:paraId="4ED8DE9D">
      <w:pPr>
        <w:pStyle w:val="2"/>
      </w:pPr>
      <w:bookmarkStart w:id="24" w:name="_heading=h.p3j690jq5f3" w:colFirst="0" w:colLast="0"/>
      <w:bookmarkEnd w:id="24"/>
      <w:bookmarkStart w:id="25" w:name="_Toc199774791"/>
      <w:r>
        <w:t>4. Action Plan for Greyfriars Hotel</w:t>
      </w:r>
      <w:bookmarkEnd w:id="25"/>
    </w:p>
    <w:sdt>
      <w:sdtPr>
        <w:tag w:val="goog_rdk_0"/>
        <w:id w:val="1203668416"/>
        <w:lock w:val="contentLocked"/>
      </w:sdtPr>
      <w:sdtContent>
        <w:tbl>
          <w:tblPr>
            <w:tblStyle w:val="32"/>
            <w:tblW w:w="936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00" w:type="dxa"/>
              <w:left w:w="100" w:type="dxa"/>
              <w:bottom w:w="100" w:type="dxa"/>
              <w:right w:w="100" w:type="dxa"/>
            </w:tblCellMar>
          </w:tblPr>
          <w:tblGrid>
            <w:gridCol w:w="544"/>
            <w:gridCol w:w="1657"/>
            <w:gridCol w:w="1768"/>
            <w:gridCol w:w="1726"/>
            <w:gridCol w:w="1282"/>
            <w:gridCol w:w="1352"/>
            <w:gridCol w:w="1031"/>
          </w:tblGrid>
          <w:tr w14:paraId="76134C9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785" w:hRule="atLeast"/>
            </w:trPr>
            <w:tc>
              <w:tcPr>
                <w:tcW w:w="54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83DCCC">
                <w:pPr>
                  <w:jc w:val="center"/>
                </w:pPr>
                <w:r>
                  <w:rPr>
                    <w:b/>
                  </w:rPr>
                  <w:t>No.</w:t>
                </w:r>
              </w:p>
            </w:tc>
            <w:tc>
              <w:tcPr>
                <w:tcW w:w="165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36B8A02">
                <w:pPr>
                  <w:jc w:val="center"/>
                </w:pPr>
                <w:r>
                  <w:rPr>
                    <w:b/>
                  </w:rPr>
                  <w:t>Problem</w:t>
                </w:r>
              </w:p>
            </w:tc>
            <w:tc>
              <w:tcPr>
                <w:tcW w:w="176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4FC6D1B">
                <w:pPr>
                  <w:jc w:val="center"/>
                </w:pPr>
                <w:r>
                  <w:rPr>
                    <w:b/>
                  </w:rPr>
                  <w:t>Solution</w:t>
                </w:r>
              </w:p>
            </w:tc>
            <w:tc>
              <w:tcPr>
                <w:tcW w:w="17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A30C339">
                <w:pPr>
                  <w:jc w:val="center"/>
                </w:pPr>
                <w:r>
                  <w:rPr>
                    <w:b/>
                  </w:rPr>
                  <w:t>Desired Outcome</w:t>
                </w:r>
              </w:p>
            </w:tc>
            <w:tc>
              <w:tcPr>
                <w:tcW w:w="128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AE9159E">
                <w:pPr>
                  <w:jc w:val="center"/>
                </w:pPr>
                <w:r>
                  <w:rPr>
                    <w:b/>
                  </w:rPr>
                  <w:t>Timescale</w:t>
                </w:r>
              </w:p>
            </w:tc>
            <w:tc>
              <w:tcPr>
                <w:tcW w:w="13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0DAC4EA">
                <w:pPr>
                  <w:jc w:val="center"/>
                </w:pPr>
                <w:r>
                  <w:rPr>
                    <w:b/>
                  </w:rPr>
                  <w:t>Completion Date</w:t>
                </w:r>
              </w:p>
            </w:tc>
            <w:tc>
              <w:tcPr>
                <w:tcW w:w="103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125146A">
                <w:pPr>
                  <w:jc w:val="center"/>
                </w:pPr>
                <w:r>
                  <w:rPr>
                    <w:b/>
                  </w:rPr>
                  <w:t>Planned Budget</w:t>
                </w:r>
              </w:p>
            </w:tc>
          </w:tr>
          <w:tr w14:paraId="4321D6D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165" w:hRule="atLeast"/>
            </w:trPr>
            <w:tc>
              <w:tcPr>
                <w:tcW w:w="54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72720B5">
                <w:r>
                  <w:t>1</w:t>
                </w:r>
              </w:p>
            </w:tc>
            <w:tc>
              <w:tcPr>
                <w:tcW w:w="165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74C134B">
                <w:r>
                  <w:t>Decline in guest retention and short stays due to lack of wellness facilities</w:t>
                </w:r>
              </w:p>
            </w:tc>
            <w:tc>
              <w:tcPr>
                <w:tcW w:w="176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47BE1E8">
                <w:r>
                  <w:t>Partner with local wellness providers to offer in-room treatments and pop-up spa services</w:t>
                </w:r>
              </w:p>
            </w:tc>
            <w:tc>
              <w:tcPr>
                <w:tcW w:w="17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24C991B">
                <w:r>
                  <w:t>Enhanced guest experience, longer stays, increased repeat bookings</w:t>
                </w:r>
              </w:p>
            </w:tc>
            <w:tc>
              <w:tcPr>
                <w:tcW w:w="128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B0FAF50">
                <w:r>
                  <w:t>2 months (setup and trial)</w:t>
                </w:r>
              </w:p>
            </w:tc>
            <w:tc>
              <w:tcPr>
                <w:tcW w:w="13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0F623AB">
                <w:r>
                  <w:t>August 2025</w:t>
                </w:r>
              </w:p>
            </w:tc>
            <w:tc>
              <w:tcPr>
                <w:tcW w:w="103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6DEBAEA">
                <w:r>
                  <w:t>£8,000</w:t>
                </w:r>
              </w:p>
            </w:tc>
          </w:tr>
          <w:tr w14:paraId="2A27D0F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165" w:hRule="atLeast"/>
            </w:trPr>
            <w:tc>
              <w:tcPr>
                <w:tcW w:w="54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D089852">
                <w:r>
                  <w:t>2</w:t>
                </w:r>
              </w:p>
            </w:tc>
            <w:tc>
              <w:tcPr>
                <w:tcW w:w="165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C6BC196">
                <w:r>
                  <w:t>Limited guest engagement and lack of unique local offerings</w:t>
                </w:r>
              </w:p>
            </w:tc>
            <w:tc>
              <w:tcPr>
                <w:tcW w:w="176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8B4A89A">
                <w:r>
                  <w:t>Develop curated local experience packages in partnership with nearby cultural and tourism operators</w:t>
                </w:r>
              </w:p>
            </w:tc>
            <w:tc>
              <w:tcPr>
                <w:tcW w:w="17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19ABDEC7">
                <w:r>
                  <w:t>Increased guest satisfaction, stronger brand identity, and higher spend per booking</w:t>
                </w:r>
              </w:p>
            </w:tc>
            <w:tc>
              <w:tcPr>
                <w:tcW w:w="128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879C8D4">
                <w:r>
                  <w:t>1 month</w:t>
                </w:r>
              </w:p>
            </w:tc>
            <w:tc>
              <w:tcPr>
                <w:tcW w:w="13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E052F29">
                <w:r>
                  <w:t>July 2025</w:t>
                </w:r>
              </w:p>
            </w:tc>
            <w:tc>
              <w:tcPr>
                <w:tcW w:w="103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F588BD1">
                <w:r>
                  <w:t>£3,000</w:t>
                </w:r>
              </w:p>
            </w:tc>
          </w:tr>
          <w:tr w14:paraId="7318114A">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165" w:hRule="atLeast"/>
            </w:trPr>
            <w:tc>
              <w:tcPr>
                <w:tcW w:w="54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4B913B8">
                <w:r>
                  <w:t>3</w:t>
                </w:r>
              </w:p>
            </w:tc>
            <w:tc>
              <w:tcPr>
                <w:tcW w:w="165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9165DCA">
                <w:r>
                  <w:t>Poor online presence and weak brand awareness</w:t>
                </w:r>
              </w:p>
            </w:tc>
            <w:tc>
              <w:tcPr>
                <w:tcW w:w="176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057C236">
                <w:r>
                  <w:t>Launch a digital marketing campaign including SEO, social media strategy, and TripAdvisor ads</w:t>
                </w:r>
              </w:p>
            </w:tc>
            <w:tc>
              <w:tcPr>
                <w:tcW w:w="17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1362C32">
                <w:r>
                  <w:t>Higher online visibility, increased direct bookings, and improved guest perception</w:t>
                </w:r>
              </w:p>
            </w:tc>
            <w:tc>
              <w:tcPr>
                <w:tcW w:w="128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C18AEF1">
                <w:r>
                  <w:t>3 months (with quarterly review)</w:t>
                </w:r>
              </w:p>
            </w:tc>
            <w:tc>
              <w:tcPr>
                <w:tcW w:w="13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03B49102">
                <w:r>
                  <w:t>September 2025</w:t>
                </w:r>
              </w:p>
            </w:tc>
            <w:tc>
              <w:tcPr>
                <w:tcW w:w="103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679DF23">
                <w:r>
                  <w:t>£10,000 annually</w:t>
                </w:r>
              </w:p>
            </w:tc>
          </w:tr>
          <w:tr w14:paraId="7AEBBC02">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165" w:hRule="atLeast"/>
            </w:trPr>
            <w:tc>
              <w:tcPr>
                <w:tcW w:w="54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86B0FF4">
                <w:r>
                  <w:t>4</w:t>
                </w:r>
              </w:p>
            </w:tc>
            <w:tc>
              <w:tcPr>
                <w:tcW w:w="165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EEA67F6">
                <w:r>
                  <w:t>Inadequate staff readiness to deliver enhanced services and packages</w:t>
                </w:r>
              </w:p>
            </w:tc>
            <w:tc>
              <w:tcPr>
                <w:tcW w:w="176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495409E">
                <w:r>
                  <w:t>Provide hospitality training on wellness guest services, upselling, and digital systems</w:t>
                </w:r>
              </w:p>
            </w:tc>
            <w:tc>
              <w:tcPr>
                <w:tcW w:w="17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49063D0">
                <w:r>
                  <w:t>Improved service quality, staff confidence, and upselling effectiveness</w:t>
                </w:r>
              </w:p>
            </w:tc>
            <w:tc>
              <w:tcPr>
                <w:tcW w:w="128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2B5E3E6C">
                <w:r>
                  <w:t>6 weeks</w:t>
                </w:r>
              </w:p>
            </w:tc>
            <w:tc>
              <w:tcPr>
                <w:tcW w:w="13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14EE0F8">
                <w:r>
                  <w:t>August 2025</w:t>
                </w:r>
              </w:p>
            </w:tc>
            <w:tc>
              <w:tcPr>
                <w:tcW w:w="103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151FF12">
                <w:r>
                  <w:t>£4,000</w:t>
                </w:r>
              </w:p>
            </w:tc>
          </w:tr>
          <w:tr w14:paraId="27EAD2AE">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CellMar>
                <w:top w:w="100" w:type="dxa"/>
                <w:left w:w="100" w:type="dxa"/>
                <w:bottom w:w="100" w:type="dxa"/>
                <w:right w:w="100" w:type="dxa"/>
              </w:tblCellMar>
            </w:tblPrEx>
            <w:trPr>
              <w:trHeight w:val="2165" w:hRule="atLeast"/>
            </w:trPr>
            <w:tc>
              <w:tcPr>
                <w:tcW w:w="54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6B37130">
                <w:r>
                  <w:t>5</w:t>
                </w:r>
              </w:p>
            </w:tc>
            <w:tc>
              <w:tcPr>
                <w:tcW w:w="1656"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388F71D5">
                <w:r>
                  <w:t>Difficulty in retaining returning guests due to lack of loyalty or incentive structure</w:t>
                </w:r>
              </w:p>
            </w:tc>
            <w:tc>
              <w:tcPr>
                <w:tcW w:w="1767"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6407B4E7">
                <w:r>
                  <w:t>Introduce a basic loyalty programme offering exclusive deals for return visits and referrals</w:t>
                </w:r>
              </w:p>
            </w:tc>
            <w:tc>
              <w:tcPr>
                <w:tcW w:w="1725"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4940F7E">
                <w:r>
                  <w:t>Stronger guest loyalty, more repeat bookings, and brand advocacy</w:t>
                </w:r>
              </w:p>
            </w:tc>
            <w:tc>
              <w:tcPr>
                <w:tcW w:w="128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45F4A50B">
                <w:r>
                  <w:t>2 months</w:t>
                </w:r>
              </w:p>
            </w:tc>
            <w:tc>
              <w:tcPr>
                <w:tcW w:w="135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500E1124">
                <w:r>
                  <w:t>August 2025</w:t>
                </w:r>
              </w:p>
            </w:tc>
            <w:tc>
              <w:tcPr>
                <w:tcW w:w="1031" w:type="dxa"/>
                <w:tcBorders>
                  <w:top w:val="single" w:color="000000" w:sz="8" w:space="0"/>
                  <w:left w:val="single" w:color="000000" w:sz="8" w:space="0"/>
                  <w:bottom w:val="single" w:color="000000" w:sz="8" w:space="0"/>
                  <w:right w:val="single" w:color="000000" w:sz="8" w:space="0"/>
                </w:tcBorders>
                <w:tcMar>
                  <w:top w:w="100" w:type="dxa"/>
                  <w:left w:w="100" w:type="dxa"/>
                  <w:bottom w:w="100" w:type="dxa"/>
                  <w:right w:w="100" w:type="dxa"/>
                </w:tcMar>
              </w:tcPr>
              <w:p w14:paraId="73E3E12B">
                <w:r>
                  <w:t>£3,000</w:t>
                </w:r>
              </w:p>
            </w:tc>
          </w:tr>
        </w:tbl>
      </w:sdtContent>
    </w:sdt>
    <w:p w14:paraId="34E59B86">
      <w:pPr>
        <w:jc w:val="center"/>
      </w:pPr>
      <w:r>
        <w:t>(Source: Learner)</w:t>
      </w:r>
    </w:p>
    <w:p w14:paraId="577470CE">
      <w:pPr>
        <w:rPr>
          <w:b/>
        </w:rPr>
      </w:pPr>
      <w:r>
        <w:rPr>
          <w:b/>
        </w:rPr>
        <w:t>Total Estimated Budget: £28,000</w:t>
      </w:r>
    </w:p>
    <w:p w14:paraId="1DAB37A9">
      <w:r>
        <w:t>This action plan presents Greyfriars Hotel with a strategic, low-capital way of improving customer retention, enriching the service offering and increasing the competitiveness in the luxury hospitality market. All items are created to match the hotel´s boutique scope to serve experience-driven guests and retain reasonable investment needs.</w:t>
      </w:r>
    </w:p>
    <w:p w14:paraId="4A987951">
      <w:pPr>
        <w:pStyle w:val="2"/>
      </w:pPr>
      <w:bookmarkStart w:id="26" w:name="_heading=h.48zg0t8varad" w:colFirst="0" w:colLast="0"/>
      <w:bookmarkEnd w:id="26"/>
      <w:bookmarkStart w:id="27" w:name="_Toc199774792"/>
      <w:r>
        <w:t>5. Conclusion</w:t>
      </w:r>
      <w:bookmarkEnd w:id="27"/>
    </w:p>
    <w:p w14:paraId="5CE21866">
      <w:r>
        <w:t>Finally, this is a consultancy report that has effectively explored the core issue which is that Greyfriars Hotel is experiencing guest retention that is in decline and the unsuccessful attempts for the hotel to secure repeat bookings. The results show that, despite the hotel having a reputable name, highly elegant rooms and luxurious location in Colchester, it is also in need of the essential leisure and wellness facilities required by modern luxury hospitality guests. As a result, guest satisfaction has been reduced, stays shorter and revenue from upselling and guest loyalty is missed.</w:t>
      </w:r>
    </w:p>
    <w:p w14:paraId="6B5F9C0A">
      <w:r>
        <w:t>Through the STEEPLED analysis, macro environmental factors such as changing social expectations for wellness, technological breakthroughs and economic pressures directly affect the hotel’s competitiveness. Further, Greyfriars is failing to take advantage of opportunities such as hospitality recovery and the boom of wellness and ethical tourism which political support of. The further utilisation of the SWOT and TOWS matrices reinforced that the hotel’s strengths (e.g. location, service quality and F&amp;B excellence) can be aligned strategically with some of the external opportunities to further enhance guest experience and guest loyalty.</w:t>
      </w:r>
    </w:p>
    <w:p w14:paraId="302F0002">
      <w:r>
        <w:t>Some actionable recommendations were proposed based on the analysis. Among these are offering hotel guests curated experience packages, introducing new pop-up spas through partnerships with local wellness providers, bolstering the hotel’s digital marketing strategy, as well as redefining staff role through targeted staff training. Significantly, these recommendations are also scalable and relatively budget-conscious and so are in keeping with the boutique nature of the hotel. It is estimated that it will cost around £28,000 to deliver maximum guest value and also to deliver sustainable returns on expenditure.</w:t>
      </w:r>
    </w:p>
    <w:p w14:paraId="66D893E9">
      <w:r>
        <w:t>An action plan to guide the hotel through the implementation process has been outlined. There are costed and time bound steps and it is linked to specific and measurable outcome or outcomes which will help the hotel make the transition into a more holistic, experience driven luxury destination. It has the potential to reposition itself competitively within the UK boutique hospitality market at modest financial outlay, attracting a higher spending, more loyal, customer base.</w:t>
      </w:r>
    </w:p>
    <w:p w14:paraId="27F9D1A3">
      <w:r>
        <w:t xml:space="preserve">The management of Greyfriars hotel offers Elevate Hospitality Solutions their sincere thanks for the chance to undertake this consultancy project. Working collectively with such a committed team offering excellence and innovation in hospitality has been a privilege. </w:t>
      </w:r>
      <w:r>
        <w:rPr>
          <w:color w:val="0A0A0A"/>
        </w:rPr>
        <w:t>This report may make a significant contribution to the hotel’s long term success and would be delighted to offer continued support in future strategic developments.</w:t>
      </w:r>
    </w:p>
    <w:p w14:paraId="69B60B59">
      <w:r>
        <w:br w:type="page"/>
      </w:r>
    </w:p>
    <w:p w14:paraId="3575CD8F">
      <w:pPr>
        <w:pStyle w:val="2"/>
      </w:pPr>
      <w:bookmarkStart w:id="28" w:name="_Toc199774793"/>
      <w:r>
        <w:t>References</w:t>
      </w:r>
      <w:bookmarkEnd w:id="28"/>
    </w:p>
    <w:p w14:paraId="6D27560F">
      <w:r>
        <w:t xml:space="preserve">AGYEI, A.S., 2024. PRICING STRATEGIES AND THEIR EFFECT ON GUEST RETENTION AT CAPITAL VIEW HOTEL IN KOFORIDUA. </w:t>
      </w:r>
    </w:p>
    <w:p w14:paraId="1772B1AF">
      <w:r>
        <w:t xml:space="preserve">Amazon, 2022. </w:t>
      </w:r>
      <w:r>
        <w:rPr>
          <w:i/>
        </w:rPr>
        <w:t>Four Digital Marketing Best Practices for Small and Medium Businesses Moving to the Cloud</w:t>
      </w:r>
      <w:r>
        <w:t>. Available at: https://aws.amazon.com/blogs/smb/four-digital-marketing-best-practices-for-small-and-medium-businesses-moving-to-the-cloud/ (Accessed: 2 June 2025).</w:t>
      </w:r>
    </w:p>
    <w:p w14:paraId="704ABDDE">
      <w:r>
        <w:t>Bardukova, L., 2023. Navigating the hospitality horizon: current trends and strategies for customer attraction and retention in the hotel industry. </w:t>
      </w:r>
      <w:r>
        <w:rPr>
          <w:i/>
        </w:rPr>
        <w:t>Economics and computer science</w:t>
      </w:r>
      <w:r>
        <w:t>, </w:t>
      </w:r>
      <w:r>
        <w:rPr>
          <w:i/>
        </w:rPr>
        <w:t>2</w:t>
      </w:r>
      <w:r>
        <w:t>, pp.88-103.</w:t>
      </w:r>
    </w:p>
    <w:p w14:paraId="2BFF250A">
      <w:r>
        <w:t>Bardukova, L., 2023. Navigating the hospitality horizon: current trends and strategies for customer attraction and retention in the hotel industry. </w:t>
      </w:r>
      <w:r>
        <w:rPr>
          <w:i/>
        </w:rPr>
        <w:t>Economics and computer science</w:t>
      </w:r>
      <w:r>
        <w:t>, </w:t>
      </w:r>
      <w:r>
        <w:rPr>
          <w:i/>
        </w:rPr>
        <w:t>2</w:t>
      </w:r>
      <w:r>
        <w:t xml:space="preserve">, pp.88-103. </w:t>
      </w:r>
    </w:p>
    <w:p w14:paraId="35B5CF19">
      <w:pPr>
        <w:rPr>
          <w:highlight w:val="white"/>
        </w:rPr>
      </w:pPr>
      <w:r>
        <w:rPr>
          <w:color w:val="222222"/>
          <w:highlight w:val="white"/>
        </w:rPr>
        <w:t xml:space="preserve">Batat, W., 2020. How can art museums develop new business opportunities? Exploring young visitors’ experience. </w:t>
      </w:r>
      <w:r>
        <w:rPr>
          <w:i/>
          <w:highlight w:val="white"/>
        </w:rPr>
        <w:t>Young Consumers</w:t>
      </w:r>
      <w:r>
        <w:rPr>
          <w:highlight w:val="white"/>
        </w:rPr>
        <w:t xml:space="preserve">, </w:t>
      </w:r>
      <w:r>
        <w:rPr>
          <w:i/>
          <w:highlight w:val="white"/>
        </w:rPr>
        <w:t>21</w:t>
      </w:r>
      <w:r>
        <w:rPr>
          <w:highlight w:val="white"/>
        </w:rPr>
        <w:t>(1), pp.109-131.</w:t>
      </w:r>
    </w:p>
    <w:p w14:paraId="29226345">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 xml:space="preserve">Bumbak, S., 2024. Spatial and temporal distribution of listings on Airbnb and booking. com as sharing economy platforms in the tourism destination of maramures land romania. </w:t>
      </w:r>
      <w:r>
        <w:rPr>
          <w:i/>
          <w:color w:val="000000"/>
        </w:rPr>
        <w:t>GeoJournal of Tourism and Geosites</w:t>
      </w:r>
      <w:r>
        <w:rPr>
          <w:color w:val="000000"/>
        </w:rPr>
        <w:t xml:space="preserve">, </w:t>
      </w:r>
      <w:r>
        <w:rPr>
          <w:i/>
          <w:color w:val="000000"/>
        </w:rPr>
        <w:t>52</w:t>
      </w:r>
      <w:r>
        <w:rPr>
          <w:color w:val="000000"/>
        </w:rPr>
        <w:t>(1), pp.340-350.</w:t>
      </w:r>
    </w:p>
    <w:p w14:paraId="25143EE0">
      <w:r>
        <w:t>Burnes, B., 2014. 4th Edition, Managing Change, Great Britain, Prentice Hall.</w:t>
      </w:r>
    </w:p>
    <w:p w14:paraId="340C4C75">
      <w:r>
        <w:t>Buttrick, R., 2009. The Project Workout, London: Prentice Hall.</w:t>
      </w:r>
    </w:p>
    <w:p w14:paraId="331A20F1">
      <w:r>
        <w:t>Castillo-Manzano, J.I., Castro-Nuño, M. and Pozo-Barajas, R., 2022. Addicted to cruises? Key drivers of cruise ship loyalty behavior through an e-WOM approach. </w:t>
      </w:r>
      <w:r>
        <w:rPr>
          <w:i/>
        </w:rPr>
        <w:t>International Journal of Contemporary Hospitality Management</w:t>
      </w:r>
      <w:r>
        <w:t>, </w:t>
      </w:r>
      <w:r>
        <w:rPr>
          <w:i/>
        </w:rPr>
        <w:t>34</w:t>
      </w:r>
      <w:r>
        <w:t>(1), pp.361-381.</w:t>
      </w:r>
    </w:p>
    <w:p w14:paraId="5576DEE1">
      <w:r>
        <w:t>CBI, 2024</w:t>
      </w:r>
      <w:r>
        <w:rPr>
          <w:i/>
        </w:rPr>
        <w:t>. What is the European market potential for wellness tourism?</w:t>
      </w:r>
      <w:r>
        <w:t xml:space="preserve"> Available at: https://www.cbi.eu/market-information/tourism/wellness-tourism/market-potential (Accessed: 2 June 2025).</w:t>
      </w:r>
    </w:p>
    <w:p w14:paraId="6012500A">
      <w:pPr>
        <w:rPr>
          <w:color w:val="222222"/>
          <w:highlight w:val="white"/>
        </w:rPr>
      </w:pPr>
      <w:r>
        <w:rPr>
          <w:color w:val="222222"/>
          <w:highlight w:val="white"/>
        </w:rPr>
        <w:t>Chamboko-Mpotaringa, M. and Tichaawa, T.M., 2021. Tourism digital marketing tools and views on future trends: A systematic review of literature.</w:t>
      </w:r>
    </w:p>
    <w:p w14:paraId="6B94F972">
      <w:r>
        <w:t>County, C., 2025. Stafe Report.</w:t>
      </w:r>
    </w:p>
    <w:p w14:paraId="51A63C54">
      <w:r>
        <w:rPr>
          <w:highlight w:val="white"/>
        </w:rPr>
        <w:t xml:space="preserve">Dimitriou, C.K., 2022. The critical role that national culture and ethical leadership play in fostering employee commitment to service quality in the hotel industry. </w:t>
      </w:r>
      <w:r>
        <w:rPr>
          <w:i/>
          <w:highlight w:val="white"/>
        </w:rPr>
        <w:t>Research in Hospitality Management</w:t>
      </w:r>
      <w:r>
        <w:rPr>
          <w:highlight w:val="white"/>
        </w:rPr>
        <w:t xml:space="preserve">, </w:t>
      </w:r>
      <w:r>
        <w:rPr>
          <w:i/>
          <w:highlight w:val="white"/>
        </w:rPr>
        <w:t>12</w:t>
      </w:r>
      <w:r>
        <w:rPr>
          <w:highlight w:val="white"/>
        </w:rPr>
        <w:t>(3), pp.255-271.</w:t>
      </w:r>
    </w:p>
    <w:p w14:paraId="4282148E">
      <w:pPr>
        <w:rPr>
          <w:highlight w:val="white"/>
        </w:rPr>
      </w:pPr>
      <w:r>
        <w:rPr>
          <w:color w:val="222222"/>
          <w:highlight w:val="white"/>
        </w:rPr>
        <w:t xml:space="preserve">Dissanayake, K. and Rajapakse, B., 2020. Environmental management accounting for corporate sustainability: A case from a Sri Lankan automobile company. </w:t>
      </w:r>
      <w:r>
        <w:rPr>
          <w:i/>
          <w:highlight w:val="white"/>
        </w:rPr>
        <w:t>Int. J. Audit. Account. Stud</w:t>
      </w:r>
      <w:r>
        <w:rPr>
          <w:highlight w:val="white"/>
        </w:rPr>
        <w:t xml:space="preserve">, </w:t>
      </w:r>
      <w:r>
        <w:rPr>
          <w:i/>
          <w:highlight w:val="white"/>
        </w:rPr>
        <w:t>2</w:t>
      </w:r>
      <w:r>
        <w:rPr>
          <w:highlight w:val="white"/>
        </w:rPr>
        <w:t>, pp.41-65.</w:t>
      </w:r>
    </w:p>
    <w:p w14:paraId="7639E2AC">
      <w:pPr>
        <w:rPr>
          <w:highlight w:val="white"/>
        </w:rPr>
      </w:pPr>
      <w:r>
        <w:rPr>
          <w:color w:val="222222"/>
          <w:highlight w:val="white"/>
        </w:rPr>
        <w:t xml:space="preserve">Ghani, I., Jawawi, D.N.A., Niknejad, N., Khan, M. and Jeong, S.R., 2016. A survey of agile transition models. In </w:t>
      </w:r>
      <w:r>
        <w:rPr>
          <w:i/>
          <w:highlight w:val="white"/>
        </w:rPr>
        <w:t>Emerging Innovations in Agile Software Development</w:t>
      </w:r>
      <w:r>
        <w:rPr>
          <w:highlight w:val="white"/>
        </w:rPr>
        <w:t xml:space="preserve"> (pp. 141-164). IGI Global Scientific Publishing.</w:t>
      </w:r>
    </w:p>
    <w:p w14:paraId="70268648">
      <w:r>
        <w:t xml:space="preserve">GOV.UK, 2025. </w:t>
      </w:r>
      <w:r>
        <w:rPr>
          <w:i/>
        </w:rPr>
        <w:t>Hospitality Strategy: Reopening, Recovery, Resilience</w:t>
      </w:r>
      <w:r>
        <w:t>. Available at: https://assets.publishing.service.gov.uk/media/60f14bd7e90e0764ca40656b/1200-APS-CCS0621819592-002-BEIS-Accessible2.pdf (Accessed: 2 June 2025).</w:t>
      </w:r>
    </w:p>
    <w:p w14:paraId="279ADB0C">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Gov.uk., 2025. Hospitality strategy: reopening, recovery, resilience. [online] Available at: https://www.gov.uk/government/publications/hospitality-strategy-reopening-recovery-resilience/hospitality-strategy-reopening-recovery-resilience [Accessed on: 31.05.25]</w:t>
      </w:r>
    </w:p>
    <w:p w14:paraId="1CFDA1A5">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Grand View Research., 2025. UK Wellness Tourism Market Size &amp; Outlook, 2022-2030. [online] Available at: https://www.grandviewresearch.com/horizon/outlook/wellness-tourism-market/uk#:~:text=UK%20wellness%20tourism%20market%20highlights,revenue%20generating%20service%20in%202022. [Accessed on: 31.05.25]</w:t>
      </w:r>
    </w:p>
    <w:p w14:paraId="48A76407">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GreyFriars Hotel Colchester., 2025. Bar, Lounges &amp; Terrace. [online] Available at: https://greyfriarscolchester.co.uk/bars/ [Accessed on: 31.05.25]</w:t>
      </w:r>
    </w:p>
    <w:p w14:paraId="157E9B9F">
      <w:r>
        <w:t>House, M., Brand awareness and its influence on repeat customers in the airline industry.</w:t>
      </w:r>
    </w:p>
    <w:p w14:paraId="719DBEC3">
      <w:r>
        <w:t>Jawabreh, O., Jahmani, A., Maaiah, B. and Basel, A., 2022. Evaluation of the contents of the five stars hotel website and customer orientation. </w:t>
      </w:r>
      <w:r>
        <w:rPr>
          <w:i/>
        </w:rPr>
        <w:t>Information Sciences Letters</w:t>
      </w:r>
      <w:r>
        <w:t>, </w:t>
      </w:r>
      <w:r>
        <w:rPr>
          <w:i/>
        </w:rPr>
        <w:t>11</w:t>
      </w:r>
      <w:r>
        <w:t>(4), pp.1077-1085.</w:t>
      </w:r>
    </w:p>
    <w:p w14:paraId="086366DB">
      <w:r>
        <w:t>Jawabreh, O., Masa'Deh, R.E., Mahmoud, R. and Hamasha, S.A., 2020. Factors influencing the employees service performances in hospitality industry case study AQBA five stars hotel. </w:t>
      </w:r>
      <w:r>
        <w:rPr>
          <w:i/>
        </w:rPr>
        <w:t>Geo Journal of Tourism and Geosites</w:t>
      </w:r>
      <w:r>
        <w:t>, </w:t>
      </w:r>
      <w:r>
        <w:rPr>
          <w:i/>
        </w:rPr>
        <w:t>29</w:t>
      </w:r>
      <w:r>
        <w:t>(2), pp.649-661.</w:t>
      </w:r>
    </w:p>
    <w:p w14:paraId="42CED83E">
      <w:r>
        <w:t>Kotter, J., 2012. Leading change. Harvard Business Review Press.</w:t>
      </w:r>
    </w:p>
    <w:p w14:paraId="2CD0FB93">
      <w:r>
        <w:t xml:space="preserve">Legislation.gov.uk, 2025. </w:t>
      </w:r>
      <w:r>
        <w:rPr>
          <w:i/>
        </w:rPr>
        <w:t>Consumer Rights Act 2015, Statute Law Database</w:t>
      </w:r>
      <w:r>
        <w:t>. Available at: https://www.legislation.gov.uk/ukpga/2015/15/contents (Accessed: 2 June 2025).</w:t>
      </w:r>
    </w:p>
    <w:p w14:paraId="2C39C5AD">
      <w:r>
        <w:t>Legislation.gov.uk,</w:t>
      </w:r>
      <w:r>
        <w:rPr>
          <w:i/>
        </w:rPr>
        <w:t xml:space="preserve"> </w:t>
      </w:r>
      <w:r>
        <w:t xml:space="preserve">2025. </w:t>
      </w:r>
      <w:r>
        <w:rPr>
          <w:i/>
        </w:rPr>
        <w:t>Employment Rights Act 1996. Statute Law Database</w:t>
      </w:r>
      <w:r>
        <w:t>. Available at: https://www.legislation.gov.uk/ukpga/1996/18/contents (Accessed: 2 June 2025).</w:t>
      </w:r>
    </w:p>
    <w:p w14:paraId="5504525B">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 xml:space="preserve">Lentz, M., Berezan, O. and Raab, C., 2021. Uncovering the relationship between revenue management and hotel loyalty programs. </w:t>
      </w:r>
      <w:r>
        <w:rPr>
          <w:i/>
          <w:color w:val="000000"/>
        </w:rPr>
        <w:t>Journal of revenue and pricing management</w:t>
      </w:r>
      <w:r>
        <w:rPr>
          <w:color w:val="000000"/>
        </w:rPr>
        <w:t xml:space="preserve">, </w:t>
      </w:r>
      <w:r>
        <w:rPr>
          <w:i/>
          <w:color w:val="000000"/>
        </w:rPr>
        <w:t>21</w:t>
      </w:r>
      <w:r>
        <w:rPr>
          <w:color w:val="000000"/>
        </w:rPr>
        <w:t>(3), p.306.</w:t>
      </w:r>
    </w:p>
    <w:p w14:paraId="31BE5B69">
      <w:r>
        <w:t>Li, Z., Long, M., Huang, S., Duan, Z., Hu, Y. and Cui, R., 2023. Effects of inertia and switching costs on customer retention: a study of budget hotels in China. </w:t>
      </w:r>
      <w:r>
        <w:rPr>
          <w:i/>
        </w:rPr>
        <w:t>International Journal of Contemporary Hospitality Management</w:t>
      </w:r>
      <w:r>
        <w:t>, </w:t>
      </w:r>
      <w:r>
        <w:rPr>
          <w:i/>
        </w:rPr>
        <w:t>35</w:t>
      </w:r>
      <w:r>
        <w:t>(3), pp.1030-1050.</w:t>
      </w:r>
    </w:p>
    <w:p w14:paraId="5A525EBB">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 xml:space="preserve">Liu, H., Xiao, Q. and Wang, H., 2024. Understanding Customer Experience for Sustainable Innovation: An Integration of Conscious and Unconscious Perspectives of Theme Hotel Guests. </w:t>
      </w:r>
      <w:r>
        <w:rPr>
          <w:i/>
          <w:color w:val="000000"/>
        </w:rPr>
        <w:t>Sustainability</w:t>
      </w:r>
      <w:r>
        <w:rPr>
          <w:color w:val="000000"/>
        </w:rPr>
        <w:t xml:space="preserve">, </w:t>
      </w:r>
      <w:r>
        <w:rPr>
          <w:i/>
          <w:color w:val="000000"/>
        </w:rPr>
        <w:t>16</w:t>
      </w:r>
      <w:r>
        <w:rPr>
          <w:color w:val="000000"/>
        </w:rPr>
        <w:t>(13), p.5274.</w:t>
      </w:r>
    </w:p>
    <w:p w14:paraId="2CE91C89">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 xml:space="preserve">Lozano, J., Rey-Maquieira, J. and Sastre, F., 2021. An integrated analysis of tourism seasonality in prices and quantities, with an application to the Spanish hotel industry. </w:t>
      </w:r>
      <w:r>
        <w:rPr>
          <w:i/>
          <w:color w:val="000000"/>
        </w:rPr>
        <w:t>Journal of Travel Research</w:t>
      </w:r>
      <w:r>
        <w:rPr>
          <w:color w:val="000000"/>
        </w:rPr>
        <w:t xml:space="preserve">, </w:t>
      </w:r>
      <w:r>
        <w:rPr>
          <w:i/>
          <w:color w:val="000000"/>
        </w:rPr>
        <w:t>60</w:t>
      </w:r>
      <w:r>
        <w:rPr>
          <w:color w:val="000000"/>
        </w:rPr>
        <w:t>(7), pp.1581-1597.</w:t>
      </w:r>
    </w:p>
    <w:p w14:paraId="49D84D5E">
      <w:r>
        <w:rPr>
          <w:highlight w:val="white"/>
        </w:rPr>
        <w:t xml:space="preserve">Mavridopoulou, I. and O’Mahoney, J., 2020. Elitism in strategy consulting: How institutional prestige influences recruitment. </w:t>
      </w:r>
      <w:r>
        <w:rPr>
          <w:i/>
          <w:highlight w:val="white"/>
        </w:rPr>
        <w:t>Management Consulting Journal</w:t>
      </w:r>
      <w:r>
        <w:rPr>
          <w:highlight w:val="white"/>
        </w:rPr>
        <w:t xml:space="preserve">, </w:t>
      </w:r>
      <w:r>
        <w:rPr>
          <w:i/>
          <w:highlight w:val="white"/>
        </w:rPr>
        <w:t>3</w:t>
      </w:r>
      <w:r>
        <w:rPr>
          <w:highlight w:val="white"/>
        </w:rPr>
        <w:t>(1), pp.12-22.</w:t>
      </w:r>
    </w:p>
    <w:p w14:paraId="71D68531">
      <w:r>
        <w:t>Mission, R., 2023. Website traffic patterns and user behavior: A comprehensive study of visitor interactions and engagement metrics. </w:t>
      </w:r>
      <w:r>
        <w:rPr>
          <w:i/>
        </w:rPr>
        <w:t>Journal of Innovative Technology Convergence</w:t>
      </w:r>
      <w:r>
        <w:t>, </w:t>
      </w:r>
      <w:r>
        <w:rPr>
          <w:i/>
        </w:rPr>
        <w:t>5</w:t>
      </w:r>
      <w:r>
        <w:t>(1).</w:t>
      </w:r>
    </w:p>
    <w:p w14:paraId="3FDB7BB2">
      <w:r>
        <w:t>Naru, R., Jain, A.K. and Rai, S.K., 2024. An empirical evidence of factors affecting customer retention after sales in the luxury car industry: case of India. </w:t>
      </w:r>
      <w:r>
        <w:rPr>
          <w:i/>
        </w:rPr>
        <w:t>International Journal of Business Excellence</w:t>
      </w:r>
      <w:r>
        <w:t>, </w:t>
      </w:r>
      <w:r>
        <w:rPr>
          <w:i/>
        </w:rPr>
        <w:t>33</w:t>
      </w:r>
      <w:r>
        <w:t>(2), pp.254-276.</w:t>
      </w:r>
    </w:p>
    <w:p w14:paraId="2B978D5A">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Nguyen, L.K.C., 2024. Social Media Crisis Management in the Hospitality Industry: Strategies for Maintaining Brand Reputation and Customer Trust.</w:t>
      </w:r>
    </w:p>
    <w:p w14:paraId="744F3579">
      <w:r>
        <w:t>Noordzife, G., 2014. Project Management of Hotel Opening Processes: Exploring Better Ways to Manage New Hotel Openings, CreateSpace.</w:t>
      </w:r>
    </w:p>
    <w:p w14:paraId="216FFA3F">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Office for National Statistics., 2025. Consumer price inflation, UK: April 2025. [online] Available at: https://www.ons.gov.uk/economy/inflationandpriceindices/bulletins/consumerpriceinflation/april2025 [Accessed on: 31.05.25]</w:t>
      </w:r>
    </w:p>
    <w:p w14:paraId="7E1245C4">
      <w:r>
        <w:t>Okeke, N.I., Alabi, O.A., Igwe, A.N., Ofodile, O.C. and Ewim, C.P.M., 2024. Customer journey mapping framework for SMEs: Enhancing customer satisfaction and business growth. </w:t>
      </w:r>
      <w:r>
        <w:rPr>
          <w:i/>
        </w:rPr>
        <w:t>World Journal of Advanced Research and Reviews</w:t>
      </w:r>
      <w:r>
        <w:t>, </w:t>
      </w:r>
      <w:r>
        <w:rPr>
          <w:i/>
        </w:rPr>
        <w:t>24</w:t>
      </w:r>
      <w:r>
        <w:t>(1), pp.2004-2018.</w:t>
      </w:r>
    </w:p>
    <w:p w14:paraId="15626E0C">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Old Course Hotel., 2025. Old Course Hotel, Golf Resort &amp; Spa | St Andrews. [online] Available at: https://www.oldcoursehotel.co.uk/ [Accessed on: 31.05.25]</w:t>
      </w:r>
    </w:p>
    <w:p w14:paraId="742A026F">
      <w:r>
        <w:rPr>
          <w:highlight w:val="white"/>
        </w:rPr>
        <w:t xml:space="preserve">O'Mahoney, J., 2021. How small consultancies grow: Challenging problem-based theorising. </w:t>
      </w:r>
      <w:r>
        <w:rPr>
          <w:i/>
          <w:highlight w:val="white"/>
        </w:rPr>
        <w:t>Management Consulting Journal</w:t>
      </w:r>
      <w:r>
        <w:rPr>
          <w:highlight w:val="white"/>
        </w:rPr>
        <w:t xml:space="preserve">, </w:t>
      </w:r>
      <w:r>
        <w:rPr>
          <w:i/>
          <w:highlight w:val="white"/>
        </w:rPr>
        <w:t>4</w:t>
      </w:r>
      <w:r>
        <w:rPr>
          <w:highlight w:val="white"/>
        </w:rPr>
        <w:t>(1), pp.5-20.</w:t>
      </w:r>
    </w:p>
    <w:p w14:paraId="271B9FE3">
      <w:r>
        <w:t xml:space="preserve">ONS, 2025. </w:t>
      </w:r>
      <w:r>
        <w:rPr>
          <w:i/>
        </w:rPr>
        <w:t>Consumer price inflation, UK: April 2025, Consumer price inflation, UK - Office for National Statistics. Office for National Statistics</w:t>
      </w:r>
      <w:r>
        <w:t>. Available at: https://www.ons.gov.uk/economy/inflationandpriceindices/bulletins/consumerpriceinflation/april2025#:~:text=a%20year%20earlier.-,The%20Consumer%20Prices%20Index%20(CPI)%20rose%20by%203.5%25%20in,of%200.3%25%20in%20April%202024. (Accessed: 2 June 2025).</w:t>
      </w:r>
    </w:p>
    <w:p w14:paraId="0C1D141A">
      <w:r>
        <w:t>Pei, X.L., Guo, J.N., Wu, T.J., Zhou, W.X. and Yeh, S.P., 2020. Does the effect of customer experience on customer satisfaction create a sustainable competitive advantage? A comparative study of different shopping situations. </w:t>
      </w:r>
      <w:r>
        <w:rPr>
          <w:i/>
        </w:rPr>
        <w:t>Sustainability</w:t>
      </w:r>
      <w:r>
        <w:t>, </w:t>
      </w:r>
      <w:r>
        <w:rPr>
          <w:i/>
        </w:rPr>
        <w:t>12</w:t>
      </w:r>
      <w:r>
        <w:t>(18), p.7436.</w:t>
      </w:r>
    </w:p>
    <w:p w14:paraId="73E480E9">
      <w:pPr>
        <w:rPr>
          <w:highlight w:val="white"/>
        </w:rPr>
      </w:pPr>
      <w:r>
        <w:rPr>
          <w:color w:val="222222"/>
          <w:highlight w:val="white"/>
        </w:rPr>
        <w:t>Popely, D. and Uhlir, L., 2023. Advancing health and well-being in hospitality: Employers respond to new workforce expectations.</w:t>
      </w:r>
      <w:r>
        <w:rPr>
          <w:highlight w:val="white"/>
        </w:rPr>
        <w:t>s</w:t>
      </w:r>
    </w:p>
    <w:p w14:paraId="4259A8AE">
      <w:r>
        <w:t xml:space="preserve">Power, R., 2024. </w:t>
      </w:r>
      <w:r>
        <w:rPr>
          <w:i/>
        </w:rPr>
        <w:t>Employees In Action: Unlocking Profit Through An Engaged Workforce</w:t>
      </w:r>
      <w:r>
        <w:t>. Available at: https://www.forbes.com/sites/rhettpower/2024/07/21/employees-in-action-unlocking-profit-through-an-engaged-workforce/ (Accessed: 2 June 2025).</w:t>
      </w:r>
    </w:p>
    <w:p w14:paraId="51BCBCDF">
      <w:r>
        <w:t xml:space="preserve">Rariel, 2022. </w:t>
      </w:r>
      <w:r>
        <w:rPr>
          <w:i/>
        </w:rPr>
        <w:t>Booking.com 2021 Sustainable Travel Report</w:t>
      </w:r>
      <w:r>
        <w:t>, </w:t>
      </w:r>
      <w:r>
        <w:rPr>
          <w:i/>
        </w:rPr>
        <w:t>GSTC</w:t>
      </w:r>
      <w:r>
        <w:t>. Available at: https://www.gstc.org/booking-com-2021-sustainable-travel-report/#:~:text=Respect%20for%20the%20local%20community,frequently%20visited%20destinations%20and%20communities (Accessed: 2 June 2025).</w:t>
      </w:r>
    </w:p>
    <w:p w14:paraId="4468465B">
      <w:r>
        <w:t>Sayfuddin, A.T.M. and Chen, Y., 2021. The signaling and reputational effects of customer ratings on hotel revenues: Evidence from TripAdvisor. </w:t>
      </w:r>
      <w:r>
        <w:rPr>
          <w:i/>
        </w:rPr>
        <w:t>International journal of hospitality management</w:t>
      </w:r>
      <w:r>
        <w:t>, </w:t>
      </w:r>
      <w:r>
        <w:rPr>
          <w:i/>
        </w:rPr>
        <w:t>99</w:t>
      </w:r>
      <w:r>
        <w:t>, p.103065.</w:t>
      </w:r>
    </w:p>
    <w:p w14:paraId="3907690E">
      <w:pPr>
        <w:pBdr>
          <w:top w:val="none" w:color="auto" w:sz="0" w:space="0"/>
          <w:left w:val="none" w:color="auto" w:sz="0" w:space="0"/>
          <w:bottom w:val="none" w:color="auto" w:sz="0" w:space="0"/>
          <w:right w:val="none" w:color="auto" w:sz="0" w:space="0"/>
          <w:between w:val="none" w:color="auto" w:sz="0" w:space="0"/>
        </w:pBdr>
        <w:rPr>
          <w:color w:val="000000"/>
        </w:rPr>
      </w:pPr>
      <w:r>
        <w:rPr>
          <w:color w:val="000000"/>
        </w:rPr>
        <w:t xml:space="preserve">Shin, S., Shin, H.H. and Gim, J., 2023. How positive do testimonials on a restaurant website need to be? Impact of positivity of testimonial reviews on customers’ decision-making. </w:t>
      </w:r>
      <w:r>
        <w:rPr>
          <w:i/>
          <w:color w:val="000000"/>
        </w:rPr>
        <w:t>International Journal of Hospitality Management</w:t>
      </w:r>
      <w:r>
        <w:rPr>
          <w:color w:val="000000"/>
        </w:rPr>
        <w:t xml:space="preserve">, </w:t>
      </w:r>
      <w:r>
        <w:rPr>
          <w:i/>
          <w:color w:val="000000"/>
        </w:rPr>
        <w:t>108</w:t>
      </w:r>
      <w:r>
        <w:rPr>
          <w:color w:val="000000"/>
        </w:rPr>
        <w:t>, p.103382.</w:t>
      </w:r>
    </w:p>
    <w:p w14:paraId="06B59E01">
      <w:pPr>
        <w:rPr>
          <w:color w:val="222222"/>
          <w:highlight w:val="white"/>
        </w:rPr>
      </w:pPr>
      <w:r>
        <w:rPr>
          <w:color w:val="222222"/>
          <w:highlight w:val="white"/>
        </w:rPr>
        <w:t>Spowage, M., Cooper, B., Milne, K. and Connolly, K., 2023. The economic contribution of colleges in Scotland.</w:t>
      </w:r>
    </w:p>
    <w:p w14:paraId="0CE17E9F">
      <w:r>
        <w:t xml:space="preserve">Statista, 2025. </w:t>
      </w:r>
      <w:r>
        <w:rPr>
          <w:i/>
        </w:rPr>
        <w:t>Topic: Mobile travel trends, Statista</w:t>
      </w:r>
      <w:r>
        <w:t>. Available at: https://www.statista.com/topics/10685/mobile-travel-trends/ (Accessed: 2 June 2025).</w:t>
      </w:r>
    </w:p>
    <w:p w14:paraId="3DE51E20">
      <w:r>
        <w:t xml:space="preserve">Sustainable Hospitality Alliance, 2024. </w:t>
      </w:r>
      <w:r>
        <w:rPr>
          <w:i/>
        </w:rPr>
        <w:t>3 steps to maximise guest participation in your hotel’s sustainability efforts</w:t>
      </w:r>
      <w:r>
        <w:t>. Available at: https://sustainablehospitalityalliance.org/maximise-guest-participation/ (Accessed: 2 June 2025).</w:t>
      </w:r>
    </w:p>
    <w:p w14:paraId="5D375658">
      <w:r>
        <w:t>Tovmasyan, G. and Minasyan, D., 2020. The impact of motivation on work efficiency for both employers. </w:t>
      </w:r>
      <w:r>
        <w:rPr>
          <w:i/>
        </w:rPr>
        <w:t>Business Ethics and Leadership</w:t>
      </w:r>
      <w:r>
        <w:t>, </w:t>
      </w:r>
      <w:r>
        <w:rPr>
          <w:i/>
        </w:rPr>
        <w:t>4</w:t>
      </w:r>
      <w:r>
        <w:t>(3).</w:t>
      </w:r>
    </w:p>
    <w:p w14:paraId="3AB70813">
      <w:r>
        <w:t xml:space="preserve">Visit Britain, 2025. </w:t>
      </w:r>
      <w:r>
        <w:rPr>
          <w:i/>
        </w:rPr>
        <w:t>2025 inbound tourism forecast_VisitBritain.org</w:t>
      </w:r>
      <w:r>
        <w:t>. Available at: https://www.visitbritain.org/research-insights/inbound-tourism-forecast (Accessed: 2 June 2025).</w:t>
      </w:r>
    </w:p>
    <w:p w14:paraId="20773FDD">
      <w:pPr>
        <w:rPr>
          <w:highlight w:val="white"/>
        </w:rPr>
      </w:pPr>
      <w:r>
        <w:rPr>
          <w:color w:val="222222"/>
          <w:highlight w:val="white"/>
        </w:rPr>
        <w:t xml:space="preserve">Walshe, P., 2024. Reflecting on the implementation of Aistear in advance of an update to the curriculum framework. </w:t>
      </w:r>
      <w:r>
        <w:rPr>
          <w:i/>
          <w:highlight w:val="white"/>
        </w:rPr>
        <w:t>Irish Educational Studies</w:t>
      </w:r>
      <w:r>
        <w:rPr>
          <w:highlight w:val="white"/>
        </w:rPr>
        <w:t>, pp.1-20.</w:t>
      </w:r>
    </w:p>
    <w:p w14:paraId="58018345">
      <w:r>
        <w:rPr>
          <w:highlight w:val="white"/>
        </w:rPr>
        <w:t>Whittington, R., Johnson, G., Scholes, K., Angwin, D. and Regnér, P., 2020. Exploring strategy . Harlow.</w:t>
      </w:r>
      <w:r>
        <w:t>.</w:t>
      </w:r>
    </w:p>
    <w:p w14:paraId="77A50494">
      <w:r>
        <w:t>Wu, J., Cai, J., Luo, X.R. and Benitez, J., 2021. How to increase customer repeated bookings in the short-term room rental market? A large-scale granular data investigation. </w:t>
      </w:r>
      <w:r>
        <w:rPr>
          <w:i/>
        </w:rPr>
        <w:t>Decision Support Systems</w:t>
      </w:r>
      <w:r>
        <w:t>, </w:t>
      </w:r>
      <w:r>
        <w:rPr>
          <w:i/>
        </w:rPr>
        <w:t>143</w:t>
      </w:r>
      <w:r>
        <w:t>, p.113495.</w:t>
      </w:r>
    </w:p>
    <w:sectPr>
      <w:footerReference r:id="rId5" w:type="default"/>
      <w:pgSz w:w="12240" w:h="15840"/>
      <w:pgMar w:top="1440" w:right="1440" w:bottom="1440" w:left="1440" w:header="720" w:footer="720" w:gutter="0"/>
      <w:pgNumType w:start="1"/>
      <w:cols w:space="720" w:num="1"/>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Noto Sans Symbols">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849992310"/>
      <w:docPartObj>
        <w:docPartGallery w:val="AutoText"/>
      </w:docPartObj>
    </w:sdtPr>
    <w:sdtContent>
      <w:p w14:paraId="1B559574">
        <w:pPr>
          <w:pStyle w:val="13"/>
          <w:jc w:val="right"/>
        </w:pPr>
        <w:r>
          <w:fldChar w:fldCharType="begin"/>
        </w:r>
        <w:r>
          <w:instrText xml:space="preserve"> PAGE   \* MERGEFORMAT </w:instrText>
        </w:r>
        <w:r>
          <w:fldChar w:fldCharType="separate"/>
        </w:r>
        <w:r>
          <w:t>4</w:t>
        </w:r>
        <w:r>
          <w:fldChar w:fldCharType="end"/>
        </w:r>
      </w:p>
    </w:sdtContent>
  </w:sdt>
  <w:p w14:paraId="42738076">
    <w:pPr>
      <w:pStyle w:val="13"/>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360" w:lineRule="auto"/>
      </w:pPr>
      <w:r>
        <w:separator/>
      </w:r>
    </w:p>
  </w:footnote>
  <w:footnote w:type="continuationSeparator" w:id="1">
    <w:p>
      <w:pPr>
        <w:spacing w:line="36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B492C88"/>
    <w:multiLevelType w:val="multilevel"/>
    <w:tmpl w:val="0B492C8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nsid w:val="0CA07BB2"/>
    <w:multiLevelType w:val="multilevel"/>
    <w:tmpl w:val="0CA07BB2"/>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nsid w:val="13D44FFA"/>
    <w:multiLevelType w:val="multilevel"/>
    <w:tmpl w:val="13D44FFA"/>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3">
    <w:nsid w:val="173C0F3D"/>
    <w:multiLevelType w:val="multilevel"/>
    <w:tmpl w:val="173C0F3D"/>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abstractNum w:abstractNumId="4">
    <w:nsid w:val="30E61F01"/>
    <w:multiLevelType w:val="multilevel"/>
    <w:tmpl w:val="30E61F01"/>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nsid w:val="3FE21535"/>
    <w:multiLevelType w:val="multilevel"/>
    <w:tmpl w:val="3FE2153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nsid w:val="44164BC5"/>
    <w:multiLevelType w:val="multilevel"/>
    <w:tmpl w:val="44164BC5"/>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nsid w:val="49FE6879"/>
    <w:multiLevelType w:val="multilevel"/>
    <w:tmpl w:val="49FE6879"/>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8">
    <w:nsid w:val="5D1C5068"/>
    <w:multiLevelType w:val="multilevel"/>
    <w:tmpl w:val="5D1C5068"/>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9">
    <w:nsid w:val="69EC4B2E"/>
    <w:multiLevelType w:val="multilevel"/>
    <w:tmpl w:val="69EC4B2E"/>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0">
    <w:nsid w:val="6A2D2100"/>
    <w:multiLevelType w:val="multilevel"/>
    <w:tmpl w:val="6A2D2100"/>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1">
    <w:nsid w:val="6E172531"/>
    <w:multiLevelType w:val="multilevel"/>
    <w:tmpl w:val="6E172531"/>
    <w:lvl w:ilvl="0" w:tentative="0">
      <w:start w:val="1"/>
      <w:numFmt w:val="bullet"/>
      <w:lvlText w:val="●"/>
      <w:lvlJc w:val="left"/>
      <w:pPr>
        <w:ind w:left="720" w:hanging="360"/>
      </w:pPr>
      <w:rPr>
        <w:rFonts w:ascii="Noto Sans Symbols" w:hAnsi="Noto Sans Symbols" w:eastAsia="Noto Sans Symbols" w:cs="Noto Sans Symbols"/>
      </w:rPr>
    </w:lvl>
    <w:lvl w:ilvl="1" w:tentative="0">
      <w:start w:val="1"/>
      <w:numFmt w:val="bullet"/>
      <w:lvlText w:val="o"/>
      <w:lvlJc w:val="left"/>
      <w:pPr>
        <w:ind w:left="1440" w:hanging="360"/>
      </w:pPr>
      <w:rPr>
        <w:rFonts w:ascii="Courier New" w:hAnsi="Courier New" w:eastAsia="Courier New" w:cs="Courier New"/>
      </w:rPr>
    </w:lvl>
    <w:lvl w:ilvl="2" w:tentative="0">
      <w:start w:val="1"/>
      <w:numFmt w:val="bullet"/>
      <w:lvlText w:val="▪"/>
      <w:lvlJc w:val="left"/>
      <w:pPr>
        <w:ind w:left="2160" w:hanging="360"/>
      </w:pPr>
      <w:rPr>
        <w:rFonts w:ascii="Noto Sans Symbols" w:hAnsi="Noto Sans Symbols" w:eastAsia="Noto Sans Symbols" w:cs="Noto Sans Symbols"/>
      </w:rPr>
    </w:lvl>
    <w:lvl w:ilvl="3" w:tentative="0">
      <w:start w:val="1"/>
      <w:numFmt w:val="bullet"/>
      <w:lvlText w:val="●"/>
      <w:lvlJc w:val="left"/>
      <w:pPr>
        <w:ind w:left="2880" w:hanging="360"/>
      </w:pPr>
      <w:rPr>
        <w:rFonts w:ascii="Noto Sans Symbols" w:hAnsi="Noto Sans Symbols" w:eastAsia="Noto Sans Symbols" w:cs="Noto Sans Symbols"/>
      </w:rPr>
    </w:lvl>
    <w:lvl w:ilvl="4" w:tentative="0">
      <w:start w:val="1"/>
      <w:numFmt w:val="bullet"/>
      <w:lvlText w:val="o"/>
      <w:lvlJc w:val="left"/>
      <w:pPr>
        <w:ind w:left="3600" w:hanging="360"/>
      </w:pPr>
      <w:rPr>
        <w:rFonts w:ascii="Courier New" w:hAnsi="Courier New" w:eastAsia="Courier New" w:cs="Courier New"/>
      </w:rPr>
    </w:lvl>
    <w:lvl w:ilvl="5" w:tentative="0">
      <w:start w:val="1"/>
      <w:numFmt w:val="bullet"/>
      <w:lvlText w:val="▪"/>
      <w:lvlJc w:val="left"/>
      <w:pPr>
        <w:ind w:left="4320" w:hanging="360"/>
      </w:pPr>
      <w:rPr>
        <w:rFonts w:ascii="Noto Sans Symbols" w:hAnsi="Noto Sans Symbols" w:eastAsia="Noto Sans Symbols" w:cs="Noto Sans Symbols"/>
      </w:rPr>
    </w:lvl>
    <w:lvl w:ilvl="6" w:tentative="0">
      <w:start w:val="1"/>
      <w:numFmt w:val="bullet"/>
      <w:lvlText w:val="●"/>
      <w:lvlJc w:val="left"/>
      <w:pPr>
        <w:ind w:left="5040" w:hanging="360"/>
      </w:pPr>
      <w:rPr>
        <w:rFonts w:ascii="Noto Sans Symbols" w:hAnsi="Noto Sans Symbols" w:eastAsia="Noto Sans Symbols" w:cs="Noto Sans Symbols"/>
      </w:rPr>
    </w:lvl>
    <w:lvl w:ilvl="7" w:tentative="0">
      <w:start w:val="1"/>
      <w:numFmt w:val="bullet"/>
      <w:lvlText w:val="o"/>
      <w:lvlJc w:val="left"/>
      <w:pPr>
        <w:ind w:left="5760" w:hanging="360"/>
      </w:pPr>
      <w:rPr>
        <w:rFonts w:ascii="Courier New" w:hAnsi="Courier New" w:eastAsia="Courier New" w:cs="Courier New"/>
      </w:rPr>
    </w:lvl>
    <w:lvl w:ilvl="8" w:tentative="0">
      <w:start w:val="1"/>
      <w:numFmt w:val="bullet"/>
      <w:lvlText w:val="▪"/>
      <w:lvlJc w:val="left"/>
      <w:pPr>
        <w:ind w:left="6480" w:hanging="360"/>
      </w:pPr>
      <w:rPr>
        <w:rFonts w:ascii="Noto Sans Symbols" w:hAnsi="Noto Sans Symbols" w:eastAsia="Noto Sans Symbols" w:cs="Noto Sans Symbols"/>
      </w:rPr>
    </w:lvl>
  </w:abstractNum>
  <w:num w:numId="1">
    <w:abstractNumId w:val="10"/>
  </w:num>
  <w:num w:numId="2">
    <w:abstractNumId w:val="7"/>
  </w:num>
  <w:num w:numId="3">
    <w:abstractNumId w:val="0"/>
  </w:num>
  <w:num w:numId="4">
    <w:abstractNumId w:val="3"/>
  </w:num>
  <w:num w:numId="5">
    <w:abstractNumId w:val="1"/>
  </w:num>
  <w:num w:numId="6">
    <w:abstractNumId w:val="8"/>
  </w:num>
  <w:num w:numId="7">
    <w:abstractNumId w:val="2"/>
  </w:num>
  <w:num w:numId="8">
    <w:abstractNumId w:val="11"/>
  </w:num>
  <w:num w:numId="9">
    <w:abstractNumId w:val="6"/>
  </w:num>
  <w:num w:numId="10">
    <w:abstractNumId w:val="9"/>
  </w:num>
  <w:num w:numId="11">
    <w:abstractNumId w:val="5"/>
  </w:num>
  <w:num w:numId="1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
  <w:rsids>
    <w:rsidRoot w:val="00AB4063"/>
    <w:rsid w:val="00565480"/>
    <w:rsid w:val="00770028"/>
    <w:rsid w:val="00AB4063"/>
    <w:rsid w:val="00AD32E3"/>
    <w:rsid w:val="6D69142E"/>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imes New Roma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0"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unhideWhenUsed="0" w:uiPriority="0"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360" w:lineRule="auto"/>
      <w:jc w:val="both"/>
    </w:pPr>
    <w:rPr>
      <w:rFonts w:ascii="Times New Roman" w:hAnsi="Times New Roman" w:eastAsia="Times New Roman" w:cs="Times New Roman"/>
      <w:sz w:val="24"/>
      <w:szCs w:val="24"/>
      <w:lang w:eastAsia="en-IN" w:bidi="ar-SA"/>
    </w:rPr>
  </w:style>
  <w:style w:type="paragraph" w:styleId="2">
    <w:name w:val="heading 1"/>
    <w:basedOn w:val="1"/>
    <w:next w:val="1"/>
    <w:qFormat/>
    <w:uiPriority w:val="9"/>
    <w:pPr>
      <w:keepNext/>
      <w:keepLines/>
      <w:outlineLvl w:val="0"/>
    </w:pPr>
    <w:rPr>
      <w:b/>
      <w:sz w:val="28"/>
      <w:szCs w:val="28"/>
    </w:rPr>
  </w:style>
  <w:style w:type="paragraph" w:styleId="3">
    <w:name w:val="heading 2"/>
    <w:basedOn w:val="1"/>
    <w:next w:val="1"/>
    <w:unhideWhenUsed/>
    <w:qFormat/>
    <w:uiPriority w:val="0"/>
    <w:pPr>
      <w:keepNext/>
      <w:keepLines/>
      <w:outlineLvl w:val="1"/>
    </w:pPr>
    <w:rPr>
      <w:b/>
    </w:rPr>
  </w:style>
  <w:style w:type="paragraph" w:styleId="4">
    <w:name w:val="heading 3"/>
    <w:basedOn w:val="1"/>
    <w:next w:val="1"/>
    <w:unhideWhenUsed/>
    <w:qFormat/>
    <w:uiPriority w:val="9"/>
    <w:pPr>
      <w:keepNext/>
      <w:keepLines/>
      <w:outlineLvl w:val="2"/>
    </w:pPr>
    <w:rPr>
      <w:b/>
    </w:rPr>
  </w:style>
  <w:style w:type="paragraph" w:styleId="5">
    <w:name w:val="heading 4"/>
    <w:basedOn w:val="1"/>
    <w:next w:val="1"/>
    <w:semiHidden/>
    <w:unhideWhenUsed/>
    <w:qFormat/>
    <w:uiPriority w:val="9"/>
    <w:pPr>
      <w:keepNext/>
      <w:keepLines/>
      <w:spacing w:before="280" w:after="80"/>
      <w:outlineLvl w:val="3"/>
    </w:pPr>
    <w:rPr>
      <w:color w:val="666666"/>
    </w:rPr>
  </w:style>
  <w:style w:type="paragraph" w:styleId="6">
    <w:name w:val="heading 5"/>
    <w:basedOn w:val="1"/>
    <w:next w:val="1"/>
    <w:semiHidden/>
    <w:unhideWhenUsed/>
    <w:qFormat/>
    <w:uiPriority w:val="9"/>
    <w:pPr>
      <w:keepNext/>
      <w:keepLines/>
      <w:spacing w:before="240" w:after="80"/>
      <w:outlineLvl w:val="4"/>
    </w:pPr>
    <w:rPr>
      <w:color w:val="666666"/>
      <w:sz w:val="22"/>
      <w:szCs w:val="22"/>
    </w:rPr>
  </w:style>
  <w:style w:type="paragraph" w:styleId="7">
    <w:name w:val="heading 6"/>
    <w:basedOn w:val="1"/>
    <w:next w:val="1"/>
    <w:semiHidden/>
    <w:unhideWhenUsed/>
    <w:qFormat/>
    <w:uiPriority w:val="9"/>
    <w:pPr>
      <w:keepNext/>
      <w:keepLines/>
      <w:spacing w:before="240" w:after="80"/>
      <w:outlineLvl w:val="5"/>
    </w:pPr>
    <w:rPr>
      <w:i/>
      <w:color w:val="666666"/>
      <w:sz w:val="22"/>
      <w:szCs w:val="22"/>
    </w:rPr>
  </w:style>
  <w:style w:type="character" w:default="1" w:styleId="8">
    <w:name w:val="Default Paragraph Font"/>
    <w:semiHidden/>
    <w:unhideWhenUsed/>
    <w:uiPriority w:val="1"/>
  </w:style>
  <w:style w:type="table" w:default="1" w:styleId="9">
    <w:name w:val="Normal Table"/>
    <w:semiHidden/>
    <w:unhideWhenUsed/>
    <w:uiPriority w:val="99"/>
    <w:tblPr>
      <w:tblCellMar>
        <w:top w:w="0" w:type="dxa"/>
        <w:left w:w="108" w:type="dxa"/>
        <w:bottom w:w="0" w:type="dxa"/>
        <w:right w:w="108" w:type="dxa"/>
      </w:tblCellMar>
    </w:tblPr>
  </w:style>
  <w:style w:type="paragraph" w:styleId="10">
    <w:name w:val="Balloon Text"/>
    <w:basedOn w:val="1"/>
    <w:link w:val="33"/>
    <w:semiHidden/>
    <w:unhideWhenUsed/>
    <w:uiPriority w:val="99"/>
    <w:pPr>
      <w:spacing w:line="240" w:lineRule="auto"/>
    </w:pPr>
    <w:rPr>
      <w:rFonts w:ascii="Tahoma" w:hAnsi="Tahoma" w:cs="Tahoma"/>
      <w:sz w:val="16"/>
      <w:szCs w:val="16"/>
    </w:rPr>
  </w:style>
  <w:style w:type="character" w:styleId="11">
    <w:name w:val="annotation reference"/>
    <w:basedOn w:val="8"/>
    <w:semiHidden/>
    <w:unhideWhenUsed/>
    <w:qFormat/>
    <w:uiPriority w:val="99"/>
    <w:rPr>
      <w:sz w:val="16"/>
      <w:szCs w:val="16"/>
    </w:rPr>
  </w:style>
  <w:style w:type="paragraph" w:styleId="12">
    <w:name w:val="annotation text"/>
    <w:basedOn w:val="1"/>
    <w:link w:val="20"/>
    <w:semiHidden/>
    <w:unhideWhenUsed/>
    <w:uiPriority w:val="99"/>
    <w:pPr>
      <w:spacing w:line="240" w:lineRule="auto"/>
    </w:pPr>
    <w:rPr>
      <w:sz w:val="20"/>
      <w:szCs w:val="20"/>
    </w:rPr>
  </w:style>
  <w:style w:type="paragraph" w:styleId="13">
    <w:name w:val="footer"/>
    <w:basedOn w:val="1"/>
    <w:link w:val="23"/>
    <w:unhideWhenUsed/>
    <w:uiPriority w:val="99"/>
    <w:pPr>
      <w:tabs>
        <w:tab w:val="center" w:pos="4513"/>
        <w:tab w:val="right" w:pos="9026"/>
      </w:tabs>
      <w:spacing w:line="240" w:lineRule="auto"/>
    </w:pPr>
  </w:style>
  <w:style w:type="paragraph" w:styleId="14">
    <w:name w:val="header"/>
    <w:basedOn w:val="1"/>
    <w:link w:val="22"/>
    <w:unhideWhenUsed/>
    <w:uiPriority w:val="99"/>
    <w:pPr>
      <w:tabs>
        <w:tab w:val="center" w:pos="4513"/>
        <w:tab w:val="right" w:pos="9026"/>
      </w:tabs>
      <w:spacing w:line="240" w:lineRule="auto"/>
    </w:pPr>
  </w:style>
  <w:style w:type="character" w:styleId="15">
    <w:name w:val="Hyperlink"/>
    <w:basedOn w:val="8"/>
    <w:unhideWhenUsed/>
    <w:uiPriority w:val="99"/>
    <w:rPr>
      <w:color w:val="0000FF" w:themeColor="hyperlink"/>
      <w:u w:val="single"/>
      <w14:textFill>
        <w14:solidFill>
          <w14:schemeClr w14:val="hlink"/>
        </w14:solidFill>
      </w14:textFill>
    </w:rPr>
  </w:style>
  <w:style w:type="paragraph" w:styleId="16">
    <w:name w:val="Subtitle"/>
    <w:basedOn w:val="1"/>
    <w:next w:val="1"/>
    <w:uiPriority w:val="0"/>
    <w:pPr>
      <w:keepNext/>
      <w:keepLines/>
      <w:spacing w:after="320"/>
    </w:pPr>
    <w:rPr>
      <w:rFonts w:ascii="Arial" w:hAnsi="Arial" w:eastAsia="Arial" w:cs="Arial"/>
      <w:color w:val="666666"/>
      <w:sz w:val="30"/>
      <w:szCs w:val="30"/>
    </w:rPr>
  </w:style>
  <w:style w:type="paragraph" w:styleId="17">
    <w:name w:val="Title"/>
    <w:basedOn w:val="1"/>
    <w:next w:val="1"/>
    <w:qFormat/>
    <w:uiPriority w:val="10"/>
    <w:pPr>
      <w:keepNext/>
      <w:keepLines/>
      <w:spacing w:after="60"/>
    </w:pPr>
    <w:rPr>
      <w:sz w:val="52"/>
      <w:szCs w:val="52"/>
    </w:rPr>
  </w:style>
  <w:style w:type="paragraph" w:styleId="18">
    <w:name w:val="toc 1"/>
    <w:basedOn w:val="1"/>
    <w:next w:val="1"/>
    <w:autoRedefine/>
    <w:unhideWhenUsed/>
    <w:qFormat/>
    <w:uiPriority w:val="39"/>
    <w:pPr>
      <w:spacing w:after="100"/>
    </w:pPr>
  </w:style>
  <w:style w:type="paragraph" w:styleId="19">
    <w:name w:val="toc 2"/>
    <w:basedOn w:val="1"/>
    <w:next w:val="1"/>
    <w:autoRedefine/>
    <w:unhideWhenUsed/>
    <w:uiPriority w:val="39"/>
    <w:pPr>
      <w:spacing w:after="100"/>
      <w:ind w:left="240"/>
    </w:pPr>
  </w:style>
  <w:style w:type="character" w:customStyle="1" w:styleId="20">
    <w:name w:val="Comment Text Char"/>
    <w:basedOn w:val="8"/>
    <w:link w:val="12"/>
    <w:semiHidden/>
    <w:qFormat/>
    <w:uiPriority w:val="99"/>
    <w:rPr>
      <w:sz w:val="20"/>
      <w:szCs w:val="20"/>
    </w:rPr>
  </w:style>
  <w:style w:type="character" w:customStyle="1" w:styleId="21">
    <w:name w:val="Unresolved Mention"/>
    <w:basedOn w:val="8"/>
    <w:semiHidden/>
    <w:unhideWhenUsed/>
    <w:uiPriority w:val="99"/>
    <w:rPr>
      <w:color w:val="605E5C"/>
      <w:shd w:val="clear" w:color="auto" w:fill="E1DFDD"/>
    </w:rPr>
  </w:style>
  <w:style w:type="character" w:customStyle="1" w:styleId="22">
    <w:name w:val="Header Char"/>
    <w:basedOn w:val="8"/>
    <w:link w:val="14"/>
    <w:uiPriority w:val="99"/>
  </w:style>
  <w:style w:type="character" w:customStyle="1" w:styleId="23">
    <w:name w:val="Footer Char"/>
    <w:basedOn w:val="8"/>
    <w:link w:val="13"/>
    <w:uiPriority w:val="99"/>
  </w:style>
  <w:style w:type="paragraph" w:styleId="24">
    <w:name w:val="List Paragraph"/>
    <w:basedOn w:val="1"/>
    <w:qFormat/>
    <w:uiPriority w:val="34"/>
    <w:pPr>
      <w:ind w:left="720"/>
      <w:contextualSpacing/>
    </w:pPr>
  </w:style>
  <w:style w:type="paragraph" w:customStyle="1" w:styleId="25">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color w:val="376092" w:themeColor="accent1" w:themeShade="BF"/>
      <w:sz w:val="32"/>
      <w:szCs w:val="32"/>
      <w:lang w:val="en-US" w:eastAsia="en-US"/>
    </w:rPr>
  </w:style>
  <w:style w:type="paragraph" w:customStyle="1" w:styleId="26">
    <w:name w:val="Normal1"/>
    <w:uiPriority w:val="0"/>
    <w:pPr>
      <w:spacing w:line="276" w:lineRule="auto"/>
      <w:jc w:val="left"/>
    </w:pPr>
    <w:rPr>
      <w:rFonts w:ascii="Arial" w:hAnsi="Arial" w:eastAsia="Arial" w:cs="Arial"/>
      <w:sz w:val="22"/>
      <w:szCs w:val="22"/>
      <w:lang w:val="en-US" w:eastAsia="en-US" w:bidi="ar-SA"/>
    </w:rPr>
  </w:style>
  <w:style w:type="table" w:customStyle="1" w:styleId="27">
    <w:name w:val="a"/>
    <w:basedOn w:val="9"/>
    <w:uiPriority w:val="0"/>
    <w:pPr>
      <w:spacing w:line="276" w:lineRule="auto"/>
      <w:jc w:val="left"/>
    </w:pPr>
    <w:rPr>
      <w:rFonts w:ascii="Arial" w:hAnsi="Arial" w:eastAsia="Arial" w:cs="Arial"/>
      <w:sz w:val="22"/>
      <w:szCs w:val="22"/>
      <w:lang w:val="en-US" w:eastAsia="en-US"/>
    </w:rPr>
    <w:tblPr>
      <w:tblCellMar>
        <w:top w:w="100" w:type="dxa"/>
        <w:left w:w="100" w:type="dxa"/>
        <w:bottom w:w="100" w:type="dxa"/>
        <w:right w:w="100" w:type="dxa"/>
      </w:tblCellMar>
    </w:tblPr>
  </w:style>
  <w:style w:type="table" w:customStyle="1" w:styleId="28">
    <w:name w:val="a0"/>
    <w:basedOn w:val="9"/>
    <w:qFormat/>
    <w:uiPriority w:val="0"/>
    <w:pPr>
      <w:spacing w:line="276" w:lineRule="auto"/>
      <w:jc w:val="left"/>
    </w:pPr>
    <w:rPr>
      <w:rFonts w:ascii="Arial" w:hAnsi="Arial" w:eastAsia="Arial" w:cs="Arial"/>
      <w:sz w:val="22"/>
      <w:szCs w:val="22"/>
      <w:lang w:val="en-US" w:eastAsia="en-US"/>
    </w:rPr>
    <w:tblPr>
      <w:tblCellMar>
        <w:top w:w="100" w:type="dxa"/>
        <w:left w:w="100" w:type="dxa"/>
        <w:bottom w:w="100" w:type="dxa"/>
        <w:right w:w="100" w:type="dxa"/>
      </w:tblCellMar>
    </w:tblPr>
  </w:style>
  <w:style w:type="table" w:customStyle="1" w:styleId="29">
    <w:name w:val="_Style 27"/>
    <w:basedOn w:val="9"/>
    <w:uiPriority w:val="0"/>
    <w:tblPr>
      <w:tblCellMar>
        <w:top w:w="100" w:type="dxa"/>
        <w:left w:w="100" w:type="dxa"/>
        <w:bottom w:w="100" w:type="dxa"/>
        <w:right w:w="100" w:type="dxa"/>
      </w:tblCellMar>
    </w:tblPr>
  </w:style>
  <w:style w:type="table" w:customStyle="1" w:styleId="30">
    <w:name w:val="_Style 28"/>
    <w:basedOn w:val="9"/>
    <w:uiPriority w:val="0"/>
    <w:pPr>
      <w:spacing w:line="276" w:lineRule="auto"/>
      <w:jc w:val="left"/>
    </w:pPr>
    <w:rPr>
      <w:rFonts w:ascii="Arial" w:hAnsi="Arial" w:eastAsia="Arial" w:cs="Arial"/>
      <w:sz w:val="22"/>
      <w:szCs w:val="22"/>
    </w:rPr>
    <w:tblPr>
      <w:tblCellMar>
        <w:top w:w="100" w:type="dxa"/>
        <w:left w:w="100" w:type="dxa"/>
        <w:bottom w:w="100" w:type="dxa"/>
        <w:right w:w="100" w:type="dxa"/>
      </w:tblCellMar>
    </w:tblPr>
  </w:style>
  <w:style w:type="table" w:customStyle="1" w:styleId="31">
    <w:name w:val="_Style 29"/>
    <w:basedOn w:val="9"/>
    <w:uiPriority w:val="0"/>
    <w:pPr>
      <w:spacing w:line="276" w:lineRule="auto"/>
      <w:jc w:val="left"/>
    </w:pPr>
    <w:rPr>
      <w:rFonts w:ascii="Arial" w:hAnsi="Arial" w:eastAsia="Arial" w:cs="Arial"/>
      <w:sz w:val="22"/>
      <w:szCs w:val="22"/>
    </w:rPr>
    <w:tblPr>
      <w:tblCellMar>
        <w:top w:w="100" w:type="dxa"/>
        <w:left w:w="100" w:type="dxa"/>
        <w:bottom w:w="100" w:type="dxa"/>
        <w:right w:w="100" w:type="dxa"/>
      </w:tblCellMar>
    </w:tblPr>
  </w:style>
  <w:style w:type="table" w:customStyle="1" w:styleId="32">
    <w:name w:val="_Style 30"/>
    <w:basedOn w:val="9"/>
    <w:uiPriority w:val="0"/>
    <w:tblPr>
      <w:tblCellMar>
        <w:top w:w="100" w:type="dxa"/>
        <w:left w:w="100" w:type="dxa"/>
        <w:bottom w:w="100" w:type="dxa"/>
        <w:right w:w="100" w:type="dxa"/>
      </w:tblCellMar>
    </w:tblPr>
  </w:style>
  <w:style w:type="character" w:customStyle="1" w:styleId="33">
    <w:name w:val="Balloon Text Char"/>
    <w:basedOn w:val="8"/>
    <w:link w:val="10"/>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image" Target="media/image3.png"/><Relationship Id="rId8" Type="http://schemas.openxmlformats.org/officeDocument/2006/relationships/image" Target="media/image2.jpeg"/><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customXml" Target="../customXml/item1.xml"/><Relationship Id="rId15" Type="http://schemas.openxmlformats.org/officeDocument/2006/relationships/numbering" Target="numbering.xml"/><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image" Target="media/image5.png"/><Relationship Id="rId10" Type="http://schemas.openxmlformats.org/officeDocument/2006/relationships/image" Target="media/image4.png"/><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WuwLswA3Xl/11cA65mVB7q8o5lg==">CgMxLjAaHgoBMBIZChcICVITChF0YWJsZS5mbThzb2tyeGt4NjIOaC52a25ib2ppOWczaTEyDmgubWhvNnR0Z3c5ZGZ6Mg5oLmk2ZTN2bGRydDlzMTIOaC5teWlvZ2M0d2xhYnUyDmgucjFtZDBqa2RidDV0Mg5oLmtuanBuc2NpZmdtOTIOaC54NWx1MXd0MWY5ZWwyDmguc3l6ZjZwdXlpYWcyMg5oLjIxNmtpaTI0NWFubjIOaC54dzA0eDlzY2xqd3MyDmgudmFldnBkbW02c3RwMg5oLnFhcjl5YmFhcWd4NjIOaC5nYWlwdjA2ODE2N3EyDmguNDdpaDJ4NGhtYWdhMg5oLjkxOGg1MG9yY3F6MDIOaC5vcnZhbnFyNDM1b2EyDmguZjA3ODN0eHQ3ajRmMg5oLnNlN3dyZmU0YW96ZjIOaC56NzhtcTRucWYwcHkyDmguZWRpa2cxeXRndWJkMg5oLnVsNng2MDVhZDdoNTIOaC5zOGZ5eTZxZHhzdGkyDmguNWVpNmg0Mm84MzYyMg1oLnAzajY5MGpxNWYzMg5oLjQ4emcwdDh2YXJhZDIOaC5jbmxnejh0cXFtZGU4AHIhMVA0dTFmMjZuc3VTQVY4SGpIMGFTSVplMlduSjNhd0JT</go:docsCustomData>
</go:gDocsCustomXmlDataStorage>
</file>

<file path=customXml/itemProps1.xml><?xml version="1.0" encoding="utf-8"?>
<ds:datastoreItem xmlns:ds="http://schemas.openxmlformats.org/officeDocument/2006/customXml" ds:itemID="{11111111-1234-1234-1234-123412341234}">
  <ds:schemaRefs/>
</ds:datastoreItem>
</file>

<file path=docProps/app.xml><?xml version="1.0" encoding="utf-8"?>
<Properties xmlns="http://schemas.openxmlformats.org/officeDocument/2006/extended-properties" xmlns:vt="http://schemas.openxmlformats.org/officeDocument/2006/docPropsVTypes">
  <Template>Normal</Template>
  <Pages>31</Pages>
  <Words>7804</Words>
  <Characters>44486</Characters>
  <Lines>370</Lines>
  <Paragraphs>104</Paragraphs>
  <TotalTime>4</TotalTime>
  <ScaleCrop>false</ScaleCrop>
  <LinksUpToDate>false</LinksUpToDate>
  <CharactersWithSpaces>52186</CharactersWithSpaces>
  <Application>WPS Office_12.2.0.21179_F1E327BC-269C-435d-A152-05C5408002CA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2025-06-02T09:15:00Z</dcterms:created>
  <dc:creator>Alina</dc:creator>
  <cp:lastModifiedBy>Computer Windows</cp:lastModifiedBy>
  <dcterms:modified xsi:type="dcterms:W3CDTF">2025-06-03T10:05:30Z</dcterms:modified>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007c679d-ec2e-4d5d-8be7-836e8001ec3b</vt:lpwstr>
  </property>
  <property fmtid="{D5CDD505-2E9C-101B-9397-08002B2CF9AE}" pid="3" name="KSOProductBuildVer">
    <vt:lpwstr>2057-12.2.0.21179</vt:lpwstr>
  </property>
  <property fmtid="{D5CDD505-2E9C-101B-9397-08002B2CF9AE}" pid="4" name="ICV">
    <vt:lpwstr>9B074F4225A9490CAB3ECAD81FDFE753_12</vt:lpwstr>
  </property>
</Properties>
</file>