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4027F8" w14:textId="77777777" w:rsidR="00BB51AE" w:rsidRPr="008C0A0D" w:rsidRDefault="004433F3" w:rsidP="00BB51AE">
      <w:pPr>
        <w:jc w:val="center"/>
        <w:rPr>
          <w:rFonts w:ascii="Arial Nova" w:hAnsi="Arial Nova"/>
          <w:sz w:val="28"/>
          <w:szCs w:val="28"/>
        </w:rPr>
      </w:pPr>
      <w:r w:rsidRPr="008C0A0D">
        <w:rPr>
          <w:rFonts w:ascii="Arial Nova" w:hAnsi="Arial Nova"/>
          <w:sz w:val="32"/>
          <w:szCs w:val="32"/>
        </w:rPr>
        <w:t>University of Wales Trinity Saint David</w:t>
      </w:r>
    </w:p>
    <w:p w14:paraId="1E4A26C5" w14:textId="77777777" w:rsidR="00BB51AE" w:rsidRPr="008C0A0D" w:rsidRDefault="004433F3" w:rsidP="00BB51AE">
      <w:pPr>
        <w:jc w:val="center"/>
        <w:rPr>
          <w:rFonts w:ascii="Arial Nova" w:hAnsi="Arial Nova"/>
          <w:sz w:val="28"/>
          <w:szCs w:val="28"/>
        </w:rPr>
      </w:pPr>
      <w:r w:rsidRPr="008C0A0D">
        <w:rPr>
          <w:rFonts w:ascii="Arial Nova" w:hAnsi="Arial Nova"/>
          <w:sz w:val="28"/>
          <w:szCs w:val="28"/>
        </w:rPr>
        <w:t>School of Engineering</w:t>
      </w:r>
    </w:p>
    <w:p w14:paraId="1DBE0698" w14:textId="77777777" w:rsidR="00BB51AE" w:rsidRPr="008C0A0D" w:rsidRDefault="00BB51AE" w:rsidP="00BB51AE">
      <w:pPr>
        <w:jc w:val="center"/>
        <w:rPr>
          <w:rFonts w:ascii="Arial Nova" w:hAnsi="Arial Nova"/>
          <w:sz w:val="28"/>
          <w:szCs w:val="28"/>
        </w:rPr>
      </w:pPr>
    </w:p>
    <w:p w14:paraId="1E0FC372" w14:textId="77777777" w:rsidR="00BB51AE" w:rsidRPr="008C0A0D" w:rsidRDefault="00BB51AE" w:rsidP="00BB51AE">
      <w:pPr>
        <w:jc w:val="center"/>
        <w:rPr>
          <w:rFonts w:ascii="Arial Nova" w:hAnsi="Arial Nova"/>
          <w:sz w:val="28"/>
          <w:szCs w:val="28"/>
        </w:rPr>
      </w:pPr>
    </w:p>
    <w:p w14:paraId="5DC9B82A" w14:textId="77777777" w:rsidR="00BB51AE" w:rsidRPr="008C0A0D" w:rsidRDefault="00BB51AE">
      <w:pPr>
        <w:rPr>
          <w:rFonts w:ascii="Arial Nova" w:hAnsi="Arial Nova"/>
        </w:rPr>
      </w:pPr>
    </w:p>
    <w:p w14:paraId="1EAB159A" w14:textId="77777777" w:rsidR="00BB51AE" w:rsidRPr="008C0A0D" w:rsidRDefault="004433F3" w:rsidP="00BB51AE">
      <w:pPr>
        <w:jc w:val="center"/>
        <w:rPr>
          <w:rFonts w:ascii="Arial Nova" w:hAnsi="Arial Nova"/>
        </w:rPr>
      </w:pPr>
      <w:r w:rsidRPr="008C0A0D">
        <w:rPr>
          <w:noProof/>
        </w:rPr>
        <w:drawing>
          <wp:inline distT="0" distB="0" distL="0" distR="0" wp14:anchorId="671394ED" wp14:editId="75453617">
            <wp:extent cx="3927944" cy="1300153"/>
            <wp:effectExtent l="0" t="0" r="0" b="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933275" cy="1301917"/>
                    </a:xfrm>
                    <a:prstGeom prst="rect">
                      <a:avLst/>
                    </a:prstGeom>
                    <a:noFill/>
                    <a:ln>
                      <a:noFill/>
                    </a:ln>
                  </pic:spPr>
                </pic:pic>
              </a:graphicData>
            </a:graphic>
          </wp:inline>
        </w:drawing>
      </w:r>
    </w:p>
    <w:p w14:paraId="24686F77" w14:textId="77777777" w:rsidR="00BB51AE" w:rsidRPr="008C0A0D" w:rsidRDefault="00BB51AE" w:rsidP="00BB51AE">
      <w:pPr>
        <w:jc w:val="center"/>
        <w:rPr>
          <w:rFonts w:ascii="Arial Nova" w:hAnsi="Arial Nova"/>
        </w:rPr>
      </w:pPr>
    </w:p>
    <w:p w14:paraId="5588FCC0" w14:textId="77777777" w:rsidR="00BB51AE" w:rsidRPr="008C0A0D" w:rsidRDefault="00BB51AE" w:rsidP="00BB51AE">
      <w:pPr>
        <w:jc w:val="center"/>
        <w:rPr>
          <w:rFonts w:ascii="Arial Nova" w:hAnsi="Arial Nova"/>
        </w:rPr>
      </w:pPr>
    </w:p>
    <w:p w14:paraId="03552766" w14:textId="77777777" w:rsidR="00BB51AE" w:rsidRPr="008C0A0D" w:rsidRDefault="00BB51AE" w:rsidP="00BB51AE">
      <w:pPr>
        <w:jc w:val="center"/>
        <w:rPr>
          <w:rFonts w:ascii="Arial Nova" w:hAnsi="Arial Nova"/>
        </w:rPr>
      </w:pPr>
    </w:p>
    <w:p w14:paraId="74D518C4" w14:textId="77777777" w:rsidR="00BB51AE" w:rsidRPr="008C0A0D" w:rsidRDefault="00BB51AE" w:rsidP="00BB51AE">
      <w:pPr>
        <w:jc w:val="center"/>
        <w:rPr>
          <w:rFonts w:ascii="Arial Nova" w:hAnsi="Arial Nova"/>
        </w:rPr>
      </w:pPr>
    </w:p>
    <w:p w14:paraId="2E24178F" w14:textId="497CF61F" w:rsidR="00BB51AE" w:rsidRPr="008C0A0D" w:rsidRDefault="004433F3" w:rsidP="004433F3">
      <w:pPr>
        <w:jc w:val="center"/>
        <w:rPr>
          <w:rFonts w:ascii="Arial Nova" w:hAnsi="Arial Nova"/>
          <w:sz w:val="32"/>
          <w:szCs w:val="32"/>
        </w:rPr>
      </w:pPr>
      <w:r w:rsidRPr="004433F3">
        <w:rPr>
          <w:rFonts w:ascii="Arial Nova" w:hAnsi="Arial Nova"/>
          <w:sz w:val="32"/>
          <w:szCs w:val="32"/>
        </w:rPr>
        <w:t>Risk</w:t>
      </w:r>
      <w:r>
        <w:rPr>
          <w:rFonts w:ascii="Arial Nova" w:hAnsi="Arial Nova"/>
          <w:sz w:val="32"/>
          <w:szCs w:val="32"/>
        </w:rPr>
        <w:t xml:space="preserve"> </w:t>
      </w:r>
      <w:r w:rsidRPr="004433F3">
        <w:rPr>
          <w:rFonts w:ascii="Arial Nova" w:hAnsi="Arial Nova"/>
          <w:sz w:val="32"/>
          <w:szCs w:val="32"/>
        </w:rPr>
        <w:t>Assessment Report</w:t>
      </w:r>
    </w:p>
    <w:p w14:paraId="39A89933" w14:textId="77777777" w:rsidR="00BB51AE" w:rsidRPr="008C0A0D" w:rsidRDefault="00BB51AE" w:rsidP="00BB51AE">
      <w:pPr>
        <w:jc w:val="center"/>
        <w:rPr>
          <w:rFonts w:ascii="Arial Nova" w:hAnsi="Arial Nova"/>
        </w:rPr>
      </w:pPr>
    </w:p>
    <w:p w14:paraId="140A019D" w14:textId="77777777" w:rsidR="00BB51AE" w:rsidRPr="008C0A0D" w:rsidRDefault="00BB51AE" w:rsidP="00BB51AE">
      <w:pPr>
        <w:jc w:val="center"/>
        <w:rPr>
          <w:rFonts w:ascii="Arial Nova" w:hAnsi="Arial Nova"/>
        </w:rPr>
      </w:pPr>
    </w:p>
    <w:p w14:paraId="5EEC8D78" w14:textId="77777777" w:rsidR="00BB51AE" w:rsidRPr="008C0A0D" w:rsidRDefault="00BB51AE" w:rsidP="00BB51AE">
      <w:pPr>
        <w:jc w:val="center"/>
        <w:rPr>
          <w:rFonts w:ascii="Arial Nova" w:hAnsi="Arial Nova"/>
        </w:rPr>
      </w:pPr>
    </w:p>
    <w:p w14:paraId="33FC1F98" w14:textId="77777777" w:rsidR="00BB51AE" w:rsidRPr="008C0A0D" w:rsidRDefault="004433F3" w:rsidP="00BB51AE">
      <w:pPr>
        <w:jc w:val="center"/>
        <w:rPr>
          <w:rFonts w:ascii="Arial Nova" w:hAnsi="Arial Nova"/>
          <w:sz w:val="24"/>
          <w:szCs w:val="24"/>
        </w:rPr>
      </w:pPr>
      <w:r w:rsidRPr="008C0A0D">
        <w:rPr>
          <w:rFonts w:ascii="Arial Nova" w:hAnsi="Arial Nova"/>
          <w:sz w:val="24"/>
          <w:szCs w:val="24"/>
        </w:rPr>
        <w:t>Johnpaul Jones (2206145)</w:t>
      </w:r>
    </w:p>
    <w:p w14:paraId="6A54CC61" w14:textId="77777777" w:rsidR="00BB51AE" w:rsidRPr="008C0A0D" w:rsidRDefault="00BB51AE" w:rsidP="00BB51AE">
      <w:pPr>
        <w:jc w:val="center"/>
        <w:rPr>
          <w:rFonts w:ascii="Arial Nova" w:hAnsi="Arial Nova"/>
        </w:rPr>
      </w:pPr>
    </w:p>
    <w:p w14:paraId="52318DFD" w14:textId="77777777" w:rsidR="00BB51AE" w:rsidRPr="008C0A0D" w:rsidRDefault="00BB51AE" w:rsidP="00BB51AE">
      <w:pPr>
        <w:jc w:val="center"/>
        <w:rPr>
          <w:rFonts w:ascii="Arial Nova" w:hAnsi="Arial Nova"/>
        </w:rPr>
      </w:pPr>
    </w:p>
    <w:p w14:paraId="5220FA33" w14:textId="77777777" w:rsidR="00BB51AE" w:rsidRPr="008C0A0D" w:rsidRDefault="00BB51AE" w:rsidP="00BB51AE">
      <w:pPr>
        <w:jc w:val="center"/>
        <w:rPr>
          <w:rFonts w:ascii="Arial Nova" w:hAnsi="Arial Nova"/>
        </w:rPr>
      </w:pPr>
    </w:p>
    <w:p w14:paraId="562B67D1" w14:textId="77777777" w:rsidR="00DB43C3" w:rsidRPr="008C0A0D" w:rsidRDefault="00DB43C3" w:rsidP="00BB51AE">
      <w:pPr>
        <w:jc w:val="center"/>
        <w:rPr>
          <w:rFonts w:ascii="Arial Nova" w:hAnsi="Arial Nova"/>
        </w:rPr>
      </w:pPr>
    </w:p>
    <w:p w14:paraId="5A3AAF57" w14:textId="77777777" w:rsidR="00DB43C3" w:rsidRPr="008C0A0D" w:rsidRDefault="00DB43C3" w:rsidP="00BB51AE">
      <w:pPr>
        <w:jc w:val="center"/>
        <w:rPr>
          <w:rFonts w:ascii="Arial Nova" w:hAnsi="Arial Nova"/>
        </w:rPr>
      </w:pPr>
    </w:p>
    <w:p w14:paraId="18658475" w14:textId="77777777" w:rsidR="00BB51AE" w:rsidRPr="008C0A0D" w:rsidRDefault="00BB51AE" w:rsidP="00BB51AE">
      <w:pPr>
        <w:jc w:val="center"/>
        <w:rPr>
          <w:rFonts w:ascii="Arial Nova" w:hAnsi="Arial Nova"/>
        </w:rPr>
      </w:pPr>
    </w:p>
    <w:p w14:paraId="09974CE8" w14:textId="77777777" w:rsidR="00BB51AE" w:rsidRPr="008C0A0D" w:rsidRDefault="004433F3" w:rsidP="00BB51AE">
      <w:pPr>
        <w:jc w:val="center"/>
        <w:rPr>
          <w:rFonts w:ascii="Arial Nova" w:hAnsi="Arial Nova"/>
          <w:sz w:val="24"/>
          <w:szCs w:val="24"/>
        </w:rPr>
      </w:pPr>
      <w:r w:rsidRPr="008C0A0D">
        <w:rPr>
          <w:rFonts w:ascii="Arial Nova" w:hAnsi="Arial Nova"/>
          <w:sz w:val="24"/>
          <w:szCs w:val="24"/>
        </w:rPr>
        <w:t>Engineering Management Degree</w:t>
      </w:r>
    </w:p>
    <w:p w14:paraId="0C6E0FF0" w14:textId="77777777" w:rsidR="00E02569" w:rsidRPr="008C0A0D" w:rsidRDefault="004433F3" w:rsidP="00E02569">
      <w:pPr>
        <w:jc w:val="center"/>
        <w:rPr>
          <w:rFonts w:ascii="Arial Nova" w:hAnsi="Arial Nova"/>
          <w:sz w:val="24"/>
          <w:szCs w:val="24"/>
        </w:rPr>
      </w:pPr>
      <w:r w:rsidRPr="008C0A0D">
        <w:rPr>
          <w:rFonts w:ascii="Arial Nova" w:hAnsi="Arial Nova"/>
          <w:sz w:val="24"/>
          <w:szCs w:val="24"/>
        </w:rPr>
        <w:t>(</w:t>
      </w:r>
      <w:r w:rsidR="00C84B14">
        <w:rPr>
          <w:rFonts w:ascii="Arial Nova" w:hAnsi="Arial Nova"/>
          <w:sz w:val="24"/>
          <w:szCs w:val="24"/>
        </w:rPr>
        <w:t>November</w:t>
      </w:r>
      <w:r w:rsidRPr="008C0A0D">
        <w:rPr>
          <w:rFonts w:ascii="Arial Nova" w:hAnsi="Arial Nova"/>
          <w:sz w:val="24"/>
          <w:szCs w:val="24"/>
        </w:rPr>
        <w:t xml:space="preserve"> / </w:t>
      </w:r>
      <w:r w:rsidR="00C84B14">
        <w:rPr>
          <w:rFonts w:ascii="Arial Nova" w:hAnsi="Arial Nova"/>
          <w:sz w:val="24"/>
          <w:szCs w:val="24"/>
        </w:rPr>
        <w:t>2024</w:t>
      </w:r>
      <w:r w:rsidRPr="008C0A0D">
        <w:rPr>
          <w:rFonts w:ascii="Arial Nova" w:hAnsi="Arial Nova"/>
          <w:sz w:val="24"/>
          <w:szCs w:val="24"/>
        </w:rPr>
        <w:t>)</w:t>
      </w:r>
    </w:p>
    <w:p w14:paraId="756631BE" w14:textId="77777777" w:rsidR="00474FFD" w:rsidRPr="008C0A0D" w:rsidRDefault="004433F3" w:rsidP="002B2602">
      <w:pPr>
        <w:jc w:val="center"/>
        <w:rPr>
          <w:rFonts w:ascii="Arial Nova" w:hAnsi="Arial Nova"/>
          <w:sz w:val="24"/>
          <w:szCs w:val="24"/>
        </w:rPr>
      </w:pPr>
      <w:r>
        <w:rPr>
          <w:rFonts w:ascii="Arial Nova" w:hAnsi="Arial Nova"/>
          <w:sz w:val="24"/>
          <w:szCs w:val="24"/>
        </w:rPr>
        <w:t>Environmental Engineering and Sustainable Energy</w:t>
      </w:r>
      <w:r w:rsidRPr="008C0A0D">
        <w:rPr>
          <w:rFonts w:ascii="Arial Nova" w:hAnsi="Arial Nova"/>
          <w:sz w:val="24"/>
          <w:szCs w:val="24"/>
        </w:rPr>
        <w:t xml:space="preserve"> </w:t>
      </w:r>
      <w:r w:rsidR="00F312D3">
        <w:rPr>
          <w:rFonts w:ascii="Arial Nova" w:hAnsi="Arial Nova"/>
          <w:sz w:val="24"/>
          <w:szCs w:val="24"/>
        </w:rPr>
        <w:t>–</w:t>
      </w:r>
      <w:r>
        <w:rPr>
          <w:rFonts w:ascii="Arial Nova" w:hAnsi="Arial Nova"/>
          <w:sz w:val="24"/>
          <w:szCs w:val="24"/>
        </w:rPr>
        <w:t xml:space="preserve"> ACMA</w:t>
      </w:r>
      <w:r w:rsidR="00F312D3">
        <w:rPr>
          <w:rFonts w:ascii="Arial Nova" w:hAnsi="Arial Nova"/>
          <w:sz w:val="24"/>
          <w:szCs w:val="24"/>
        </w:rPr>
        <w:t>5012</w:t>
      </w:r>
      <w:r w:rsidRPr="008C0A0D">
        <w:rPr>
          <w:rFonts w:ascii="Arial Nova" w:hAnsi="Arial Nova"/>
        </w:rPr>
        <w:br w:type="page"/>
      </w:r>
    </w:p>
    <w:p w14:paraId="6C8F31C5" w14:textId="77777777" w:rsidR="00474FFD" w:rsidRPr="008C0A0D" w:rsidRDefault="004433F3" w:rsidP="00BB51AE">
      <w:pPr>
        <w:pStyle w:val="Heading1"/>
        <w:numPr>
          <w:ilvl w:val="0"/>
          <w:numId w:val="5"/>
        </w:numPr>
        <w:rPr>
          <w:rFonts w:ascii="Arial Nova" w:hAnsi="Arial Nova"/>
          <w:color w:val="auto"/>
        </w:rPr>
      </w:pPr>
      <w:bookmarkStart w:id="0" w:name="_Toc182753894"/>
      <w:r w:rsidRPr="008C0A0D">
        <w:rPr>
          <w:rFonts w:ascii="Arial Nova" w:hAnsi="Arial Nova"/>
          <w:color w:val="auto"/>
        </w:rPr>
        <w:lastRenderedPageBreak/>
        <w:t>Contents Page</w:t>
      </w:r>
      <w:bookmarkEnd w:id="0"/>
    </w:p>
    <w:p w14:paraId="4C753433" w14:textId="77777777" w:rsidR="00734A1D" w:rsidRPr="008C0A0D" w:rsidRDefault="00734A1D" w:rsidP="00734A1D"/>
    <w:sdt>
      <w:sdtPr>
        <w:rPr>
          <w:rFonts w:asciiTheme="minorHAnsi" w:eastAsiaTheme="minorHAnsi" w:hAnsiTheme="minorHAnsi" w:cstheme="minorBidi"/>
          <w:color w:val="auto"/>
          <w:sz w:val="22"/>
          <w:szCs w:val="22"/>
          <w:lang w:val="en-GB"/>
        </w:rPr>
        <w:id w:val="1666894632"/>
        <w:docPartObj>
          <w:docPartGallery w:val="Table of Contents"/>
          <w:docPartUnique/>
        </w:docPartObj>
      </w:sdtPr>
      <w:sdtEndPr>
        <w:rPr>
          <w:b/>
          <w:bCs/>
        </w:rPr>
      </w:sdtEndPr>
      <w:sdtContent>
        <w:p w14:paraId="47605614" w14:textId="77777777" w:rsidR="00315969" w:rsidRPr="008C0A0D" w:rsidRDefault="00315969">
          <w:pPr>
            <w:pStyle w:val="TOCHeading"/>
            <w:rPr>
              <w:lang w:val="en-GB"/>
            </w:rPr>
          </w:pPr>
        </w:p>
        <w:p w14:paraId="55D31707" w14:textId="77777777" w:rsidR="009E1836" w:rsidRDefault="004433F3">
          <w:pPr>
            <w:pStyle w:val="TOC1"/>
            <w:tabs>
              <w:tab w:val="left" w:pos="480"/>
              <w:tab w:val="right" w:leader="dot" w:pos="9016"/>
            </w:tabs>
            <w:rPr>
              <w:rFonts w:eastAsiaTheme="minorEastAsia"/>
              <w:noProof/>
              <w:kern w:val="2"/>
              <w:sz w:val="24"/>
              <w:szCs w:val="24"/>
              <w:lang w:eastAsia="en-GB"/>
              <w14:ligatures w14:val="standardContextual"/>
            </w:rPr>
          </w:pPr>
          <w:r w:rsidRPr="008C0A0D">
            <w:fldChar w:fldCharType="begin"/>
          </w:r>
          <w:r w:rsidRPr="008C0A0D">
            <w:instrText xml:space="preserve"> TOC \o "1-3" \h \z \u </w:instrText>
          </w:r>
          <w:r w:rsidRPr="008C0A0D">
            <w:fldChar w:fldCharType="separate"/>
          </w:r>
          <w:hyperlink w:anchor="_Toc182753894" w:history="1">
            <w:r w:rsidR="009E1836" w:rsidRPr="00A2475C">
              <w:rPr>
                <w:rStyle w:val="Hyperlink"/>
                <w:rFonts w:ascii="Arial Nova" w:hAnsi="Arial Nova"/>
                <w:noProof/>
              </w:rPr>
              <w:t>1.</w:t>
            </w:r>
            <w:r w:rsidR="009E1836">
              <w:rPr>
                <w:rFonts w:eastAsiaTheme="minorEastAsia"/>
                <w:noProof/>
                <w:kern w:val="2"/>
                <w:sz w:val="24"/>
                <w:szCs w:val="24"/>
                <w:lang w:eastAsia="en-GB"/>
                <w14:ligatures w14:val="standardContextual"/>
              </w:rPr>
              <w:tab/>
            </w:r>
            <w:r w:rsidR="009E1836" w:rsidRPr="00A2475C">
              <w:rPr>
                <w:rStyle w:val="Hyperlink"/>
                <w:rFonts w:ascii="Arial Nova" w:hAnsi="Arial Nova"/>
                <w:noProof/>
              </w:rPr>
              <w:t>Contents Page</w:t>
            </w:r>
            <w:r w:rsidR="009E1836">
              <w:rPr>
                <w:noProof/>
                <w:webHidden/>
              </w:rPr>
              <w:tab/>
            </w:r>
            <w:r w:rsidR="009E1836">
              <w:rPr>
                <w:noProof/>
                <w:webHidden/>
              </w:rPr>
              <w:fldChar w:fldCharType="begin"/>
            </w:r>
            <w:r w:rsidR="009E1836">
              <w:rPr>
                <w:noProof/>
                <w:webHidden/>
              </w:rPr>
              <w:instrText xml:space="preserve"> PAGEREF _Toc182753894 \h </w:instrText>
            </w:r>
            <w:r w:rsidR="009E1836">
              <w:rPr>
                <w:noProof/>
                <w:webHidden/>
              </w:rPr>
            </w:r>
            <w:r w:rsidR="009E1836">
              <w:rPr>
                <w:noProof/>
                <w:webHidden/>
              </w:rPr>
              <w:fldChar w:fldCharType="separate"/>
            </w:r>
            <w:r w:rsidR="009E1836">
              <w:rPr>
                <w:noProof/>
                <w:webHidden/>
              </w:rPr>
              <w:t>2</w:t>
            </w:r>
            <w:r w:rsidR="009E1836">
              <w:rPr>
                <w:noProof/>
                <w:webHidden/>
              </w:rPr>
              <w:fldChar w:fldCharType="end"/>
            </w:r>
          </w:hyperlink>
        </w:p>
        <w:p w14:paraId="1E27589D" w14:textId="77777777" w:rsidR="009E1836" w:rsidRDefault="009E1836">
          <w:pPr>
            <w:pStyle w:val="TOC1"/>
            <w:tabs>
              <w:tab w:val="left" w:pos="480"/>
              <w:tab w:val="right" w:leader="dot" w:pos="9016"/>
            </w:tabs>
            <w:rPr>
              <w:rFonts w:eastAsiaTheme="minorEastAsia"/>
              <w:noProof/>
              <w:kern w:val="2"/>
              <w:sz w:val="24"/>
              <w:szCs w:val="24"/>
              <w:lang w:eastAsia="en-GB"/>
              <w14:ligatures w14:val="standardContextual"/>
            </w:rPr>
          </w:pPr>
          <w:hyperlink w:anchor="_Toc182753895" w:history="1">
            <w:r w:rsidRPr="00A2475C">
              <w:rPr>
                <w:rStyle w:val="Hyperlink"/>
                <w:rFonts w:ascii="Arial Nova" w:hAnsi="Arial Nova"/>
                <w:noProof/>
              </w:rPr>
              <w:t>2.</w:t>
            </w:r>
            <w:r>
              <w:rPr>
                <w:rFonts w:eastAsiaTheme="minorEastAsia"/>
                <w:noProof/>
                <w:kern w:val="2"/>
                <w:sz w:val="24"/>
                <w:szCs w:val="24"/>
                <w:lang w:eastAsia="en-GB"/>
                <w14:ligatures w14:val="standardContextual"/>
              </w:rPr>
              <w:tab/>
            </w:r>
            <w:r w:rsidRPr="00A2475C">
              <w:rPr>
                <w:rStyle w:val="Hyperlink"/>
                <w:rFonts w:ascii="Arial Nova" w:hAnsi="Arial Nova"/>
                <w:noProof/>
              </w:rPr>
              <w:t>Introduction</w:t>
            </w:r>
            <w:r>
              <w:rPr>
                <w:noProof/>
                <w:webHidden/>
              </w:rPr>
              <w:tab/>
            </w:r>
            <w:r>
              <w:rPr>
                <w:noProof/>
                <w:webHidden/>
              </w:rPr>
              <w:fldChar w:fldCharType="begin"/>
            </w:r>
            <w:r>
              <w:rPr>
                <w:noProof/>
                <w:webHidden/>
              </w:rPr>
              <w:instrText xml:space="preserve"> PAGEREF _Toc182753895 \h </w:instrText>
            </w:r>
            <w:r>
              <w:rPr>
                <w:noProof/>
                <w:webHidden/>
              </w:rPr>
            </w:r>
            <w:r>
              <w:rPr>
                <w:noProof/>
                <w:webHidden/>
              </w:rPr>
              <w:fldChar w:fldCharType="separate"/>
            </w:r>
            <w:r>
              <w:rPr>
                <w:noProof/>
                <w:webHidden/>
              </w:rPr>
              <w:t>3</w:t>
            </w:r>
            <w:r>
              <w:rPr>
                <w:noProof/>
                <w:webHidden/>
              </w:rPr>
              <w:fldChar w:fldCharType="end"/>
            </w:r>
          </w:hyperlink>
        </w:p>
        <w:p w14:paraId="667F362E" w14:textId="77777777" w:rsidR="009E1836" w:rsidRDefault="009E1836">
          <w:pPr>
            <w:pStyle w:val="TOC1"/>
            <w:tabs>
              <w:tab w:val="left" w:pos="480"/>
              <w:tab w:val="right" w:leader="dot" w:pos="9016"/>
            </w:tabs>
            <w:rPr>
              <w:rFonts w:eastAsiaTheme="minorEastAsia"/>
              <w:noProof/>
              <w:kern w:val="2"/>
              <w:sz w:val="24"/>
              <w:szCs w:val="24"/>
              <w:lang w:eastAsia="en-GB"/>
              <w14:ligatures w14:val="standardContextual"/>
            </w:rPr>
          </w:pPr>
          <w:hyperlink w:anchor="_Toc182753896" w:history="1">
            <w:r w:rsidRPr="00A2475C">
              <w:rPr>
                <w:rStyle w:val="Hyperlink"/>
                <w:rFonts w:ascii="Arial Nova" w:hAnsi="Arial Nova"/>
                <w:noProof/>
              </w:rPr>
              <w:t>3.</w:t>
            </w:r>
            <w:r>
              <w:rPr>
                <w:rFonts w:eastAsiaTheme="minorEastAsia"/>
                <w:noProof/>
                <w:kern w:val="2"/>
                <w:sz w:val="24"/>
                <w:szCs w:val="24"/>
                <w:lang w:eastAsia="en-GB"/>
                <w14:ligatures w14:val="standardContextual"/>
              </w:rPr>
              <w:tab/>
            </w:r>
            <w:r w:rsidRPr="00A2475C">
              <w:rPr>
                <w:rStyle w:val="Hyperlink"/>
                <w:rFonts w:ascii="Arial Nova" w:hAnsi="Arial Nova"/>
                <w:noProof/>
              </w:rPr>
              <w:t>Literature Review</w:t>
            </w:r>
            <w:r>
              <w:rPr>
                <w:noProof/>
                <w:webHidden/>
              </w:rPr>
              <w:tab/>
            </w:r>
            <w:r>
              <w:rPr>
                <w:noProof/>
                <w:webHidden/>
              </w:rPr>
              <w:fldChar w:fldCharType="begin"/>
            </w:r>
            <w:r>
              <w:rPr>
                <w:noProof/>
                <w:webHidden/>
              </w:rPr>
              <w:instrText xml:space="preserve"> PAGEREF _Toc182753896 \h </w:instrText>
            </w:r>
            <w:r>
              <w:rPr>
                <w:noProof/>
                <w:webHidden/>
              </w:rPr>
            </w:r>
            <w:r>
              <w:rPr>
                <w:noProof/>
                <w:webHidden/>
              </w:rPr>
              <w:fldChar w:fldCharType="separate"/>
            </w:r>
            <w:r>
              <w:rPr>
                <w:noProof/>
                <w:webHidden/>
              </w:rPr>
              <w:t>4</w:t>
            </w:r>
            <w:r>
              <w:rPr>
                <w:noProof/>
                <w:webHidden/>
              </w:rPr>
              <w:fldChar w:fldCharType="end"/>
            </w:r>
          </w:hyperlink>
        </w:p>
        <w:p w14:paraId="394E76ED" w14:textId="77777777" w:rsidR="009E1836" w:rsidRDefault="009E1836">
          <w:pPr>
            <w:pStyle w:val="TOC1"/>
            <w:tabs>
              <w:tab w:val="left" w:pos="480"/>
              <w:tab w:val="right" w:leader="dot" w:pos="9016"/>
            </w:tabs>
            <w:rPr>
              <w:rFonts w:eastAsiaTheme="minorEastAsia"/>
              <w:noProof/>
              <w:kern w:val="2"/>
              <w:sz w:val="24"/>
              <w:szCs w:val="24"/>
              <w:lang w:eastAsia="en-GB"/>
              <w14:ligatures w14:val="standardContextual"/>
            </w:rPr>
          </w:pPr>
          <w:hyperlink w:anchor="_Toc182753897" w:history="1">
            <w:r w:rsidRPr="00A2475C">
              <w:rPr>
                <w:rStyle w:val="Hyperlink"/>
                <w:rFonts w:ascii="Arial Nova" w:hAnsi="Arial Nova"/>
                <w:noProof/>
              </w:rPr>
              <w:t>4.</w:t>
            </w:r>
            <w:r>
              <w:rPr>
                <w:rFonts w:eastAsiaTheme="minorEastAsia"/>
                <w:noProof/>
                <w:kern w:val="2"/>
                <w:sz w:val="24"/>
                <w:szCs w:val="24"/>
                <w:lang w:eastAsia="en-GB"/>
                <w14:ligatures w14:val="standardContextual"/>
              </w:rPr>
              <w:tab/>
            </w:r>
            <w:r w:rsidRPr="00A2475C">
              <w:rPr>
                <w:rStyle w:val="Hyperlink"/>
                <w:rFonts w:ascii="Arial Nova" w:hAnsi="Arial Nova"/>
                <w:noProof/>
              </w:rPr>
              <w:t>Methodology</w:t>
            </w:r>
            <w:r>
              <w:rPr>
                <w:noProof/>
                <w:webHidden/>
              </w:rPr>
              <w:tab/>
            </w:r>
            <w:r>
              <w:rPr>
                <w:noProof/>
                <w:webHidden/>
              </w:rPr>
              <w:fldChar w:fldCharType="begin"/>
            </w:r>
            <w:r>
              <w:rPr>
                <w:noProof/>
                <w:webHidden/>
              </w:rPr>
              <w:instrText xml:space="preserve"> PAGEREF _Toc182753897 \h </w:instrText>
            </w:r>
            <w:r>
              <w:rPr>
                <w:noProof/>
                <w:webHidden/>
              </w:rPr>
            </w:r>
            <w:r>
              <w:rPr>
                <w:noProof/>
                <w:webHidden/>
              </w:rPr>
              <w:fldChar w:fldCharType="separate"/>
            </w:r>
            <w:r>
              <w:rPr>
                <w:noProof/>
                <w:webHidden/>
              </w:rPr>
              <w:t>6</w:t>
            </w:r>
            <w:r>
              <w:rPr>
                <w:noProof/>
                <w:webHidden/>
              </w:rPr>
              <w:fldChar w:fldCharType="end"/>
            </w:r>
          </w:hyperlink>
        </w:p>
        <w:p w14:paraId="12353160" w14:textId="77777777" w:rsidR="009E1836" w:rsidRDefault="009E1836">
          <w:pPr>
            <w:pStyle w:val="TOC1"/>
            <w:tabs>
              <w:tab w:val="left" w:pos="480"/>
              <w:tab w:val="right" w:leader="dot" w:pos="9016"/>
            </w:tabs>
            <w:rPr>
              <w:rFonts w:eastAsiaTheme="minorEastAsia"/>
              <w:noProof/>
              <w:kern w:val="2"/>
              <w:sz w:val="24"/>
              <w:szCs w:val="24"/>
              <w:lang w:eastAsia="en-GB"/>
              <w14:ligatures w14:val="standardContextual"/>
            </w:rPr>
          </w:pPr>
          <w:hyperlink w:anchor="_Toc182753898" w:history="1">
            <w:r w:rsidRPr="00A2475C">
              <w:rPr>
                <w:rStyle w:val="Hyperlink"/>
                <w:rFonts w:ascii="Arial Nova" w:hAnsi="Arial Nova"/>
                <w:noProof/>
              </w:rPr>
              <w:t>5.</w:t>
            </w:r>
            <w:r>
              <w:rPr>
                <w:rFonts w:eastAsiaTheme="minorEastAsia"/>
                <w:noProof/>
                <w:kern w:val="2"/>
                <w:sz w:val="24"/>
                <w:szCs w:val="24"/>
                <w:lang w:eastAsia="en-GB"/>
                <w14:ligatures w14:val="standardContextual"/>
              </w:rPr>
              <w:tab/>
            </w:r>
            <w:r w:rsidRPr="00A2475C">
              <w:rPr>
                <w:rStyle w:val="Hyperlink"/>
                <w:rFonts w:ascii="Arial Nova" w:hAnsi="Arial Nova"/>
                <w:noProof/>
              </w:rPr>
              <w:t>Analysis</w:t>
            </w:r>
            <w:r>
              <w:rPr>
                <w:noProof/>
                <w:webHidden/>
              </w:rPr>
              <w:tab/>
            </w:r>
            <w:r>
              <w:rPr>
                <w:noProof/>
                <w:webHidden/>
              </w:rPr>
              <w:fldChar w:fldCharType="begin"/>
            </w:r>
            <w:r>
              <w:rPr>
                <w:noProof/>
                <w:webHidden/>
              </w:rPr>
              <w:instrText xml:space="preserve"> PAGEREF _Toc182753898 \h </w:instrText>
            </w:r>
            <w:r>
              <w:rPr>
                <w:noProof/>
                <w:webHidden/>
              </w:rPr>
            </w:r>
            <w:r>
              <w:rPr>
                <w:noProof/>
                <w:webHidden/>
              </w:rPr>
              <w:fldChar w:fldCharType="separate"/>
            </w:r>
            <w:r>
              <w:rPr>
                <w:noProof/>
                <w:webHidden/>
              </w:rPr>
              <w:t>10</w:t>
            </w:r>
            <w:r>
              <w:rPr>
                <w:noProof/>
                <w:webHidden/>
              </w:rPr>
              <w:fldChar w:fldCharType="end"/>
            </w:r>
          </w:hyperlink>
        </w:p>
        <w:p w14:paraId="1DB3EA19" w14:textId="77777777" w:rsidR="009E1836" w:rsidRDefault="009E1836">
          <w:pPr>
            <w:pStyle w:val="TOC1"/>
            <w:tabs>
              <w:tab w:val="left" w:pos="480"/>
              <w:tab w:val="right" w:leader="dot" w:pos="9016"/>
            </w:tabs>
            <w:rPr>
              <w:rFonts w:eastAsiaTheme="minorEastAsia"/>
              <w:noProof/>
              <w:kern w:val="2"/>
              <w:sz w:val="24"/>
              <w:szCs w:val="24"/>
              <w:lang w:eastAsia="en-GB"/>
              <w14:ligatures w14:val="standardContextual"/>
            </w:rPr>
          </w:pPr>
          <w:hyperlink w:anchor="_Toc182753899" w:history="1">
            <w:r w:rsidRPr="00A2475C">
              <w:rPr>
                <w:rStyle w:val="Hyperlink"/>
                <w:rFonts w:ascii="Arial Nova" w:hAnsi="Arial Nova"/>
                <w:noProof/>
              </w:rPr>
              <w:t>6.</w:t>
            </w:r>
            <w:r>
              <w:rPr>
                <w:rFonts w:eastAsiaTheme="minorEastAsia"/>
                <w:noProof/>
                <w:kern w:val="2"/>
                <w:sz w:val="24"/>
                <w:szCs w:val="24"/>
                <w:lang w:eastAsia="en-GB"/>
                <w14:ligatures w14:val="standardContextual"/>
              </w:rPr>
              <w:tab/>
            </w:r>
            <w:r w:rsidRPr="00A2475C">
              <w:rPr>
                <w:rStyle w:val="Hyperlink"/>
                <w:rFonts w:ascii="Arial Nova" w:hAnsi="Arial Nova"/>
                <w:noProof/>
              </w:rPr>
              <w:t>Conclusions</w:t>
            </w:r>
            <w:r>
              <w:rPr>
                <w:noProof/>
                <w:webHidden/>
              </w:rPr>
              <w:tab/>
            </w:r>
            <w:r>
              <w:rPr>
                <w:noProof/>
                <w:webHidden/>
              </w:rPr>
              <w:fldChar w:fldCharType="begin"/>
            </w:r>
            <w:r>
              <w:rPr>
                <w:noProof/>
                <w:webHidden/>
              </w:rPr>
              <w:instrText xml:space="preserve"> PAGEREF _Toc182753899 \h </w:instrText>
            </w:r>
            <w:r>
              <w:rPr>
                <w:noProof/>
                <w:webHidden/>
              </w:rPr>
            </w:r>
            <w:r>
              <w:rPr>
                <w:noProof/>
                <w:webHidden/>
              </w:rPr>
              <w:fldChar w:fldCharType="separate"/>
            </w:r>
            <w:r>
              <w:rPr>
                <w:noProof/>
                <w:webHidden/>
              </w:rPr>
              <w:t>11</w:t>
            </w:r>
            <w:r>
              <w:rPr>
                <w:noProof/>
                <w:webHidden/>
              </w:rPr>
              <w:fldChar w:fldCharType="end"/>
            </w:r>
          </w:hyperlink>
        </w:p>
        <w:p w14:paraId="1A2879BB" w14:textId="77777777" w:rsidR="009E1836" w:rsidRDefault="009E1836">
          <w:pPr>
            <w:pStyle w:val="TOC1"/>
            <w:tabs>
              <w:tab w:val="left" w:pos="480"/>
              <w:tab w:val="right" w:leader="dot" w:pos="9016"/>
            </w:tabs>
            <w:rPr>
              <w:rFonts w:eastAsiaTheme="minorEastAsia"/>
              <w:noProof/>
              <w:kern w:val="2"/>
              <w:sz w:val="24"/>
              <w:szCs w:val="24"/>
              <w:lang w:eastAsia="en-GB"/>
              <w14:ligatures w14:val="standardContextual"/>
            </w:rPr>
          </w:pPr>
          <w:hyperlink w:anchor="_Toc182753900" w:history="1">
            <w:r w:rsidRPr="00A2475C">
              <w:rPr>
                <w:rStyle w:val="Hyperlink"/>
                <w:rFonts w:ascii="Arial Nova" w:hAnsi="Arial Nova"/>
                <w:noProof/>
              </w:rPr>
              <w:t>7.</w:t>
            </w:r>
            <w:r>
              <w:rPr>
                <w:rFonts w:eastAsiaTheme="minorEastAsia"/>
                <w:noProof/>
                <w:kern w:val="2"/>
                <w:sz w:val="24"/>
                <w:szCs w:val="24"/>
                <w:lang w:eastAsia="en-GB"/>
                <w14:ligatures w14:val="standardContextual"/>
              </w:rPr>
              <w:tab/>
            </w:r>
            <w:r w:rsidRPr="00A2475C">
              <w:rPr>
                <w:rStyle w:val="Hyperlink"/>
                <w:rFonts w:ascii="Arial Nova" w:hAnsi="Arial Nova"/>
                <w:noProof/>
              </w:rPr>
              <w:t>References</w:t>
            </w:r>
            <w:r>
              <w:rPr>
                <w:noProof/>
                <w:webHidden/>
              </w:rPr>
              <w:tab/>
            </w:r>
            <w:r>
              <w:rPr>
                <w:noProof/>
                <w:webHidden/>
              </w:rPr>
              <w:fldChar w:fldCharType="begin"/>
            </w:r>
            <w:r>
              <w:rPr>
                <w:noProof/>
                <w:webHidden/>
              </w:rPr>
              <w:instrText xml:space="preserve"> PAGEREF _Toc182753900 \h </w:instrText>
            </w:r>
            <w:r>
              <w:rPr>
                <w:noProof/>
                <w:webHidden/>
              </w:rPr>
            </w:r>
            <w:r>
              <w:rPr>
                <w:noProof/>
                <w:webHidden/>
              </w:rPr>
              <w:fldChar w:fldCharType="separate"/>
            </w:r>
            <w:r>
              <w:rPr>
                <w:noProof/>
                <w:webHidden/>
              </w:rPr>
              <w:t>12</w:t>
            </w:r>
            <w:r>
              <w:rPr>
                <w:noProof/>
                <w:webHidden/>
              </w:rPr>
              <w:fldChar w:fldCharType="end"/>
            </w:r>
          </w:hyperlink>
        </w:p>
        <w:p w14:paraId="1DD2BAB3" w14:textId="77777777" w:rsidR="00315969" w:rsidRPr="008C0A0D" w:rsidRDefault="004433F3">
          <w:r w:rsidRPr="008C0A0D">
            <w:rPr>
              <w:b/>
              <w:bCs/>
            </w:rPr>
            <w:fldChar w:fldCharType="end"/>
          </w:r>
        </w:p>
      </w:sdtContent>
    </w:sdt>
    <w:p w14:paraId="38512E9C" w14:textId="77777777" w:rsidR="00734A1D" w:rsidRDefault="00734A1D" w:rsidP="00734A1D"/>
    <w:p w14:paraId="1D75D863" w14:textId="77777777" w:rsidR="00610C60" w:rsidRPr="00610C60" w:rsidRDefault="004433F3" w:rsidP="00734A1D">
      <w:pPr>
        <w:rPr>
          <w:rFonts w:ascii="Arial Nova" w:hAnsi="Arial Nova"/>
          <w:sz w:val="28"/>
          <w:szCs w:val="28"/>
        </w:rPr>
      </w:pPr>
      <w:r w:rsidRPr="00610C60">
        <w:rPr>
          <w:rFonts w:ascii="Arial Nova" w:hAnsi="Arial Nova"/>
          <w:sz w:val="28"/>
          <w:szCs w:val="28"/>
        </w:rPr>
        <w:t>Tables</w:t>
      </w:r>
    </w:p>
    <w:p w14:paraId="4CFB0CE7" w14:textId="77777777" w:rsidR="00474FFD" w:rsidRPr="00610C60" w:rsidRDefault="004433F3" w:rsidP="00610C60">
      <w:pPr>
        <w:rPr>
          <w:rFonts w:ascii="Arial Nova" w:eastAsiaTheme="majorEastAsia" w:hAnsi="Arial Nova" w:cstheme="majorBidi"/>
          <w:sz w:val="32"/>
          <w:szCs w:val="32"/>
        </w:rPr>
      </w:pPr>
      <w:r>
        <w:rPr>
          <w:rFonts w:ascii="Arial Nova" w:hAnsi="Arial Nova"/>
        </w:rPr>
        <w:t>1</w:t>
      </w:r>
      <w:hyperlink w:anchor="_Methodology" w:history="1">
        <w:r w:rsidR="00474FFD" w:rsidRPr="00610C60">
          <w:rPr>
            <w:rStyle w:val="Hyperlink"/>
            <w:rFonts w:ascii="Arial Nova" w:hAnsi="Arial Nova"/>
            <w:color w:val="auto"/>
            <w:u w:val="none"/>
          </w:rPr>
          <w:t>.    Table 1 – Risk Matrix Table…………………………………………………………………….7</w:t>
        </w:r>
      </w:hyperlink>
      <w:r w:rsidRPr="00610C60">
        <w:rPr>
          <w:rFonts w:ascii="Arial Nova" w:hAnsi="Arial Nova"/>
        </w:rPr>
        <w:br w:type="page"/>
      </w:r>
    </w:p>
    <w:p w14:paraId="562AE9EF" w14:textId="77777777" w:rsidR="00474FFD" w:rsidRPr="008C0A0D" w:rsidRDefault="004433F3" w:rsidP="00BB51AE">
      <w:pPr>
        <w:pStyle w:val="Heading1"/>
        <w:numPr>
          <w:ilvl w:val="0"/>
          <w:numId w:val="5"/>
        </w:numPr>
        <w:rPr>
          <w:rFonts w:ascii="Arial Nova" w:hAnsi="Arial Nova"/>
          <w:color w:val="auto"/>
        </w:rPr>
      </w:pPr>
      <w:bookmarkStart w:id="1" w:name="_Toc182753895"/>
      <w:r w:rsidRPr="008C0A0D">
        <w:rPr>
          <w:rFonts w:ascii="Arial Nova" w:hAnsi="Arial Nova"/>
          <w:color w:val="auto"/>
        </w:rPr>
        <w:lastRenderedPageBreak/>
        <w:t>Introduction</w:t>
      </w:r>
      <w:bookmarkEnd w:id="1"/>
    </w:p>
    <w:p w14:paraId="475D64DE" w14:textId="77777777" w:rsidR="00BF480D" w:rsidRPr="008C0A0D" w:rsidRDefault="00BF480D" w:rsidP="00474FFD">
      <w:pPr>
        <w:rPr>
          <w:rFonts w:ascii="Arial Nova" w:hAnsi="Arial Nova"/>
        </w:rPr>
      </w:pPr>
    </w:p>
    <w:p w14:paraId="64F379D4" w14:textId="77777777" w:rsidR="00E35903" w:rsidRDefault="004433F3" w:rsidP="00064028">
      <w:pPr>
        <w:rPr>
          <w:rFonts w:ascii="Arial Nova" w:hAnsi="Arial Nova"/>
        </w:rPr>
      </w:pPr>
      <w:r w:rsidRPr="00064028">
        <w:rPr>
          <w:rFonts w:ascii="Arial Nova" w:hAnsi="Arial Nova"/>
        </w:rPr>
        <w:t>GreenWind Energy Ltd. proposes developing a wind farm comprising nine wind turbines, each with a capacity of 2 MW, on a 150-hectare site in the rural Northeast of England.</w:t>
      </w:r>
      <w:r w:rsidRPr="00E35903">
        <w:t xml:space="preserve"> </w:t>
      </w:r>
      <w:r w:rsidRPr="00E35903">
        <w:rPr>
          <w:rFonts w:ascii="Arial Nova" w:hAnsi="Arial Nova"/>
        </w:rPr>
        <w:t>The proposed wind farm has the potential to contribute 18 MW of renewable energy to the national grid, supporting local energy needs while reducing reliance on fossil fuels.</w:t>
      </w:r>
    </w:p>
    <w:p w14:paraId="6B95AA68" w14:textId="77777777" w:rsidR="006E6015" w:rsidRPr="006E6015" w:rsidRDefault="004433F3" w:rsidP="006E6015">
      <w:pPr>
        <w:rPr>
          <w:rFonts w:ascii="Arial Nova" w:hAnsi="Arial Nova"/>
        </w:rPr>
      </w:pPr>
      <w:r>
        <w:rPr>
          <w:rFonts w:ascii="Arial Nova" w:hAnsi="Arial Nova"/>
        </w:rPr>
        <w:t xml:space="preserve">With </w:t>
      </w:r>
      <w:r w:rsidRPr="006E6015">
        <w:rPr>
          <w:rFonts w:ascii="Arial Nova" w:hAnsi="Arial Nova"/>
        </w:rPr>
        <w:t>aims to reduce carbon emissions, support the UK's net-zero targets, and promote energy sustainability. Wind energy is a clean, renewable resource critical in mitigating climate change</w:t>
      </w:r>
      <w:r w:rsidR="001C5202">
        <w:rPr>
          <w:rFonts w:ascii="Arial Nova" w:hAnsi="Arial Nova"/>
        </w:rPr>
        <w:t xml:space="preserve"> and </w:t>
      </w:r>
      <w:r w:rsidRPr="006E6015">
        <w:rPr>
          <w:rFonts w:ascii="Arial Nova" w:hAnsi="Arial Nova"/>
        </w:rPr>
        <w:t>reducing air pollution.</w:t>
      </w:r>
    </w:p>
    <w:p w14:paraId="67B7434D" w14:textId="77777777" w:rsidR="009E1836" w:rsidRDefault="004433F3" w:rsidP="006E6015">
      <w:pPr>
        <w:rPr>
          <w:rFonts w:ascii="Arial Nova" w:hAnsi="Arial Nova"/>
        </w:rPr>
      </w:pPr>
      <w:r w:rsidRPr="006E6015">
        <w:rPr>
          <w:rFonts w:ascii="Arial Nova" w:hAnsi="Arial Nova"/>
        </w:rPr>
        <w:t xml:space="preserve">This report aims to conduct a comprehensive environmental risk assessment for the proposed wind farm. This assessment identifies potential risks </w:t>
      </w:r>
      <w:r w:rsidRPr="006E6015">
        <w:rPr>
          <w:rFonts w:ascii="Arial Nova" w:hAnsi="Arial Nova"/>
        </w:rPr>
        <w:t>associated with the project's construction, operation, and decommissioning phases and proposes mitigation measures to minimi</w:t>
      </w:r>
      <w:r>
        <w:rPr>
          <w:rFonts w:ascii="Arial Nova" w:hAnsi="Arial Nova"/>
        </w:rPr>
        <w:t>s</w:t>
      </w:r>
      <w:r w:rsidRPr="006E6015">
        <w:rPr>
          <w:rFonts w:ascii="Arial Nova" w:hAnsi="Arial Nova"/>
        </w:rPr>
        <w:t>e negative impacts. It also aims to ensure that the project aligns with environmental regulations and sustainability principles.</w:t>
      </w:r>
    </w:p>
    <w:p w14:paraId="7C9DD3FC" w14:textId="77777777" w:rsidR="00474FFD" w:rsidRPr="00064028" w:rsidRDefault="004433F3" w:rsidP="006E6015">
      <w:pPr>
        <w:rPr>
          <w:rFonts w:ascii="Arial Nova" w:eastAsiaTheme="majorEastAsia" w:hAnsi="Arial Nova" w:cstheme="majorBidi"/>
          <w:sz w:val="32"/>
          <w:szCs w:val="32"/>
        </w:rPr>
      </w:pPr>
      <w:r w:rsidRPr="009E1836">
        <w:rPr>
          <w:rFonts w:ascii="Arial Nova" w:hAnsi="Arial Nova"/>
        </w:rPr>
        <w:t>Key environmental considerations for the site include its proximity to a Site of Special Scientific Interest (SSSI) and diverse habitats such as farmland, grasslands, and wetlands. These areas host a variety of flora and fauna, including protected and migratory species, making the site ecologically sensitive. The project must also account for the potential impacts on local agricultural activities and conservation efforts.</w:t>
      </w:r>
      <w:r w:rsidRPr="00064028">
        <w:rPr>
          <w:rFonts w:ascii="Arial Nova" w:hAnsi="Arial Nova"/>
        </w:rPr>
        <w:br w:type="page"/>
      </w:r>
    </w:p>
    <w:p w14:paraId="4DDA63C8" w14:textId="77777777" w:rsidR="00474FFD" w:rsidRPr="008C0A0D" w:rsidRDefault="004433F3" w:rsidP="00BB51AE">
      <w:pPr>
        <w:pStyle w:val="Heading1"/>
        <w:numPr>
          <w:ilvl w:val="0"/>
          <w:numId w:val="5"/>
        </w:numPr>
        <w:rPr>
          <w:rFonts w:ascii="Arial Nova" w:hAnsi="Arial Nova"/>
          <w:color w:val="auto"/>
        </w:rPr>
      </w:pPr>
      <w:bookmarkStart w:id="2" w:name="_Toc182753896"/>
      <w:r w:rsidRPr="008C0A0D">
        <w:rPr>
          <w:rFonts w:ascii="Arial Nova" w:hAnsi="Arial Nova"/>
          <w:color w:val="auto"/>
        </w:rPr>
        <w:lastRenderedPageBreak/>
        <w:t>Literature Review</w:t>
      </w:r>
      <w:bookmarkEnd w:id="2"/>
    </w:p>
    <w:p w14:paraId="4E32C599" w14:textId="77777777" w:rsidR="000767C1" w:rsidRPr="008C0A0D" w:rsidRDefault="000767C1" w:rsidP="00474FFD">
      <w:pPr>
        <w:rPr>
          <w:rFonts w:ascii="Arial Nova" w:hAnsi="Arial Nova"/>
        </w:rPr>
      </w:pPr>
    </w:p>
    <w:p w14:paraId="0CD36589" w14:textId="77777777" w:rsidR="00591D1E" w:rsidRPr="00591D1E" w:rsidRDefault="004433F3" w:rsidP="00591D1E">
      <w:pPr>
        <w:rPr>
          <w:rFonts w:ascii="Arial Nova" w:hAnsi="Arial Nova"/>
        </w:rPr>
      </w:pPr>
      <w:r w:rsidRPr="00591D1E">
        <w:rPr>
          <w:rFonts w:ascii="Arial Nova" w:hAnsi="Arial Nova"/>
        </w:rPr>
        <w:t>Environmental Impacts of Wind Farms</w:t>
      </w:r>
    </w:p>
    <w:p w14:paraId="24EB0247" w14:textId="77777777" w:rsidR="00591D1E" w:rsidRPr="00591D1E" w:rsidRDefault="004433F3" w:rsidP="00E038D5">
      <w:pPr>
        <w:rPr>
          <w:rFonts w:ascii="Arial Nova" w:hAnsi="Arial Nova"/>
        </w:rPr>
      </w:pPr>
      <w:r w:rsidRPr="00E038D5">
        <w:rPr>
          <w:rFonts w:ascii="Arial Nova" w:hAnsi="Arial Nova"/>
        </w:rPr>
        <w:t>Wind farms are pivotal in advancing renewable energy objectives yet present environmental challenges, especially in rural and ecologically sensitive regions. The Royal Society for the Protection of Birds (RSPB) acknowledges the necessity of wind energy in combating climate change. However, it emphasi</w:t>
      </w:r>
      <w:r w:rsidR="00576331">
        <w:rPr>
          <w:rFonts w:ascii="Arial Nova" w:hAnsi="Arial Nova"/>
        </w:rPr>
        <w:t>s</w:t>
      </w:r>
      <w:r w:rsidRPr="00E038D5">
        <w:rPr>
          <w:rFonts w:ascii="Arial Nova" w:hAnsi="Arial Nova"/>
        </w:rPr>
        <w:t>es the importance of careful site selection to minimi</w:t>
      </w:r>
      <w:r w:rsidR="00576331">
        <w:rPr>
          <w:rFonts w:ascii="Arial Nova" w:hAnsi="Arial Nova"/>
        </w:rPr>
        <w:t>s</w:t>
      </w:r>
      <w:r w:rsidRPr="00E038D5">
        <w:rPr>
          <w:rFonts w:ascii="Arial Nova" w:hAnsi="Arial Nova"/>
        </w:rPr>
        <w:t>e adverse effects on wildlife and habitats</w:t>
      </w:r>
      <w:r w:rsidR="00E52881" w:rsidRPr="00E52881">
        <w:t xml:space="preserve"> </w:t>
      </w:r>
      <w:r w:rsidR="00E52881">
        <w:t>(</w:t>
      </w:r>
      <w:r w:rsidR="00E52881" w:rsidRPr="00E52881">
        <w:rPr>
          <w:rFonts w:ascii="Arial Nova" w:hAnsi="Arial Nova"/>
        </w:rPr>
        <w:t>Local Government Association</w:t>
      </w:r>
      <w:r w:rsidR="00E52881">
        <w:rPr>
          <w:rFonts w:ascii="Arial Nova" w:hAnsi="Arial Nova"/>
        </w:rPr>
        <w:t xml:space="preserve">, </w:t>
      </w:r>
      <w:r w:rsidR="00E52881" w:rsidRPr="00E52881">
        <w:rPr>
          <w:rFonts w:ascii="Arial Nova" w:hAnsi="Arial Nova"/>
        </w:rPr>
        <w:t>n.d.</w:t>
      </w:r>
      <w:r w:rsidR="00E52881">
        <w:rPr>
          <w:rFonts w:ascii="Arial Nova" w:hAnsi="Arial Nova"/>
        </w:rPr>
        <w:t>)</w:t>
      </w:r>
      <w:r w:rsidR="00E52881" w:rsidRPr="00E52881">
        <w:rPr>
          <w:rFonts w:ascii="Arial Nova" w:hAnsi="Arial Nova"/>
        </w:rPr>
        <w:t>.</w:t>
      </w:r>
      <w:r w:rsidR="00E52881">
        <w:rPr>
          <w:rFonts w:ascii="Arial Nova" w:hAnsi="Arial Nova"/>
        </w:rPr>
        <w:t xml:space="preserve"> </w:t>
      </w:r>
      <w:r w:rsidRPr="00E038D5">
        <w:rPr>
          <w:rFonts w:ascii="Arial Nova" w:hAnsi="Arial Nova"/>
        </w:rPr>
        <w:t xml:space="preserve">Similarly, </w:t>
      </w:r>
      <w:r w:rsidR="00E52881">
        <w:rPr>
          <w:rFonts w:ascii="Arial Nova" w:hAnsi="Arial Nova"/>
        </w:rPr>
        <w:t>C</w:t>
      </w:r>
      <w:r w:rsidR="00D71843">
        <w:rPr>
          <w:rFonts w:ascii="Arial Nova" w:hAnsi="Arial Nova"/>
        </w:rPr>
        <w:t xml:space="preserve">owell, R. and Bristow, G. (2011) </w:t>
      </w:r>
      <w:r w:rsidRPr="00E038D5">
        <w:rPr>
          <w:rFonts w:ascii="Arial Nova" w:hAnsi="Arial Nova"/>
        </w:rPr>
        <w:t xml:space="preserve">highlight that wind energy contributes to </w:t>
      </w:r>
      <w:r w:rsidRPr="00E038D5">
        <w:rPr>
          <w:rFonts w:ascii="Arial Nova" w:hAnsi="Arial Nova"/>
        </w:rPr>
        <w:t>sustainable community development</w:t>
      </w:r>
      <w:r w:rsidR="00D71843">
        <w:rPr>
          <w:rFonts w:ascii="Arial Nova" w:hAnsi="Arial Nova"/>
        </w:rPr>
        <w:t>. However,</w:t>
      </w:r>
      <w:r w:rsidRPr="00E038D5">
        <w:rPr>
          <w:rFonts w:ascii="Arial Nova" w:hAnsi="Arial Nova"/>
        </w:rPr>
        <w:t xml:space="preserve"> it can lead to habitat loss and fragmentation if not properly managed. </w:t>
      </w:r>
      <w:r w:rsidR="00C648BF" w:rsidRPr="00C648BF">
        <w:rPr>
          <w:rFonts w:ascii="Arial Nova" w:hAnsi="Arial Nova"/>
        </w:rPr>
        <w:t xml:space="preserve">Bird and bat collisions with wind turbine blades are significant concerns, with certain species being more susceptible due to their flight behaviours and habitats. A comprehensive study by Thaxter et al. (2017) analysed global bird and bat collision patterns with wind turbines, </w:t>
      </w:r>
      <w:r w:rsidR="008726BA">
        <w:rPr>
          <w:rFonts w:ascii="Arial Nova" w:hAnsi="Arial Nova"/>
        </w:rPr>
        <w:t>demonstrating</w:t>
      </w:r>
      <w:r w:rsidR="00C648BF" w:rsidRPr="00C648BF">
        <w:rPr>
          <w:rFonts w:ascii="Arial Nova" w:hAnsi="Arial Nova"/>
        </w:rPr>
        <w:t xml:space="preserve"> that migratory species and those with specific flight </w:t>
      </w:r>
      <w:r w:rsidR="008726BA">
        <w:rPr>
          <w:rFonts w:ascii="Arial Nova" w:hAnsi="Arial Nova"/>
        </w:rPr>
        <w:t>paths</w:t>
      </w:r>
      <w:r w:rsidR="00C648BF" w:rsidRPr="00C648BF">
        <w:rPr>
          <w:rFonts w:ascii="Arial Nova" w:hAnsi="Arial Nova"/>
        </w:rPr>
        <w:t xml:space="preserve"> are at higher risk.</w:t>
      </w:r>
      <w:r w:rsidR="0044157D">
        <w:rPr>
          <w:rFonts w:ascii="Arial Nova" w:hAnsi="Arial Nova"/>
        </w:rPr>
        <w:t xml:space="preserve"> </w:t>
      </w:r>
      <w:r w:rsidR="0086545D" w:rsidRPr="0086545D">
        <w:rPr>
          <w:rFonts w:ascii="Arial Nova" w:hAnsi="Arial Nova"/>
        </w:rPr>
        <w:t>Noise pollution from wind turbines can significantly impact wildlife and nearby human communities. For wildlife, increased noise levels may lead to behavioural changes, such as altered communication patterns, disrupted mating rituals, and avoidance of affected areas, potentially resulting in habitat displacement</w:t>
      </w:r>
      <w:r w:rsidR="00735D6F">
        <w:rPr>
          <w:rFonts w:ascii="Arial Nova" w:hAnsi="Arial Nova"/>
        </w:rPr>
        <w:t xml:space="preserve">. Especially considering the </w:t>
      </w:r>
      <w:r w:rsidR="002B7157">
        <w:rPr>
          <w:rFonts w:ascii="Arial Nova" w:hAnsi="Arial Nova"/>
        </w:rPr>
        <w:t xml:space="preserve">physical effects documented by </w:t>
      </w:r>
      <w:r w:rsidR="00094748" w:rsidRPr="00094748">
        <w:rPr>
          <w:rFonts w:ascii="Arial Nova" w:hAnsi="Arial Nova"/>
        </w:rPr>
        <w:t xml:space="preserve">the Health Protection Agency </w:t>
      </w:r>
      <w:r w:rsidR="002B7157">
        <w:rPr>
          <w:rFonts w:ascii="Arial Nova" w:hAnsi="Arial Nova"/>
        </w:rPr>
        <w:t>(</w:t>
      </w:r>
      <w:r w:rsidR="00094748" w:rsidRPr="00094748">
        <w:rPr>
          <w:rFonts w:ascii="Arial Nova" w:hAnsi="Arial Nova"/>
        </w:rPr>
        <w:t>2010</w:t>
      </w:r>
      <w:r w:rsidR="00094748">
        <w:rPr>
          <w:rFonts w:ascii="Arial Nova" w:hAnsi="Arial Nova"/>
        </w:rPr>
        <w:t>).</w:t>
      </w:r>
      <w:r w:rsidR="0086545D">
        <w:rPr>
          <w:rFonts w:ascii="Arial Nova" w:hAnsi="Arial Nova"/>
        </w:rPr>
        <w:t xml:space="preserve"> </w:t>
      </w:r>
      <w:r w:rsidR="001E1FED">
        <w:rPr>
          <w:rFonts w:ascii="Arial Nova" w:hAnsi="Arial Nova"/>
        </w:rPr>
        <w:t xml:space="preserve">Construction </w:t>
      </w:r>
      <w:r w:rsidRPr="00591D1E">
        <w:rPr>
          <w:rFonts w:ascii="Arial Nova" w:hAnsi="Arial Nova"/>
        </w:rPr>
        <w:t>activities associated with wind farms may contribute to soil erosion and water quality disturbances, especially w</w:t>
      </w:r>
      <w:r w:rsidRPr="00591D1E">
        <w:rPr>
          <w:rFonts w:ascii="Arial Nova" w:hAnsi="Arial Nova"/>
        </w:rPr>
        <w:t>hen projects are near water bodies or in areas with sensitive soils</w:t>
      </w:r>
      <w:r w:rsidR="0044157D">
        <w:rPr>
          <w:rFonts w:ascii="Arial Nova" w:hAnsi="Arial Nova"/>
        </w:rPr>
        <w:t xml:space="preserve"> </w:t>
      </w:r>
      <w:r w:rsidR="0044157D" w:rsidRPr="00155909">
        <w:rPr>
          <w:rFonts w:ascii="Arial Nova" w:hAnsi="Arial Nova"/>
        </w:rPr>
        <w:t>(The Times, 2021</w:t>
      </w:r>
      <w:r w:rsidR="0044157D">
        <w:rPr>
          <w:rFonts w:ascii="Arial Nova" w:hAnsi="Arial Nova"/>
        </w:rPr>
        <w:t>).</w:t>
      </w:r>
    </w:p>
    <w:p w14:paraId="66C31889" w14:textId="77777777" w:rsidR="00591D1E" w:rsidRPr="00591D1E" w:rsidRDefault="004433F3" w:rsidP="00591D1E">
      <w:pPr>
        <w:rPr>
          <w:rFonts w:ascii="Arial Nova" w:hAnsi="Arial Nova"/>
        </w:rPr>
      </w:pPr>
      <w:r w:rsidRPr="00591D1E">
        <w:rPr>
          <w:rFonts w:ascii="Arial Nova" w:hAnsi="Arial Nova"/>
        </w:rPr>
        <w:t>Environmental Impacts Specific to Site Conditions</w:t>
      </w:r>
    </w:p>
    <w:p w14:paraId="65912931" w14:textId="77777777" w:rsidR="00591D1E" w:rsidRPr="00591D1E" w:rsidRDefault="004433F3" w:rsidP="00591D1E">
      <w:pPr>
        <w:rPr>
          <w:rFonts w:ascii="Arial Nova" w:hAnsi="Arial Nova"/>
        </w:rPr>
      </w:pPr>
      <w:r w:rsidRPr="00591D1E">
        <w:rPr>
          <w:rFonts w:ascii="Arial Nova" w:hAnsi="Arial Nova"/>
        </w:rPr>
        <w:t xml:space="preserve">Wind farms sited in rural, agricultural, or conservation areas with nearby water bodies and biodiversity hotspots require careful consideration due to their potential for </w:t>
      </w:r>
      <w:r w:rsidR="007265C1">
        <w:rPr>
          <w:rFonts w:ascii="Arial Nova" w:hAnsi="Arial Nova"/>
        </w:rPr>
        <w:t xml:space="preserve">significant </w:t>
      </w:r>
      <w:r w:rsidRPr="00591D1E">
        <w:rPr>
          <w:rFonts w:ascii="Arial Nova" w:hAnsi="Arial Nova"/>
        </w:rPr>
        <w:t xml:space="preserve">environmental impacts. Sites close to designated conservation areas, such as Sites of Special Scientific Interest (SSSIs), </w:t>
      </w:r>
      <w:r w:rsidR="007D4DEC">
        <w:rPr>
          <w:rFonts w:ascii="Arial Nova" w:hAnsi="Arial Nova"/>
        </w:rPr>
        <w:t>require</w:t>
      </w:r>
      <w:r w:rsidRPr="00591D1E">
        <w:rPr>
          <w:rFonts w:ascii="Arial Nova" w:hAnsi="Arial Nova"/>
        </w:rPr>
        <w:t xml:space="preserve"> thorough assessments to minimi</w:t>
      </w:r>
      <w:r w:rsidR="007D4DEC">
        <w:rPr>
          <w:rFonts w:ascii="Arial Nova" w:hAnsi="Arial Nova"/>
        </w:rPr>
        <w:t>s</w:t>
      </w:r>
      <w:r w:rsidRPr="00591D1E">
        <w:rPr>
          <w:rFonts w:ascii="Arial Nova" w:hAnsi="Arial Nova"/>
        </w:rPr>
        <w:t xml:space="preserve">e </w:t>
      </w:r>
      <w:r w:rsidR="007D4DEC">
        <w:rPr>
          <w:rFonts w:ascii="Arial Nova" w:hAnsi="Arial Nova"/>
        </w:rPr>
        <w:t xml:space="preserve">the environmental impacts </w:t>
      </w:r>
      <w:r w:rsidRPr="00591D1E">
        <w:rPr>
          <w:rFonts w:ascii="Arial Nova" w:hAnsi="Arial Nova"/>
        </w:rPr>
        <w:t>on sensitive ecosystems</w:t>
      </w:r>
      <w:r w:rsidR="00232EEB">
        <w:rPr>
          <w:rFonts w:ascii="Arial Nova" w:hAnsi="Arial Nova"/>
        </w:rPr>
        <w:t xml:space="preserve"> (</w:t>
      </w:r>
      <w:r w:rsidR="005D0DE5" w:rsidRPr="005D0DE5">
        <w:rPr>
          <w:rFonts w:ascii="Arial Nova" w:hAnsi="Arial Nova"/>
        </w:rPr>
        <w:t>Department for Environment, Food &amp; Rural Affairs (DEFRA)</w:t>
      </w:r>
      <w:r w:rsidR="005D0DE5">
        <w:rPr>
          <w:rFonts w:ascii="Arial Nova" w:hAnsi="Arial Nova"/>
        </w:rPr>
        <w:t xml:space="preserve">, </w:t>
      </w:r>
      <w:r w:rsidR="005D0DE5" w:rsidRPr="005D0DE5">
        <w:rPr>
          <w:rFonts w:ascii="Arial Nova" w:hAnsi="Arial Nova"/>
        </w:rPr>
        <w:t>2014)</w:t>
      </w:r>
      <w:r w:rsidRPr="00591D1E">
        <w:rPr>
          <w:rFonts w:ascii="Arial Nova" w:hAnsi="Arial Nova"/>
        </w:rPr>
        <w:t xml:space="preserve">. Additionally, migratory bird paths in these </w:t>
      </w:r>
      <w:r w:rsidRPr="00591D1E">
        <w:rPr>
          <w:rFonts w:ascii="Arial Nova" w:hAnsi="Arial Nova"/>
        </w:rPr>
        <w:t>areas increase the risk of turbine collisions, requiring specific mitigation measures to reduce impacts.</w:t>
      </w:r>
    </w:p>
    <w:p w14:paraId="0CE62C73" w14:textId="77777777" w:rsidR="00591D1E" w:rsidRPr="00591D1E" w:rsidRDefault="004433F3" w:rsidP="00591D1E">
      <w:pPr>
        <w:rPr>
          <w:rFonts w:ascii="Arial Nova" w:hAnsi="Arial Nova"/>
        </w:rPr>
      </w:pPr>
      <w:r w:rsidRPr="00591D1E">
        <w:rPr>
          <w:rFonts w:ascii="Arial Nova" w:hAnsi="Arial Nova"/>
        </w:rPr>
        <w:t>Environmental Risk Assessment Frameworks</w:t>
      </w:r>
    </w:p>
    <w:p w14:paraId="7543DD9D" w14:textId="77777777" w:rsidR="00591D1E" w:rsidRPr="00591D1E" w:rsidRDefault="004433F3" w:rsidP="00591D1E">
      <w:pPr>
        <w:rPr>
          <w:rFonts w:ascii="Arial Nova" w:hAnsi="Arial Nova"/>
        </w:rPr>
      </w:pPr>
      <w:r w:rsidRPr="00591D1E">
        <w:rPr>
          <w:rFonts w:ascii="Arial Nova" w:hAnsi="Arial Nova"/>
        </w:rPr>
        <w:t>Environmental risk assessments are essential for identifying and managing the impacts of wind energy projects. Common frameworks include using environmental management systems such as ISO 14001</w:t>
      </w:r>
      <w:r w:rsidR="009347B7">
        <w:rPr>
          <w:rFonts w:ascii="Arial Nova" w:hAnsi="Arial Nova"/>
        </w:rPr>
        <w:t xml:space="preserve"> </w:t>
      </w:r>
      <w:r w:rsidR="009347B7" w:rsidRPr="009347B7">
        <w:rPr>
          <w:rFonts w:ascii="Arial Nova" w:hAnsi="Arial Nova"/>
        </w:rPr>
        <w:t>(International Organi</w:t>
      </w:r>
      <w:r w:rsidR="004C5D48">
        <w:rPr>
          <w:rFonts w:ascii="Arial Nova" w:hAnsi="Arial Nova"/>
        </w:rPr>
        <w:t>s</w:t>
      </w:r>
      <w:r w:rsidR="009347B7" w:rsidRPr="009347B7">
        <w:rPr>
          <w:rFonts w:ascii="Arial Nova" w:hAnsi="Arial Nova"/>
        </w:rPr>
        <w:t>ation for Standardi</w:t>
      </w:r>
      <w:r w:rsidR="004C5D48">
        <w:rPr>
          <w:rFonts w:ascii="Arial Nova" w:hAnsi="Arial Nova"/>
        </w:rPr>
        <w:t>s</w:t>
      </w:r>
      <w:r w:rsidR="009347B7" w:rsidRPr="009347B7">
        <w:rPr>
          <w:rFonts w:ascii="Arial Nova" w:hAnsi="Arial Nova"/>
        </w:rPr>
        <w:t>ation, 2015)</w:t>
      </w:r>
      <w:r w:rsidRPr="00591D1E">
        <w:rPr>
          <w:rFonts w:ascii="Arial Nova" w:hAnsi="Arial Nova"/>
        </w:rPr>
        <w:t>. Environmental Impact Assessments (EIAs) are widely utili</w:t>
      </w:r>
      <w:r w:rsidR="00BF0EF3">
        <w:rPr>
          <w:rFonts w:ascii="Arial Nova" w:hAnsi="Arial Nova"/>
        </w:rPr>
        <w:t>s</w:t>
      </w:r>
      <w:r w:rsidRPr="00591D1E">
        <w:rPr>
          <w:rFonts w:ascii="Arial Nova" w:hAnsi="Arial Nova"/>
        </w:rPr>
        <w:t>ed to evaluate the potential effects of proposed projects, ensuring that risks to ecosystems, biodiversity, and local communities are identified and addressed</w:t>
      </w:r>
      <w:r w:rsidR="00482F99">
        <w:rPr>
          <w:rFonts w:ascii="Arial Nova" w:hAnsi="Arial Nova"/>
        </w:rPr>
        <w:t xml:space="preserve"> (</w:t>
      </w:r>
      <w:r w:rsidR="00482F99" w:rsidRPr="00482F99">
        <w:rPr>
          <w:rFonts w:ascii="Arial Nova" w:hAnsi="Arial Nova"/>
        </w:rPr>
        <w:t>Department for Communities and Local Government</w:t>
      </w:r>
      <w:r w:rsidR="00482F99">
        <w:rPr>
          <w:rFonts w:ascii="Arial Nova" w:hAnsi="Arial Nova"/>
        </w:rPr>
        <w:t xml:space="preserve">, </w:t>
      </w:r>
      <w:r w:rsidR="00482F99" w:rsidRPr="00482F99">
        <w:rPr>
          <w:rFonts w:ascii="Arial Nova" w:hAnsi="Arial Nova"/>
        </w:rPr>
        <w:t>2017)</w:t>
      </w:r>
      <w:r w:rsidRPr="00591D1E">
        <w:rPr>
          <w:rFonts w:ascii="Arial Nova" w:hAnsi="Arial Nova"/>
        </w:rPr>
        <w:t xml:space="preserve">. These assessments involve public consultations and consider alternative approaches to mitigate negative impacts. Ecological impact assessments are also used </w:t>
      </w:r>
      <w:r w:rsidR="009F0AB0">
        <w:rPr>
          <w:rFonts w:ascii="Arial Nova" w:hAnsi="Arial Nova"/>
        </w:rPr>
        <w:t xml:space="preserve">to identify </w:t>
      </w:r>
      <w:r w:rsidRPr="00591D1E">
        <w:rPr>
          <w:rFonts w:ascii="Arial Nova" w:hAnsi="Arial Nova"/>
        </w:rPr>
        <w:t xml:space="preserve">biodiversity </w:t>
      </w:r>
      <w:r w:rsidRPr="00591D1E">
        <w:rPr>
          <w:rFonts w:ascii="Arial Nova" w:hAnsi="Arial Nova"/>
        </w:rPr>
        <w:t>considerations.</w:t>
      </w:r>
    </w:p>
    <w:p w14:paraId="4799C5D3" w14:textId="77777777" w:rsidR="00591D1E" w:rsidRPr="00591D1E" w:rsidRDefault="004433F3" w:rsidP="00591D1E">
      <w:pPr>
        <w:rPr>
          <w:rFonts w:ascii="Arial Nova" w:hAnsi="Arial Nova"/>
        </w:rPr>
      </w:pPr>
      <w:r w:rsidRPr="00591D1E">
        <w:rPr>
          <w:rFonts w:ascii="Arial Nova" w:hAnsi="Arial Nova"/>
        </w:rPr>
        <w:t>Regulatory and Policy Context</w:t>
      </w:r>
    </w:p>
    <w:p w14:paraId="7146F7CE" w14:textId="77777777" w:rsidR="00591D1E" w:rsidRPr="00591D1E" w:rsidRDefault="004433F3" w:rsidP="00591D1E">
      <w:pPr>
        <w:rPr>
          <w:rFonts w:ascii="Arial Nova" w:hAnsi="Arial Nova"/>
        </w:rPr>
      </w:pPr>
      <w:r w:rsidRPr="00591D1E">
        <w:rPr>
          <w:rFonts w:ascii="Arial Nova" w:hAnsi="Arial Nova"/>
        </w:rPr>
        <w:t>In the UK, wind farm developments are governed by regulatory frameworks designed to minimi</w:t>
      </w:r>
      <w:r w:rsidR="00F40560">
        <w:rPr>
          <w:rFonts w:ascii="Arial Nova" w:hAnsi="Arial Nova"/>
        </w:rPr>
        <w:t>s</w:t>
      </w:r>
      <w:r w:rsidRPr="00591D1E">
        <w:rPr>
          <w:rFonts w:ascii="Arial Nova" w:hAnsi="Arial Nova"/>
        </w:rPr>
        <w:t xml:space="preserve">e environmental impacts. National planning policies </w:t>
      </w:r>
      <w:r w:rsidR="00B00DB8">
        <w:rPr>
          <w:rFonts w:ascii="Arial Nova" w:hAnsi="Arial Nova"/>
        </w:rPr>
        <w:t xml:space="preserve">include </w:t>
      </w:r>
      <w:r w:rsidRPr="00591D1E">
        <w:rPr>
          <w:rFonts w:ascii="Arial Nova" w:hAnsi="Arial Nova"/>
        </w:rPr>
        <w:t xml:space="preserve">sustainable development while safeguarding natural resources and biodiversity. Regulations require developers to </w:t>
      </w:r>
      <w:r w:rsidRPr="00591D1E">
        <w:rPr>
          <w:rFonts w:ascii="Arial Nova" w:hAnsi="Arial Nova"/>
        </w:rPr>
        <w:lastRenderedPageBreak/>
        <w:t xml:space="preserve">conduct comprehensive environmental assessments, especially for projects near protected areas. These policies aim to balance the </w:t>
      </w:r>
      <w:r w:rsidR="00B00DB8">
        <w:rPr>
          <w:rFonts w:ascii="Arial Nova" w:hAnsi="Arial Nova"/>
        </w:rPr>
        <w:t xml:space="preserve">utilisation of </w:t>
      </w:r>
      <w:r w:rsidRPr="00591D1E">
        <w:rPr>
          <w:rFonts w:ascii="Arial Nova" w:hAnsi="Arial Nova"/>
        </w:rPr>
        <w:t>renewable energy with the preservation of the environment.</w:t>
      </w:r>
    </w:p>
    <w:p w14:paraId="4A9D96F7" w14:textId="77777777" w:rsidR="00591D1E" w:rsidRPr="00591D1E" w:rsidRDefault="004433F3" w:rsidP="00591D1E">
      <w:pPr>
        <w:rPr>
          <w:rFonts w:ascii="Arial Nova" w:hAnsi="Arial Nova"/>
        </w:rPr>
      </w:pPr>
      <w:r w:rsidRPr="00591D1E">
        <w:rPr>
          <w:rFonts w:ascii="Arial Nova" w:hAnsi="Arial Nova"/>
        </w:rPr>
        <w:t>Mitigation Measures</w:t>
      </w:r>
    </w:p>
    <w:p w14:paraId="1AB568C2" w14:textId="77777777" w:rsidR="00474FFD" w:rsidRPr="008C0A0D" w:rsidRDefault="004433F3" w:rsidP="00591D1E">
      <w:pPr>
        <w:rPr>
          <w:rFonts w:ascii="Arial Nova" w:eastAsiaTheme="majorEastAsia" w:hAnsi="Arial Nova" w:cstheme="majorBidi"/>
          <w:sz w:val="32"/>
          <w:szCs w:val="32"/>
        </w:rPr>
      </w:pPr>
      <w:r w:rsidRPr="00591D1E">
        <w:rPr>
          <w:rFonts w:ascii="Arial Nova" w:hAnsi="Arial Nova"/>
        </w:rPr>
        <w:t>Mitigation strategies address the environmental challenges of wind farms. Seasonal restrictions during wildlife breeding or migration can reduce disruptions to sensitive species. Habitat restoration efforts, particularly after construction, help recover ecosystems affected by development activities. Employing low-impact construction methods, such as minimi</w:t>
      </w:r>
      <w:r w:rsidR="009D61BD">
        <w:rPr>
          <w:rFonts w:ascii="Arial Nova" w:hAnsi="Arial Nova"/>
        </w:rPr>
        <w:t>s</w:t>
      </w:r>
      <w:r w:rsidRPr="00591D1E">
        <w:rPr>
          <w:rFonts w:ascii="Arial Nova" w:hAnsi="Arial Nova"/>
        </w:rPr>
        <w:t>ing land disturbance, can mitigate environmental adverse effects. Advanced technological solutions, such as radar systems to monitor bird movements and adjust turbine operations, have also proven effective in reducing collision risks. Additionally, long-term monitoring and adaptive management ensure that mitigation measures remain effective throughout the project's life cycle.</w:t>
      </w:r>
      <w:r w:rsidRPr="008C0A0D">
        <w:rPr>
          <w:rFonts w:ascii="Arial Nova" w:hAnsi="Arial Nova"/>
        </w:rPr>
        <w:br w:type="page"/>
      </w:r>
    </w:p>
    <w:p w14:paraId="3C80AAF3" w14:textId="77777777" w:rsidR="00474FFD" w:rsidRPr="008C0A0D" w:rsidRDefault="004433F3" w:rsidP="00BB51AE">
      <w:pPr>
        <w:pStyle w:val="Heading1"/>
        <w:numPr>
          <w:ilvl w:val="0"/>
          <w:numId w:val="5"/>
        </w:numPr>
        <w:rPr>
          <w:rFonts w:ascii="Arial Nova" w:hAnsi="Arial Nova"/>
          <w:color w:val="auto"/>
        </w:rPr>
      </w:pPr>
      <w:bookmarkStart w:id="3" w:name="_Methodology"/>
      <w:bookmarkStart w:id="4" w:name="_Toc182753897"/>
      <w:bookmarkEnd w:id="3"/>
      <w:r w:rsidRPr="008C0A0D">
        <w:rPr>
          <w:rFonts w:ascii="Arial Nova" w:hAnsi="Arial Nova"/>
          <w:color w:val="auto"/>
        </w:rPr>
        <w:lastRenderedPageBreak/>
        <w:t>Methodology</w:t>
      </w:r>
      <w:bookmarkEnd w:id="4"/>
    </w:p>
    <w:p w14:paraId="2F2B0944" w14:textId="77777777" w:rsidR="00A07751" w:rsidRPr="008C0A0D" w:rsidRDefault="00A07751" w:rsidP="00474FFD">
      <w:pPr>
        <w:rPr>
          <w:rFonts w:ascii="Arial Nova" w:hAnsi="Arial Nova"/>
        </w:rPr>
      </w:pPr>
    </w:p>
    <w:p w14:paraId="210F3924" w14:textId="77777777" w:rsidR="006C0C04" w:rsidRPr="008C0A0D" w:rsidRDefault="004433F3" w:rsidP="007163F5">
      <w:pPr>
        <w:rPr>
          <w:rFonts w:ascii="Arial Nova" w:hAnsi="Arial Nova"/>
        </w:rPr>
      </w:pPr>
      <w:r w:rsidRPr="008C0A0D">
        <w:rPr>
          <w:rFonts w:ascii="Arial Nova" w:hAnsi="Arial Nova"/>
        </w:rPr>
        <w:t xml:space="preserve">This assessment evaluates risks using a risk matrix method with a likelihood and severity scoring system. It breaks down risks across three project phases: </w:t>
      </w:r>
      <w:r w:rsidRPr="008C0A0D">
        <w:rPr>
          <w:rFonts w:ascii="Arial Nova" w:hAnsi="Arial Nova"/>
        </w:rPr>
        <w:t>construction, operation, and decommissioning. This approach ensures that all potential impacts are addressed.</w:t>
      </w:r>
    </w:p>
    <w:p w14:paraId="600FDFD6" w14:textId="77777777" w:rsidR="00753132" w:rsidRPr="00753132" w:rsidRDefault="004433F3" w:rsidP="00753132">
      <w:pPr>
        <w:rPr>
          <w:rFonts w:ascii="Arial Nova" w:hAnsi="Arial Nova"/>
        </w:rPr>
      </w:pPr>
      <w:r w:rsidRPr="00753132">
        <w:rPr>
          <w:rFonts w:ascii="Arial Nova" w:hAnsi="Arial Nova"/>
        </w:rPr>
        <w:t>Risk Matrix Framework</w:t>
      </w:r>
    </w:p>
    <w:p w14:paraId="5C0AF2B3" w14:textId="77777777" w:rsidR="00753132" w:rsidRPr="00753132" w:rsidRDefault="004433F3" w:rsidP="00753132">
      <w:pPr>
        <w:rPr>
          <w:rFonts w:ascii="Arial Nova" w:hAnsi="Arial Nova"/>
        </w:rPr>
      </w:pPr>
      <w:r w:rsidRPr="00753132">
        <w:rPr>
          <w:rFonts w:ascii="Arial Nova" w:hAnsi="Arial Nova"/>
        </w:rPr>
        <w:t>The matrix combines likelihood and severity into a scoring system:</w:t>
      </w:r>
    </w:p>
    <w:p w14:paraId="2B0DB4B0" w14:textId="77777777" w:rsidR="00753132" w:rsidRPr="00753132" w:rsidRDefault="004433F3" w:rsidP="00753132">
      <w:pPr>
        <w:numPr>
          <w:ilvl w:val="0"/>
          <w:numId w:val="12"/>
        </w:numPr>
        <w:rPr>
          <w:rFonts w:ascii="Arial Nova" w:hAnsi="Arial Nova"/>
        </w:rPr>
      </w:pPr>
      <w:r w:rsidRPr="00753132">
        <w:rPr>
          <w:rFonts w:ascii="Arial Nova" w:hAnsi="Arial Nova"/>
        </w:rPr>
        <w:t>Likelihood (Probability):</w:t>
      </w:r>
    </w:p>
    <w:p w14:paraId="47D9A0D9" w14:textId="77777777" w:rsidR="00753132" w:rsidRPr="00753132" w:rsidRDefault="004433F3" w:rsidP="00753132">
      <w:pPr>
        <w:numPr>
          <w:ilvl w:val="1"/>
          <w:numId w:val="12"/>
        </w:numPr>
        <w:rPr>
          <w:rFonts w:ascii="Arial Nova" w:hAnsi="Arial Nova"/>
        </w:rPr>
      </w:pPr>
      <w:r w:rsidRPr="00753132">
        <w:rPr>
          <w:rFonts w:ascii="Arial Nova" w:hAnsi="Arial Nova"/>
        </w:rPr>
        <w:t>1 (Rare): Highly unlikely, occurs once in 10 years.</w:t>
      </w:r>
    </w:p>
    <w:p w14:paraId="02FC87AB" w14:textId="77777777" w:rsidR="00753132" w:rsidRPr="00753132" w:rsidRDefault="004433F3" w:rsidP="00753132">
      <w:pPr>
        <w:numPr>
          <w:ilvl w:val="1"/>
          <w:numId w:val="12"/>
        </w:numPr>
        <w:rPr>
          <w:rFonts w:ascii="Arial Nova" w:hAnsi="Arial Nova"/>
        </w:rPr>
      </w:pPr>
      <w:r w:rsidRPr="00753132">
        <w:rPr>
          <w:rFonts w:ascii="Arial Nova" w:hAnsi="Arial Nova"/>
        </w:rPr>
        <w:t>2 (Unlikely): Possible but unexpected, occurs once in 5–10 years.</w:t>
      </w:r>
    </w:p>
    <w:p w14:paraId="2CED4EA3" w14:textId="77777777" w:rsidR="00753132" w:rsidRPr="00753132" w:rsidRDefault="004433F3" w:rsidP="00753132">
      <w:pPr>
        <w:numPr>
          <w:ilvl w:val="1"/>
          <w:numId w:val="12"/>
        </w:numPr>
        <w:rPr>
          <w:rFonts w:ascii="Arial Nova" w:hAnsi="Arial Nova"/>
        </w:rPr>
      </w:pPr>
      <w:r w:rsidRPr="00753132">
        <w:rPr>
          <w:rFonts w:ascii="Arial Nova" w:hAnsi="Arial Nova"/>
        </w:rPr>
        <w:t>3 (Possible): May occur, occurs once in 1–5 years.</w:t>
      </w:r>
    </w:p>
    <w:p w14:paraId="26EEA0CE" w14:textId="77777777" w:rsidR="00753132" w:rsidRPr="00753132" w:rsidRDefault="004433F3" w:rsidP="00753132">
      <w:pPr>
        <w:numPr>
          <w:ilvl w:val="1"/>
          <w:numId w:val="12"/>
        </w:numPr>
        <w:rPr>
          <w:rFonts w:ascii="Arial Nova" w:hAnsi="Arial Nova"/>
        </w:rPr>
      </w:pPr>
      <w:r w:rsidRPr="00753132">
        <w:rPr>
          <w:rFonts w:ascii="Arial Nova" w:hAnsi="Arial Nova"/>
        </w:rPr>
        <w:t>4 (Likely): Expected under normal conditions, occurs annually.</w:t>
      </w:r>
    </w:p>
    <w:p w14:paraId="2B9BC44C" w14:textId="77777777" w:rsidR="00753132" w:rsidRPr="00753132" w:rsidRDefault="004433F3" w:rsidP="00753132">
      <w:pPr>
        <w:numPr>
          <w:ilvl w:val="1"/>
          <w:numId w:val="12"/>
        </w:numPr>
        <w:rPr>
          <w:rFonts w:ascii="Arial Nova" w:hAnsi="Arial Nova"/>
        </w:rPr>
      </w:pPr>
      <w:r w:rsidRPr="00753132">
        <w:rPr>
          <w:rFonts w:ascii="Arial Nova" w:hAnsi="Arial Nova"/>
        </w:rPr>
        <w:t>5 (Almost Certain): Highly probable, occurs multiple times yearly.</w:t>
      </w:r>
    </w:p>
    <w:p w14:paraId="11C659B3" w14:textId="77777777" w:rsidR="00753132" w:rsidRPr="00753132" w:rsidRDefault="004433F3" w:rsidP="00753132">
      <w:pPr>
        <w:numPr>
          <w:ilvl w:val="0"/>
          <w:numId w:val="12"/>
        </w:numPr>
        <w:rPr>
          <w:rFonts w:ascii="Arial Nova" w:hAnsi="Arial Nova"/>
        </w:rPr>
      </w:pPr>
      <w:r w:rsidRPr="00753132">
        <w:rPr>
          <w:rFonts w:ascii="Arial Nova" w:hAnsi="Arial Nova"/>
        </w:rPr>
        <w:t>Severity (Impact):</w:t>
      </w:r>
    </w:p>
    <w:p w14:paraId="016BE373" w14:textId="77777777" w:rsidR="00753132" w:rsidRPr="00753132" w:rsidRDefault="004433F3" w:rsidP="00753132">
      <w:pPr>
        <w:numPr>
          <w:ilvl w:val="1"/>
          <w:numId w:val="12"/>
        </w:numPr>
        <w:rPr>
          <w:rFonts w:ascii="Arial Nova" w:hAnsi="Arial Nova"/>
        </w:rPr>
      </w:pPr>
      <w:r w:rsidRPr="00753132">
        <w:rPr>
          <w:rFonts w:ascii="Arial Nova" w:hAnsi="Arial Nova"/>
        </w:rPr>
        <w:t>1 (Minor): Minimal, reversible impacts on the local environment.</w:t>
      </w:r>
    </w:p>
    <w:p w14:paraId="230167D4" w14:textId="77777777" w:rsidR="00753132" w:rsidRPr="00753132" w:rsidRDefault="004433F3" w:rsidP="00753132">
      <w:pPr>
        <w:numPr>
          <w:ilvl w:val="1"/>
          <w:numId w:val="12"/>
        </w:numPr>
        <w:rPr>
          <w:rFonts w:ascii="Arial Nova" w:hAnsi="Arial Nova"/>
        </w:rPr>
      </w:pPr>
      <w:r w:rsidRPr="00753132">
        <w:rPr>
          <w:rFonts w:ascii="Arial Nova" w:hAnsi="Arial Nova"/>
        </w:rPr>
        <w:t>2 (Moderate): Localised impacts, reversible with minor mitigation.</w:t>
      </w:r>
    </w:p>
    <w:p w14:paraId="07F8FA93" w14:textId="77777777" w:rsidR="00753132" w:rsidRPr="00753132" w:rsidRDefault="004433F3" w:rsidP="00753132">
      <w:pPr>
        <w:numPr>
          <w:ilvl w:val="1"/>
          <w:numId w:val="12"/>
        </w:numPr>
        <w:rPr>
          <w:rFonts w:ascii="Arial Nova" w:hAnsi="Arial Nova"/>
        </w:rPr>
      </w:pPr>
      <w:r w:rsidRPr="00753132">
        <w:rPr>
          <w:rFonts w:ascii="Arial Nova" w:hAnsi="Arial Nova"/>
        </w:rPr>
        <w:t>3 (Significant): Regional impacts requiring active intervention.</w:t>
      </w:r>
    </w:p>
    <w:p w14:paraId="75B18E1D" w14:textId="77777777" w:rsidR="00753132" w:rsidRPr="00753132" w:rsidRDefault="004433F3" w:rsidP="00753132">
      <w:pPr>
        <w:numPr>
          <w:ilvl w:val="1"/>
          <w:numId w:val="12"/>
        </w:numPr>
        <w:rPr>
          <w:rFonts w:ascii="Arial Nova" w:hAnsi="Arial Nova"/>
        </w:rPr>
      </w:pPr>
      <w:r w:rsidRPr="00753132">
        <w:rPr>
          <w:rFonts w:ascii="Arial Nova" w:hAnsi="Arial Nova"/>
        </w:rPr>
        <w:t>4 (Major): Severe impacts with long-term consequences.</w:t>
      </w:r>
    </w:p>
    <w:p w14:paraId="37A5D347" w14:textId="77777777" w:rsidR="00B61FF5" w:rsidRPr="008C0A0D" w:rsidRDefault="004433F3" w:rsidP="00753132">
      <w:pPr>
        <w:numPr>
          <w:ilvl w:val="1"/>
          <w:numId w:val="12"/>
        </w:numPr>
        <w:rPr>
          <w:rFonts w:ascii="Arial Nova" w:hAnsi="Arial Nova"/>
        </w:rPr>
      </w:pPr>
      <w:r w:rsidRPr="00753132">
        <w:rPr>
          <w:rFonts w:ascii="Arial Nova" w:hAnsi="Arial Nova"/>
        </w:rPr>
        <w:t>5 (Catastrophic): Irreversible impacts, widespread environmental degradation.</w:t>
      </w:r>
    </w:p>
    <w:p w14:paraId="6FA719D7" w14:textId="77777777" w:rsidR="002E3506" w:rsidRPr="008C0A0D" w:rsidRDefault="004433F3" w:rsidP="00B61FF5">
      <w:pPr>
        <w:rPr>
          <w:rFonts w:ascii="Arial Nova" w:hAnsi="Arial Nova"/>
        </w:rPr>
        <w:sectPr w:rsidR="002E3506" w:rsidRPr="008C0A0D" w:rsidSect="002F1935">
          <w:footerReference w:type="default" r:id="rId9"/>
          <w:pgSz w:w="11906" w:h="16838"/>
          <w:pgMar w:top="1440" w:right="1440" w:bottom="1440" w:left="1440" w:header="708" w:footer="708" w:gutter="0"/>
          <w:cols w:space="708"/>
          <w:docGrid w:linePitch="360"/>
        </w:sectPr>
      </w:pPr>
      <w:r w:rsidRPr="008C0A0D">
        <w:rPr>
          <w:rFonts w:ascii="Arial Nova" w:hAnsi="Arial Nova"/>
        </w:rPr>
        <w:br w:type="page"/>
      </w:r>
    </w:p>
    <w:tbl>
      <w:tblPr>
        <w:tblpPr w:leftFromText="180" w:rightFromText="180" w:vertAnchor="text" w:horzAnchor="page" w:tblpX="989" w:tblpY="861"/>
        <w:tblW w:w="14879" w:type="dxa"/>
        <w:tblLook w:val="04A0" w:firstRow="1" w:lastRow="0" w:firstColumn="1" w:lastColumn="0" w:noHBand="0" w:noVBand="1"/>
      </w:tblPr>
      <w:tblGrid>
        <w:gridCol w:w="2830"/>
        <w:gridCol w:w="1560"/>
        <w:gridCol w:w="1701"/>
        <w:gridCol w:w="1559"/>
        <w:gridCol w:w="2693"/>
        <w:gridCol w:w="4536"/>
      </w:tblGrid>
      <w:tr w:rsidR="00064287" w14:paraId="5D5E59F6" w14:textId="77777777" w:rsidTr="00665618">
        <w:trPr>
          <w:trHeight w:val="62"/>
        </w:trPr>
        <w:tc>
          <w:tcPr>
            <w:tcW w:w="14879" w:type="dxa"/>
            <w:gridSpan w:val="6"/>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8973F25" w14:textId="77777777" w:rsidR="00DC565F" w:rsidRPr="00B61FF5" w:rsidRDefault="004433F3" w:rsidP="00665618">
            <w:pPr>
              <w:spacing w:after="0" w:line="240" w:lineRule="auto"/>
              <w:jc w:val="center"/>
              <w:rPr>
                <w:rFonts w:ascii="Aptos Narrow" w:eastAsia="Times New Roman" w:hAnsi="Aptos Narrow" w:cs="Times New Roman"/>
                <w:b/>
                <w:bCs/>
                <w:color w:val="000000"/>
                <w:sz w:val="27"/>
                <w:szCs w:val="27"/>
                <w:lang w:eastAsia="en-GB"/>
              </w:rPr>
            </w:pPr>
            <w:r w:rsidRPr="00B61FF5">
              <w:rPr>
                <w:rFonts w:ascii="Aptos Narrow" w:eastAsia="Times New Roman" w:hAnsi="Aptos Narrow" w:cs="Times New Roman"/>
                <w:b/>
                <w:bCs/>
                <w:color w:val="000000"/>
                <w:sz w:val="27"/>
                <w:szCs w:val="27"/>
                <w:lang w:eastAsia="en-GB"/>
              </w:rPr>
              <w:lastRenderedPageBreak/>
              <w:t>Risk Matrix Table</w:t>
            </w:r>
          </w:p>
        </w:tc>
      </w:tr>
      <w:tr w:rsidR="00064287" w14:paraId="74827D51" w14:textId="77777777" w:rsidTr="00665618">
        <w:trPr>
          <w:trHeight w:val="32"/>
        </w:trPr>
        <w:tc>
          <w:tcPr>
            <w:tcW w:w="2830" w:type="dxa"/>
            <w:tcBorders>
              <w:top w:val="nil"/>
              <w:left w:val="single" w:sz="4" w:space="0" w:color="auto"/>
              <w:bottom w:val="single" w:sz="4" w:space="0" w:color="auto"/>
              <w:right w:val="single" w:sz="4" w:space="0" w:color="auto"/>
            </w:tcBorders>
            <w:shd w:val="clear" w:color="auto" w:fill="auto"/>
            <w:vAlign w:val="center"/>
            <w:hideMark/>
          </w:tcPr>
          <w:p w14:paraId="07AE2563" w14:textId="77777777" w:rsidR="00DC565F" w:rsidRPr="00B61FF5" w:rsidRDefault="004433F3" w:rsidP="00665618">
            <w:pPr>
              <w:spacing w:after="0" w:line="240" w:lineRule="auto"/>
              <w:jc w:val="center"/>
              <w:rPr>
                <w:rFonts w:ascii="Aptos Narrow" w:eastAsia="Times New Roman" w:hAnsi="Aptos Narrow" w:cs="Times New Roman"/>
                <w:b/>
                <w:bCs/>
                <w:color w:val="000000"/>
                <w:lang w:eastAsia="en-GB"/>
              </w:rPr>
            </w:pPr>
            <w:r w:rsidRPr="00B61FF5">
              <w:rPr>
                <w:rFonts w:ascii="Aptos Narrow" w:eastAsia="Times New Roman" w:hAnsi="Aptos Narrow" w:cs="Times New Roman"/>
                <w:b/>
                <w:bCs/>
                <w:color w:val="000000"/>
                <w:lang w:eastAsia="en-GB"/>
              </w:rPr>
              <w:t>Risk</w:t>
            </w:r>
          </w:p>
        </w:tc>
        <w:tc>
          <w:tcPr>
            <w:tcW w:w="1560" w:type="dxa"/>
            <w:tcBorders>
              <w:top w:val="nil"/>
              <w:left w:val="nil"/>
              <w:bottom w:val="single" w:sz="4" w:space="0" w:color="auto"/>
              <w:right w:val="single" w:sz="4" w:space="0" w:color="auto"/>
            </w:tcBorders>
            <w:shd w:val="clear" w:color="auto" w:fill="auto"/>
            <w:vAlign w:val="center"/>
            <w:hideMark/>
          </w:tcPr>
          <w:p w14:paraId="3EDCF379" w14:textId="77777777" w:rsidR="00DC565F" w:rsidRPr="00B61FF5" w:rsidRDefault="004433F3" w:rsidP="00665618">
            <w:pPr>
              <w:spacing w:after="0" w:line="240" w:lineRule="auto"/>
              <w:jc w:val="center"/>
              <w:rPr>
                <w:rFonts w:ascii="Aptos Narrow" w:eastAsia="Times New Roman" w:hAnsi="Aptos Narrow" w:cs="Times New Roman"/>
                <w:b/>
                <w:bCs/>
                <w:color w:val="000000"/>
                <w:lang w:eastAsia="en-GB"/>
              </w:rPr>
            </w:pPr>
            <w:r w:rsidRPr="00B61FF5">
              <w:rPr>
                <w:rFonts w:ascii="Aptos Narrow" w:eastAsia="Times New Roman" w:hAnsi="Aptos Narrow" w:cs="Times New Roman"/>
                <w:b/>
                <w:bCs/>
                <w:color w:val="000000"/>
                <w:lang w:eastAsia="en-GB"/>
              </w:rPr>
              <w:t>Likelihood</w:t>
            </w:r>
          </w:p>
        </w:tc>
        <w:tc>
          <w:tcPr>
            <w:tcW w:w="1701" w:type="dxa"/>
            <w:tcBorders>
              <w:top w:val="nil"/>
              <w:left w:val="nil"/>
              <w:bottom w:val="single" w:sz="4" w:space="0" w:color="auto"/>
              <w:right w:val="single" w:sz="4" w:space="0" w:color="auto"/>
            </w:tcBorders>
            <w:shd w:val="clear" w:color="auto" w:fill="auto"/>
            <w:vAlign w:val="center"/>
            <w:hideMark/>
          </w:tcPr>
          <w:p w14:paraId="3D753EC0" w14:textId="77777777" w:rsidR="00DC565F" w:rsidRPr="00B61FF5" w:rsidRDefault="004433F3" w:rsidP="00665618">
            <w:pPr>
              <w:spacing w:after="0" w:line="240" w:lineRule="auto"/>
              <w:jc w:val="center"/>
              <w:rPr>
                <w:rFonts w:ascii="Aptos Narrow" w:eastAsia="Times New Roman" w:hAnsi="Aptos Narrow" w:cs="Times New Roman"/>
                <w:b/>
                <w:bCs/>
                <w:color w:val="000000"/>
                <w:lang w:eastAsia="en-GB"/>
              </w:rPr>
            </w:pPr>
            <w:r w:rsidRPr="00B61FF5">
              <w:rPr>
                <w:rFonts w:ascii="Aptos Narrow" w:eastAsia="Times New Roman" w:hAnsi="Aptos Narrow" w:cs="Times New Roman"/>
                <w:b/>
                <w:bCs/>
                <w:color w:val="000000"/>
                <w:lang w:eastAsia="en-GB"/>
              </w:rPr>
              <w:t>Severity</w:t>
            </w:r>
          </w:p>
        </w:tc>
        <w:tc>
          <w:tcPr>
            <w:tcW w:w="1559" w:type="dxa"/>
            <w:tcBorders>
              <w:top w:val="nil"/>
              <w:left w:val="nil"/>
              <w:bottom w:val="single" w:sz="4" w:space="0" w:color="auto"/>
              <w:right w:val="single" w:sz="4" w:space="0" w:color="auto"/>
            </w:tcBorders>
            <w:shd w:val="clear" w:color="auto" w:fill="auto"/>
            <w:vAlign w:val="center"/>
            <w:hideMark/>
          </w:tcPr>
          <w:p w14:paraId="55F524C4" w14:textId="77777777" w:rsidR="00DC565F" w:rsidRPr="00B61FF5" w:rsidRDefault="004433F3" w:rsidP="00665618">
            <w:pPr>
              <w:spacing w:after="0" w:line="240" w:lineRule="auto"/>
              <w:jc w:val="center"/>
              <w:rPr>
                <w:rFonts w:ascii="Aptos Narrow" w:eastAsia="Times New Roman" w:hAnsi="Aptos Narrow" w:cs="Times New Roman"/>
                <w:b/>
                <w:bCs/>
                <w:color w:val="000000"/>
                <w:lang w:eastAsia="en-GB"/>
              </w:rPr>
            </w:pPr>
            <w:r w:rsidRPr="00B61FF5">
              <w:rPr>
                <w:rFonts w:ascii="Aptos Narrow" w:eastAsia="Times New Roman" w:hAnsi="Aptos Narrow" w:cs="Times New Roman"/>
                <w:b/>
                <w:bCs/>
                <w:color w:val="000000"/>
                <w:lang w:eastAsia="en-GB"/>
              </w:rPr>
              <w:t>Risk Level</w:t>
            </w:r>
          </w:p>
        </w:tc>
        <w:tc>
          <w:tcPr>
            <w:tcW w:w="2693" w:type="dxa"/>
            <w:tcBorders>
              <w:top w:val="nil"/>
              <w:left w:val="nil"/>
              <w:bottom w:val="single" w:sz="4" w:space="0" w:color="auto"/>
              <w:right w:val="single" w:sz="4" w:space="0" w:color="auto"/>
            </w:tcBorders>
            <w:shd w:val="clear" w:color="auto" w:fill="auto"/>
            <w:vAlign w:val="center"/>
            <w:hideMark/>
          </w:tcPr>
          <w:p w14:paraId="389044F3" w14:textId="77777777" w:rsidR="00DC565F" w:rsidRPr="00B61FF5" w:rsidRDefault="004433F3" w:rsidP="00665618">
            <w:pPr>
              <w:spacing w:after="0" w:line="240" w:lineRule="auto"/>
              <w:jc w:val="center"/>
              <w:rPr>
                <w:rFonts w:ascii="Aptos Narrow" w:eastAsia="Times New Roman" w:hAnsi="Aptos Narrow" w:cs="Times New Roman"/>
                <w:b/>
                <w:bCs/>
                <w:color w:val="000000"/>
                <w:lang w:eastAsia="en-GB"/>
              </w:rPr>
            </w:pPr>
            <w:r w:rsidRPr="00B61FF5">
              <w:rPr>
                <w:rFonts w:ascii="Aptos Narrow" w:eastAsia="Times New Roman" w:hAnsi="Aptos Narrow" w:cs="Times New Roman"/>
                <w:b/>
                <w:bCs/>
                <w:color w:val="000000"/>
                <w:lang w:eastAsia="en-GB"/>
              </w:rPr>
              <w:t>Phase</w:t>
            </w:r>
          </w:p>
        </w:tc>
        <w:tc>
          <w:tcPr>
            <w:tcW w:w="4536" w:type="dxa"/>
            <w:tcBorders>
              <w:top w:val="nil"/>
              <w:left w:val="nil"/>
              <w:bottom w:val="single" w:sz="4" w:space="0" w:color="auto"/>
              <w:right w:val="single" w:sz="4" w:space="0" w:color="auto"/>
            </w:tcBorders>
            <w:shd w:val="clear" w:color="auto" w:fill="auto"/>
            <w:vAlign w:val="center"/>
            <w:hideMark/>
          </w:tcPr>
          <w:p w14:paraId="11B1FEA3" w14:textId="77777777" w:rsidR="00DC565F" w:rsidRPr="00B61FF5" w:rsidRDefault="004433F3" w:rsidP="00665618">
            <w:pPr>
              <w:spacing w:after="0" w:line="240" w:lineRule="auto"/>
              <w:jc w:val="center"/>
              <w:rPr>
                <w:rFonts w:ascii="Aptos Narrow" w:eastAsia="Times New Roman" w:hAnsi="Aptos Narrow" w:cs="Times New Roman"/>
                <w:b/>
                <w:bCs/>
                <w:color w:val="000000"/>
                <w:lang w:eastAsia="en-GB"/>
              </w:rPr>
            </w:pPr>
            <w:r w:rsidRPr="00B61FF5">
              <w:rPr>
                <w:rFonts w:ascii="Aptos Narrow" w:eastAsia="Times New Roman" w:hAnsi="Aptos Narrow" w:cs="Times New Roman"/>
                <w:b/>
                <w:bCs/>
                <w:color w:val="000000"/>
                <w:lang w:eastAsia="en-GB"/>
              </w:rPr>
              <w:t>Details</w:t>
            </w:r>
          </w:p>
        </w:tc>
      </w:tr>
      <w:tr w:rsidR="00064287" w14:paraId="645137B3" w14:textId="77777777" w:rsidTr="00665618">
        <w:trPr>
          <w:trHeight w:val="131"/>
        </w:trPr>
        <w:tc>
          <w:tcPr>
            <w:tcW w:w="2830" w:type="dxa"/>
            <w:tcBorders>
              <w:top w:val="nil"/>
              <w:left w:val="single" w:sz="4" w:space="0" w:color="auto"/>
              <w:bottom w:val="single" w:sz="4" w:space="0" w:color="auto"/>
              <w:right w:val="single" w:sz="4" w:space="0" w:color="auto"/>
            </w:tcBorders>
            <w:shd w:val="clear" w:color="auto" w:fill="auto"/>
            <w:vAlign w:val="center"/>
            <w:hideMark/>
          </w:tcPr>
          <w:p w14:paraId="4D0E7EEA"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 xml:space="preserve">Soil </w:t>
            </w:r>
            <w:r w:rsidRPr="00B61FF5">
              <w:rPr>
                <w:rFonts w:ascii="Aptos Narrow" w:eastAsia="Times New Roman" w:hAnsi="Aptos Narrow" w:cs="Times New Roman"/>
                <w:color w:val="000000"/>
                <w:lang w:eastAsia="en-GB"/>
              </w:rPr>
              <w:t>erosion near the stream</w:t>
            </w:r>
          </w:p>
        </w:tc>
        <w:tc>
          <w:tcPr>
            <w:tcW w:w="1560" w:type="dxa"/>
            <w:tcBorders>
              <w:top w:val="nil"/>
              <w:left w:val="nil"/>
              <w:bottom w:val="single" w:sz="4" w:space="0" w:color="auto"/>
              <w:right w:val="single" w:sz="4" w:space="0" w:color="auto"/>
            </w:tcBorders>
            <w:shd w:val="clear" w:color="auto" w:fill="auto"/>
            <w:vAlign w:val="center"/>
            <w:hideMark/>
          </w:tcPr>
          <w:p w14:paraId="4027C5D4"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4 (Likely)</w:t>
            </w:r>
          </w:p>
        </w:tc>
        <w:tc>
          <w:tcPr>
            <w:tcW w:w="1701" w:type="dxa"/>
            <w:tcBorders>
              <w:top w:val="nil"/>
              <w:left w:val="nil"/>
              <w:bottom w:val="single" w:sz="4" w:space="0" w:color="auto"/>
              <w:right w:val="single" w:sz="4" w:space="0" w:color="auto"/>
            </w:tcBorders>
            <w:shd w:val="clear" w:color="auto" w:fill="auto"/>
            <w:vAlign w:val="center"/>
            <w:hideMark/>
          </w:tcPr>
          <w:p w14:paraId="50DD224B"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3 (Significant)</w:t>
            </w:r>
          </w:p>
        </w:tc>
        <w:tc>
          <w:tcPr>
            <w:tcW w:w="1559" w:type="dxa"/>
            <w:tcBorders>
              <w:top w:val="nil"/>
              <w:left w:val="nil"/>
              <w:bottom w:val="single" w:sz="4" w:space="0" w:color="auto"/>
              <w:right w:val="single" w:sz="4" w:space="0" w:color="auto"/>
            </w:tcBorders>
            <w:shd w:val="clear" w:color="auto" w:fill="auto"/>
            <w:vAlign w:val="center"/>
            <w:hideMark/>
          </w:tcPr>
          <w:p w14:paraId="4E796DA3"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12 (High)</w:t>
            </w:r>
          </w:p>
        </w:tc>
        <w:tc>
          <w:tcPr>
            <w:tcW w:w="2693" w:type="dxa"/>
            <w:tcBorders>
              <w:top w:val="nil"/>
              <w:left w:val="nil"/>
              <w:bottom w:val="single" w:sz="4" w:space="0" w:color="auto"/>
              <w:right w:val="single" w:sz="4" w:space="0" w:color="auto"/>
            </w:tcBorders>
            <w:shd w:val="clear" w:color="auto" w:fill="auto"/>
            <w:vAlign w:val="center"/>
            <w:hideMark/>
          </w:tcPr>
          <w:p w14:paraId="236FF09D"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Construction</w:t>
            </w:r>
          </w:p>
        </w:tc>
        <w:tc>
          <w:tcPr>
            <w:tcW w:w="4536" w:type="dxa"/>
            <w:tcBorders>
              <w:top w:val="nil"/>
              <w:left w:val="nil"/>
              <w:bottom w:val="single" w:sz="4" w:space="0" w:color="auto"/>
              <w:right w:val="single" w:sz="4" w:space="0" w:color="auto"/>
            </w:tcBorders>
            <w:shd w:val="clear" w:color="auto" w:fill="auto"/>
            <w:vAlign w:val="center"/>
            <w:hideMark/>
          </w:tcPr>
          <w:p w14:paraId="186E8E2E"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Risk of sediment runoff into the stream causing water pollution and habitat degradation.</w:t>
            </w:r>
          </w:p>
        </w:tc>
      </w:tr>
      <w:tr w:rsidR="00064287" w14:paraId="26A09094" w14:textId="77777777" w:rsidTr="00665618">
        <w:trPr>
          <w:trHeight w:val="65"/>
        </w:trPr>
        <w:tc>
          <w:tcPr>
            <w:tcW w:w="2830" w:type="dxa"/>
            <w:tcBorders>
              <w:top w:val="nil"/>
              <w:left w:val="single" w:sz="4" w:space="0" w:color="auto"/>
              <w:bottom w:val="single" w:sz="4" w:space="0" w:color="auto"/>
              <w:right w:val="single" w:sz="4" w:space="0" w:color="auto"/>
            </w:tcBorders>
            <w:shd w:val="clear" w:color="auto" w:fill="auto"/>
            <w:vAlign w:val="center"/>
            <w:hideMark/>
          </w:tcPr>
          <w:p w14:paraId="1AD2C8B0"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Habitat loss and fragmentation</w:t>
            </w:r>
          </w:p>
        </w:tc>
        <w:tc>
          <w:tcPr>
            <w:tcW w:w="1560" w:type="dxa"/>
            <w:tcBorders>
              <w:top w:val="nil"/>
              <w:left w:val="nil"/>
              <w:bottom w:val="single" w:sz="4" w:space="0" w:color="auto"/>
              <w:right w:val="single" w:sz="4" w:space="0" w:color="auto"/>
            </w:tcBorders>
            <w:shd w:val="clear" w:color="auto" w:fill="auto"/>
            <w:vAlign w:val="center"/>
            <w:hideMark/>
          </w:tcPr>
          <w:p w14:paraId="2369C8AD"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4 (Likely)</w:t>
            </w:r>
          </w:p>
        </w:tc>
        <w:tc>
          <w:tcPr>
            <w:tcW w:w="1701" w:type="dxa"/>
            <w:tcBorders>
              <w:top w:val="nil"/>
              <w:left w:val="nil"/>
              <w:bottom w:val="single" w:sz="4" w:space="0" w:color="auto"/>
              <w:right w:val="single" w:sz="4" w:space="0" w:color="auto"/>
            </w:tcBorders>
            <w:shd w:val="clear" w:color="auto" w:fill="auto"/>
            <w:vAlign w:val="center"/>
            <w:hideMark/>
          </w:tcPr>
          <w:p w14:paraId="2C446C4A"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4 (Major)</w:t>
            </w:r>
          </w:p>
        </w:tc>
        <w:tc>
          <w:tcPr>
            <w:tcW w:w="1559" w:type="dxa"/>
            <w:tcBorders>
              <w:top w:val="nil"/>
              <w:left w:val="nil"/>
              <w:bottom w:val="single" w:sz="4" w:space="0" w:color="auto"/>
              <w:right w:val="single" w:sz="4" w:space="0" w:color="auto"/>
            </w:tcBorders>
            <w:shd w:val="clear" w:color="auto" w:fill="auto"/>
            <w:vAlign w:val="center"/>
            <w:hideMark/>
          </w:tcPr>
          <w:p w14:paraId="57FB2BBF"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16 (Critical)</w:t>
            </w:r>
          </w:p>
        </w:tc>
        <w:tc>
          <w:tcPr>
            <w:tcW w:w="2693" w:type="dxa"/>
            <w:tcBorders>
              <w:top w:val="nil"/>
              <w:left w:val="nil"/>
              <w:bottom w:val="single" w:sz="4" w:space="0" w:color="auto"/>
              <w:right w:val="single" w:sz="4" w:space="0" w:color="auto"/>
            </w:tcBorders>
            <w:shd w:val="clear" w:color="auto" w:fill="auto"/>
            <w:vAlign w:val="center"/>
            <w:hideMark/>
          </w:tcPr>
          <w:p w14:paraId="59CA288F"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Construction</w:t>
            </w:r>
          </w:p>
        </w:tc>
        <w:tc>
          <w:tcPr>
            <w:tcW w:w="4536" w:type="dxa"/>
            <w:tcBorders>
              <w:top w:val="nil"/>
              <w:left w:val="nil"/>
              <w:bottom w:val="single" w:sz="4" w:space="0" w:color="auto"/>
              <w:right w:val="single" w:sz="4" w:space="0" w:color="auto"/>
            </w:tcBorders>
            <w:shd w:val="clear" w:color="auto" w:fill="auto"/>
            <w:vAlign w:val="center"/>
            <w:hideMark/>
          </w:tcPr>
          <w:p w14:paraId="3B82DE8D"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Vegetation clearance impacting flora and fauna.</w:t>
            </w:r>
          </w:p>
        </w:tc>
      </w:tr>
      <w:tr w:rsidR="00064287" w14:paraId="3745E035" w14:textId="77777777" w:rsidTr="00665618">
        <w:trPr>
          <w:trHeight w:val="98"/>
        </w:trPr>
        <w:tc>
          <w:tcPr>
            <w:tcW w:w="2830" w:type="dxa"/>
            <w:tcBorders>
              <w:top w:val="nil"/>
              <w:left w:val="single" w:sz="4" w:space="0" w:color="auto"/>
              <w:bottom w:val="single" w:sz="4" w:space="0" w:color="auto"/>
              <w:right w:val="single" w:sz="4" w:space="0" w:color="auto"/>
            </w:tcBorders>
            <w:shd w:val="clear" w:color="auto" w:fill="auto"/>
            <w:vAlign w:val="center"/>
            <w:hideMark/>
          </w:tcPr>
          <w:p w14:paraId="78D750EF"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Bird and bat collisions</w:t>
            </w:r>
          </w:p>
        </w:tc>
        <w:tc>
          <w:tcPr>
            <w:tcW w:w="1560" w:type="dxa"/>
            <w:tcBorders>
              <w:top w:val="nil"/>
              <w:left w:val="nil"/>
              <w:bottom w:val="single" w:sz="4" w:space="0" w:color="auto"/>
              <w:right w:val="single" w:sz="4" w:space="0" w:color="auto"/>
            </w:tcBorders>
            <w:shd w:val="clear" w:color="auto" w:fill="auto"/>
            <w:vAlign w:val="center"/>
            <w:hideMark/>
          </w:tcPr>
          <w:p w14:paraId="7748D27D"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3 (Possible)</w:t>
            </w:r>
          </w:p>
        </w:tc>
        <w:tc>
          <w:tcPr>
            <w:tcW w:w="1701" w:type="dxa"/>
            <w:tcBorders>
              <w:top w:val="nil"/>
              <w:left w:val="nil"/>
              <w:bottom w:val="single" w:sz="4" w:space="0" w:color="auto"/>
              <w:right w:val="single" w:sz="4" w:space="0" w:color="auto"/>
            </w:tcBorders>
            <w:shd w:val="clear" w:color="auto" w:fill="auto"/>
            <w:vAlign w:val="center"/>
            <w:hideMark/>
          </w:tcPr>
          <w:p w14:paraId="3FBFF461"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4 (Major)</w:t>
            </w:r>
          </w:p>
        </w:tc>
        <w:tc>
          <w:tcPr>
            <w:tcW w:w="1559" w:type="dxa"/>
            <w:tcBorders>
              <w:top w:val="nil"/>
              <w:left w:val="nil"/>
              <w:bottom w:val="single" w:sz="4" w:space="0" w:color="auto"/>
              <w:right w:val="single" w:sz="4" w:space="0" w:color="auto"/>
            </w:tcBorders>
            <w:shd w:val="clear" w:color="auto" w:fill="auto"/>
            <w:vAlign w:val="center"/>
            <w:hideMark/>
          </w:tcPr>
          <w:p w14:paraId="420F0787"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12 (High)</w:t>
            </w:r>
          </w:p>
        </w:tc>
        <w:tc>
          <w:tcPr>
            <w:tcW w:w="2693" w:type="dxa"/>
            <w:tcBorders>
              <w:top w:val="nil"/>
              <w:left w:val="nil"/>
              <w:bottom w:val="single" w:sz="4" w:space="0" w:color="auto"/>
              <w:right w:val="single" w:sz="4" w:space="0" w:color="auto"/>
            </w:tcBorders>
            <w:shd w:val="clear" w:color="auto" w:fill="auto"/>
            <w:vAlign w:val="center"/>
            <w:hideMark/>
          </w:tcPr>
          <w:p w14:paraId="55A09B29"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Operation</w:t>
            </w:r>
          </w:p>
        </w:tc>
        <w:tc>
          <w:tcPr>
            <w:tcW w:w="4536" w:type="dxa"/>
            <w:tcBorders>
              <w:top w:val="nil"/>
              <w:left w:val="nil"/>
              <w:bottom w:val="single" w:sz="4" w:space="0" w:color="auto"/>
              <w:right w:val="single" w:sz="4" w:space="0" w:color="auto"/>
            </w:tcBorders>
            <w:shd w:val="clear" w:color="auto" w:fill="auto"/>
            <w:vAlign w:val="center"/>
            <w:hideMark/>
          </w:tcPr>
          <w:p w14:paraId="0D6D5AED"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Migratory and local bird species are at risk of turbine blade collisions.</w:t>
            </w:r>
          </w:p>
        </w:tc>
      </w:tr>
      <w:tr w:rsidR="00064287" w14:paraId="23994414" w14:textId="77777777" w:rsidTr="00665618">
        <w:trPr>
          <w:trHeight w:val="131"/>
        </w:trPr>
        <w:tc>
          <w:tcPr>
            <w:tcW w:w="2830" w:type="dxa"/>
            <w:tcBorders>
              <w:top w:val="nil"/>
              <w:left w:val="single" w:sz="4" w:space="0" w:color="auto"/>
              <w:bottom w:val="single" w:sz="4" w:space="0" w:color="auto"/>
              <w:right w:val="single" w:sz="4" w:space="0" w:color="auto"/>
            </w:tcBorders>
            <w:shd w:val="clear" w:color="auto" w:fill="auto"/>
            <w:vAlign w:val="center"/>
            <w:hideMark/>
          </w:tcPr>
          <w:p w14:paraId="0EB72E3E"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Water pollution from runoff</w:t>
            </w:r>
          </w:p>
        </w:tc>
        <w:tc>
          <w:tcPr>
            <w:tcW w:w="1560" w:type="dxa"/>
            <w:tcBorders>
              <w:top w:val="nil"/>
              <w:left w:val="nil"/>
              <w:bottom w:val="single" w:sz="4" w:space="0" w:color="auto"/>
              <w:right w:val="single" w:sz="4" w:space="0" w:color="auto"/>
            </w:tcBorders>
            <w:shd w:val="clear" w:color="auto" w:fill="auto"/>
            <w:vAlign w:val="center"/>
            <w:hideMark/>
          </w:tcPr>
          <w:p w14:paraId="2475C3F6"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3 (Possible)</w:t>
            </w:r>
          </w:p>
        </w:tc>
        <w:tc>
          <w:tcPr>
            <w:tcW w:w="1701" w:type="dxa"/>
            <w:tcBorders>
              <w:top w:val="nil"/>
              <w:left w:val="nil"/>
              <w:bottom w:val="single" w:sz="4" w:space="0" w:color="auto"/>
              <w:right w:val="single" w:sz="4" w:space="0" w:color="auto"/>
            </w:tcBorders>
            <w:shd w:val="clear" w:color="auto" w:fill="auto"/>
            <w:vAlign w:val="center"/>
            <w:hideMark/>
          </w:tcPr>
          <w:p w14:paraId="54EB7A20"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4 (Major)</w:t>
            </w:r>
          </w:p>
        </w:tc>
        <w:tc>
          <w:tcPr>
            <w:tcW w:w="1559" w:type="dxa"/>
            <w:tcBorders>
              <w:top w:val="nil"/>
              <w:left w:val="nil"/>
              <w:bottom w:val="single" w:sz="4" w:space="0" w:color="auto"/>
              <w:right w:val="single" w:sz="4" w:space="0" w:color="auto"/>
            </w:tcBorders>
            <w:shd w:val="clear" w:color="auto" w:fill="auto"/>
            <w:vAlign w:val="center"/>
            <w:hideMark/>
          </w:tcPr>
          <w:p w14:paraId="68B8FB95"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 xml:space="preserve">12 </w:t>
            </w:r>
            <w:r w:rsidRPr="00B61FF5">
              <w:rPr>
                <w:rFonts w:ascii="Aptos Narrow" w:eastAsia="Times New Roman" w:hAnsi="Aptos Narrow" w:cs="Times New Roman"/>
                <w:color w:val="000000"/>
                <w:lang w:eastAsia="en-GB"/>
              </w:rPr>
              <w:t>(High)</w:t>
            </w:r>
          </w:p>
        </w:tc>
        <w:tc>
          <w:tcPr>
            <w:tcW w:w="2693" w:type="dxa"/>
            <w:tcBorders>
              <w:top w:val="nil"/>
              <w:left w:val="nil"/>
              <w:bottom w:val="single" w:sz="4" w:space="0" w:color="auto"/>
              <w:right w:val="single" w:sz="4" w:space="0" w:color="auto"/>
            </w:tcBorders>
            <w:shd w:val="clear" w:color="auto" w:fill="auto"/>
            <w:vAlign w:val="center"/>
            <w:hideMark/>
          </w:tcPr>
          <w:p w14:paraId="1B987ACB"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Construction</w:t>
            </w:r>
          </w:p>
        </w:tc>
        <w:tc>
          <w:tcPr>
            <w:tcW w:w="4536" w:type="dxa"/>
            <w:tcBorders>
              <w:top w:val="nil"/>
              <w:left w:val="nil"/>
              <w:bottom w:val="single" w:sz="4" w:space="0" w:color="auto"/>
              <w:right w:val="single" w:sz="4" w:space="0" w:color="auto"/>
            </w:tcBorders>
            <w:shd w:val="clear" w:color="auto" w:fill="auto"/>
            <w:vAlign w:val="center"/>
            <w:hideMark/>
          </w:tcPr>
          <w:p w14:paraId="43AB744B"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Contamination of wetlands and streams from oil, chemicals, or other materials.</w:t>
            </w:r>
          </w:p>
        </w:tc>
      </w:tr>
      <w:tr w:rsidR="00064287" w14:paraId="4F1C9EB9" w14:textId="77777777" w:rsidTr="00665618">
        <w:trPr>
          <w:trHeight w:val="98"/>
        </w:trPr>
        <w:tc>
          <w:tcPr>
            <w:tcW w:w="2830" w:type="dxa"/>
            <w:tcBorders>
              <w:top w:val="nil"/>
              <w:left w:val="single" w:sz="4" w:space="0" w:color="auto"/>
              <w:bottom w:val="single" w:sz="4" w:space="0" w:color="auto"/>
              <w:right w:val="single" w:sz="4" w:space="0" w:color="auto"/>
            </w:tcBorders>
            <w:shd w:val="clear" w:color="auto" w:fill="auto"/>
            <w:vAlign w:val="center"/>
            <w:hideMark/>
          </w:tcPr>
          <w:p w14:paraId="49D57D25"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Noise pollution affecting wildlife</w:t>
            </w:r>
          </w:p>
        </w:tc>
        <w:tc>
          <w:tcPr>
            <w:tcW w:w="1560" w:type="dxa"/>
            <w:tcBorders>
              <w:top w:val="nil"/>
              <w:left w:val="nil"/>
              <w:bottom w:val="single" w:sz="4" w:space="0" w:color="auto"/>
              <w:right w:val="single" w:sz="4" w:space="0" w:color="auto"/>
            </w:tcBorders>
            <w:shd w:val="clear" w:color="auto" w:fill="auto"/>
            <w:vAlign w:val="center"/>
            <w:hideMark/>
          </w:tcPr>
          <w:p w14:paraId="1E2ED207"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3 (Possible)</w:t>
            </w:r>
          </w:p>
        </w:tc>
        <w:tc>
          <w:tcPr>
            <w:tcW w:w="1701" w:type="dxa"/>
            <w:tcBorders>
              <w:top w:val="nil"/>
              <w:left w:val="nil"/>
              <w:bottom w:val="single" w:sz="4" w:space="0" w:color="auto"/>
              <w:right w:val="single" w:sz="4" w:space="0" w:color="auto"/>
            </w:tcBorders>
            <w:shd w:val="clear" w:color="auto" w:fill="auto"/>
            <w:vAlign w:val="center"/>
            <w:hideMark/>
          </w:tcPr>
          <w:p w14:paraId="053C2B5E"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3 (Significant)</w:t>
            </w:r>
          </w:p>
        </w:tc>
        <w:tc>
          <w:tcPr>
            <w:tcW w:w="1559" w:type="dxa"/>
            <w:tcBorders>
              <w:top w:val="nil"/>
              <w:left w:val="nil"/>
              <w:bottom w:val="single" w:sz="4" w:space="0" w:color="auto"/>
              <w:right w:val="single" w:sz="4" w:space="0" w:color="auto"/>
            </w:tcBorders>
            <w:shd w:val="clear" w:color="auto" w:fill="auto"/>
            <w:vAlign w:val="center"/>
            <w:hideMark/>
          </w:tcPr>
          <w:p w14:paraId="705859F0"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9 (Medium)</w:t>
            </w:r>
          </w:p>
        </w:tc>
        <w:tc>
          <w:tcPr>
            <w:tcW w:w="2693" w:type="dxa"/>
            <w:tcBorders>
              <w:top w:val="nil"/>
              <w:left w:val="nil"/>
              <w:bottom w:val="single" w:sz="4" w:space="0" w:color="auto"/>
              <w:right w:val="single" w:sz="4" w:space="0" w:color="auto"/>
            </w:tcBorders>
            <w:shd w:val="clear" w:color="auto" w:fill="auto"/>
            <w:vAlign w:val="center"/>
            <w:hideMark/>
          </w:tcPr>
          <w:p w14:paraId="087F2D26"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Construction/Operation</w:t>
            </w:r>
          </w:p>
        </w:tc>
        <w:tc>
          <w:tcPr>
            <w:tcW w:w="4536" w:type="dxa"/>
            <w:tcBorders>
              <w:top w:val="nil"/>
              <w:left w:val="nil"/>
              <w:bottom w:val="single" w:sz="4" w:space="0" w:color="auto"/>
              <w:right w:val="single" w:sz="4" w:space="0" w:color="auto"/>
            </w:tcBorders>
            <w:shd w:val="clear" w:color="auto" w:fill="auto"/>
            <w:vAlign w:val="center"/>
            <w:hideMark/>
          </w:tcPr>
          <w:p w14:paraId="11F3C015"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 xml:space="preserve">Construction and turbine noise potentially disrupt </w:t>
            </w:r>
            <w:r w:rsidRPr="00B61FF5">
              <w:rPr>
                <w:rFonts w:ascii="Aptos Narrow" w:eastAsia="Times New Roman" w:hAnsi="Aptos Narrow" w:cs="Times New Roman"/>
                <w:color w:val="000000"/>
                <w:lang w:eastAsia="en-GB"/>
              </w:rPr>
              <w:t>local wildlife habitats.</w:t>
            </w:r>
          </w:p>
        </w:tc>
      </w:tr>
      <w:tr w:rsidR="00064287" w14:paraId="089FBADB" w14:textId="77777777" w:rsidTr="00665618">
        <w:trPr>
          <w:trHeight w:val="98"/>
        </w:trPr>
        <w:tc>
          <w:tcPr>
            <w:tcW w:w="2830" w:type="dxa"/>
            <w:tcBorders>
              <w:top w:val="nil"/>
              <w:left w:val="single" w:sz="4" w:space="0" w:color="auto"/>
              <w:bottom w:val="single" w:sz="4" w:space="0" w:color="auto"/>
              <w:right w:val="single" w:sz="4" w:space="0" w:color="auto"/>
            </w:tcBorders>
            <w:shd w:val="clear" w:color="auto" w:fill="auto"/>
            <w:vAlign w:val="center"/>
            <w:hideMark/>
          </w:tcPr>
          <w:p w14:paraId="180208C9"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Noise pollution affecting residents</w:t>
            </w:r>
          </w:p>
        </w:tc>
        <w:tc>
          <w:tcPr>
            <w:tcW w:w="1560" w:type="dxa"/>
            <w:tcBorders>
              <w:top w:val="nil"/>
              <w:left w:val="nil"/>
              <w:bottom w:val="single" w:sz="4" w:space="0" w:color="auto"/>
              <w:right w:val="single" w:sz="4" w:space="0" w:color="auto"/>
            </w:tcBorders>
            <w:shd w:val="clear" w:color="auto" w:fill="auto"/>
            <w:vAlign w:val="center"/>
            <w:hideMark/>
          </w:tcPr>
          <w:p w14:paraId="2117B7E0"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3 (Possible)</w:t>
            </w:r>
          </w:p>
        </w:tc>
        <w:tc>
          <w:tcPr>
            <w:tcW w:w="1701" w:type="dxa"/>
            <w:tcBorders>
              <w:top w:val="nil"/>
              <w:left w:val="nil"/>
              <w:bottom w:val="single" w:sz="4" w:space="0" w:color="auto"/>
              <w:right w:val="single" w:sz="4" w:space="0" w:color="auto"/>
            </w:tcBorders>
            <w:shd w:val="clear" w:color="auto" w:fill="auto"/>
            <w:vAlign w:val="center"/>
            <w:hideMark/>
          </w:tcPr>
          <w:p w14:paraId="25F5D056"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2 (Moderate)</w:t>
            </w:r>
          </w:p>
        </w:tc>
        <w:tc>
          <w:tcPr>
            <w:tcW w:w="1559" w:type="dxa"/>
            <w:tcBorders>
              <w:top w:val="nil"/>
              <w:left w:val="nil"/>
              <w:bottom w:val="single" w:sz="4" w:space="0" w:color="auto"/>
              <w:right w:val="single" w:sz="4" w:space="0" w:color="auto"/>
            </w:tcBorders>
            <w:shd w:val="clear" w:color="auto" w:fill="auto"/>
            <w:vAlign w:val="center"/>
            <w:hideMark/>
          </w:tcPr>
          <w:p w14:paraId="6246436A"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6 (Medium)</w:t>
            </w:r>
          </w:p>
        </w:tc>
        <w:tc>
          <w:tcPr>
            <w:tcW w:w="2693" w:type="dxa"/>
            <w:tcBorders>
              <w:top w:val="nil"/>
              <w:left w:val="nil"/>
              <w:bottom w:val="single" w:sz="4" w:space="0" w:color="auto"/>
              <w:right w:val="single" w:sz="4" w:space="0" w:color="auto"/>
            </w:tcBorders>
            <w:shd w:val="clear" w:color="auto" w:fill="auto"/>
            <w:vAlign w:val="center"/>
            <w:hideMark/>
          </w:tcPr>
          <w:p w14:paraId="3C9520FC"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Operation</w:t>
            </w:r>
          </w:p>
        </w:tc>
        <w:tc>
          <w:tcPr>
            <w:tcW w:w="4536" w:type="dxa"/>
            <w:tcBorders>
              <w:top w:val="nil"/>
              <w:left w:val="nil"/>
              <w:bottom w:val="single" w:sz="4" w:space="0" w:color="auto"/>
              <w:right w:val="single" w:sz="4" w:space="0" w:color="auto"/>
            </w:tcBorders>
            <w:shd w:val="clear" w:color="auto" w:fill="auto"/>
            <w:vAlign w:val="center"/>
            <w:hideMark/>
          </w:tcPr>
          <w:p w14:paraId="401F3778"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Low-frequency noise from turbines may disturb the nearest residential area.</w:t>
            </w:r>
          </w:p>
        </w:tc>
      </w:tr>
      <w:tr w:rsidR="00064287" w14:paraId="73DCD506" w14:textId="77777777" w:rsidTr="00665618">
        <w:trPr>
          <w:trHeight w:val="131"/>
        </w:trPr>
        <w:tc>
          <w:tcPr>
            <w:tcW w:w="2830" w:type="dxa"/>
            <w:tcBorders>
              <w:top w:val="nil"/>
              <w:left w:val="single" w:sz="4" w:space="0" w:color="auto"/>
              <w:bottom w:val="single" w:sz="4" w:space="0" w:color="auto"/>
              <w:right w:val="single" w:sz="4" w:space="0" w:color="auto"/>
            </w:tcBorders>
            <w:shd w:val="clear" w:color="auto" w:fill="auto"/>
            <w:vAlign w:val="center"/>
            <w:hideMark/>
          </w:tcPr>
          <w:p w14:paraId="72D0293D"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Wetland habitat disruption</w:t>
            </w:r>
          </w:p>
        </w:tc>
        <w:tc>
          <w:tcPr>
            <w:tcW w:w="1560" w:type="dxa"/>
            <w:tcBorders>
              <w:top w:val="nil"/>
              <w:left w:val="nil"/>
              <w:bottom w:val="single" w:sz="4" w:space="0" w:color="auto"/>
              <w:right w:val="single" w:sz="4" w:space="0" w:color="auto"/>
            </w:tcBorders>
            <w:shd w:val="clear" w:color="auto" w:fill="auto"/>
            <w:vAlign w:val="center"/>
            <w:hideMark/>
          </w:tcPr>
          <w:p w14:paraId="36CB0684"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3 (Possible)</w:t>
            </w:r>
          </w:p>
        </w:tc>
        <w:tc>
          <w:tcPr>
            <w:tcW w:w="1701" w:type="dxa"/>
            <w:tcBorders>
              <w:top w:val="nil"/>
              <w:left w:val="nil"/>
              <w:bottom w:val="single" w:sz="4" w:space="0" w:color="auto"/>
              <w:right w:val="single" w:sz="4" w:space="0" w:color="auto"/>
            </w:tcBorders>
            <w:shd w:val="clear" w:color="auto" w:fill="auto"/>
            <w:vAlign w:val="center"/>
            <w:hideMark/>
          </w:tcPr>
          <w:p w14:paraId="25C5CB73"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4 (Major)</w:t>
            </w:r>
          </w:p>
        </w:tc>
        <w:tc>
          <w:tcPr>
            <w:tcW w:w="1559" w:type="dxa"/>
            <w:tcBorders>
              <w:top w:val="nil"/>
              <w:left w:val="nil"/>
              <w:bottom w:val="single" w:sz="4" w:space="0" w:color="auto"/>
              <w:right w:val="single" w:sz="4" w:space="0" w:color="auto"/>
            </w:tcBorders>
            <w:shd w:val="clear" w:color="auto" w:fill="auto"/>
            <w:vAlign w:val="center"/>
            <w:hideMark/>
          </w:tcPr>
          <w:p w14:paraId="301AB7EC"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12 (High)</w:t>
            </w:r>
          </w:p>
        </w:tc>
        <w:tc>
          <w:tcPr>
            <w:tcW w:w="2693" w:type="dxa"/>
            <w:tcBorders>
              <w:top w:val="nil"/>
              <w:left w:val="nil"/>
              <w:bottom w:val="single" w:sz="4" w:space="0" w:color="auto"/>
              <w:right w:val="single" w:sz="4" w:space="0" w:color="auto"/>
            </w:tcBorders>
            <w:shd w:val="clear" w:color="auto" w:fill="auto"/>
            <w:vAlign w:val="center"/>
            <w:hideMark/>
          </w:tcPr>
          <w:p w14:paraId="0C0E949B"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Construction</w:t>
            </w:r>
          </w:p>
        </w:tc>
        <w:tc>
          <w:tcPr>
            <w:tcW w:w="4536" w:type="dxa"/>
            <w:tcBorders>
              <w:top w:val="nil"/>
              <w:left w:val="nil"/>
              <w:bottom w:val="single" w:sz="4" w:space="0" w:color="auto"/>
              <w:right w:val="single" w:sz="4" w:space="0" w:color="auto"/>
            </w:tcBorders>
            <w:shd w:val="clear" w:color="auto" w:fill="auto"/>
            <w:vAlign w:val="center"/>
            <w:hideMark/>
          </w:tcPr>
          <w:p w14:paraId="2667B6CE"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Drainage changes, soil compaction, and vegetation loss impact wetlands.</w:t>
            </w:r>
          </w:p>
        </w:tc>
      </w:tr>
      <w:tr w:rsidR="00064287" w14:paraId="201527A9" w14:textId="77777777" w:rsidTr="00665618">
        <w:trPr>
          <w:trHeight w:val="131"/>
        </w:trPr>
        <w:tc>
          <w:tcPr>
            <w:tcW w:w="2830" w:type="dxa"/>
            <w:tcBorders>
              <w:top w:val="nil"/>
              <w:left w:val="single" w:sz="4" w:space="0" w:color="auto"/>
              <w:bottom w:val="single" w:sz="4" w:space="0" w:color="auto"/>
              <w:right w:val="single" w:sz="4" w:space="0" w:color="auto"/>
            </w:tcBorders>
            <w:shd w:val="clear" w:color="auto" w:fill="auto"/>
            <w:vAlign w:val="center"/>
            <w:hideMark/>
          </w:tcPr>
          <w:p w14:paraId="79E53F5D"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Traffic impacts on wildlife</w:t>
            </w:r>
          </w:p>
        </w:tc>
        <w:tc>
          <w:tcPr>
            <w:tcW w:w="1560" w:type="dxa"/>
            <w:tcBorders>
              <w:top w:val="nil"/>
              <w:left w:val="nil"/>
              <w:bottom w:val="single" w:sz="4" w:space="0" w:color="auto"/>
              <w:right w:val="single" w:sz="4" w:space="0" w:color="auto"/>
            </w:tcBorders>
            <w:shd w:val="clear" w:color="auto" w:fill="auto"/>
            <w:vAlign w:val="center"/>
            <w:hideMark/>
          </w:tcPr>
          <w:p w14:paraId="6ABCBA1C"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3 (Possible)</w:t>
            </w:r>
          </w:p>
        </w:tc>
        <w:tc>
          <w:tcPr>
            <w:tcW w:w="1701" w:type="dxa"/>
            <w:tcBorders>
              <w:top w:val="nil"/>
              <w:left w:val="nil"/>
              <w:bottom w:val="single" w:sz="4" w:space="0" w:color="auto"/>
              <w:right w:val="single" w:sz="4" w:space="0" w:color="auto"/>
            </w:tcBorders>
            <w:shd w:val="clear" w:color="auto" w:fill="auto"/>
            <w:vAlign w:val="center"/>
            <w:hideMark/>
          </w:tcPr>
          <w:p w14:paraId="653CB097"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3 (Significant)</w:t>
            </w:r>
          </w:p>
        </w:tc>
        <w:tc>
          <w:tcPr>
            <w:tcW w:w="1559" w:type="dxa"/>
            <w:tcBorders>
              <w:top w:val="nil"/>
              <w:left w:val="nil"/>
              <w:bottom w:val="single" w:sz="4" w:space="0" w:color="auto"/>
              <w:right w:val="single" w:sz="4" w:space="0" w:color="auto"/>
            </w:tcBorders>
            <w:shd w:val="clear" w:color="auto" w:fill="auto"/>
            <w:vAlign w:val="center"/>
            <w:hideMark/>
          </w:tcPr>
          <w:p w14:paraId="644F8AB0"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9 (Medium)</w:t>
            </w:r>
          </w:p>
        </w:tc>
        <w:tc>
          <w:tcPr>
            <w:tcW w:w="2693" w:type="dxa"/>
            <w:tcBorders>
              <w:top w:val="nil"/>
              <w:left w:val="nil"/>
              <w:bottom w:val="single" w:sz="4" w:space="0" w:color="auto"/>
              <w:right w:val="single" w:sz="4" w:space="0" w:color="auto"/>
            </w:tcBorders>
            <w:shd w:val="clear" w:color="auto" w:fill="auto"/>
            <w:vAlign w:val="center"/>
            <w:hideMark/>
          </w:tcPr>
          <w:p w14:paraId="5A88691D"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Construction</w:t>
            </w:r>
          </w:p>
        </w:tc>
        <w:tc>
          <w:tcPr>
            <w:tcW w:w="4536" w:type="dxa"/>
            <w:tcBorders>
              <w:top w:val="nil"/>
              <w:left w:val="nil"/>
              <w:bottom w:val="single" w:sz="4" w:space="0" w:color="auto"/>
              <w:right w:val="single" w:sz="4" w:space="0" w:color="auto"/>
            </w:tcBorders>
            <w:shd w:val="clear" w:color="auto" w:fill="auto"/>
            <w:vAlign w:val="center"/>
            <w:hideMark/>
          </w:tcPr>
          <w:p w14:paraId="3E355BF2"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 xml:space="preserve">Increased construction traffic leads to habitat fragmentation or wildlife </w:t>
            </w:r>
            <w:r w:rsidRPr="00B61FF5">
              <w:rPr>
                <w:rFonts w:ascii="Aptos Narrow" w:eastAsia="Times New Roman" w:hAnsi="Aptos Narrow" w:cs="Times New Roman"/>
                <w:color w:val="000000"/>
                <w:lang w:eastAsia="en-GB"/>
              </w:rPr>
              <w:t>collisions.</w:t>
            </w:r>
          </w:p>
        </w:tc>
      </w:tr>
      <w:tr w:rsidR="00064287" w14:paraId="5DD27977" w14:textId="77777777" w:rsidTr="00665618">
        <w:trPr>
          <w:trHeight w:val="131"/>
        </w:trPr>
        <w:tc>
          <w:tcPr>
            <w:tcW w:w="2830" w:type="dxa"/>
            <w:tcBorders>
              <w:top w:val="nil"/>
              <w:left w:val="single" w:sz="4" w:space="0" w:color="auto"/>
              <w:bottom w:val="single" w:sz="4" w:space="0" w:color="auto"/>
              <w:right w:val="single" w:sz="4" w:space="0" w:color="auto"/>
            </w:tcBorders>
            <w:shd w:val="clear" w:color="auto" w:fill="auto"/>
            <w:vAlign w:val="center"/>
            <w:hideMark/>
          </w:tcPr>
          <w:p w14:paraId="669F4294"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Visual impact on the rural landscape</w:t>
            </w:r>
          </w:p>
        </w:tc>
        <w:tc>
          <w:tcPr>
            <w:tcW w:w="1560" w:type="dxa"/>
            <w:tcBorders>
              <w:top w:val="nil"/>
              <w:left w:val="nil"/>
              <w:bottom w:val="single" w:sz="4" w:space="0" w:color="auto"/>
              <w:right w:val="single" w:sz="4" w:space="0" w:color="auto"/>
            </w:tcBorders>
            <w:shd w:val="clear" w:color="auto" w:fill="auto"/>
            <w:vAlign w:val="center"/>
            <w:hideMark/>
          </w:tcPr>
          <w:p w14:paraId="06CA0CD9"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2 (Unlikely)</w:t>
            </w:r>
          </w:p>
        </w:tc>
        <w:tc>
          <w:tcPr>
            <w:tcW w:w="1701" w:type="dxa"/>
            <w:tcBorders>
              <w:top w:val="nil"/>
              <w:left w:val="nil"/>
              <w:bottom w:val="single" w:sz="4" w:space="0" w:color="auto"/>
              <w:right w:val="single" w:sz="4" w:space="0" w:color="auto"/>
            </w:tcBorders>
            <w:shd w:val="clear" w:color="auto" w:fill="auto"/>
            <w:vAlign w:val="center"/>
            <w:hideMark/>
          </w:tcPr>
          <w:p w14:paraId="105B9596"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2 (Moderate)</w:t>
            </w:r>
          </w:p>
        </w:tc>
        <w:tc>
          <w:tcPr>
            <w:tcW w:w="1559" w:type="dxa"/>
            <w:tcBorders>
              <w:top w:val="nil"/>
              <w:left w:val="nil"/>
              <w:bottom w:val="single" w:sz="4" w:space="0" w:color="auto"/>
              <w:right w:val="single" w:sz="4" w:space="0" w:color="auto"/>
            </w:tcBorders>
            <w:shd w:val="clear" w:color="auto" w:fill="auto"/>
            <w:vAlign w:val="center"/>
            <w:hideMark/>
          </w:tcPr>
          <w:p w14:paraId="24864A2D"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4 (Low)</w:t>
            </w:r>
          </w:p>
        </w:tc>
        <w:tc>
          <w:tcPr>
            <w:tcW w:w="2693" w:type="dxa"/>
            <w:tcBorders>
              <w:top w:val="nil"/>
              <w:left w:val="nil"/>
              <w:bottom w:val="single" w:sz="4" w:space="0" w:color="auto"/>
              <w:right w:val="single" w:sz="4" w:space="0" w:color="auto"/>
            </w:tcBorders>
            <w:shd w:val="clear" w:color="auto" w:fill="auto"/>
            <w:vAlign w:val="center"/>
            <w:hideMark/>
          </w:tcPr>
          <w:p w14:paraId="4ED85A0B"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Operation</w:t>
            </w:r>
          </w:p>
        </w:tc>
        <w:tc>
          <w:tcPr>
            <w:tcW w:w="4536" w:type="dxa"/>
            <w:tcBorders>
              <w:top w:val="nil"/>
              <w:left w:val="nil"/>
              <w:bottom w:val="single" w:sz="4" w:space="0" w:color="auto"/>
              <w:right w:val="single" w:sz="4" w:space="0" w:color="auto"/>
            </w:tcBorders>
            <w:shd w:val="clear" w:color="auto" w:fill="auto"/>
            <w:vAlign w:val="center"/>
            <w:hideMark/>
          </w:tcPr>
          <w:p w14:paraId="5D032C97"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Potential aesthetic changes negatively affect rural tourism and community views.</w:t>
            </w:r>
          </w:p>
        </w:tc>
      </w:tr>
      <w:tr w:rsidR="00064287" w14:paraId="405A84E7" w14:textId="77777777" w:rsidTr="00665618">
        <w:trPr>
          <w:trHeight w:val="98"/>
        </w:trPr>
        <w:tc>
          <w:tcPr>
            <w:tcW w:w="2830" w:type="dxa"/>
            <w:tcBorders>
              <w:top w:val="nil"/>
              <w:left w:val="single" w:sz="4" w:space="0" w:color="auto"/>
              <w:bottom w:val="single" w:sz="4" w:space="0" w:color="auto"/>
              <w:right w:val="single" w:sz="4" w:space="0" w:color="auto"/>
            </w:tcBorders>
            <w:shd w:val="clear" w:color="auto" w:fill="auto"/>
            <w:vAlign w:val="center"/>
            <w:hideMark/>
          </w:tcPr>
          <w:p w14:paraId="6E8AB78C"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Farmland soil contamination</w:t>
            </w:r>
          </w:p>
        </w:tc>
        <w:tc>
          <w:tcPr>
            <w:tcW w:w="1560" w:type="dxa"/>
            <w:tcBorders>
              <w:top w:val="nil"/>
              <w:left w:val="nil"/>
              <w:bottom w:val="single" w:sz="4" w:space="0" w:color="auto"/>
              <w:right w:val="single" w:sz="4" w:space="0" w:color="auto"/>
            </w:tcBorders>
            <w:shd w:val="clear" w:color="auto" w:fill="auto"/>
            <w:vAlign w:val="center"/>
            <w:hideMark/>
          </w:tcPr>
          <w:p w14:paraId="5AB07696"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2 (Unlikely)</w:t>
            </w:r>
          </w:p>
        </w:tc>
        <w:tc>
          <w:tcPr>
            <w:tcW w:w="1701" w:type="dxa"/>
            <w:tcBorders>
              <w:top w:val="nil"/>
              <w:left w:val="nil"/>
              <w:bottom w:val="single" w:sz="4" w:space="0" w:color="auto"/>
              <w:right w:val="single" w:sz="4" w:space="0" w:color="auto"/>
            </w:tcBorders>
            <w:shd w:val="clear" w:color="auto" w:fill="auto"/>
            <w:vAlign w:val="center"/>
            <w:hideMark/>
          </w:tcPr>
          <w:p w14:paraId="3EC234BB"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3 (Significant)</w:t>
            </w:r>
          </w:p>
        </w:tc>
        <w:tc>
          <w:tcPr>
            <w:tcW w:w="1559" w:type="dxa"/>
            <w:tcBorders>
              <w:top w:val="nil"/>
              <w:left w:val="nil"/>
              <w:bottom w:val="single" w:sz="4" w:space="0" w:color="auto"/>
              <w:right w:val="single" w:sz="4" w:space="0" w:color="auto"/>
            </w:tcBorders>
            <w:shd w:val="clear" w:color="auto" w:fill="auto"/>
            <w:vAlign w:val="center"/>
            <w:hideMark/>
          </w:tcPr>
          <w:p w14:paraId="3B6DB46A"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6 (Medium)</w:t>
            </w:r>
          </w:p>
        </w:tc>
        <w:tc>
          <w:tcPr>
            <w:tcW w:w="2693" w:type="dxa"/>
            <w:tcBorders>
              <w:top w:val="nil"/>
              <w:left w:val="nil"/>
              <w:bottom w:val="single" w:sz="4" w:space="0" w:color="auto"/>
              <w:right w:val="single" w:sz="4" w:space="0" w:color="auto"/>
            </w:tcBorders>
            <w:shd w:val="clear" w:color="auto" w:fill="auto"/>
            <w:vAlign w:val="center"/>
            <w:hideMark/>
          </w:tcPr>
          <w:p w14:paraId="7AAF0F1C"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Construction</w:t>
            </w:r>
          </w:p>
        </w:tc>
        <w:tc>
          <w:tcPr>
            <w:tcW w:w="4536" w:type="dxa"/>
            <w:tcBorders>
              <w:top w:val="nil"/>
              <w:left w:val="nil"/>
              <w:bottom w:val="single" w:sz="4" w:space="0" w:color="auto"/>
              <w:right w:val="single" w:sz="4" w:space="0" w:color="auto"/>
            </w:tcBorders>
            <w:shd w:val="clear" w:color="auto" w:fill="auto"/>
            <w:vAlign w:val="center"/>
            <w:hideMark/>
          </w:tcPr>
          <w:p w14:paraId="28E3A5C0"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Risk of soil contamination from spills or materials during construction.</w:t>
            </w:r>
          </w:p>
        </w:tc>
      </w:tr>
      <w:tr w:rsidR="00064287" w14:paraId="57901A28" w14:textId="77777777" w:rsidTr="00665618">
        <w:trPr>
          <w:trHeight w:val="131"/>
        </w:trPr>
        <w:tc>
          <w:tcPr>
            <w:tcW w:w="2830" w:type="dxa"/>
            <w:tcBorders>
              <w:top w:val="nil"/>
              <w:left w:val="single" w:sz="4" w:space="0" w:color="auto"/>
              <w:bottom w:val="single" w:sz="4" w:space="0" w:color="auto"/>
              <w:right w:val="single" w:sz="4" w:space="0" w:color="auto"/>
            </w:tcBorders>
            <w:shd w:val="clear" w:color="auto" w:fill="auto"/>
            <w:vAlign w:val="center"/>
            <w:hideMark/>
          </w:tcPr>
          <w:p w14:paraId="6BA956B3"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Waste generation during decommissioning</w:t>
            </w:r>
          </w:p>
        </w:tc>
        <w:tc>
          <w:tcPr>
            <w:tcW w:w="1560" w:type="dxa"/>
            <w:tcBorders>
              <w:top w:val="nil"/>
              <w:left w:val="nil"/>
              <w:bottom w:val="single" w:sz="4" w:space="0" w:color="auto"/>
              <w:right w:val="single" w:sz="4" w:space="0" w:color="auto"/>
            </w:tcBorders>
            <w:shd w:val="clear" w:color="auto" w:fill="auto"/>
            <w:vAlign w:val="center"/>
            <w:hideMark/>
          </w:tcPr>
          <w:p w14:paraId="5A70077D"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2 (Unlikely)</w:t>
            </w:r>
          </w:p>
        </w:tc>
        <w:tc>
          <w:tcPr>
            <w:tcW w:w="1701" w:type="dxa"/>
            <w:tcBorders>
              <w:top w:val="nil"/>
              <w:left w:val="nil"/>
              <w:bottom w:val="single" w:sz="4" w:space="0" w:color="auto"/>
              <w:right w:val="single" w:sz="4" w:space="0" w:color="auto"/>
            </w:tcBorders>
            <w:shd w:val="clear" w:color="auto" w:fill="auto"/>
            <w:vAlign w:val="center"/>
            <w:hideMark/>
          </w:tcPr>
          <w:p w14:paraId="16DC26FF"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3 (Significant)</w:t>
            </w:r>
          </w:p>
        </w:tc>
        <w:tc>
          <w:tcPr>
            <w:tcW w:w="1559" w:type="dxa"/>
            <w:tcBorders>
              <w:top w:val="nil"/>
              <w:left w:val="nil"/>
              <w:bottom w:val="single" w:sz="4" w:space="0" w:color="auto"/>
              <w:right w:val="single" w:sz="4" w:space="0" w:color="auto"/>
            </w:tcBorders>
            <w:shd w:val="clear" w:color="auto" w:fill="auto"/>
            <w:vAlign w:val="center"/>
            <w:hideMark/>
          </w:tcPr>
          <w:p w14:paraId="16D0BD49"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6 (Medium)</w:t>
            </w:r>
          </w:p>
        </w:tc>
        <w:tc>
          <w:tcPr>
            <w:tcW w:w="2693" w:type="dxa"/>
            <w:tcBorders>
              <w:top w:val="nil"/>
              <w:left w:val="nil"/>
              <w:bottom w:val="single" w:sz="4" w:space="0" w:color="auto"/>
              <w:right w:val="single" w:sz="4" w:space="0" w:color="auto"/>
            </w:tcBorders>
            <w:shd w:val="clear" w:color="auto" w:fill="auto"/>
            <w:vAlign w:val="center"/>
            <w:hideMark/>
          </w:tcPr>
          <w:p w14:paraId="60FA5948"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Decommissioning</w:t>
            </w:r>
          </w:p>
        </w:tc>
        <w:tc>
          <w:tcPr>
            <w:tcW w:w="4536" w:type="dxa"/>
            <w:tcBorders>
              <w:top w:val="nil"/>
              <w:left w:val="nil"/>
              <w:bottom w:val="single" w:sz="4" w:space="0" w:color="auto"/>
              <w:right w:val="single" w:sz="4" w:space="0" w:color="auto"/>
            </w:tcBorders>
            <w:shd w:val="clear" w:color="auto" w:fill="auto"/>
            <w:vAlign w:val="center"/>
            <w:hideMark/>
          </w:tcPr>
          <w:p w14:paraId="7F400F18"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 xml:space="preserve">Improper disposal of materials, including turbine components, could </w:t>
            </w:r>
            <w:r w:rsidRPr="00B61FF5">
              <w:rPr>
                <w:rFonts w:ascii="Aptos Narrow" w:eastAsia="Times New Roman" w:hAnsi="Aptos Narrow" w:cs="Times New Roman"/>
                <w:color w:val="000000"/>
                <w:lang w:eastAsia="en-GB"/>
              </w:rPr>
              <w:t>harm the environment.</w:t>
            </w:r>
          </w:p>
        </w:tc>
      </w:tr>
      <w:tr w:rsidR="00064287" w14:paraId="6F26134F" w14:textId="77777777" w:rsidTr="00665618">
        <w:trPr>
          <w:trHeight w:val="131"/>
        </w:trPr>
        <w:tc>
          <w:tcPr>
            <w:tcW w:w="2830" w:type="dxa"/>
            <w:tcBorders>
              <w:top w:val="nil"/>
              <w:left w:val="single" w:sz="4" w:space="0" w:color="auto"/>
              <w:bottom w:val="single" w:sz="4" w:space="0" w:color="auto"/>
              <w:right w:val="single" w:sz="4" w:space="0" w:color="auto"/>
            </w:tcBorders>
            <w:shd w:val="clear" w:color="auto" w:fill="auto"/>
            <w:vAlign w:val="center"/>
            <w:hideMark/>
          </w:tcPr>
          <w:p w14:paraId="4E4855E9"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Post-construction habitat recovery</w:t>
            </w:r>
          </w:p>
        </w:tc>
        <w:tc>
          <w:tcPr>
            <w:tcW w:w="1560" w:type="dxa"/>
            <w:tcBorders>
              <w:top w:val="nil"/>
              <w:left w:val="nil"/>
              <w:bottom w:val="single" w:sz="4" w:space="0" w:color="auto"/>
              <w:right w:val="single" w:sz="4" w:space="0" w:color="auto"/>
            </w:tcBorders>
            <w:shd w:val="clear" w:color="auto" w:fill="auto"/>
            <w:vAlign w:val="center"/>
            <w:hideMark/>
          </w:tcPr>
          <w:p w14:paraId="48149C44"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3 (Possible)</w:t>
            </w:r>
          </w:p>
        </w:tc>
        <w:tc>
          <w:tcPr>
            <w:tcW w:w="1701" w:type="dxa"/>
            <w:tcBorders>
              <w:top w:val="nil"/>
              <w:left w:val="nil"/>
              <w:bottom w:val="single" w:sz="4" w:space="0" w:color="auto"/>
              <w:right w:val="single" w:sz="4" w:space="0" w:color="auto"/>
            </w:tcBorders>
            <w:shd w:val="clear" w:color="auto" w:fill="auto"/>
            <w:vAlign w:val="center"/>
            <w:hideMark/>
          </w:tcPr>
          <w:p w14:paraId="59BBC7A0"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3 (Significant)</w:t>
            </w:r>
          </w:p>
        </w:tc>
        <w:tc>
          <w:tcPr>
            <w:tcW w:w="1559" w:type="dxa"/>
            <w:tcBorders>
              <w:top w:val="nil"/>
              <w:left w:val="nil"/>
              <w:bottom w:val="single" w:sz="4" w:space="0" w:color="auto"/>
              <w:right w:val="single" w:sz="4" w:space="0" w:color="auto"/>
            </w:tcBorders>
            <w:shd w:val="clear" w:color="auto" w:fill="auto"/>
            <w:vAlign w:val="center"/>
            <w:hideMark/>
          </w:tcPr>
          <w:p w14:paraId="13E626AF"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9 (Medium)</w:t>
            </w:r>
          </w:p>
        </w:tc>
        <w:tc>
          <w:tcPr>
            <w:tcW w:w="2693" w:type="dxa"/>
            <w:tcBorders>
              <w:top w:val="nil"/>
              <w:left w:val="nil"/>
              <w:bottom w:val="single" w:sz="4" w:space="0" w:color="auto"/>
              <w:right w:val="single" w:sz="4" w:space="0" w:color="auto"/>
            </w:tcBorders>
            <w:shd w:val="clear" w:color="auto" w:fill="auto"/>
            <w:vAlign w:val="center"/>
            <w:hideMark/>
          </w:tcPr>
          <w:p w14:paraId="7F66CE14"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Decommissioning</w:t>
            </w:r>
          </w:p>
        </w:tc>
        <w:tc>
          <w:tcPr>
            <w:tcW w:w="4536" w:type="dxa"/>
            <w:tcBorders>
              <w:top w:val="nil"/>
              <w:left w:val="nil"/>
              <w:bottom w:val="single" w:sz="4" w:space="0" w:color="auto"/>
              <w:right w:val="single" w:sz="4" w:space="0" w:color="auto"/>
            </w:tcBorders>
            <w:shd w:val="clear" w:color="auto" w:fill="auto"/>
            <w:vAlign w:val="center"/>
            <w:hideMark/>
          </w:tcPr>
          <w:p w14:paraId="25FCD28C" w14:textId="77777777" w:rsidR="00DC565F" w:rsidRPr="00B61FF5" w:rsidRDefault="004433F3" w:rsidP="00665618">
            <w:pPr>
              <w:spacing w:after="0" w:line="240" w:lineRule="auto"/>
              <w:rPr>
                <w:rFonts w:ascii="Aptos Narrow" w:eastAsia="Times New Roman" w:hAnsi="Aptos Narrow" w:cs="Times New Roman"/>
                <w:color w:val="000000"/>
                <w:lang w:eastAsia="en-GB"/>
              </w:rPr>
            </w:pPr>
            <w:r w:rsidRPr="00B61FF5">
              <w:rPr>
                <w:rFonts w:ascii="Aptos Narrow" w:eastAsia="Times New Roman" w:hAnsi="Aptos Narrow" w:cs="Times New Roman"/>
                <w:color w:val="000000"/>
                <w:lang w:eastAsia="en-GB"/>
              </w:rPr>
              <w:t>Potential for incomplete restoration of disturbed habitats, affecting long-term biodiversity.</w:t>
            </w:r>
          </w:p>
        </w:tc>
      </w:tr>
    </w:tbl>
    <w:p w14:paraId="22BF9E5C" w14:textId="77777777" w:rsidR="00753132" w:rsidRPr="00753132" w:rsidRDefault="00753132" w:rsidP="00B61FF5">
      <w:pPr>
        <w:rPr>
          <w:rFonts w:ascii="Arial Nova" w:hAnsi="Arial Nova"/>
        </w:rPr>
      </w:pPr>
    </w:p>
    <w:p w14:paraId="2C2AEF30" w14:textId="77777777" w:rsidR="00B61FF5" w:rsidRPr="007445F2" w:rsidRDefault="004433F3" w:rsidP="003C11CA">
      <w:pPr>
        <w:jc w:val="center"/>
        <w:rPr>
          <w:rStyle w:val="IntenseEmphasis"/>
          <w:rFonts w:ascii="Arial Nova" w:hAnsi="Arial Nova"/>
          <w:color w:val="auto"/>
          <w:sz w:val="28"/>
          <w:szCs w:val="28"/>
        </w:rPr>
      </w:pPr>
      <w:r w:rsidRPr="007445F2">
        <w:rPr>
          <w:rStyle w:val="IntenseEmphasis"/>
          <w:rFonts w:ascii="Arial Nova" w:hAnsi="Arial Nova"/>
          <w:color w:val="auto"/>
          <w:sz w:val="28"/>
          <w:szCs w:val="28"/>
        </w:rPr>
        <w:t>Table 1 – Risk Matrix Table</w:t>
      </w:r>
    </w:p>
    <w:p w14:paraId="0626CE05" w14:textId="77777777" w:rsidR="00B61FF5" w:rsidRPr="008C0A0D" w:rsidRDefault="00B61FF5" w:rsidP="005E2DF5">
      <w:pPr>
        <w:rPr>
          <w:rFonts w:ascii="Arial Nova" w:hAnsi="Arial Nova"/>
        </w:rPr>
      </w:pPr>
    </w:p>
    <w:p w14:paraId="19BA5788" w14:textId="77777777" w:rsidR="00DC565F" w:rsidRPr="008C0A0D" w:rsidRDefault="004433F3">
      <w:pPr>
        <w:rPr>
          <w:rFonts w:ascii="Arial Nova" w:hAnsi="Arial Nova"/>
        </w:rPr>
      </w:pPr>
      <w:r w:rsidRPr="008C0A0D">
        <w:rPr>
          <w:rFonts w:ascii="Arial Nova" w:hAnsi="Arial Nova"/>
        </w:rPr>
        <w:br w:type="page"/>
      </w:r>
    </w:p>
    <w:p w14:paraId="1CBCBB59" w14:textId="77777777" w:rsidR="00C86DEB" w:rsidRPr="008C0A0D" w:rsidRDefault="00C86DEB" w:rsidP="005E2DF5">
      <w:pPr>
        <w:rPr>
          <w:rFonts w:ascii="Arial Nova" w:hAnsi="Arial Nova"/>
        </w:rPr>
        <w:sectPr w:rsidR="00C86DEB" w:rsidRPr="008C0A0D" w:rsidSect="002E3506">
          <w:pgSz w:w="16838" w:h="11906" w:orient="landscape"/>
          <w:pgMar w:top="1440" w:right="1440" w:bottom="1440" w:left="1440" w:header="709" w:footer="709" w:gutter="0"/>
          <w:cols w:space="708"/>
          <w:docGrid w:linePitch="360"/>
        </w:sectPr>
      </w:pPr>
    </w:p>
    <w:p w14:paraId="0F6C0EFD" w14:textId="77777777" w:rsidR="00A50107" w:rsidRPr="008C0A0D" w:rsidRDefault="004433F3" w:rsidP="00A50107">
      <w:pPr>
        <w:rPr>
          <w:rFonts w:ascii="Arial Nova" w:hAnsi="Arial Nova"/>
        </w:rPr>
      </w:pPr>
      <w:r w:rsidRPr="008C0A0D">
        <w:rPr>
          <w:rFonts w:ascii="Arial Nova" w:hAnsi="Arial Nova"/>
        </w:rPr>
        <w:lastRenderedPageBreak/>
        <w:t>The assessment identified critical risks, including habitat loss and fragmentation, soil erosion near the stream, bird and bat collisions, and wetland habitat disruption.</w:t>
      </w:r>
    </w:p>
    <w:p w14:paraId="3F87C897" w14:textId="77777777" w:rsidR="00A50107" w:rsidRPr="008C0A0D" w:rsidRDefault="004433F3" w:rsidP="00A50107">
      <w:pPr>
        <w:rPr>
          <w:rFonts w:ascii="Arial Nova" w:hAnsi="Arial Nova"/>
        </w:rPr>
      </w:pPr>
      <w:r w:rsidRPr="008C0A0D">
        <w:rPr>
          <w:rFonts w:ascii="Arial Nova" w:hAnsi="Arial Nova"/>
        </w:rPr>
        <w:t>Critical Risks and Mitigation Actions</w:t>
      </w:r>
    </w:p>
    <w:p w14:paraId="57272A09" w14:textId="77777777" w:rsidR="00A50107" w:rsidRPr="008C0A0D" w:rsidRDefault="004433F3" w:rsidP="00A50107">
      <w:pPr>
        <w:rPr>
          <w:rFonts w:ascii="Arial Nova" w:hAnsi="Arial Nova"/>
        </w:rPr>
      </w:pPr>
      <w:r w:rsidRPr="008C0A0D">
        <w:rPr>
          <w:rFonts w:ascii="Arial Nova" w:hAnsi="Arial Nova"/>
        </w:rPr>
        <w:t xml:space="preserve">One of the most significant risks is habitat loss, severely threatening the project area's biodiversity. The site's proximity to a Site of Special Scientific Interest (SSSI) increases the risk of disturbing protected habitats, impacting breeding grounds, feeding areas, and migration routes for vulnerable species. Mitigation measures include conducting comprehensive biodiversity surveys to identify critical habitats and implementing construction schedules that avoid sensitive breeding and migration periods. </w:t>
      </w:r>
      <w:r w:rsidRPr="008C0A0D">
        <w:rPr>
          <w:rFonts w:ascii="Arial Nova" w:hAnsi="Arial Nova"/>
        </w:rPr>
        <w:t>Also, establishing habitat corridors and creating conservation offsets can help balance habitat loss</w:t>
      </w:r>
      <w:r w:rsidR="005A1536" w:rsidRPr="008C0A0D">
        <w:rPr>
          <w:rFonts w:ascii="Arial Nova" w:hAnsi="Arial Nova"/>
        </w:rPr>
        <w:t>.</w:t>
      </w:r>
    </w:p>
    <w:p w14:paraId="14848BAA" w14:textId="77777777" w:rsidR="00A50107" w:rsidRPr="008C0A0D" w:rsidRDefault="004433F3" w:rsidP="00A50107">
      <w:pPr>
        <w:rPr>
          <w:rFonts w:ascii="Arial Nova" w:hAnsi="Arial Nova"/>
        </w:rPr>
      </w:pPr>
      <w:r w:rsidRPr="008C0A0D">
        <w:rPr>
          <w:rFonts w:ascii="Arial Nova" w:hAnsi="Arial Nova"/>
        </w:rPr>
        <w:t xml:space="preserve">Another critical concern is soil erosion near the stream, which could result in sediment and chemical runoff contaminating </w:t>
      </w:r>
      <w:r w:rsidR="00C11D92" w:rsidRPr="008C0A0D">
        <w:rPr>
          <w:rFonts w:ascii="Arial Nova" w:hAnsi="Arial Nova"/>
        </w:rPr>
        <w:t>the stream</w:t>
      </w:r>
      <w:r w:rsidRPr="008C0A0D">
        <w:rPr>
          <w:rFonts w:ascii="Arial Nova" w:hAnsi="Arial Nova"/>
        </w:rPr>
        <w:t>. Construction activities, such as road development and turbine installation</w:t>
      </w:r>
      <w:r w:rsidR="00C11D92" w:rsidRPr="008C0A0D">
        <w:rPr>
          <w:rFonts w:ascii="Arial Nova" w:hAnsi="Arial Nova"/>
        </w:rPr>
        <w:t>, increase th</w:t>
      </w:r>
      <w:r w:rsidRPr="008C0A0D">
        <w:rPr>
          <w:rFonts w:ascii="Arial Nova" w:hAnsi="Arial Nova"/>
        </w:rPr>
        <w:t>is risk. Erosion control measures should be employed, including silt fences, vegetation replanting, and buffer zones around the stream. Continuous water quality monitoring is crucial to detect and address potential pollution promptly.</w:t>
      </w:r>
    </w:p>
    <w:p w14:paraId="3BEEBDEB" w14:textId="77777777" w:rsidR="00A50107" w:rsidRPr="008C0A0D" w:rsidRDefault="004433F3" w:rsidP="00A50107">
      <w:pPr>
        <w:rPr>
          <w:rFonts w:ascii="Arial Nova" w:hAnsi="Arial Nova"/>
        </w:rPr>
      </w:pPr>
      <w:r w:rsidRPr="008C0A0D">
        <w:rPr>
          <w:rFonts w:ascii="Arial Nova" w:hAnsi="Arial Nova"/>
        </w:rPr>
        <w:t>Bird and bat collisions represent another high-priority risk, particularly given the area's migratory and local bird populations. Wind turbines are known to pose collision hazards for these species, potentially impacting biodiversity. Mitigation strategies include installing advanced wildlife monitoring and deterrent systems to minimi</w:t>
      </w:r>
      <w:r w:rsidR="006560A9" w:rsidRPr="008C0A0D">
        <w:rPr>
          <w:rFonts w:ascii="Arial Nova" w:hAnsi="Arial Nova"/>
        </w:rPr>
        <w:t>s</w:t>
      </w:r>
      <w:r w:rsidRPr="008C0A0D">
        <w:rPr>
          <w:rFonts w:ascii="Arial Nova" w:hAnsi="Arial Nova"/>
        </w:rPr>
        <w:t>e collisions. Adjusting turbine operations during peak migratory seasons, such as reducing speeds or implementing temporary shutdowns, can further reduce this risk. Turbine placement should also be carefully planned to avoid known migration routes and high-density bird habitats.</w:t>
      </w:r>
    </w:p>
    <w:p w14:paraId="50F8ACF2" w14:textId="77777777" w:rsidR="00A50107" w:rsidRPr="008C0A0D" w:rsidRDefault="004433F3" w:rsidP="00A50107">
      <w:pPr>
        <w:rPr>
          <w:rFonts w:ascii="Arial Nova" w:hAnsi="Arial Nova"/>
        </w:rPr>
      </w:pPr>
      <w:r w:rsidRPr="008C0A0D">
        <w:rPr>
          <w:rFonts w:ascii="Arial Nova" w:hAnsi="Arial Nova"/>
        </w:rPr>
        <w:t xml:space="preserve">Wetland habitat disruption is a significant concern due to the site’s mixed terrain, which includes ecologically sensitive wetlands. Heavy machinery </w:t>
      </w:r>
      <w:r w:rsidR="00912FCC" w:rsidRPr="008C0A0D">
        <w:rPr>
          <w:rFonts w:ascii="Arial Nova" w:hAnsi="Arial Nova"/>
        </w:rPr>
        <w:t>use</w:t>
      </w:r>
      <w:r w:rsidRPr="008C0A0D">
        <w:rPr>
          <w:rFonts w:ascii="Arial Nova" w:hAnsi="Arial Nova"/>
        </w:rPr>
        <w:t xml:space="preserve"> and construction activities can lead to soil compaction, drainage alterations, and habitat loss. Construction in wetland areas should be minimi</w:t>
      </w:r>
      <w:r w:rsidR="00E84C8A" w:rsidRPr="008C0A0D">
        <w:rPr>
          <w:rFonts w:ascii="Arial Nova" w:hAnsi="Arial Nova"/>
        </w:rPr>
        <w:t>s</w:t>
      </w:r>
      <w:r w:rsidRPr="008C0A0D">
        <w:rPr>
          <w:rFonts w:ascii="Arial Nova" w:hAnsi="Arial Nova"/>
        </w:rPr>
        <w:t>ed to mitigate these impacts, and low-impact machinery should be utili</w:t>
      </w:r>
      <w:r w:rsidR="00E84C8A" w:rsidRPr="008C0A0D">
        <w:rPr>
          <w:rFonts w:ascii="Arial Nova" w:hAnsi="Arial Nova"/>
        </w:rPr>
        <w:t>s</w:t>
      </w:r>
      <w:r w:rsidRPr="008C0A0D">
        <w:rPr>
          <w:rFonts w:ascii="Arial Nova" w:hAnsi="Arial Nova"/>
        </w:rPr>
        <w:t xml:space="preserve">ed. </w:t>
      </w:r>
      <w:r w:rsidR="007D50AD">
        <w:rPr>
          <w:rFonts w:ascii="Arial Nova" w:hAnsi="Arial Nova"/>
        </w:rPr>
        <w:t xml:space="preserve">After </w:t>
      </w:r>
      <w:r w:rsidRPr="008C0A0D">
        <w:rPr>
          <w:rFonts w:ascii="Arial Nova" w:hAnsi="Arial Nova"/>
        </w:rPr>
        <w:t>construction</w:t>
      </w:r>
      <w:r w:rsidR="007D50AD">
        <w:rPr>
          <w:rFonts w:ascii="Arial Nova" w:hAnsi="Arial Nova"/>
        </w:rPr>
        <w:t>,</w:t>
      </w:r>
      <w:r w:rsidRPr="008C0A0D">
        <w:rPr>
          <w:rFonts w:ascii="Arial Nova" w:hAnsi="Arial Nova"/>
        </w:rPr>
        <w:t xml:space="preserve"> restoration efforts, including replanting vegetation and stabilising soil, are necessary to restore ecosystems. Effective drainage systems must also be designed to maintain natural water flow and support wetland recovery.</w:t>
      </w:r>
    </w:p>
    <w:p w14:paraId="6F0FB22D" w14:textId="77777777" w:rsidR="00A50107" w:rsidRPr="008C0A0D" w:rsidRDefault="004433F3" w:rsidP="00A50107">
      <w:pPr>
        <w:rPr>
          <w:rFonts w:ascii="Arial Nova" w:hAnsi="Arial Nova"/>
        </w:rPr>
      </w:pPr>
      <w:r w:rsidRPr="008C0A0D">
        <w:rPr>
          <w:rFonts w:ascii="Arial Nova" w:hAnsi="Arial Nova"/>
        </w:rPr>
        <w:t>Other Significant Risks</w:t>
      </w:r>
    </w:p>
    <w:p w14:paraId="483368A0" w14:textId="77777777" w:rsidR="00A50107" w:rsidRPr="008C0A0D" w:rsidRDefault="004433F3" w:rsidP="00A50107">
      <w:pPr>
        <w:rPr>
          <w:rFonts w:ascii="Arial Nova" w:hAnsi="Arial Nova"/>
        </w:rPr>
      </w:pPr>
      <w:r w:rsidRPr="008C0A0D">
        <w:rPr>
          <w:rFonts w:ascii="Arial Nova" w:hAnsi="Arial Nova"/>
        </w:rPr>
        <w:t>Several medium-priority risks also warrant attention to minimi</w:t>
      </w:r>
      <w:r w:rsidR="001C23FD" w:rsidRPr="008C0A0D">
        <w:rPr>
          <w:rFonts w:ascii="Arial Nova" w:hAnsi="Arial Nova"/>
        </w:rPr>
        <w:t>s</w:t>
      </w:r>
      <w:r w:rsidRPr="008C0A0D">
        <w:rPr>
          <w:rFonts w:ascii="Arial Nova" w:hAnsi="Arial Nova"/>
        </w:rPr>
        <w:t xml:space="preserve">e environmental and social impacts. Noise pollution, both during construction and operation, could disrupt wildlife and nearby residents. While the nearest village is 2 </w:t>
      </w:r>
      <w:r w:rsidR="001C23FD" w:rsidRPr="008C0A0D">
        <w:rPr>
          <w:rFonts w:ascii="Arial Nova" w:hAnsi="Arial Nova"/>
        </w:rPr>
        <w:t>kilometres</w:t>
      </w:r>
      <w:r w:rsidRPr="008C0A0D">
        <w:rPr>
          <w:rFonts w:ascii="Arial Nova" w:hAnsi="Arial Nova"/>
        </w:rPr>
        <w:t xml:space="preserve"> away, low-frequency turbine noise may lead to complaints and discomfort. Low-noise machinery should be employed, and activities should be scheduled to avoid sensitive periods for wildlife and the community.</w:t>
      </w:r>
    </w:p>
    <w:p w14:paraId="77419AC3" w14:textId="77777777" w:rsidR="00A50107" w:rsidRPr="008C0A0D" w:rsidRDefault="004433F3" w:rsidP="00A50107">
      <w:pPr>
        <w:rPr>
          <w:rFonts w:ascii="Arial Nova" w:hAnsi="Arial Nova"/>
        </w:rPr>
      </w:pPr>
      <w:r w:rsidRPr="008C0A0D">
        <w:rPr>
          <w:rFonts w:ascii="Arial Nova" w:hAnsi="Arial Nova"/>
        </w:rPr>
        <w:t>Increased traffic during the construction phase poses risks to local wildlife, as vehicle movements can fragment habitats and result in wildlife collisions. Traffic management plans, including designated routes and restricted activity during peak wildlife movement periods, are recommended to mitigate these risks. Additionally, soil contamination from construction materials and spills could harm nearby farmland. To prevent this, hazardous materials should be stored away from agricultural areas, and robust sp</w:t>
      </w:r>
      <w:r w:rsidRPr="008C0A0D">
        <w:rPr>
          <w:rFonts w:ascii="Arial Nova" w:hAnsi="Arial Nova"/>
        </w:rPr>
        <w:t>ill containment and response plans should be in place.</w:t>
      </w:r>
    </w:p>
    <w:p w14:paraId="2ADB2679" w14:textId="77777777" w:rsidR="00A50107" w:rsidRPr="008C0A0D" w:rsidRDefault="004433F3" w:rsidP="00A50107">
      <w:pPr>
        <w:rPr>
          <w:rFonts w:ascii="Arial Nova" w:hAnsi="Arial Nova"/>
        </w:rPr>
      </w:pPr>
      <w:r w:rsidRPr="008C0A0D">
        <w:rPr>
          <w:rFonts w:ascii="Arial Nova" w:hAnsi="Arial Nova"/>
        </w:rPr>
        <w:t>Integration of Site-Specific Risks</w:t>
      </w:r>
    </w:p>
    <w:p w14:paraId="345FBEB5" w14:textId="77777777" w:rsidR="003B74D2" w:rsidRPr="008C0A0D" w:rsidRDefault="004433F3">
      <w:pPr>
        <w:rPr>
          <w:rFonts w:ascii="Arial Nova" w:hAnsi="Arial Nova"/>
        </w:rPr>
      </w:pPr>
      <w:r w:rsidRPr="008C0A0D">
        <w:rPr>
          <w:rFonts w:ascii="Arial Nova" w:hAnsi="Arial Nova"/>
        </w:rPr>
        <w:lastRenderedPageBreak/>
        <w:t xml:space="preserve">The unique site characteristics </w:t>
      </w:r>
      <w:r w:rsidR="00C41C27">
        <w:rPr>
          <w:rFonts w:ascii="Arial Nova" w:hAnsi="Arial Nova"/>
        </w:rPr>
        <w:t xml:space="preserve">identify </w:t>
      </w:r>
      <w:r w:rsidR="00FC4459">
        <w:rPr>
          <w:rFonts w:ascii="Arial Nova" w:hAnsi="Arial Nova"/>
        </w:rPr>
        <w:t>many</w:t>
      </w:r>
      <w:r w:rsidR="00C41C27">
        <w:rPr>
          <w:rFonts w:ascii="Arial Nova" w:hAnsi="Arial Nova"/>
        </w:rPr>
        <w:t xml:space="preserve"> </w:t>
      </w:r>
      <w:r w:rsidR="00833BBD" w:rsidRPr="008C0A0D">
        <w:rPr>
          <w:rFonts w:ascii="Arial Nova" w:hAnsi="Arial Nova"/>
        </w:rPr>
        <w:t>problematic</w:t>
      </w:r>
      <w:r w:rsidRPr="008C0A0D">
        <w:rPr>
          <w:rFonts w:ascii="Arial Nova" w:hAnsi="Arial Nova"/>
        </w:rPr>
        <w:t xml:space="preserve"> risks, necessitating </w:t>
      </w:r>
      <w:r w:rsidR="00833BBD" w:rsidRPr="008C0A0D">
        <w:rPr>
          <w:rFonts w:ascii="Arial Nova" w:hAnsi="Arial Nova"/>
        </w:rPr>
        <w:t>robust</w:t>
      </w:r>
      <w:r w:rsidRPr="008C0A0D">
        <w:rPr>
          <w:rFonts w:ascii="Arial Nova" w:hAnsi="Arial Nova"/>
        </w:rPr>
        <w:t xml:space="preserve"> mitigation strategies. The location's proximity to a stream and an SSSI increases the potential for water pollution and habitat disturbance, requiring control measures for runoff and construction activities. The site's terrain, wetlands, farmland, and grasslands introduce soil erosion, habitat fragmentation, and drainage alterations. Biodiversity risks are </w:t>
      </w:r>
      <w:r w:rsidR="00E66483" w:rsidRPr="008C0A0D">
        <w:rPr>
          <w:rFonts w:ascii="Arial Nova" w:hAnsi="Arial Nova"/>
        </w:rPr>
        <w:t xml:space="preserve">worsened </w:t>
      </w:r>
      <w:r w:rsidRPr="008C0A0D">
        <w:rPr>
          <w:rFonts w:ascii="Arial Nova" w:hAnsi="Arial Nova"/>
        </w:rPr>
        <w:t>by the presence of protected species and migratory birds, emphasi</w:t>
      </w:r>
      <w:r w:rsidR="00E66483" w:rsidRPr="008C0A0D">
        <w:rPr>
          <w:rFonts w:ascii="Arial Nova" w:hAnsi="Arial Nova"/>
        </w:rPr>
        <w:t>s</w:t>
      </w:r>
      <w:r w:rsidRPr="008C0A0D">
        <w:rPr>
          <w:rFonts w:ascii="Arial Nova" w:hAnsi="Arial Nova"/>
        </w:rPr>
        <w:t>ing the need for wildlif</w:t>
      </w:r>
      <w:r w:rsidRPr="008C0A0D">
        <w:rPr>
          <w:rFonts w:ascii="Arial Nova" w:hAnsi="Arial Nova"/>
        </w:rPr>
        <w:t xml:space="preserve">e monitoring and habitat conservation efforts. While the village is relatively distant, noise and visual impacts could still disrupt residents and alter the rural landscape’s aesthetic value. </w:t>
      </w:r>
      <w:r w:rsidRPr="008C0A0D">
        <w:rPr>
          <w:rFonts w:ascii="Arial Nova" w:hAnsi="Arial Nova"/>
        </w:rPr>
        <w:br w:type="page"/>
      </w:r>
    </w:p>
    <w:p w14:paraId="5823FBEC" w14:textId="77777777" w:rsidR="00474FFD" w:rsidRPr="008C0A0D" w:rsidRDefault="004433F3" w:rsidP="00BB51AE">
      <w:pPr>
        <w:pStyle w:val="Heading1"/>
        <w:numPr>
          <w:ilvl w:val="0"/>
          <w:numId w:val="5"/>
        </w:numPr>
        <w:rPr>
          <w:rFonts w:ascii="Arial Nova" w:hAnsi="Arial Nova"/>
          <w:color w:val="auto"/>
        </w:rPr>
      </w:pPr>
      <w:bookmarkStart w:id="5" w:name="_Toc182753898"/>
      <w:r w:rsidRPr="008C0A0D">
        <w:rPr>
          <w:rFonts w:ascii="Arial Nova" w:hAnsi="Arial Nova"/>
          <w:color w:val="auto"/>
        </w:rPr>
        <w:lastRenderedPageBreak/>
        <w:t>Analysis</w:t>
      </w:r>
      <w:bookmarkEnd w:id="5"/>
    </w:p>
    <w:p w14:paraId="77846239" w14:textId="77777777" w:rsidR="007163F5" w:rsidRPr="008C0A0D" w:rsidRDefault="007163F5" w:rsidP="00474FFD">
      <w:pPr>
        <w:rPr>
          <w:rFonts w:ascii="Arial Nova" w:hAnsi="Arial Nova"/>
        </w:rPr>
      </w:pPr>
    </w:p>
    <w:p w14:paraId="2CB92E94" w14:textId="77777777" w:rsidR="00155909" w:rsidRPr="00155909" w:rsidRDefault="004433F3" w:rsidP="00155909">
      <w:pPr>
        <w:rPr>
          <w:rFonts w:ascii="Arial Nova" w:hAnsi="Arial Nova"/>
        </w:rPr>
      </w:pPr>
      <w:r w:rsidRPr="00155909">
        <w:rPr>
          <w:rFonts w:ascii="Arial Nova" w:hAnsi="Arial Nova"/>
        </w:rPr>
        <w:t>The risk assessment identifies significant environmental and social risks associated with the proposed wind farm, particularly during the construction and operational phases. These risks are amplified by the site's unique characteristics, including its proximity to a Site of Special Scientific Interest (SSSI), wetlands, a stream, and its use for agriculture and conservation. Similar challenges have been observed in various projects, such as the Viking Energy wind farm in Shetland, where construction activit</w:t>
      </w:r>
      <w:r w:rsidRPr="00155909">
        <w:rPr>
          <w:rFonts w:ascii="Arial Nova" w:hAnsi="Arial Nova"/>
        </w:rPr>
        <w:t xml:space="preserve">ies led to a peat slide, causing permanent environmental damage (The Times, 2021). At the Berwick Bank Offshore Wind Farm in Scotland, </w:t>
      </w:r>
      <w:r w:rsidR="00AB5CC5">
        <w:rPr>
          <w:rFonts w:ascii="Arial Nova" w:hAnsi="Arial Nova"/>
        </w:rPr>
        <w:t>there is a significant focus on risks related to</w:t>
      </w:r>
      <w:r w:rsidRPr="00155909">
        <w:rPr>
          <w:rFonts w:ascii="Arial Nova" w:hAnsi="Arial Nova"/>
        </w:rPr>
        <w:t xml:space="preserve"> marine birdlife, highlighting the critical need for wildlife protection measures during development (</w:t>
      </w:r>
      <w:r w:rsidR="00D9030B">
        <w:rPr>
          <w:rFonts w:ascii="Arial Nova" w:hAnsi="Arial Nova"/>
        </w:rPr>
        <w:t>Berwick Bank</w:t>
      </w:r>
      <w:r w:rsidRPr="00155909">
        <w:rPr>
          <w:rFonts w:ascii="Arial Nova" w:hAnsi="Arial Nova"/>
        </w:rPr>
        <w:t>, 2023). These cases emphasi</w:t>
      </w:r>
      <w:r w:rsidR="00DA39CE">
        <w:rPr>
          <w:rFonts w:ascii="Arial Nova" w:hAnsi="Arial Nova"/>
        </w:rPr>
        <w:t>s</w:t>
      </w:r>
      <w:r w:rsidRPr="00155909">
        <w:rPr>
          <w:rFonts w:ascii="Arial Nova" w:hAnsi="Arial Nova"/>
        </w:rPr>
        <w:t>e that habitat loss, soil erosion, bird and bat collisions, and wetland disruption are the most pressing challenges requiring robust mitigation strategies.</w:t>
      </w:r>
    </w:p>
    <w:p w14:paraId="573C9FA2" w14:textId="77777777" w:rsidR="00155909" w:rsidRPr="00155909" w:rsidRDefault="004433F3" w:rsidP="00155909">
      <w:pPr>
        <w:rPr>
          <w:rFonts w:ascii="Arial Nova" w:hAnsi="Arial Nova"/>
        </w:rPr>
      </w:pPr>
      <w:r w:rsidRPr="00155909">
        <w:rPr>
          <w:rFonts w:ascii="Arial Nova" w:hAnsi="Arial Nova"/>
        </w:rPr>
        <w:t>Habitat loss and fragmentation are particularly critical due to the proximity of protected areas and vulnerable species. Vegetation clearance for turbine installation and access roads threatens the ecolog</w:t>
      </w:r>
      <w:r w:rsidR="0058270B">
        <w:rPr>
          <w:rFonts w:ascii="Arial Nova" w:hAnsi="Arial Nova"/>
        </w:rPr>
        <w:t xml:space="preserve">y, </w:t>
      </w:r>
      <w:r w:rsidRPr="00155909">
        <w:rPr>
          <w:rFonts w:ascii="Arial Nova" w:hAnsi="Arial Nova"/>
        </w:rPr>
        <w:t>impacting breeding and feeding grounds and migration routes. Mitigation measures such as biodiversity surveys and conservation offsets must be compl</w:t>
      </w:r>
      <w:r w:rsidR="001442C6">
        <w:rPr>
          <w:rFonts w:ascii="Arial Nova" w:hAnsi="Arial Nova"/>
        </w:rPr>
        <w:t>eted</w:t>
      </w:r>
      <w:r w:rsidR="00083CA8">
        <w:rPr>
          <w:rFonts w:ascii="Arial Nova" w:hAnsi="Arial Nova"/>
        </w:rPr>
        <w:t xml:space="preserve"> with</w:t>
      </w:r>
      <w:r w:rsidRPr="00155909">
        <w:rPr>
          <w:rFonts w:ascii="Arial Nova" w:hAnsi="Arial Nova"/>
        </w:rPr>
        <w:t xml:space="preserve"> long-term monitoring to ensure effective ecosystem recovery. Similar concerns were noted at the Viking Energy wind farm, where insufficient mitigation led to ecological degradation</w:t>
      </w:r>
      <w:r w:rsidR="00083CA8">
        <w:rPr>
          <w:rFonts w:ascii="Arial Nova" w:hAnsi="Arial Nova"/>
        </w:rPr>
        <w:t xml:space="preserve"> </w:t>
      </w:r>
      <w:r w:rsidR="00083CA8" w:rsidRPr="00155909">
        <w:rPr>
          <w:rFonts w:ascii="Arial Nova" w:hAnsi="Arial Nova"/>
        </w:rPr>
        <w:t>(The Times, 2021).</w:t>
      </w:r>
    </w:p>
    <w:p w14:paraId="4BC4E8B6" w14:textId="77777777" w:rsidR="00155909" w:rsidRPr="00155909" w:rsidRDefault="004433F3" w:rsidP="00155909">
      <w:pPr>
        <w:rPr>
          <w:rFonts w:ascii="Arial Nova" w:hAnsi="Arial Nova"/>
        </w:rPr>
      </w:pPr>
      <w:r w:rsidRPr="00155909">
        <w:rPr>
          <w:rFonts w:ascii="Arial Nova" w:hAnsi="Arial Nova"/>
        </w:rPr>
        <w:t xml:space="preserve">Soil erosion and water pollution present another critical concern, particularly near </w:t>
      </w:r>
      <w:r w:rsidR="0071660C">
        <w:rPr>
          <w:rFonts w:ascii="Arial Nova" w:hAnsi="Arial Nova"/>
        </w:rPr>
        <w:t xml:space="preserve">a </w:t>
      </w:r>
      <w:r w:rsidRPr="00155909">
        <w:rPr>
          <w:rFonts w:ascii="Arial Nova" w:hAnsi="Arial Nova"/>
        </w:rPr>
        <w:t xml:space="preserve">stream. Construction activities increase sediment runoff, degrading aquatic ecosystems and impacting downstream water quality. Mitigation measures such as silt fences, buffer zones, and erosion control plans are crucial for addressing these issues. </w:t>
      </w:r>
      <w:r w:rsidR="00EB4FCA" w:rsidRPr="00155909">
        <w:rPr>
          <w:rFonts w:ascii="Arial Nova" w:hAnsi="Arial Nova"/>
        </w:rPr>
        <w:t>Whitelee Wind Farm</w:t>
      </w:r>
      <w:r w:rsidR="00EB4FCA">
        <w:rPr>
          <w:rFonts w:ascii="Arial Nova" w:hAnsi="Arial Nova"/>
        </w:rPr>
        <w:t>,</w:t>
      </w:r>
      <w:r w:rsidR="00EB4FCA" w:rsidRPr="00155909">
        <w:rPr>
          <w:rFonts w:ascii="Arial Nova" w:hAnsi="Arial Nova"/>
        </w:rPr>
        <w:t xml:space="preserve"> near Glasgow</w:t>
      </w:r>
      <w:r w:rsidR="00EB4FCA">
        <w:rPr>
          <w:rFonts w:ascii="Arial Nova" w:hAnsi="Arial Nova"/>
        </w:rPr>
        <w:t>,</w:t>
      </w:r>
      <w:r w:rsidRPr="00155909">
        <w:rPr>
          <w:rFonts w:ascii="Arial Nova" w:hAnsi="Arial Nova"/>
        </w:rPr>
        <w:t xml:space="preserve"> </w:t>
      </w:r>
      <w:r w:rsidR="00685BE7">
        <w:rPr>
          <w:rFonts w:ascii="Arial Nova" w:hAnsi="Arial Nova"/>
        </w:rPr>
        <w:t xml:space="preserve">developed a </w:t>
      </w:r>
      <w:r w:rsidR="00EB4FCA" w:rsidRPr="00EB4FCA">
        <w:rPr>
          <w:rFonts w:ascii="Arial Nova" w:hAnsi="Arial Nova"/>
        </w:rPr>
        <w:t>restoration technique</w:t>
      </w:r>
      <w:r w:rsidR="00EB4FCA">
        <w:rPr>
          <w:rFonts w:ascii="Arial Nova" w:hAnsi="Arial Nova"/>
        </w:rPr>
        <w:t xml:space="preserve"> to mitigate the long-term </w:t>
      </w:r>
      <w:r w:rsidR="00372A1A">
        <w:rPr>
          <w:rFonts w:ascii="Arial Nova" w:hAnsi="Arial Nova"/>
        </w:rPr>
        <w:t>erosion effects</w:t>
      </w:r>
      <w:r w:rsidR="00EB4FCA" w:rsidRPr="00EB4FCA">
        <w:rPr>
          <w:rFonts w:ascii="Arial Nova" w:hAnsi="Arial Nova"/>
        </w:rPr>
        <w:t xml:space="preserve"> involving un-ploughing and smoothing the ground and spreading forestry residues, </w:t>
      </w:r>
      <w:r w:rsidR="004B59C1">
        <w:rPr>
          <w:rFonts w:ascii="Arial Nova" w:hAnsi="Arial Nova"/>
        </w:rPr>
        <w:t xml:space="preserve">resulting </w:t>
      </w:r>
      <w:r w:rsidR="00EB4FCA" w:rsidRPr="00EB4FCA">
        <w:rPr>
          <w:rFonts w:ascii="Arial Nova" w:hAnsi="Arial Nova"/>
        </w:rPr>
        <w:t>in a flattened surface protected from erosion.</w:t>
      </w:r>
      <w:r w:rsidR="004B59C1">
        <w:rPr>
          <w:rFonts w:ascii="Arial Nova" w:hAnsi="Arial Nova"/>
        </w:rPr>
        <w:t xml:space="preserve"> </w:t>
      </w:r>
      <w:r w:rsidRPr="00155909">
        <w:rPr>
          <w:rFonts w:ascii="Arial Nova" w:hAnsi="Arial Nova"/>
        </w:rPr>
        <w:t>(</w:t>
      </w:r>
      <w:r w:rsidR="004B59C1">
        <w:rPr>
          <w:rFonts w:ascii="Arial Nova" w:hAnsi="Arial Nova"/>
        </w:rPr>
        <w:t>BVG Associates</w:t>
      </w:r>
      <w:r w:rsidRPr="00155909">
        <w:rPr>
          <w:rFonts w:ascii="Arial Nova" w:hAnsi="Arial Nova"/>
        </w:rPr>
        <w:t>, 20</w:t>
      </w:r>
      <w:r w:rsidR="004B59C1">
        <w:rPr>
          <w:rFonts w:ascii="Arial Nova" w:hAnsi="Arial Nova"/>
        </w:rPr>
        <w:t>19</w:t>
      </w:r>
      <w:r w:rsidRPr="00155909">
        <w:rPr>
          <w:rFonts w:ascii="Arial Nova" w:hAnsi="Arial Nova"/>
        </w:rPr>
        <w:t>).</w:t>
      </w:r>
    </w:p>
    <w:p w14:paraId="5C20664E" w14:textId="77777777" w:rsidR="00155909" w:rsidRPr="00155909" w:rsidRDefault="004433F3" w:rsidP="00155909">
      <w:pPr>
        <w:rPr>
          <w:rFonts w:ascii="Arial Nova" w:hAnsi="Arial Nova"/>
        </w:rPr>
      </w:pPr>
      <w:r w:rsidRPr="00155909">
        <w:rPr>
          <w:rFonts w:ascii="Arial Nova" w:hAnsi="Arial Nova"/>
        </w:rPr>
        <w:t xml:space="preserve">Bird and bat collisions, primarily during the operational phase, underscore the need for technological solutions and adaptive turbine management. Migratory species face heightened risks, as evidenced by challenges at the Spring Valley Wind Farm in Nevada, USA, where a collision </w:t>
      </w:r>
      <w:r w:rsidR="00557E15">
        <w:rPr>
          <w:rFonts w:ascii="Arial Nova" w:hAnsi="Arial Nova"/>
        </w:rPr>
        <w:t>occurred</w:t>
      </w:r>
      <w:r w:rsidR="009C0A64">
        <w:rPr>
          <w:rFonts w:ascii="Arial Nova" w:hAnsi="Arial Nova"/>
        </w:rPr>
        <w:t xml:space="preserve">, resulting in the death of a golden eagle </w:t>
      </w:r>
      <w:r w:rsidRPr="00155909">
        <w:rPr>
          <w:rFonts w:ascii="Arial Nova" w:hAnsi="Arial Nova"/>
        </w:rPr>
        <w:t>(</w:t>
      </w:r>
      <w:r w:rsidR="00B838C2" w:rsidRPr="00B838C2">
        <w:rPr>
          <w:rFonts w:ascii="Arial Nova" w:hAnsi="Arial Nova"/>
        </w:rPr>
        <w:t xml:space="preserve">National Geographic 2022). </w:t>
      </w:r>
      <w:r w:rsidR="009C0A64">
        <w:rPr>
          <w:rFonts w:ascii="Arial Nova" w:hAnsi="Arial Nova"/>
        </w:rPr>
        <w:t>A mitigation measure</w:t>
      </w:r>
      <w:r w:rsidRPr="00155909">
        <w:rPr>
          <w:rFonts w:ascii="Arial Nova" w:hAnsi="Arial Nova"/>
        </w:rPr>
        <w:t xml:space="preserve"> </w:t>
      </w:r>
      <w:r w:rsidR="009C0A64">
        <w:rPr>
          <w:rFonts w:ascii="Arial Nova" w:hAnsi="Arial Nova"/>
        </w:rPr>
        <w:t>that could have been implemented is</w:t>
      </w:r>
      <w:r w:rsidRPr="00155909">
        <w:rPr>
          <w:rFonts w:ascii="Arial Nova" w:hAnsi="Arial Nova"/>
        </w:rPr>
        <w:t xml:space="preserve"> ultrasonic deterrents, and reducing turbine speeds during migration periods can minimi</w:t>
      </w:r>
      <w:r w:rsidR="003333A9">
        <w:rPr>
          <w:rFonts w:ascii="Arial Nova" w:hAnsi="Arial Nova"/>
        </w:rPr>
        <w:t>s</w:t>
      </w:r>
      <w:r w:rsidRPr="00155909">
        <w:rPr>
          <w:rFonts w:ascii="Arial Nova" w:hAnsi="Arial Nova"/>
        </w:rPr>
        <w:t>e these impacts but require rigorous wildlife monitoring.</w:t>
      </w:r>
    </w:p>
    <w:p w14:paraId="6201B685" w14:textId="77777777" w:rsidR="00155909" w:rsidRPr="00155909" w:rsidRDefault="004433F3" w:rsidP="00155909">
      <w:pPr>
        <w:rPr>
          <w:rFonts w:ascii="Arial Nova" w:hAnsi="Arial Nova"/>
        </w:rPr>
      </w:pPr>
      <w:r w:rsidRPr="00155909">
        <w:rPr>
          <w:rFonts w:ascii="Arial Nova" w:hAnsi="Arial Nova"/>
        </w:rPr>
        <w:t xml:space="preserve">Finally, medium-level risks such as noise pollution and waste generation still warrant attention. The Kawailoa Wind Farm in Hawaii </w:t>
      </w:r>
      <w:r w:rsidR="004D6472">
        <w:rPr>
          <w:rFonts w:ascii="Arial Nova" w:hAnsi="Arial Nova"/>
        </w:rPr>
        <w:t>demonstrated</w:t>
      </w:r>
      <w:r w:rsidRPr="00155909">
        <w:rPr>
          <w:rFonts w:ascii="Arial Nova" w:hAnsi="Arial Nova"/>
        </w:rPr>
        <w:t xml:space="preserve"> the importance of addressing operational noise impacts on nearby communities, as noise complaints disrupted local </w:t>
      </w:r>
      <w:r w:rsidR="004D6472">
        <w:rPr>
          <w:rFonts w:ascii="Arial Nova" w:hAnsi="Arial Nova"/>
        </w:rPr>
        <w:t>communities</w:t>
      </w:r>
      <w:r w:rsidRPr="00155909">
        <w:rPr>
          <w:rFonts w:ascii="Arial Nova" w:hAnsi="Arial Nova"/>
        </w:rPr>
        <w:t xml:space="preserve"> (</w:t>
      </w:r>
      <w:r w:rsidR="004E6F33">
        <w:rPr>
          <w:rFonts w:ascii="Arial Nova" w:hAnsi="Arial Nova"/>
        </w:rPr>
        <w:t>Nonapua</w:t>
      </w:r>
      <w:r w:rsidRPr="00155909">
        <w:rPr>
          <w:rFonts w:ascii="Arial Nova" w:hAnsi="Arial Nova"/>
        </w:rPr>
        <w:t>, 202</w:t>
      </w:r>
      <w:r w:rsidR="004E6F33">
        <w:rPr>
          <w:rFonts w:ascii="Arial Nova" w:hAnsi="Arial Nova"/>
        </w:rPr>
        <w:t>2</w:t>
      </w:r>
      <w:r w:rsidRPr="00155909">
        <w:rPr>
          <w:rFonts w:ascii="Arial Nova" w:hAnsi="Arial Nova"/>
        </w:rPr>
        <w:t xml:space="preserve">). Addressing these risks through low-noise technology, proper waste disposal, and community engagement can mitigate social impacts and </w:t>
      </w:r>
      <w:r w:rsidRPr="00155909">
        <w:rPr>
          <w:rFonts w:ascii="Arial Nova" w:hAnsi="Arial Nova"/>
        </w:rPr>
        <w:t>foster stakeholder support.</w:t>
      </w:r>
    </w:p>
    <w:p w14:paraId="76C3F3A4" w14:textId="77777777" w:rsidR="009831D3" w:rsidRPr="008C0A0D" w:rsidRDefault="004433F3">
      <w:pPr>
        <w:rPr>
          <w:rStyle w:val="Heading1Char"/>
          <w:rFonts w:ascii="Arial Nova" w:hAnsi="Arial Nova"/>
          <w:color w:val="auto"/>
        </w:rPr>
      </w:pPr>
      <w:r w:rsidRPr="008C0A0D">
        <w:rPr>
          <w:rStyle w:val="Heading1Char"/>
          <w:rFonts w:ascii="Arial Nova" w:hAnsi="Arial Nova"/>
          <w:color w:val="auto"/>
        </w:rPr>
        <w:br w:type="page"/>
      </w:r>
    </w:p>
    <w:p w14:paraId="5666C6EC" w14:textId="77777777" w:rsidR="00474FFD" w:rsidRPr="008C0A0D" w:rsidRDefault="004433F3" w:rsidP="005951F1">
      <w:pPr>
        <w:pStyle w:val="ListParagraph"/>
        <w:numPr>
          <w:ilvl w:val="0"/>
          <w:numId w:val="5"/>
        </w:numPr>
        <w:rPr>
          <w:rFonts w:ascii="Arial Nova" w:hAnsi="Arial Nova"/>
        </w:rPr>
      </w:pPr>
      <w:bookmarkStart w:id="6" w:name="_Toc182753899"/>
      <w:r w:rsidRPr="008C0A0D">
        <w:rPr>
          <w:rStyle w:val="Heading1Char"/>
          <w:rFonts w:ascii="Arial Nova" w:hAnsi="Arial Nova"/>
          <w:color w:val="auto"/>
        </w:rPr>
        <w:lastRenderedPageBreak/>
        <w:t>Conclusions</w:t>
      </w:r>
      <w:bookmarkEnd w:id="6"/>
    </w:p>
    <w:p w14:paraId="3FEA3EC0" w14:textId="77777777" w:rsidR="00A328E9" w:rsidRPr="008C0A0D" w:rsidRDefault="00A328E9" w:rsidP="00A328E9">
      <w:pPr>
        <w:rPr>
          <w:rFonts w:ascii="Arial Nova" w:hAnsi="Arial Nova"/>
        </w:rPr>
      </w:pPr>
    </w:p>
    <w:p w14:paraId="0CD62898" w14:textId="7B83E0FF" w:rsidR="00BA7AAC" w:rsidRPr="00BA7AAC" w:rsidRDefault="00BA7AAC" w:rsidP="00BA7AAC">
      <w:pPr>
        <w:rPr>
          <w:rFonts w:ascii="Arial Nova" w:hAnsi="Arial Nova"/>
        </w:rPr>
      </w:pPr>
      <w:r w:rsidRPr="00BA7AAC">
        <w:rPr>
          <w:rFonts w:ascii="Arial Nova" w:hAnsi="Arial Nova"/>
        </w:rPr>
        <w:t xml:space="preserve">The proposed </w:t>
      </w:r>
      <w:proofErr w:type="spellStart"/>
      <w:r w:rsidRPr="00BA7AAC">
        <w:rPr>
          <w:rFonts w:ascii="Arial Nova" w:hAnsi="Arial Nova"/>
        </w:rPr>
        <w:t>GreenWind</w:t>
      </w:r>
      <w:proofErr w:type="spellEnd"/>
      <w:r w:rsidRPr="00BA7AAC">
        <w:rPr>
          <w:rFonts w:ascii="Arial Nova" w:hAnsi="Arial Nova"/>
        </w:rPr>
        <w:t xml:space="preserve"> Energy Ltd. wind farm has the potential to make a significant contribution to renewable energy targets, supporting the UK's net-zero goals and reducing reliance on fossil fuels. However, its development must carefully address the environmental risks identified during the assessment to align with sustainability and regulatory requirements.</w:t>
      </w:r>
    </w:p>
    <w:p w14:paraId="0EE003D2" w14:textId="390B0806" w:rsidR="00BA7AAC" w:rsidRPr="00BA7AAC" w:rsidRDefault="00BA7AAC" w:rsidP="00BA7AAC">
      <w:pPr>
        <w:rPr>
          <w:rFonts w:ascii="Arial Nova" w:hAnsi="Arial Nova"/>
        </w:rPr>
      </w:pPr>
      <w:r w:rsidRPr="00BA7AAC">
        <w:rPr>
          <w:rFonts w:ascii="Arial Nova" w:hAnsi="Arial Nova"/>
        </w:rPr>
        <w:t>The proximity of the project site to a Site of Special Scientific Interest (SSSI), diverse habitats, and a stream presents critical challenges. Habitat loss and fragmentation</w:t>
      </w:r>
      <w:r>
        <w:rPr>
          <w:rFonts w:ascii="Arial Nova" w:hAnsi="Arial Nova"/>
        </w:rPr>
        <w:t xml:space="preserve"> are</w:t>
      </w:r>
      <w:r w:rsidRPr="00BA7AAC">
        <w:rPr>
          <w:rFonts w:ascii="Arial Nova" w:hAnsi="Arial Nova"/>
        </w:rPr>
        <w:t xml:space="preserve"> </w:t>
      </w:r>
      <w:r>
        <w:rPr>
          <w:rFonts w:ascii="Arial Nova" w:hAnsi="Arial Nova"/>
        </w:rPr>
        <w:t>identified</w:t>
      </w:r>
      <w:r w:rsidRPr="00BA7AAC">
        <w:rPr>
          <w:rFonts w:ascii="Arial Nova" w:hAnsi="Arial Nova"/>
        </w:rPr>
        <w:t xml:space="preserve"> as significant risks, necessitating robust biodiversity surveys, habitat corridors, and conservation offsets. Mitigation measures must be implemented alongside long-term monitoring to ensure effective restoration of ecosystems. Lessons from similar projects underscore the importance of balancing energy goals with ecological preservation to avoid lasting environmental damage.</w:t>
      </w:r>
    </w:p>
    <w:p w14:paraId="42FF5665" w14:textId="70A81ECA" w:rsidR="00BA7AAC" w:rsidRPr="00BA7AAC" w:rsidRDefault="00BA7AAC" w:rsidP="00BA7AAC">
      <w:pPr>
        <w:rPr>
          <w:rFonts w:ascii="Arial Nova" w:hAnsi="Arial Nova"/>
        </w:rPr>
      </w:pPr>
      <w:r w:rsidRPr="00BA7AAC">
        <w:rPr>
          <w:rFonts w:ascii="Arial Nova" w:hAnsi="Arial Nova"/>
        </w:rPr>
        <w:t xml:space="preserve">Risks such as soil erosion and water pollution during construction are also critical, particularly near wetlands and streams. </w:t>
      </w:r>
      <w:r>
        <w:rPr>
          <w:rFonts w:ascii="Arial Nova" w:hAnsi="Arial Nova"/>
        </w:rPr>
        <w:t>Using</w:t>
      </w:r>
      <w:r w:rsidRPr="00BA7AAC">
        <w:rPr>
          <w:rFonts w:ascii="Arial Nova" w:hAnsi="Arial Nova"/>
        </w:rPr>
        <w:t xml:space="preserve"> erosion control measures like silt fences, buffer zones, and replanting vegetation is essential to safeguard aquatic ecosystems and maintain water quality. Drawing on best practices from other wind farms, such as effective ground restoration techniques, can minimise these impacts.</w:t>
      </w:r>
    </w:p>
    <w:p w14:paraId="58A248FE" w14:textId="20D9CCC9" w:rsidR="00BA7AAC" w:rsidRPr="00BA7AAC" w:rsidRDefault="00BA7AAC" w:rsidP="00BA7AAC">
      <w:pPr>
        <w:rPr>
          <w:rFonts w:ascii="Arial Nova" w:hAnsi="Arial Nova"/>
        </w:rPr>
      </w:pPr>
      <w:r w:rsidRPr="00BA7AAC">
        <w:rPr>
          <w:rFonts w:ascii="Arial Nova" w:hAnsi="Arial Nova"/>
        </w:rPr>
        <w:t>Bird and bat collisions, particularly for migratory species, highlight the need for wildlife monitoring technologies and turbine management. Techniques such as adjusting turbine operations during peak migration periods and installing deterrent systems can significantly reduce these risks, as evidenced by challenges faced in similar projects worldwide.</w:t>
      </w:r>
    </w:p>
    <w:p w14:paraId="64D70C1E" w14:textId="77777777" w:rsidR="00BA7AAC" w:rsidRPr="00BA7AAC" w:rsidRDefault="00BA7AAC" w:rsidP="00BA7AAC">
      <w:pPr>
        <w:rPr>
          <w:rFonts w:ascii="Arial Nova" w:hAnsi="Arial Nova"/>
        </w:rPr>
      </w:pPr>
      <w:r w:rsidRPr="00BA7AAC">
        <w:rPr>
          <w:rFonts w:ascii="Arial Nova" w:hAnsi="Arial Nova"/>
        </w:rPr>
        <w:t>Medium-level risks, including noise pollution, traffic impacts on wildlife, and waste generation during decommissioning, also require attention. Employing low-noise machinery, traffic management plans, and proper waste disposal can mitigate these impacts, fostering positive community relations and reducing social disruptions.</w:t>
      </w:r>
    </w:p>
    <w:p w14:paraId="28F8BE8E" w14:textId="0C727420" w:rsidR="00BA7AAC" w:rsidRPr="00BA7AAC" w:rsidRDefault="00BA7AAC" w:rsidP="00BA7AAC">
      <w:pPr>
        <w:rPr>
          <w:rFonts w:ascii="Arial Nova" w:hAnsi="Arial Nova"/>
        </w:rPr>
      </w:pPr>
      <w:r w:rsidRPr="00BA7AAC">
        <w:rPr>
          <w:rFonts w:ascii="Arial Nova" w:hAnsi="Arial Nova"/>
        </w:rPr>
        <w:t xml:space="preserve">The integration of these mitigation strategies demonstrates a commitment to sustainable development while addressing site challenges. The project must incorporate a framework for ongoing environmental monitoring to address impacts throughout its lifecycle. Collaboration with local stakeholders, conservationists, and regulatory bodies will be </w:t>
      </w:r>
      <w:r>
        <w:rPr>
          <w:rFonts w:ascii="Arial Nova" w:hAnsi="Arial Nova"/>
        </w:rPr>
        <w:t>critical</w:t>
      </w:r>
      <w:r w:rsidRPr="00BA7AAC">
        <w:rPr>
          <w:rFonts w:ascii="Arial Nova" w:hAnsi="Arial Nova"/>
        </w:rPr>
        <w:t xml:space="preserve"> in ensuring that the project advances renewable energy objectives without compromising ecolog</w:t>
      </w:r>
      <w:r>
        <w:rPr>
          <w:rFonts w:ascii="Arial Nova" w:hAnsi="Arial Nova"/>
        </w:rPr>
        <w:t>y</w:t>
      </w:r>
      <w:r w:rsidRPr="00BA7AAC">
        <w:rPr>
          <w:rFonts w:ascii="Arial Nova" w:hAnsi="Arial Nova"/>
        </w:rPr>
        <w:t xml:space="preserve"> or community well-being.</w:t>
      </w:r>
    </w:p>
    <w:p w14:paraId="69B31763" w14:textId="77777777" w:rsidR="00BA7AAC" w:rsidRPr="00BA7AAC" w:rsidRDefault="00BA7AAC" w:rsidP="00BA7AAC">
      <w:pPr>
        <w:rPr>
          <w:rFonts w:ascii="Arial Nova" w:hAnsi="Arial Nova"/>
        </w:rPr>
      </w:pPr>
      <w:r w:rsidRPr="00BA7AAC">
        <w:rPr>
          <w:rFonts w:ascii="Arial Nova" w:hAnsi="Arial Nova"/>
        </w:rPr>
        <w:t xml:space="preserve">By implementing the proposed mitigation measures, the </w:t>
      </w:r>
      <w:proofErr w:type="spellStart"/>
      <w:r w:rsidRPr="00BA7AAC">
        <w:rPr>
          <w:rFonts w:ascii="Arial Nova" w:hAnsi="Arial Nova"/>
        </w:rPr>
        <w:t>GreenWind</w:t>
      </w:r>
      <w:proofErr w:type="spellEnd"/>
      <w:r w:rsidRPr="00BA7AAC">
        <w:rPr>
          <w:rFonts w:ascii="Arial Nova" w:hAnsi="Arial Nova"/>
        </w:rPr>
        <w:t xml:space="preserve"> Energy Ltd. wind farm can serve as a model for environmentally responsible renewable energy projects, contributing to climate change mitigation while safeguarding biodiversity and supporting local sustainability efforts.</w:t>
      </w:r>
    </w:p>
    <w:p w14:paraId="06818F8F" w14:textId="2DB4D182" w:rsidR="00474FFD" w:rsidRPr="008C0A0D" w:rsidRDefault="004433F3" w:rsidP="00754E13">
      <w:pPr>
        <w:rPr>
          <w:rFonts w:ascii="Arial Nova" w:eastAsiaTheme="majorEastAsia" w:hAnsi="Arial Nova" w:cstheme="majorBidi"/>
          <w:sz w:val="32"/>
          <w:szCs w:val="32"/>
        </w:rPr>
      </w:pPr>
      <w:r w:rsidRPr="008C0A0D">
        <w:rPr>
          <w:rFonts w:ascii="Arial Nova" w:hAnsi="Arial Nova"/>
        </w:rPr>
        <w:br w:type="page"/>
      </w:r>
    </w:p>
    <w:p w14:paraId="336D139A" w14:textId="77777777" w:rsidR="00474FFD" w:rsidRPr="008C0A0D" w:rsidRDefault="004433F3" w:rsidP="00AD7FE9">
      <w:pPr>
        <w:pStyle w:val="Heading1"/>
        <w:numPr>
          <w:ilvl w:val="0"/>
          <w:numId w:val="5"/>
        </w:numPr>
        <w:rPr>
          <w:rFonts w:ascii="Arial Nova" w:hAnsi="Arial Nova"/>
          <w:color w:val="auto"/>
        </w:rPr>
      </w:pPr>
      <w:r w:rsidRPr="008C0A0D">
        <w:rPr>
          <w:rFonts w:ascii="Arial Nova" w:hAnsi="Arial Nova"/>
          <w:color w:val="auto"/>
        </w:rPr>
        <w:lastRenderedPageBreak/>
        <w:t xml:space="preserve"> </w:t>
      </w:r>
      <w:bookmarkStart w:id="7" w:name="_Toc182753900"/>
      <w:r w:rsidRPr="008C0A0D">
        <w:rPr>
          <w:rFonts w:ascii="Arial Nova" w:hAnsi="Arial Nova"/>
          <w:color w:val="auto"/>
        </w:rPr>
        <w:t>References</w:t>
      </w:r>
      <w:bookmarkEnd w:id="7"/>
    </w:p>
    <w:p w14:paraId="7A95CCB0" w14:textId="77777777" w:rsidR="00474FFD" w:rsidRDefault="00474FFD" w:rsidP="00AD7FE9">
      <w:pPr>
        <w:rPr>
          <w:rFonts w:ascii="Arial Nova" w:eastAsiaTheme="majorEastAsia" w:hAnsi="Arial Nova" w:cstheme="majorBidi"/>
          <w:sz w:val="32"/>
          <w:szCs w:val="32"/>
          <w:lang w:val="en-US"/>
        </w:rPr>
      </w:pPr>
    </w:p>
    <w:p w14:paraId="5FDA82A8" w14:textId="77777777" w:rsidR="00417F43" w:rsidRDefault="004433F3" w:rsidP="008C6525">
      <w:pPr>
        <w:rPr>
          <w:rFonts w:ascii="Arial Nova" w:eastAsiaTheme="majorEastAsia" w:hAnsi="Arial Nova" w:cstheme="majorBidi"/>
          <w:sz w:val="24"/>
          <w:szCs w:val="24"/>
          <w:lang w:val="en-US"/>
        </w:rPr>
      </w:pPr>
      <w:r>
        <w:rPr>
          <w:rFonts w:ascii="Arial Nova" w:eastAsiaTheme="majorEastAsia" w:hAnsi="Arial Nova" w:cstheme="majorBidi"/>
          <w:sz w:val="24"/>
          <w:szCs w:val="24"/>
          <w:lang w:val="en-US"/>
        </w:rPr>
        <w:t>Berwick Bank</w:t>
      </w:r>
      <w:r w:rsidR="008C6525" w:rsidRPr="008C6525">
        <w:rPr>
          <w:rFonts w:ascii="Arial Nova" w:eastAsiaTheme="majorEastAsia" w:hAnsi="Arial Nova" w:cstheme="majorBidi"/>
          <w:sz w:val="24"/>
          <w:szCs w:val="24"/>
          <w:lang w:val="en-US"/>
        </w:rPr>
        <w:t xml:space="preserve"> (2023). </w:t>
      </w:r>
      <w:r w:rsidR="00415070" w:rsidRPr="00415070">
        <w:rPr>
          <w:rFonts w:ascii="Arial Nova" w:eastAsiaTheme="majorEastAsia" w:hAnsi="Arial Nova" w:cstheme="majorBidi"/>
          <w:sz w:val="24"/>
          <w:szCs w:val="24"/>
          <w:lang w:val="en-US"/>
        </w:rPr>
        <w:t>Why we need to safeguard Scotland’s seabirds</w:t>
      </w:r>
      <w:r w:rsidR="008C6525" w:rsidRPr="008C6525">
        <w:rPr>
          <w:rFonts w:ascii="Arial Nova" w:eastAsiaTheme="majorEastAsia" w:hAnsi="Arial Nova" w:cstheme="majorBidi"/>
          <w:sz w:val="24"/>
          <w:szCs w:val="24"/>
          <w:lang w:val="en-US"/>
        </w:rPr>
        <w:t xml:space="preserve">. Available at: </w:t>
      </w:r>
      <w:hyperlink r:id="rId10" w:history="1">
        <w:r w:rsidR="00D9030B" w:rsidRPr="004E36F9">
          <w:rPr>
            <w:rStyle w:val="Hyperlink"/>
            <w:rFonts w:ascii="Arial Nova" w:eastAsiaTheme="majorEastAsia" w:hAnsi="Arial Nova" w:cstheme="majorBidi"/>
            <w:sz w:val="24"/>
            <w:szCs w:val="24"/>
            <w:lang w:val="en-US"/>
          </w:rPr>
          <w:t>https://www.berwickbank.com/news/why-we-need-to-safeguard-seabirds</w:t>
        </w:r>
      </w:hyperlink>
      <w:r w:rsidRPr="00AC17C2">
        <w:rPr>
          <w:rFonts w:ascii="Arial Nova" w:eastAsiaTheme="majorEastAsia" w:hAnsi="Arial Nova" w:cstheme="majorBidi"/>
          <w:sz w:val="24"/>
          <w:szCs w:val="24"/>
        </w:rPr>
        <w:t>[Accessed 15 Nov. 2024]</w:t>
      </w:r>
    </w:p>
    <w:p w14:paraId="5CD357A6" w14:textId="77777777" w:rsidR="00B40243" w:rsidRDefault="004433F3" w:rsidP="008C6525">
      <w:pPr>
        <w:rPr>
          <w:rFonts w:ascii="Arial Nova" w:eastAsiaTheme="majorEastAsia" w:hAnsi="Arial Nova" w:cstheme="majorBidi"/>
          <w:sz w:val="24"/>
          <w:szCs w:val="24"/>
          <w:lang w:val="en-US"/>
        </w:rPr>
      </w:pPr>
      <w:r w:rsidRPr="00B40243">
        <w:rPr>
          <w:rFonts w:ascii="Arial Nova" w:eastAsiaTheme="majorEastAsia" w:hAnsi="Arial Nova" w:cstheme="majorBidi"/>
          <w:sz w:val="24"/>
          <w:szCs w:val="24"/>
          <w:lang w:val="en-US"/>
        </w:rPr>
        <w:t>BVG Associates (2019). Whitelee Wind Farm: 10th Anniversary Report. BVG Associates. Available at: /https://bvgassociates.com/wp-content/uploads/2019/06/BVGA_SPR-Whitelee_10_year_anniversary-r1.pdf</w:t>
      </w:r>
      <w:r w:rsidR="003E2DEF">
        <w:rPr>
          <w:rFonts w:ascii="Arial Nova" w:eastAsiaTheme="majorEastAsia" w:hAnsi="Arial Nova" w:cstheme="majorBidi"/>
          <w:sz w:val="24"/>
          <w:szCs w:val="24"/>
          <w:lang w:val="en-US"/>
        </w:rPr>
        <w:t xml:space="preserve"> </w:t>
      </w:r>
      <w:r w:rsidRPr="00B40243">
        <w:rPr>
          <w:rFonts w:ascii="Arial Nova" w:eastAsiaTheme="majorEastAsia" w:hAnsi="Arial Nova" w:cstheme="majorBidi"/>
          <w:sz w:val="24"/>
          <w:szCs w:val="24"/>
          <w:lang w:val="en-US"/>
        </w:rPr>
        <w:t>[Accessed 15 Nov. 2024]</w:t>
      </w:r>
    </w:p>
    <w:p w14:paraId="32D6555F" w14:textId="77777777" w:rsidR="00B32318" w:rsidRDefault="004433F3" w:rsidP="008C6525">
      <w:pPr>
        <w:rPr>
          <w:rFonts w:ascii="Arial Nova" w:eastAsiaTheme="majorEastAsia" w:hAnsi="Arial Nova" w:cstheme="majorBidi"/>
          <w:sz w:val="24"/>
          <w:szCs w:val="24"/>
        </w:rPr>
      </w:pPr>
      <w:r w:rsidRPr="00B2427C">
        <w:rPr>
          <w:rFonts w:ascii="Arial Nova" w:eastAsiaTheme="majorEastAsia" w:hAnsi="Arial Nova" w:cstheme="majorBidi"/>
          <w:sz w:val="24"/>
          <w:szCs w:val="24"/>
        </w:rPr>
        <w:t>Cowell, R. and Bristow, G. (</w:t>
      </w:r>
      <w:r w:rsidR="00E52881">
        <w:rPr>
          <w:rFonts w:ascii="Arial Nova" w:eastAsiaTheme="majorEastAsia" w:hAnsi="Arial Nova" w:cstheme="majorBidi"/>
          <w:sz w:val="24"/>
          <w:szCs w:val="24"/>
        </w:rPr>
        <w:t>2011</w:t>
      </w:r>
      <w:r w:rsidRPr="00B2427C">
        <w:rPr>
          <w:rFonts w:ascii="Arial Nova" w:eastAsiaTheme="majorEastAsia" w:hAnsi="Arial Nova" w:cstheme="majorBidi"/>
          <w:sz w:val="24"/>
          <w:szCs w:val="24"/>
        </w:rPr>
        <w:t xml:space="preserve">). </w:t>
      </w:r>
      <w:r w:rsidRPr="00B2427C">
        <w:rPr>
          <w:rFonts w:ascii="Arial Nova" w:eastAsiaTheme="majorEastAsia" w:hAnsi="Arial Nova" w:cstheme="majorBidi"/>
          <w:i/>
          <w:iCs/>
          <w:sz w:val="24"/>
          <w:szCs w:val="24"/>
        </w:rPr>
        <w:t>Wind farms in rural areas: How far do community benefits from wind farms represent a local economic development opportunity?</w:t>
      </w:r>
      <w:r w:rsidRPr="00B2427C">
        <w:rPr>
          <w:rFonts w:ascii="Arial Nova" w:eastAsiaTheme="majorEastAsia" w:hAnsi="Arial Nova" w:cstheme="majorBidi"/>
          <w:sz w:val="24"/>
          <w:szCs w:val="24"/>
        </w:rPr>
        <w:t xml:space="preserve"> Available at: </w:t>
      </w:r>
      <w:hyperlink r:id="rId11" w:tgtFrame="_new" w:history="1">
        <w:r w:rsidR="00B32318" w:rsidRPr="00B2427C">
          <w:rPr>
            <w:rStyle w:val="Hyperlink"/>
            <w:rFonts w:ascii="Arial Nova" w:eastAsiaTheme="majorEastAsia" w:hAnsi="Arial Nova" w:cstheme="majorBidi"/>
            <w:sz w:val="24"/>
            <w:szCs w:val="24"/>
          </w:rPr>
          <w:t>https://www.academia.edu/26042882/Wind_farms_in_rural_areas_How_far_do_community_benefits_from_wind_farms_represent_a_local_economic_development_opportunity</w:t>
        </w:r>
      </w:hyperlink>
      <w:r w:rsidRPr="00B2427C">
        <w:rPr>
          <w:rFonts w:ascii="Arial Nova" w:eastAsiaTheme="majorEastAsia" w:hAnsi="Arial Nova" w:cstheme="majorBidi"/>
          <w:sz w:val="24"/>
          <w:szCs w:val="24"/>
        </w:rPr>
        <w:t xml:space="preserve"> [Accessed 17 Nov. 2024].</w:t>
      </w:r>
    </w:p>
    <w:p w14:paraId="6395DDB9" w14:textId="77777777" w:rsidR="00467B12" w:rsidRDefault="004433F3" w:rsidP="008C6525">
      <w:pPr>
        <w:rPr>
          <w:rFonts w:ascii="Arial Nova" w:eastAsiaTheme="majorEastAsia" w:hAnsi="Arial Nova" w:cstheme="majorBidi"/>
          <w:sz w:val="24"/>
          <w:szCs w:val="24"/>
        </w:rPr>
      </w:pPr>
      <w:r w:rsidRPr="00467B12">
        <w:rPr>
          <w:rFonts w:ascii="Arial Nova" w:eastAsiaTheme="majorEastAsia" w:hAnsi="Arial Nova" w:cstheme="majorBidi"/>
          <w:sz w:val="24"/>
          <w:szCs w:val="24"/>
        </w:rPr>
        <w:t xml:space="preserve">Department for Communities and Local Government (2017). </w:t>
      </w:r>
      <w:r w:rsidRPr="00467B12">
        <w:rPr>
          <w:rFonts w:ascii="Arial Nova" w:eastAsiaTheme="majorEastAsia" w:hAnsi="Arial Nova" w:cstheme="majorBidi"/>
          <w:i/>
          <w:iCs/>
          <w:sz w:val="24"/>
          <w:szCs w:val="24"/>
        </w:rPr>
        <w:t>Environmental Impact Assessment: A guide to procedures</w:t>
      </w:r>
      <w:r w:rsidRPr="00467B12">
        <w:rPr>
          <w:rFonts w:ascii="Arial Nova" w:eastAsiaTheme="majorEastAsia" w:hAnsi="Arial Nova" w:cstheme="majorBidi"/>
          <w:sz w:val="24"/>
          <w:szCs w:val="24"/>
        </w:rPr>
        <w:t xml:space="preserve">. Available at: </w:t>
      </w:r>
      <w:hyperlink r:id="rId12" w:tgtFrame="_new" w:history="1">
        <w:r w:rsidR="00467B12" w:rsidRPr="00467B12">
          <w:rPr>
            <w:rStyle w:val="Hyperlink"/>
            <w:rFonts w:ascii="Arial Nova" w:eastAsiaTheme="majorEastAsia" w:hAnsi="Arial Nova" w:cstheme="majorBidi"/>
            <w:sz w:val="24"/>
            <w:szCs w:val="24"/>
          </w:rPr>
          <w:t>https://www.gov.uk/guidance/environmental-impact-assessment</w:t>
        </w:r>
      </w:hyperlink>
      <w:r w:rsidRPr="00467B12">
        <w:rPr>
          <w:rFonts w:ascii="Arial Nova" w:eastAsiaTheme="majorEastAsia" w:hAnsi="Arial Nova" w:cstheme="majorBidi"/>
          <w:sz w:val="24"/>
          <w:szCs w:val="24"/>
        </w:rPr>
        <w:t xml:space="preserve"> [Accessed 17 Nov. 2024].</w:t>
      </w:r>
    </w:p>
    <w:p w14:paraId="0767F59A" w14:textId="77777777" w:rsidR="005D0DE5" w:rsidRDefault="004433F3" w:rsidP="008C6525">
      <w:pPr>
        <w:rPr>
          <w:rFonts w:ascii="Arial Nova" w:eastAsiaTheme="majorEastAsia" w:hAnsi="Arial Nova" w:cstheme="majorBidi"/>
          <w:sz w:val="24"/>
          <w:szCs w:val="24"/>
        </w:rPr>
      </w:pPr>
      <w:r w:rsidRPr="005D0DE5">
        <w:rPr>
          <w:rFonts w:ascii="Arial Nova" w:eastAsiaTheme="majorEastAsia" w:hAnsi="Arial Nova" w:cstheme="majorBidi"/>
          <w:sz w:val="24"/>
          <w:szCs w:val="24"/>
        </w:rPr>
        <w:t xml:space="preserve">Department for Environment, Food &amp; Rural Affairs (DEFRA) (2014). </w:t>
      </w:r>
      <w:r w:rsidRPr="005D0DE5">
        <w:rPr>
          <w:rFonts w:ascii="Arial Nova" w:eastAsiaTheme="majorEastAsia" w:hAnsi="Arial Nova" w:cstheme="majorBidi"/>
          <w:i/>
          <w:iCs/>
          <w:sz w:val="24"/>
          <w:szCs w:val="24"/>
        </w:rPr>
        <w:t>Construction near protected areas and wildlife</w:t>
      </w:r>
      <w:r w:rsidRPr="005D0DE5">
        <w:rPr>
          <w:rFonts w:ascii="Arial Nova" w:eastAsiaTheme="majorEastAsia" w:hAnsi="Arial Nova" w:cstheme="majorBidi"/>
          <w:sz w:val="24"/>
          <w:szCs w:val="24"/>
        </w:rPr>
        <w:t xml:space="preserve">. Available at: </w:t>
      </w:r>
      <w:hyperlink r:id="rId13" w:tgtFrame="_new" w:history="1">
        <w:r w:rsidR="005D0DE5" w:rsidRPr="005D0DE5">
          <w:rPr>
            <w:rStyle w:val="Hyperlink"/>
            <w:rFonts w:ascii="Arial Nova" w:eastAsiaTheme="majorEastAsia" w:hAnsi="Arial Nova" w:cstheme="majorBidi"/>
            <w:sz w:val="24"/>
            <w:szCs w:val="24"/>
          </w:rPr>
          <w:t>https://www.gov.uk/guidance/construction-near-protected-areas-and-wildlife</w:t>
        </w:r>
      </w:hyperlink>
      <w:r w:rsidRPr="005D0DE5">
        <w:rPr>
          <w:rFonts w:ascii="Arial Nova" w:eastAsiaTheme="majorEastAsia" w:hAnsi="Arial Nova" w:cstheme="majorBidi"/>
          <w:sz w:val="24"/>
          <w:szCs w:val="24"/>
        </w:rPr>
        <w:t xml:space="preserve"> [Accessed 17 Nov. 2024].</w:t>
      </w:r>
    </w:p>
    <w:p w14:paraId="3A45BDEF" w14:textId="77777777" w:rsidR="003B7170" w:rsidRDefault="004433F3" w:rsidP="008C6525">
      <w:pPr>
        <w:rPr>
          <w:rFonts w:ascii="Arial Nova" w:eastAsiaTheme="majorEastAsia" w:hAnsi="Arial Nova" w:cstheme="majorBidi"/>
          <w:sz w:val="24"/>
          <w:szCs w:val="24"/>
          <w:lang w:val="en-US"/>
        </w:rPr>
      </w:pPr>
      <w:r w:rsidRPr="003B7170">
        <w:rPr>
          <w:rFonts w:ascii="Arial Nova" w:eastAsiaTheme="majorEastAsia" w:hAnsi="Arial Nova" w:cstheme="majorBidi"/>
          <w:sz w:val="24"/>
          <w:szCs w:val="24"/>
          <w:lang w:val="en-US"/>
        </w:rPr>
        <w:t xml:space="preserve">Health Protection Agency (2010). Health Effects of Exposure to Ultrasound and Infrasound: Report of the Independent Advisory Group on Non-ionising Radiation. Available at: </w:t>
      </w:r>
      <w:hyperlink r:id="rId14" w:history="1">
        <w:r w:rsidR="003B7170" w:rsidRPr="004E36F9">
          <w:rPr>
            <w:rStyle w:val="Hyperlink"/>
            <w:rFonts w:ascii="Arial Nova" w:eastAsiaTheme="majorEastAsia" w:hAnsi="Arial Nova" w:cstheme="majorBidi"/>
            <w:sz w:val="24"/>
            <w:szCs w:val="24"/>
            <w:lang w:val="en-US"/>
          </w:rPr>
          <w:t>https://www.gov.uk/government/publications/ultrasound-and-infrasound-health-effects-from-exposure</w:t>
        </w:r>
      </w:hyperlink>
      <w:r w:rsidRPr="003B7170">
        <w:rPr>
          <w:rFonts w:ascii="Arial Nova" w:eastAsiaTheme="majorEastAsia" w:hAnsi="Arial Nova" w:cstheme="majorBidi"/>
          <w:sz w:val="24"/>
          <w:szCs w:val="24"/>
          <w:lang w:val="en-US"/>
        </w:rPr>
        <w:t xml:space="preserve"> [Accessed 17 Nov. 2024].</w:t>
      </w:r>
    </w:p>
    <w:p w14:paraId="20943B04" w14:textId="77777777" w:rsidR="00DE16A7" w:rsidRDefault="004433F3" w:rsidP="008C6525">
      <w:pPr>
        <w:rPr>
          <w:rFonts w:ascii="Arial Nova" w:eastAsiaTheme="majorEastAsia" w:hAnsi="Arial Nova" w:cstheme="majorBidi"/>
          <w:sz w:val="24"/>
          <w:szCs w:val="24"/>
          <w:lang w:val="en-US"/>
        </w:rPr>
      </w:pPr>
      <w:r w:rsidRPr="00DE16A7">
        <w:rPr>
          <w:rFonts w:ascii="Arial Nova" w:eastAsiaTheme="majorEastAsia" w:hAnsi="Arial Nova" w:cstheme="majorBidi"/>
          <w:sz w:val="24"/>
          <w:szCs w:val="24"/>
        </w:rPr>
        <w:t>International Organi</w:t>
      </w:r>
      <w:r w:rsidR="009347B7">
        <w:rPr>
          <w:rFonts w:ascii="Arial Nova" w:eastAsiaTheme="majorEastAsia" w:hAnsi="Arial Nova" w:cstheme="majorBidi"/>
          <w:sz w:val="24"/>
          <w:szCs w:val="24"/>
        </w:rPr>
        <w:t>s</w:t>
      </w:r>
      <w:r w:rsidRPr="00DE16A7">
        <w:rPr>
          <w:rFonts w:ascii="Arial Nova" w:eastAsiaTheme="majorEastAsia" w:hAnsi="Arial Nova" w:cstheme="majorBidi"/>
          <w:sz w:val="24"/>
          <w:szCs w:val="24"/>
        </w:rPr>
        <w:t>ation for Standardi</w:t>
      </w:r>
      <w:r w:rsidR="009347B7">
        <w:rPr>
          <w:rFonts w:ascii="Arial Nova" w:eastAsiaTheme="majorEastAsia" w:hAnsi="Arial Nova" w:cstheme="majorBidi"/>
          <w:sz w:val="24"/>
          <w:szCs w:val="24"/>
        </w:rPr>
        <w:t>s</w:t>
      </w:r>
      <w:r w:rsidRPr="00DE16A7">
        <w:rPr>
          <w:rFonts w:ascii="Arial Nova" w:eastAsiaTheme="majorEastAsia" w:hAnsi="Arial Nova" w:cstheme="majorBidi"/>
          <w:sz w:val="24"/>
          <w:szCs w:val="24"/>
        </w:rPr>
        <w:t xml:space="preserve">ation (2015) </w:t>
      </w:r>
      <w:r w:rsidRPr="00DE16A7">
        <w:rPr>
          <w:rFonts w:ascii="Arial Nova" w:eastAsiaTheme="majorEastAsia" w:hAnsi="Arial Nova" w:cstheme="majorBidi"/>
          <w:i/>
          <w:iCs/>
          <w:sz w:val="24"/>
          <w:szCs w:val="24"/>
        </w:rPr>
        <w:t>Environmental management systems – Requirements with guidance for use (ISO 14001:2015)</w:t>
      </w:r>
      <w:r w:rsidRPr="00DE16A7">
        <w:rPr>
          <w:rFonts w:ascii="Arial Nova" w:eastAsiaTheme="majorEastAsia" w:hAnsi="Arial Nova" w:cstheme="majorBidi"/>
          <w:sz w:val="24"/>
          <w:szCs w:val="24"/>
        </w:rPr>
        <w:t>. Geneva: ISO.</w:t>
      </w:r>
    </w:p>
    <w:p w14:paraId="71A8BCFA" w14:textId="77777777" w:rsidR="00E86032" w:rsidRDefault="004433F3" w:rsidP="008C6525">
      <w:pPr>
        <w:rPr>
          <w:rFonts w:ascii="Arial Nova" w:eastAsiaTheme="majorEastAsia" w:hAnsi="Arial Nova" w:cstheme="majorBidi"/>
          <w:sz w:val="24"/>
          <w:szCs w:val="24"/>
          <w:lang w:val="en-US"/>
        </w:rPr>
      </w:pPr>
      <w:r w:rsidRPr="00E86032">
        <w:rPr>
          <w:rFonts w:ascii="Arial Nova" w:eastAsiaTheme="majorEastAsia" w:hAnsi="Arial Nova" w:cstheme="majorBidi"/>
          <w:sz w:val="24"/>
          <w:szCs w:val="24"/>
          <w:lang w:val="en-US"/>
        </w:rPr>
        <w:t xml:space="preserve">Local Government Association (n.d.). </w:t>
      </w:r>
      <w:r w:rsidRPr="0060476D">
        <w:rPr>
          <w:rFonts w:ascii="Arial Nova" w:eastAsiaTheme="majorEastAsia" w:hAnsi="Arial Nova" w:cstheme="majorBidi"/>
          <w:i/>
          <w:iCs/>
          <w:sz w:val="24"/>
          <w:szCs w:val="24"/>
          <w:lang w:val="en-US"/>
        </w:rPr>
        <w:t>Benefits and potential impacts of wind energy</w:t>
      </w:r>
      <w:r w:rsidRPr="00E86032">
        <w:rPr>
          <w:rFonts w:ascii="Arial Nova" w:eastAsiaTheme="majorEastAsia" w:hAnsi="Arial Nova" w:cstheme="majorBidi"/>
          <w:sz w:val="24"/>
          <w:szCs w:val="24"/>
          <w:lang w:val="en-US"/>
        </w:rPr>
        <w:t xml:space="preserve">. Available at: </w:t>
      </w:r>
      <w:hyperlink r:id="rId15" w:history="1">
        <w:r w:rsidR="0060476D" w:rsidRPr="004E36F9">
          <w:rPr>
            <w:rStyle w:val="Hyperlink"/>
            <w:rFonts w:ascii="Arial Nova" w:eastAsiaTheme="majorEastAsia" w:hAnsi="Arial Nova" w:cstheme="majorBidi"/>
            <w:sz w:val="24"/>
            <w:szCs w:val="24"/>
            <w:lang w:val="en-US"/>
          </w:rPr>
          <w:t>https://www.local.gov.uk/benefits-and-potential-impacts-wind-energy</w:t>
        </w:r>
      </w:hyperlink>
      <w:r w:rsidR="003B7170">
        <w:rPr>
          <w:rFonts w:ascii="Arial Nova" w:eastAsiaTheme="majorEastAsia" w:hAnsi="Arial Nova" w:cstheme="majorBidi"/>
          <w:sz w:val="24"/>
          <w:szCs w:val="24"/>
          <w:lang w:val="en-US"/>
        </w:rPr>
        <w:t xml:space="preserve"> </w:t>
      </w:r>
      <w:r w:rsidR="0060476D">
        <w:rPr>
          <w:rFonts w:ascii="Arial Nova" w:eastAsiaTheme="majorEastAsia" w:hAnsi="Arial Nova" w:cstheme="majorBidi"/>
          <w:sz w:val="24"/>
          <w:szCs w:val="24"/>
          <w:lang w:val="en-US"/>
        </w:rPr>
        <w:t>[</w:t>
      </w:r>
      <w:r w:rsidRPr="00E86032">
        <w:rPr>
          <w:rFonts w:ascii="Arial Nova" w:eastAsiaTheme="majorEastAsia" w:hAnsi="Arial Nova" w:cstheme="majorBidi"/>
          <w:sz w:val="24"/>
          <w:szCs w:val="24"/>
          <w:lang w:val="en-US"/>
        </w:rPr>
        <w:t>Accessed 17 Nov. 2024].</w:t>
      </w:r>
    </w:p>
    <w:p w14:paraId="7166A952" w14:textId="77777777" w:rsidR="00B838C2" w:rsidRDefault="004433F3" w:rsidP="008C6525">
      <w:pPr>
        <w:rPr>
          <w:rFonts w:ascii="Arial Nova" w:eastAsiaTheme="majorEastAsia" w:hAnsi="Arial Nova" w:cstheme="majorBidi"/>
          <w:sz w:val="24"/>
          <w:szCs w:val="24"/>
        </w:rPr>
      </w:pPr>
      <w:r w:rsidRPr="00B838C2">
        <w:rPr>
          <w:rFonts w:ascii="Arial Nova" w:eastAsiaTheme="majorEastAsia" w:hAnsi="Arial Nova" w:cstheme="majorBidi"/>
          <w:sz w:val="24"/>
          <w:szCs w:val="24"/>
        </w:rPr>
        <w:t xml:space="preserve">National Geographic (2022). </w:t>
      </w:r>
      <w:r w:rsidRPr="00B838C2">
        <w:rPr>
          <w:rFonts w:ascii="Arial Nova" w:eastAsiaTheme="majorEastAsia" w:hAnsi="Arial Nova" w:cstheme="majorBidi"/>
          <w:i/>
          <w:iCs/>
          <w:sz w:val="24"/>
          <w:szCs w:val="24"/>
        </w:rPr>
        <w:t>Wind farm faces fine over golden eagle deaths</w:t>
      </w:r>
      <w:r w:rsidRPr="00B838C2">
        <w:rPr>
          <w:rFonts w:ascii="Arial Nova" w:eastAsiaTheme="majorEastAsia" w:hAnsi="Arial Nova" w:cstheme="majorBidi"/>
          <w:sz w:val="24"/>
          <w:szCs w:val="24"/>
        </w:rPr>
        <w:t xml:space="preserve">. Available at: </w:t>
      </w:r>
      <w:hyperlink r:id="rId16" w:tgtFrame="_new" w:history="1">
        <w:r w:rsidR="00B838C2" w:rsidRPr="00B838C2">
          <w:rPr>
            <w:rStyle w:val="Hyperlink"/>
            <w:rFonts w:ascii="Arial Nova" w:eastAsiaTheme="majorEastAsia" w:hAnsi="Arial Nova" w:cstheme="majorBidi"/>
            <w:sz w:val="24"/>
            <w:szCs w:val="24"/>
          </w:rPr>
          <w:t>https://www.nationalgeographic.com/environment/article/wind-farm-faces-fine-over-golden-eagles-death</w:t>
        </w:r>
      </w:hyperlink>
      <w:r w:rsidRPr="00B838C2">
        <w:rPr>
          <w:rFonts w:ascii="Arial Nova" w:eastAsiaTheme="majorEastAsia" w:hAnsi="Arial Nova" w:cstheme="majorBidi"/>
          <w:sz w:val="24"/>
          <w:szCs w:val="24"/>
        </w:rPr>
        <w:t xml:space="preserve"> [Accessed 15 Nov. 2024].</w:t>
      </w:r>
    </w:p>
    <w:p w14:paraId="0A7A9B37" w14:textId="77777777" w:rsidR="00151A6C" w:rsidRDefault="004433F3" w:rsidP="00AC17C2">
      <w:pPr>
        <w:rPr>
          <w:rFonts w:ascii="Arial Nova" w:eastAsiaTheme="majorEastAsia" w:hAnsi="Arial Nova" w:cstheme="majorBidi"/>
          <w:sz w:val="24"/>
          <w:szCs w:val="24"/>
        </w:rPr>
      </w:pPr>
      <w:r w:rsidRPr="00AC17C2">
        <w:rPr>
          <w:rFonts w:ascii="Arial Nova" w:eastAsiaTheme="majorEastAsia" w:hAnsi="Arial Nova" w:cstheme="majorBidi"/>
          <w:sz w:val="24"/>
          <w:szCs w:val="24"/>
        </w:rPr>
        <w:t xml:space="preserve">Nonapua (2022). </w:t>
      </w:r>
      <w:r w:rsidR="00332D50" w:rsidRPr="00332D50">
        <w:rPr>
          <w:rFonts w:ascii="Arial Nova" w:eastAsiaTheme="majorEastAsia" w:hAnsi="Arial Nova" w:cstheme="majorBidi"/>
          <w:i/>
          <w:iCs/>
          <w:sz w:val="24"/>
          <w:szCs w:val="24"/>
        </w:rPr>
        <w:t>Honolulu Approves Most Dangerous Wind Farm In United States</w:t>
      </w:r>
      <w:r w:rsidRPr="00AC17C2">
        <w:rPr>
          <w:rFonts w:ascii="Arial Nova" w:eastAsiaTheme="majorEastAsia" w:hAnsi="Arial Nova" w:cstheme="majorBidi"/>
          <w:sz w:val="24"/>
          <w:szCs w:val="24"/>
        </w:rPr>
        <w:t>. Available at:</w:t>
      </w:r>
      <w:r w:rsidR="0060476D">
        <w:rPr>
          <w:rFonts w:ascii="Arial Nova" w:eastAsiaTheme="majorEastAsia" w:hAnsi="Arial Nova" w:cstheme="majorBidi"/>
          <w:sz w:val="24"/>
          <w:szCs w:val="24"/>
        </w:rPr>
        <w:t xml:space="preserve"> </w:t>
      </w:r>
      <w:r w:rsidRPr="00AC17C2">
        <w:rPr>
          <w:rFonts w:ascii="Arial Nova" w:eastAsiaTheme="majorEastAsia" w:hAnsi="Arial Nova" w:cstheme="majorBidi"/>
          <w:sz w:val="24"/>
          <w:szCs w:val="24"/>
        </w:rPr>
        <w:t>[</w:t>
      </w:r>
      <w:hyperlink r:id="rId17" w:anchor=":~" w:tgtFrame="_new" w:history="1">
        <w:r w:rsidR="00151A6C" w:rsidRPr="00AC17C2">
          <w:rPr>
            <w:rStyle w:val="Hyperlink"/>
            <w:rFonts w:ascii="Arial Nova" w:eastAsiaTheme="majorEastAsia" w:hAnsi="Arial Nova" w:cstheme="majorBidi"/>
            <w:sz w:val="24"/>
            <w:szCs w:val="24"/>
          </w:rPr>
          <w:t>https://nonapua.com/#:~</w:t>
        </w:r>
      </w:hyperlink>
      <w:r w:rsidRPr="00AC17C2">
        <w:rPr>
          <w:rFonts w:ascii="Arial Nova" w:eastAsiaTheme="majorEastAsia" w:hAnsi="Arial Nova" w:cstheme="majorBidi"/>
          <w:sz w:val="24"/>
          <w:szCs w:val="24"/>
        </w:rPr>
        <w:t>=In%20Kahuku%20and%20Kawailoa%20(within,levels%20of</w:t>
      </w:r>
      <w:r w:rsidRPr="00AC17C2">
        <w:rPr>
          <w:rFonts w:ascii="Arial Nova" w:eastAsiaTheme="majorEastAsia" w:hAnsi="Arial Nova" w:cstheme="majorBidi"/>
          <w:sz w:val="24"/>
          <w:szCs w:val="24"/>
        </w:rPr>
        <w:lastRenderedPageBreak/>
        <w:t>%20low%2Dfrequency%20sound.](</w:t>
      </w:r>
      <w:hyperlink r:id="rId18" w:anchor=":~:text=In%20Kahuku%20and%20Kawailoa%20(within,levels%20of%20low%2Dfrequency%20sound" w:tgtFrame="_new" w:history="1">
        <w:r w:rsidR="00151A6C" w:rsidRPr="00AC17C2">
          <w:rPr>
            <w:rStyle w:val="Hyperlink"/>
            <w:rFonts w:ascii="Arial Nova" w:eastAsiaTheme="majorEastAsia" w:hAnsi="Arial Nova" w:cstheme="majorBidi"/>
            <w:sz w:val="24"/>
            <w:szCs w:val="24"/>
          </w:rPr>
          <w:t>https://nonapua.com/#:~:text=In%20Kahuku%20and%20Kawailoa%20(within,levels%20of%20low%2Dfrequency%20sound</w:t>
        </w:r>
      </w:hyperlink>
      <w:r w:rsidRPr="00AC17C2">
        <w:rPr>
          <w:rFonts w:ascii="Arial Nova" w:eastAsiaTheme="majorEastAsia" w:hAnsi="Arial Nova" w:cstheme="majorBidi"/>
          <w:sz w:val="24"/>
          <w:szCs w:val="24"/>
        </w:rPr>
        <w:t>.) [Accessed 15 Nov. 2024]</w:t>
      </w:r>
    </w:p>
    <w:p w14:paraId="1CA13A2A" w14:textId="77777777" w:rsidR="00995620" w:rsidRDefault="004433F3" w:rsidP="00AC17C2">
      <w:pPr>
        <w:rPr>
          <w:rFonts w:ascii="Arial Nova" w:eastAsiaTheme="majorEastAsia" w:hAnsi="Arial Nova" w:cstheme="majorBidi"/>
          <w:sz w:val="24"/>
          <w:szCs w:val="24"/>
        </w:rPr>
      </w:pPr>
      <w:r w:rsidRPr="00995620">
        <w:rPr>
          <w:rFonts w:ascii="Arial Nova" w:eastAsiaTheme="majorEastAsia" w:hAnsi="Arial Nova" w:cstheme="majorBidi"/>
          <w:sz w:val="24"/>
          <w:szCs w:val="24"/>
        </w:rPr>
        <w:t>Thaxter, C.B</w:t>
      </w:r>
      <w:r>
        <w:rPr>
          <w:rFonts w:ascii="Arial Nova" w:eastAsiaTheme="majorEastAsia" w:hAnsi="Arial Nova" w:cstheme="majorBidi"/>
          <w:sz w:val="24"/>
          <w:szCs w:val="24"/>
        </w:rPr>
        <w:t xml:space="preserve"> et al</w:t>
      </w:r>
      <w:r w:rsidRPr="00995620">
        <w:rPr>
          <w:rFonts w:ascii="Arial Nova" w:eastAsiaTheme="majorEastAsia" w:hAnsi="Arial Nova" w:cstheme="majorBidi"/>
          <w:sz w:val="24"/>
          <w:szCs w:val="24"/>
        </w:rPr>
        <w:t xml:space="preserve">. (2017). </w:t>
      </w:r>
      <w:r w:rsidRPr="00995620">
        <w:rPr>
          <w:rFonts w:ascii="Arial Nova" w:eastAsiaTheme="majorEastAsia" w:hAnsi="Arial Nova" w:cstheme="majorBidi"/>
          <w:i/>
          <w:iCs/>
          <w:sz w:val="24"/>
          <w:szCs w:val="24"/>
        </w:rPr>
        <w:t>A trait-based assessment revealed bird and bat species' global vulnerability to collision mortality at wind farms</w:t>
      </w:r>
      <w:r w:rsidRPr="00995620">
        <w:rPr>
          <w:rFonts w:ascii="Arial Nova" w:eastAsiaTheme="majorEastAsia" w:hAnsi="Arial Nova" w:cstheme="majorBidi"/>
          <w:sz w:val="24"/>
          <w:szCs w:val="24"/>
        </w:rPr>
        <w:t xml:space="preserve">. Proceedings of the Royal Society B: Biological Sciences. Available at: </w:t>
      </w:r>
      <w:hyperlink r:id="rId19" w:history="1">
        <w:r w:rsidR="00995620" w:rsidRPr="004E36F9">
          <w:rPr>
            <w:rStyle w:val="Hyperlink"/>
            <w:rFonts w:ascii="Arial Nova" w:eastAsiaTheme="majorEastAsia" w:hAnsi="Arial Nova" w:cstheme="majorBidi"/>
            <w:sz w:val="24"/>
            <w:szCs w:val="24"/>
          </w:rPr>
          <w:t>https://royalsocietypublishing.org/doi/pdf/10.1098/rspb.2017.0829</w:t>
        </w:r>
      </w:hyperlink>
      <w:r>
        <w:rPr>
          <w:rFonts w:ascii="Arial Nova" w:eastAsiaTheme="majorEastAsia" w:hAnsi="Arial Nova" w:cstheme="majorBidi"/>
          <w:sz w:val="24"/>
          <w:szCs w:val="24"/>
        </w:rPr>
        <w:t xml:space="preserve"> </w:t>
      </w:r>
      <w:r w:rsidRPr="00995620">
        <w:rPr>
          <w:rFonts w:ascii="Arial Nova" w:eastAsiaTheme="majorEastAsia" w:hAnsi="Arial Nova" w:cstheme="majorBidi"/>
          <w:sz w:val="24"/>
          <w:szCs w:val="24"/>
        </w:rPr>
        <w:t>[Accessed 17 Nov. 2024].</w:t>
      </w:r>
    </w:p>
    <w:p w14:paraId="70412509" w14:textId="77777777" w:rsidR="009C69C3" w:rsidRPr="008C6525" w:rsidRDefault="004433F3" w:rsidP="009C69C3">
      <w:pPr>
        <w:rPr>
          <w:rFonts w:ascii="Arial Nova" w:eastAsiaTheme="majorEastAsia" w:hAnsi="Arial Nova" w:cstheme="majorBidi"/>
          <w:sz w:val="24"/>
          <w:szCs w:val="24"/>
          <w:lang w:val="en-US"/>
        </w:rPr>
      </w:pPr>
      <w:r w:rsidRPr="008C6525">
        <w:rPr>
          <w:rFonts w:ascii="Arial Nova" w:eastAsiaTheme="majorEastAsia" w:hAnsi="Arial Nova" w:cstheme="majorBidi"/>
          <w:sz w:val="24"/>
          <w:szCs w:val="24"/>
          <w:lang w:val="en-US"/>
        </w:rPr>
        <w:t xml:space="preserve">The Times (2021). A peat slide near a wind farm caused permanent environmental damage. Available at: </w:t>
      </w:r>
      <w:hyperlink r:id="rId20" w:history="1">
        <w:r w:rsidR="009C69C3" w:rsidRPr="004E36F9">
          <w:rPr>
            <w:rStyle w:val="Hyperlink"/>
            <w:rFonts w:ascii="Arial Nova" w:eastAsiaTheme="majorEastAsia" w:hAnsi="Arial Nova" w:cstheme="majorBidi"/>
            <w:sz w:val="24"/>
            <w:szCs w:val="24"/>
            <w:lang w:val="en-US"/>
          </w:rPr>
          <w:t>https://www.thetimes.co.uk/article/peat-slide-near-wind-farm-caused-permanent-environmental-damage-rckkhxk2l</w:t>
        </w:r>
      </w:hyperlink>
      <w:r w:rsidRPr="00AC17C2">
        <w:rPr>
          <w:rFonts w:ascii="Arial Nova" w:eastAsiaTheme="majorEastAsia" w:hAnsi="Arial Nova" w:cstheme="majorBidi"/>
          <w:sz w:val="24"/>
          <w:szCs w:val="24"/>
        </w:rPr>
        <w:t xml:space="preserve"> [Accessed 15 Nov. 2024]</w:t>
      </w:r>
    </w:p>
    <w:p w14:paraId="0E36CAED" w14:textId="77777777" w:rsidR="009C69C3" w:rsidRPr="00AC17C2" w:rsidRDefault="009C69C3" w:rsidP="00AC17C2">
      <w:pPr>
        <w:rPr>
          <w:rFonts w:ascii="Arial Nova" w:eastAsiaTheme="majorEastAsia" w:hAnsi="Arial Nova" w:cstheme="majorBidi"/>
          <w:sz w:val="24"/>
          <w:szCs w:val="24"/>
        </w:rPr>
      </w:pPr>
    </w:p>
    <w:sectPr w:rsidR="009C69C3" w:rsidRPr="00AC17C2" w:rsidSect="00C86DEB">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5897CA" w14:textId="77777777" w:rsidR="00A76EA9" w:rsidRDefault="00A76EA9">
      <w:pPr>
        <w:spacing w:after="0" w:line="240" w:lineRule="auto"/>
      </w:pPr>
      <w:r>
        <w:separator/>
      </w:r>
    </w:p>
  </w:endnote>
  <w:endnote w:type="continuationSeparator" w:id="0">
    <w:p w14:paraId="2B50EA2C" w14:textId="77777777" w:rsidR="00A76EA9" w:rsidRDefault="00A76E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ova">
    <w:charset w:val="00"/>
    <w:family w:val="swiss"/>
    <w:pitch w:val="variable"/>
    <w:sig w:usb0="0000028F" w:usb1="00000002"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3052974"/>
      <w:docPartObj>
        <w:docPartGallery w:val="Page Numbers (Bottom of Page)"/>
        <w:docPartUnique/>
      </w:docPartObj>
    </w:sdtPr>
    <w:sdtEndPr/>
    <w:sdtContent>
      <w:p w14:paraId="60161FA5" w14:textId="77777777" w:rsidR="00A67037" w:rsidRPr="008C0A0D" w:rsidRDefault="004433F3">
        <w:pPr>
          <w:pStyle w:val="Footer"/>
        </w:pPr>
        <w:r w:rsidRPr="008C0A0D">
          <w:rPr>
            <w:noProof/>
          </w:rPr>
          <mc:AlternateContent>
            <mc:Choice Requires="wpg">
              <w:drawing>
                <wp:anchor distT="0" distB="0" distL="114300" distR="114300" simplePos="0" relativeHeight="251658240" behindDoc="0" locked="0" layoutInCell="1" allowOverlap="1" wp14:anchorId="47A02B9B" wp14:editId="66B5B0E6">
                  <wp:simplePos x="0" y="0"/>
                  <wp:positionH relativeFrom="page">
                    <wp:align>center</wp:align>
                  </wp:positionH>
                  <wp:positionV relativeFrom="bottomMargin">
                    <wp:align>center</wp:align>
                  </wp:positionV>
                  <wp:extent cx="7560310" cy="190500"/>
                  <wp:effectExtent l="0" t="0" r="0" b="0"/>
                  <wp:wrapNone/>
                  <wp:docPr id="1" name="Group 1"/>
                  <wp:cNvGraphicFramePr/>
                  <a:graphic xmlns:a="http://schemas.openxmlformats.org/drawingml/2006/main">
                    <a:graphicData uri="http://schemas.microsoft.com/office/word/2010/wordprocessingGroup">
                      <wpg:wgp>
                        <wpg:cNvGrpSpPr/>
                        <wpg:grpSpPr>
                          <a:xfrm>
                            <a:off x="0" y="0"/>
                            <a:ext cx="7560310" cy="190500"/>
                            <a:chOff x="0" y="14970"/>
                            <a:chExt cx="12255" cy="300"/>
                          </a:xfrm>
                        </wpg:grpSpPr>
                        <wps:wsp>
                          <wps:cNvPr id="3"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504E5B" w14:textId="77777777" w:rsidR="00A67037" w:rsidRPr="008C0A0D" w:rsidRDefault="004433F3">
                                <w:pPr>
                                  <w:jc w:val="center"/>
                                </w:pPr>
                                <w:r w:rsidRPr="008C0A0D">
                                  <w:fldChar w:fldCharType="begin"/>
                                </w:r>
                                <w:r w:rsidRPr="008C0A0D">
                                  <w:instrText xml:space="preserve"> PAGE    \* MERGEFORMAT </w:instrText>
                                </w:r>
                                <w:r w:rsidRPr="008C0A0D">
                                  <w:fldChar w:fldCharType="separate"/>
                                </w:r>
                                <w:r w:rsidRPr="008C0A0D">
                                  <w:rPr>
                                    <w:color w:val="8C8C8C" w:themeColor="background1" w:themeShade="8C"/>
                                  </w:rPr>
                                  <w:t>2</w:t>
                                </w:r>
                                <w:r w:rsidRPr="008C0A0D">
                                  <w:rPr>
                                    <w:color w:val="8C8C8C" w:themeColor="background1" w:themeShade="8C"/>
                                  </w:rPr>
                                  <w:fldChar w:fldCharType="end"/>
                                </w:r>
                              </w:p>
                            </w:txbxContent>
                          </wps:txbx>
                          <wps:bodyPr rot="0" vert="horz" wrap="square" lIns="0" tIns="0" rIns="0" bIns="0" anchor="t" anchorCtr="0" upright="1"/>
                        </wps:wsp>
                        <wpg:grpSp>
                          <wpg:cNvPr id="4" name="Group 31"/>
                          <wpg:cNvGrpSpPr/>
                          <wpg:grpSpPr>
                            <a:xfrm flipH="1">
                              <a:off x="0" y="14970"/>
                              <a:ext cx="12255" cy="230"/>
                              <a:chOff x="-8" y="14978"/>
                              <a:chExt cx="12255" cy="230"/>
                            </a:xfrm>
                          </wpg:grpSpPr>
                          <wps:wsp>
                            <wps:cNvPr id="5"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6"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id="Group 1" o:spid="_x0000_s2049" style="width:595.3pt;height:15pt;margin-top:0;margin-left:0;mso-position-horizontal:center;mso-position-horizontal-relative:page;mso-position-vertical:center;mso-position-vertical-relative:bottom-margin-area;mso-width-percent:1000;position:absolute;z-index:251659264" coordorigin="0,14970" coordsize="12255,300">
                  <v:shapetype id="_x0000_t202" coordsize="21600,21600" o:spt="202" path="m,l,21600r21600,l21600,xe">
                    <v:stroke joinstyle="miter"/>
                    <v:path gradientshapeok="t" o:connecttype="rect"/>
                  </v:shapetype>
                  <v:shape id="Text Box 25" o:spid="_x0000_s2050" type="#_x0000_t202" style="width:659;height:288;left:10803;mso-wrap-style:square;position:absolute;top:14982;visibility:visible;v-text-anchor:top" filled="f" stroked="f">
                    <v:textbox inset="0,0,0,0">
                      <w:txbxContent>
                        <w:p w:rsidR="00A67037" w:rsidRPr="008C0A0D" w14:paraId="5B26DE38" w14:textId="77777777">
                          <w:pPr>
                            <w:jc w:val="center"/>
                          </w:pPr>
                          <w:r w:rsidRPr="008C0A0D">
                            <w:fldChar w:fldCharType="begin"/>
                          </w:r>
                          <w:r w:rsidRPr="008C0A0D">
                            <w:instrText xml:space="preserve"> PAGE    \* MERGEFORMAT </w:instrText>
                          </w:r>
                          <w:r w:rsidRPr="008C0A0D">
                            <w:fldChar w:fldCharType="separate"/>
                          </w:r>
                          <w:r w:rsidRPr="008C0A0D">
                            <w:rPr>
                              <w:color w:val="8C8C8C" w:themeColor="background1" w:themeShade="8C"/>
                            </w:rPr>
                            <w:t>2</w:t>
                          </w:r>
                          <w:r w:rsidRPr="008C0A0D">
                            <w:rPr>
                              <w:color w:val="8C8C8C" w:themeColor="background1" w:themeShade="8C"/>
                            </w:rPr>
                            <w:fldChar w:fldCharType="end"/>
                          </w:r>
                        </w:p>
                      </w:txbxContent>
                    </v:textbox>
                  </v:shape>
                  <v:group id="Group 31" o:spid="_x0000_s2051" style="width:12255;height:230;flip:x;position:absolute;top:14970" coordorigin="-8,14978" coordsize="12255,23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2052" type="#_x0000_t34" style="width:1260;height:230;flip:y;left:-8;mso-wrap-style:square;position:absolute;top:14978;visibility:visible" o:connectortype="elbow" strokecolor="#a5a5a5"/>
                    <v:shape id="AutoShape 28" o:spid="_x0000_s2053" type="#_x0000_t34" style="width:10995;height:230;left:1252;mso-wrap-style:square;position:absolute;rotation:180;top:14978;visibility:visible" o:connectortype="elbow" adj="20904" strokecolor="#a5a5a5"/>
                  </v:group>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2062F8" w14:textId="77777777" w:rsidR="00A76EA9" w:rsidRDefault="00A76EA9">
      <w:pPr>
        <w:spacing w:after="0" w:line="240" w:lineRule="auto"/>
      </w:pPr>
      <w:r>
        <w:separator/>
      </w:r>
    </w:p>
  </w:footnote>
  <w:footnote w:type="continuationSeparator" w:id="0">
    <w:p w14:paraId="24D74B0E" w14:textId="77777777" w:rsidR="00A76EA9" w:rsidRDefault="00A76E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5C491B"/>
    <w:multiLevelType w:val="multilevel"/>
    <w:tmpl w:val="996E79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E663D1"/>
    <w:multiLevelType w:val="hybridMultilevel"/>
    <w:tmpl w:val="4E405C22"/>
    <w:lvl w:ilvl="0" w:tplc="3D8A5FFC">
      <w:start w:val="1"/>
      <w:numFmt w:val="bullet"/>
      <w:lvlText w:val=""/>
      <w:lvlJc w:val="left"/>
      <w:pPr>
        <w:ind w:left="1080" w:hanging="360"/>
      </w:pPr>
      <w:rPr>
        <w:rFonts w:ascii="Symbol" w:hAnsi="Symbol" w:hint="default"/>
        <w:sz w:val="22"/>
        <w:szCs w:val="22"/>
      </w:rPr>
    </w:lvl>
    <w:lvl w:ilvl="1" w:tplc="BFF6CB54" w:tentative="1">
      <w:start w:val="1"/>
      <w:numFmt w:val="bullet"/>
      <w:lvlText w:val="o"/>
      <w:lvlJc w:val="left"/>
      <w:pPr>
        <w:ind w:left="2160" w:hanging="360"/>
      </w:pPr>
      <w:rPr>
        <w:rFonts w:ascii="Courier New" w:hAnsi="Courier New" w:cs="Courier New" w:hint="default"/>
      </w:rPr>
    </w:lvl>
    <w:lvl w:ilvl="2" w:tplc="D0E6C736" w:tentative="1">
      <w:start w:val="1"/>
      <w:numFmt w:val="bullet"/>
      <w:lvlText w:val=""/>
      <w:lvlJc w:val="left"/>
      <w:pPr>
        <w:ind w:left="2880" w:hanging="360"/>
      </w:pPr>
      <w:rPr>
        <w:rFonts w:ascii="Wingdings" w:hAnsi="Wingdings" w:hint="default"/>
      </w:rPr>
    </w:lvl>
    <w:lvl w:ilvl="3" w:tplc="0D18B954" w:tentative="1">
      <w:start w:val="1"/>
      <w:numFmt w:val="bullet"/>
      <w:lvlText w:val=""/>
      <w:lvlJc w:val="left"/>
      <w:pPr>
        <w:ind w:left="3600" w:hanging="360"/>
      </w:pPr>
      <w:rPr>
        <w:rFonts w:ascii="Symbol" w:hAnsi="Symbol" w:hint="default"/>
      </w:rPr>
    </w:lvl>
    <w:lvl w:ilvl="4" w:tplc="4A5615C8" w:tentative="1">
      <w:start w:val="1"/>
      <w:numFmt w:val="bullet"/>
      <w:lvlText w:val="o"/>
      <w:lvlJc w:val="left"/>
      <w:pPr>
        <w:ind w:left="4320" w:hanging="360"/>
      </w:pPr>
      <w:rPr>
        <w:rFonts w:ascii="Courier New" w:hAnsi="Courier New" w:cs="Courier New" w:hint="default"/>
      </w:rPr>
    </w:lvl>
    <w:lvl w:ilvl="5" w:tplc="22824392" w:tentative="1">
      <w:start w:val="1"/>
      <w:numFmt w:val="bullet"/>
      <w:lvlText w:val=""/>
      <w:lvlJc w:val="left"/>
      <w:pPr>
        <w:ind w:left="5040" w:hanging="360"/>
      </w:pPr>
      <w:rPr>
        <w:rFonts w:ascii="Wingdings" w:hAnsi="Wingdings" w:hint="default"/>
      </w:rPr>
    </w:lvl>
    <w:lvl w:ilvl="6" w:tplc="B9569998" w:tentative="1">
      <w:start w:val="1"/>
      <w:numFmt w:val="bullet"/>
      <w:lvlText w:val=""/>
      <w:lvlJc w:val="left"/>
      <w:pPr>
        <w:ind w:left="5760" w:hanging="360"/>
      </w:pPr>
      <w:rPr>
        <w:rFonts w:ascii="Symbol" w:hAnsi="Symbol" w:hint="default"/>
      </w:rPr>
    </w:lvl>
    <w:lvl w:ilvl="7" w:tplc="F91EB148" w:tentative="1">
      <w:start w:val="1"/>
      <w:numFmt w:val="bullet"/>
      <w:lvlText w:val="o"/>
      <w:lvlJc w:val="left"/>
      <w:pPr>
        <w:ind w:left="6480" w:hanging="360"/>
      </w:pPr>
      <w:rPr>
        <w:rFonts w:ascii="Courier New" w:hAnsi="Courier New" w:cs="Courier New" w:hint="default"/>
      </w:rPr>
    </w:lvl>
    <w:lvl w:ilvl="8" w:tplc="8A7E7EF8" w:tentative="1">
      <w:start w:val="1"/>
      <w:numFmt w:val="bullet"/>
      <w:lvlText w:val=""/>
      <w:lvlJc w:val="left"/>
      <w:pPr>
        <w:ind w:left="7200" w:hanging="360"/>
      </w:pPr>
      <w:rPr>
        <w:rFonts w:ascii="Wingdings" w:hAnsi="Wingdings" w:hint="default"/>
      </w:rPr>
    </w:lvl>
  </w:abstractNum>
  <w:abstractNum w:abstractNumId="2" w15:restartNumberingAfterBreak="0">
    <w:nsid w:val="167078F5"/>
    <w:multiLevelType w:val="hybridMultilevel"/>
    <w:tmpl w:val="380A5E2E"/>
    <w:lvl w:ilvl="0" w:tplc="BBDED55E">
      <w:start w:val="1"/>
      <w:numFmt w:val="bullet"/>
      <w:lvlText w:val=""/>
      <w:lvlJc w:val="left"/>
      <w:pPr>
        <w:ind w:left="3600" w:hanging="360"/>
      </w:pPr>
      <w:rPr>
        <w:rFonts w:ascii="Symbol" w:hAnsi="Symbol" w:hint="default"/>
      </w:rPr>
    </w:lvl>
    <w:lvl w:ilvl="1" w:tplc="FDF2DCC2" w:tentative="1">
      <w:start w:val="1"/>
      <w:numFmt w:val="bullet"/>
      <w:lvlText w:val="o"/>
      <w:lvlJc w:val="left"/>
      <w:pPr>
        <w:ind w:left="4320" w:hanging="360"/>
      </w:pPr>
      <w:rPr>
        <w:rFonts w:ascii="Courier New" w:hAnsi="Courier New" w:cs="Courier New" w:hint="default"/>
      </w:rPr>
    </w:lvl>
    <w:lvl w:ilvl="2" w:tplc="ACE8B752" w:tentative="1">
      <w:start w:val="1"/>
      <w:numFmt w:val="bullet"/>
      <w:lvlText w:val=""/>
      <w:lvlJc w:val="left"/>
      <w:pPr>
        <w:ind w:left="5040" w:hanging="360"/>
      </w:pPr>
      <w:rPr>
        <w:rFonts w:ascii="Wingdings" w:hAnsi="Wingdings" w:hint="default"/>
      </w:rPr>
    </w:lvl>
    <w:lvl w:ilvl="3" w:tplc="642C839E" w:tentative="1">
      <w:start w:val="1"/>
      <w:numFmt w:val="bullet"/>
      <w:lvlText w:val=""/>
      <w:lvlJc w:val="left"/>
      <w:pPr>
        <w:ind w:left="5760" w:hanging="360"/>
      </w:pPr>
      <w:rPr>
        <w:rFonts w:ascii="Symbol" w:hAnsi="Symbol" w:hint="default"/>
      </w:rPr>
    </w:lvl>
    <w:lvl w:ilvl="4" w:tplc="C994EFC0" w:tentative="1">
      <w:start w:val="1"/>
      <w:numFmt w:val="bullet"/>
      <w:lvlText w:val="o"/>
      <w:lvlJc w:val="left"/>
      <w:pPr>
        <w:ind w:left="6480" w:hanging="360"/>
      </w:pPr>
      <w:rPr>
        <w:rFonts w:ascii="Courier New" w:hAnsi="Courier New" w:cs="Courier New" w:hint="default"/>
      </w:rPr>
    </w:lvl>
    <w:lvl w:ilvl="5" w:tplc="62D4DFE6" w:tentative="1">
      <w:start w:val="1"/>
      <w:numFmt w:val="bullet"/>
      <w:lvlText w:val=""/>
      <w:lvlJc w:val="left"/>
      <w:pPr>
        <w:ind w:left="7200" w:hanging="360"/>
      </w:pPr>
      <w:rPr>
        <w:rFonts w:ascii="Wingdings" w:hAnsi="Wingdings" w:hint="default"/>
      </w:rPr>
    </w:lvl>
    <w:lvl w:ilvl="6" w:tplc="221CDBDA" w:tentative="1">
      <w:start w:val="1"/>
      <w:numFmt w:val="bullet"/>
      <w:lvlText w:val=""/>
      <w:lvlJc w:val="left"/>
      <w:pPr>
        <w:ind w:left="7920" w:hanging="360"/>
      </w:pPr>
      <w:rPr>
        <w:rFonts w:ascii="Symbol" w:hAnsi="Symbol" w:hint="default"/>
      </w:rPr>
    </w:lvl>
    <w:lvl w:ilvl="7" w:tplc="D0E0CCF8" w:tentative="1">
      <w:start w:val="1"/>
      <w:numFmt w:val="bullet"/>
      <w:lvlText w:val="o"/>
      <w:lvlJc w:val="left"/>
      <w:pPr>
        <w:ind w:left="8640" w:hanging="360"/>
      </w:pPr>
      <w:rPr>
        <w:rFonts w:ascii="Courier New" w:hAnsi="Courier New" w:cs="Courier New" w:hint="default"/>
      </w:rPr>
    </w:lvl>
    <w:lvl w:ilvl="8" w:tplc="BCBACE6A" w:tentative="1">
      <w:start w:val="1"/>
      <w:numFmt w:val="bullet"/>
      <w:lvlText w:val=""/>
      <w:lvlJc w:val="left"/>
      <w:pPr>
        <w:ind w:left="9360" w:hanging="360"/>
      </w:pPr>
      <w:rPr>
        <w:rFonts w:ascii="Wingdings" w:hAnsi="Wingdings" w:hint="default"/>
      </w:rPr>
    </w:lvl>
  </w:abstractNum>
  <w:abstractNum w:abstractNumId="3" w15:restartNumberingAfterBreak="0">
    <w:nsid w:val="266A5D85"/>
    <w:multiLevelType w:val="multilevel"/>
    <w:tmpl w:val="E5628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94032A"/>
    <w:multiLevelType w:val="multilevel"/>
    <w:tmpl w:val="4266D0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3300D2"/>
    <w:multiLevelType w:val="multilevel"/>
    <w:tmpl w:val="6F8E3E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2323DC"/>
    <w:multiLevelType w:val="hybridMultilevel"/>
    <w:tmpl w:val="EA2C4FD0"/>
    <w:lvl w:ilvl="0" w:tplc="F514C23C">
      <w:start w:val="1"/>
      <w:numFmt w:val="bullet"/>
      <w:lvlText w:val=""/>
      <w:lvlJc w:val="left"/>
      <w:pPr>
        <w:ind w:left="360" w:hanging="360"/>
      </w:pPr>
      <w:rPr>
        <w:rFonts w:ascii="Symbol" w:hAnsi="Symbol" w:hint="default"/>
      </w:rPr>
    </w:lvl>
    <w:lvl w:ilvl="1" w:tplc="F4C60E2C">
      <w:start w:val="1"/>
      <w:numFmt w:val="bullet"/>
      <w:lvlText w:val="o"/>
      <w:lvlJc w:val="left"/>
      <w:pPr>
        <w:ind w:left="1080" w:hanging="360"/>
      </w:pPr>
      <w:rPr>
        <w:rFonts w:ascii="Courier New" w:hAnsi="Courier New" w:cs="Courier New" w:hint="default"/>
      </w:rPr>
    </w:lvl>
    <w:lvl w:ilvl="2" w:tplc="E982D68C" w:tentative="1">
      <w:start w:val="1"/>
      <w:numFmt w:val="bullet"/>
      <w:lvlText w:val=""/>
      <w:lvlJc w:val="left"/>
      <w:pPr>
        <w:ind w:left="1800" w:hanging="360"/>
      </w:pPr>
      <w:rPr>
        <w:rFonts w:ascii="Wingdings" w:hAnsi="Wingdings" w:hint="default"/>
      </w:rPr>
    </w:lvl>
    <w:lvl w:ilvl="3" w:tplc="596AD1FE" w:tentative="1">
      <w:start w:val="1"/>
      <w:numFmt w:val="bullet"/>
      <w:lvlText w:val=""/>
      <w:lvlJc w:val="left"/>
      <w:pPr>
        <w:ind w:left="2520" w:hanging="360"/>
      </w:pPr>
      <w:rPr>
        <w:rFonts w:ascii="Symbol" w:hAnsi="Symbol" w:hint="default"/>
      </w:rPr>
    </w:lvl>
    <w:lvl w:ilvl="4" w:tplc="7BB2EBAE" w:tentative="1">
      <w:start w:val="1"/>
      <w:numFmt w:val="bullet"/>
      <w:lvlText w:val="o"/>
      <w:lvlJc w:val="left"/>
      <w:pPr>
        <w:ind w:left="3240" w:hanging="360"/>
      </w:pPr>
      <w:rPr>
        <w:rFonts w:ascii="Courier New" w:hAnsi="Courier New" w:cs="Courier New" w:hint="default"/>
      </w:rPr>
    </w:lvl>
    <w:lvl w:ilvl="5" w:tplc="0292EC2A" w:tentative="1">
      <w:start w:val="1"/>
      <w:numFmt w:val="bullet"/>
      <w:lvlText w:val=""/>
      <w:lvlJc w:val="left"/>
      <w:pPr>
        <w:ind w:left="3960" w:hanging="360"/>
      </w:pPr>
      <w:rPr>
        <w:rFonts w:ascii="Wingdings" w:hAnsi="Wingdings" w:hint="default"/>
      </w:rPr>
    </w:lvl>
    <w:lvl w:ilvl="6" w:tplc="AD0E6BE0" w:tentative="1">
      <w:start w:val="1"/>
      <w:numFmt w:val="bullet"/>
      <w:lvlText w:val=""/>
      <w:lvlJc w:val="left"/>
      <w:pPr>
        <w:ind w:left="4680" w:hanging="360"/>
      </w:pPr>
      <w:rPr>
        <w:rFonts w:ascii="Symbol" w:hAnsi="Symbol" w:hint="default"/>
      </w:rPr>
    </w:lvl>
    <w:lvl w:ilvl="7" w:tplc="02EEE802" w:tentative="1">
      <w:start w:val="1"/>
      <w:numFmt w:val="bullet"/>
      <w:lvlText w:val="o"/>
      <w:lvlJc w:val="left"/>
      <w:pPr>
        <w:ind w:left="5400" w:hanging="360"/>
      </w:pPr>
      <w:rPr>
        <w:rFonts w:ascii="Courier New" w:hAnsi="Courier New" w:cs="Courier New" w:hint="default"/>
      </w:rPr>
    </w:lvl>
    <w:lvl w:ilvl="8" w:tplc="430C759A" w:tentative="1">
      <w:start w:val="1"/>
      <w:numFmt w:val="bullet"/>
      <w:lvlText w:val=""/>
      <w:lvlJc w:val="left"/>
      <w:pPr>
        <w:ind w:left="6120" w:hanging="360"/>
      </w:pPr>
      <w:rPr>
        <w:rFonts w:ascii="Wingdings" w:hAnsi="Wingdings" w:hint="default"/>
      </w:rPr>
    </w:lvl>
  </w:abstractNum>
  <w:abstractNum w:abstractNumId="7" w15:restartNumberingAfterBreak="0">
    <w:nsid w:val="4F831F0F"/>
    <w:multiLevelType w:val="hybridMultilevel"/>
    <w:tmpl w:val="91563E4A"/>
    <w:lvl w:ilvl="0" w:tplc="BB5E7D82">
      <w:start w:val="1"/>
      <w:numFmt w:val="bullet"/>
      <w:lvlText w:val=""/>
      <w:lvlJc w:val="left"/>
      <w:pPr>
        <w:ind w:left="360" w:hanging="360"/>
      </w:pPr>
      <w:rPr>
        <w:rFonts w:ascii="Symbol" w:hAnsi="Symbol" w:hint="default"/>
      </w:rPr>
    </w:lvl>
    <w:lvl w:ilvl="1" w:tplc="48D68E8E" w:tentative="1">
      <w:start w:val="1"/>
      <w:numFmt w:val="bullet"/>
      <w:lvlText w:val="o"/>
      <w:lvlJc w:val="left"/>
      <w:pPr>
        <w:ind w:left="1440" w:hanging="360"/>
      </w:pPr>
      <w:rPr>
        <w:rFonts w:ascii="Courier New" w:hAnsi="Courier New" w:cs="Courier New" w:hint="default"/>
      </w:rPr>
    </w:lvl>
    <w:lvl w:ilvl="2" w:tplc="492481D2" w:tentative="1">
      <w:start w:val="1"/>
      <w:numFmt w:val="bullet"/>
      <w:lvlText w:val=""/>
      <w:lvlJc w:val="left"/>
      <w:pPr>
        <w:ind w:left="2160" w:hanging="360"/>
      </w:pPr>
      <w:rPr>
        <w:rFonts w:ascii="Wingdings" w:hAnsi="Wingdings" w:hint="default"/>
      </w:rPr>
    </w:lvl>
    <w:lvl w:ilvl="3" w:tplc="B428CED0" w:tentative="1">
      <w:start w:val="1"/>
      <w:numFmt w:val="bullet"/>
      <w:lvlText w:val=""/>
      <w:lvlJc w:val="left"/>
      <w:pPr>
        <w:ind w:left="2880" w:hanging="360"/>
      </w:pPr>
      <w:rPr>
        <w:rFonts w:ascii="Symbol" w:hAnsi="Symbol" w:hint="default"/>
      </w:rPr>
    </w:lvl>
    <w:lvl w:ilvl="4" w:tplc="99828A2A" w:tentative="1">
      <w:start w:val="1"/>
      <w:numFmt w:val="bullet"/>
      <w:lvlText w:val="o"/>
      <w:lvlJc w:val="left"/>
      <w:pPr>
        <w:ind w:left="3600" w:hanging="360"/>
      </w:pPr>
      <w:rPr>
        <w:rFonts w:ascii="Courier New" w:hAnsi="Courier New" w:cs="Courier New" w:hint="default"/>
      </w:rPr>
    </w:lvl>
    <w:lvl w:ilvl="5" w:tplc="D11CDCC4" w:tentative="1">
      <w:start w:val="1"/>
      <w:numFmt w:val="bullet"/>
      <w:lvlText w:val=""/>
      <w:lvlJc w:val="left"/>
      <w:pPr>
        <w:ind w:left="4320" w:hanging="360"/>
      </w:pPr>
      <w:rPr>
        <w:rFonts w:ascii="Wingdings" w:hAnsi="Wingdings" w:hint="default"/>
      </w:rPr>
    </w:lvl>
    <w:lvl w:ilvl="6" w:tplc="086C6AFC" w:tentative="1">
      <w:start w:val="1"/>
      <w:numFmt w:val="bullet"/>
      <w:lvlText w:val=""/>
      <w:lvlJc w:val="left"/>
      <w:pPr>
        <w:ind w:left="5040" w:hanging="360"/>
      </w:pPr>
      <w:rPr>
        <w:rFonts w:ascii="Symbol" w:hAnsi="Symbol" w:hint="default"/>
      </w:rPr>
    </w:lvl>
    <w:lvl w:ilvl="7" w:tplc="DA2459F2" w:tentative="1">
      <w:start w:val="1"/>
      <w:numFmt w:val="bullet"/>
      <w:lvlText w:val="o"/>
      <w:lvlJc w:val="left"/>
      <w:pPr>
        <w:ind w:left="5760" w:hanging="360"/>
      </w:pPr>
      <w:rPr>
        <w:rFonts w:ascii="Courier New" w:hAnsi="Courier New" w:cs="Courier New" w:hint="default"/>
      </w:rPr>
    </w:lvl>
    <w:lvl w:ilvl="8" w:tplc="017C613C" w:tentative="1">
      <w:start w:val="1"/>
      <w:numFmt w:val="bullet"/>
      <w:lvlText w:val=""/>
      <w:lvlJc w:val="left"/>
      <w:pPr>
        <w:ind w:left="6480" w:hanging="360"/>
      </w:pPr>
      <w:rPr>
        <w:rFonts w:ascii="Wingdings" w:hAnsi="Wingdings" w:hint="default"/>
      </w:rPr>
    </w:lvl>
  </w:abstractNum>
  <w:abstractNum w:abstractNumId="8" w15:restartNumberingAfterBreak="0">
    <w:nsid w:val="5340008A"/>
    <w:multiLevelType w:val="multilevel"/>
    <w:tmpl w:val="C4CC7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A15D11"/>
    <w:multiLevelType w:val="hybridMultilevel"/>
    <w:tmpl w:val="A1E41A74"/>
    <w:lvl w:ilvl="0" w:tplc="0BA07BCA">
      <w:start w:val="1"/>
      <w:numFmt w:val="decimal"/>
      <w:lvlText w:val="%1."/>
      <w:lvlJc w:val="left"/>
      <w:pPr>
        <w:ind w:left="720" w:hanging="360"/>
      </w:pPr>
      <w:rPr>
        <w:rFonts w:hint="default"/>
      </w:rPr>
    </w:lvl>
    <w:lvl w:ilvl="1" w:tplc="713435B8">
      <w:start w:val="1"/>
      <w:numFmt w:val="lowerLetter"/>
      <w:lvlText w:val="%2."/>
      <w:lvlJc w:val="left"/>
      <w:pPr>
        <w:ind w:left="1440" w:hanging="360"/>
      </w:pPr>
    </w:lvl>
    <w:lvl w:ilvl="2" w:tplc="4DCE2CA2" w:tentative="1">
      <w:start w:val="1"/>
      <w:numFmt w:val="lowerRoman"/>
      <w:lvlText w:val="%3."/>
      <w:lvlJc w:val="right"/>
      <w:pPr>
        <w:ind w:left="2160" w:hanging="180"/>
      </w:pPr>
    </w:lvl>
    <w:lvl w:ilvl="3" w:tplc="A34C1B7C" w:tentative="1">
      <w:start w:val="1"/>
      <w:numFmt w:val="decimal"/>
      <w:lvlText w:val="%4."/>
      <w:lvlJc w:val="left"/>
      <w:pPr>
        <w:ind w:left="2880" w:hanging="360"/>
      </w:pPr>
    </w:lvl>
    <w:lvl w:ilvl="4" w:tplc="B9B01040" w:tentative="1">
      <w:start w:val="1"/>
      <w:numFmt w:val="lowerLetter"/>
      <w:lvlText w:val="%5."/>
      <w:lvlJc w:val="left"/>
      <w:pPr>
        <w:ind w:left="3600" w:hanging="360"/>
      </w:pPr>
    </w:lvl>
    <w:lvl w:ilvl="5" w:tplc="B742168A" w:tentative="1">
      <w:start w:val="1"/>
      <w:numFmt w:val="lowerRoman"/>
      <w:lvlText w:val="%6."/>
      <w:lvlJc w:val="right"/>
      <w:pPr>
        <w:ind w:left="4320" w:hanging="180"/>
      </w:pPr>
    </w:lvl>
    <w:lvl w:ilvl="6" w:tplc="EFA8C37A" w:tentative="1">
      <w:start w:val="1"/>
      <w:numFmt w:val="decimal"/>
      <w:lvlText w:val="%7."/>
      <w:lvlJc w:val="left"/>
      <w:pPr>
        <w:ind w:left="5040" w:hanging="360"/>
      </w:pPr>
    </w:lvl>
    <w:lvl w:ilvl="7" w:tplc="92A8CF32" w:tentative="1">
      <w:start w:val="1"/>
      <w:numFmt w:val="lowerLetter"/>
      <w:lvlText w:val="%8."/>
      <w:lvlJc w:val="left"/>
      <w:pPr>
        <w:ind w:left="5760" w:hanging="360"/>
      </w:pPr>
    </w:lvl>
    <w:lvl w:ilvl="8" w:tplc="4B6CCDE0" w:tentative="1">
      <w:start w:val="1"/>
      <w:numFmt w:val="lowerRoman"/>
      <w:lvlText w:val="%9."/>
      <w:lvlJc w:val="right"/>
      <w:pPr>
        <w:ind w:left="6480" w:hanging="180"/>
      </w:pPr>
    </w:lvl>
  </w:abstractNum>
  <w:abstractNum w:abstractNumId="10" w15:restartNumberingAfterBreak="0">
    <w:nsid w:val="562C1CE3"/>
    <w:multiLevelType w:val="hybridMultilevel"/>
    <w:tmpl w:val="293E89B6"/>
    <w:lvl w:ilvl="0" w:tplc="189A2C6E">
      <w:start w:val="1"/>
      <w:numFmt w:val="bullet"/>
      <w:lvlText w:val=""/>
      <w:lvlJc w:val="left"/>
      <w:pPr>
        <w:ind w:left="360" w:hanging="360"/>
      </w:pPr>
      <w:rPr>
        <w:rFonts w:ascii="Symbol" w:hAnsi="Symbol" w:hint="default"/>
        <w:sz w:val="22"/>
        <w:szCs w:val="22"/>
      </w:rPr>
    </w:lvl>
    <w:lvl w:ilvl="1" w:tplc="F5A428E4" w:tentative="1">
      <w:start w:val="1"/>
      <w:numFmt w:val="bullet"/>
      <w:lvlText w:val="o"/>
      <w:lvlJc w:val="left"/>
      <w:pPr>
        <w:ind w:left="1440" w:hanging="360"/>
      </w:pPr>
      <w:rPr>
        <w:rFonts w:ascii="Courier New" w:hAnsi="Courier New" w:cs="Courier New" w:hint="default"/>
      </w:rPr>
    </w:lvl>
    <w:lvl w:ilvl="2" w:tplc="FFE48F7A" w:tentative="1">
      <w:start w:val="1"/>
      <w:numFmt w:val="bullet"/>
      <w:lvlText w:val=""/>
      <w:lvlJc w:val="left"/>
      <w:pPr>
        <w:ind w:left="2160" w:hanging="360"/>
      </w:pPr>
      <w:rPr>
        <w:rFonts w:ascii="Wingdings" w:hAnsi="Wingdings" w:hint="default"/>
      </w:rPr>
    </w:lvl>
    <w:lvl w:ilvl="3" w:tplc="ACC0D206" w:tentative="1">
      <w:start w:val="1"/>
      <w:numFmt w:val="bullet"/>
      <w:lvlText w:val=""/>
      <w:lvlJc w:val="left"/>
      <w:pPr>
        <w:ind w:left="2880" w:hanging="360"/>
      </w:pPr>
      <w:rPr>
        <w:rFonts w:ascii="Symbol" w:hAnsi="Symbol" w:hint="default"/>
      </w:rPr>
    </w:lvl>
    <w:lvl w:ilvl="4" w:tplc="A97A1FE6" w:tentative="1">
      <w:start w:val="1"/>
      <w:numFmt w:val="bullet"/>
      <w:lvlText w:val="o"/>
      <w:lvlJc w:val="left"/>
      <w:pPr>
        <w:ind w:left="3600" w:hanging="360"/>
      </w:pPr>
      <w:rPr>
        <w:rFonts w:ascii="Courier New" w:hAnsi="Courier New" w:cs="Courier New" w:hint="default"/>
      </w:rPr>
    </w:lvl>
    <w:lvl w:ilvl="5" w:tplc="01486B60" w:tentative="1">
      <w:start w:val="1"/>
      <w:numFmt w:val="bullet"/>
      <w:lvlText w:val=""/>
      <w:lvlJc w:val="left"/>
      <w:pPr>
        <w:ind w:left="4320" w:hanging="360"/>
      </w:pPr>
      <w:rPr>
        <w:rFonts w:ascii="Wingdings" w:hAnsi="Wingdings" w:hint="default"/>
      </w:rPr>
    </w:lvl>
    <w:lvl w:ilvl="6" w:tplc="E1A038FE" w:tentative="1">
      <w:start w:val="1"/>
      <w:numFmt w:val="bullet"/>
      <w:lvlText w:val=""/>
      <w:lvlJc w:val="left"/>
      <w:pPr>
        <w:ind w:left="5040" w:hanging="360"/>
      </w:pPr>
      <w:rPr>
        <w:rFonts w:ascii="Symbol" w:hAnsi="Symbol" w:hint="default"/>
      </w:rPr>
    </w:lvl>
    <w:lvl w:ilvl="7" w:tplc="F058FB10" w:tentative="1">
      <w:start w:val="1"/>
      <w:numFmt w:val="bullet"/>
      <w:lvlText w:val="o"/>
      <w:lvlJc w:val="left"/>
      <w:pPr>
        <w:ind w:left="5760" w:hanging="360"/>
      </w:pPr>
      <w:rPr>
        <w:rFonts w:ascii="Courier New" w:hAnsi="Courier New" w:cs="Courier New" w:hint="default"/>
      </w:rPr>
    </w:lvl>
    <w:lvl w:ilvl="8" w:tplc="605C140A" w:tentative="1">
      <w:start w:val="1"/>
      <w:numFmt w:val="bullet"/>
      <w:lvlText w:val=""/>
      <w:lvlJc w:val="left"/>
      <w:pPr>
        <w:ind w:left="6480" w:hanging="360"/>
      </w:pPr>
      <w:rPr>
        <w:rFonts w:ascii="Wingdings" w:hAnsi="Wingdings" w:hint="default"/>
      </w:rPr>
    </w:lvl>
  </w:abstractNum>
  <w:abstractNum w:abstractNumId="11" w15:restartNumberingAfterBreak="0">
    <w:nsid w:val="5BDD7D38"/>
    <w:multiLevelType w:val="hybridMultilevel"/>
    <w:tmpl w:val="4EE8806A"/>
    <w:lvl w:ilvl="0" w:tplc="F2B8241E">
      <w:start w:val="1"/>
      <w:numFmt w:val="decimal"/>
      <w:lvlText w:val="%1."/>
      <w:lvlJc w:val="left"/>
      <w:pPr>
        <w:ind w:left="720" w:hanging="360"/>
      </w:pPr>
      <w:rPr>
        <w:rFonts w:hint="default"/>
      </w:rPr>
    </w:lvl>
    <w:lvl w:ilvl="1" w:tplc="05004046" w:tentative="1">
      <w:start w:val="1"/>
      <w:numFmt w:val="lowerLetter"/>
      <w:lvlText w:val="%2."/>
      <w:lvlJc w:val="left"/>
      <w:pPr>
        <w:ind w:left="1440" w:hanging="360"/>
      </w:pPr>
    </w:lvl>
    <w:lvl w:ilvl="2" w:tplc="14BA78EC" w:tentative="1">
      <w:start w:val="1"/>
      <w:numFmt w:val="lowerRoman"/>
      <w:lvlText w:val="%3."/>
      <w:lvlJc w:val="right"/>
      <w:pPr>
        <w:ind w:left="2160" w:hanging="180"/>
      </w:pPr>
    </w:lvl>
    <w:lvl w:ilvl="3" w:tplc="65086E00" w:tentative="1">
      <w:start w:val="1"/>
      <w:numFmt w:val="decimal"/>
      <w:lvlText w:val="%4."/>
      <w:lvlJc w:val="left"/>
      <w:pPr>
        <w:ind w:left="2880" w:hanging="360"/>
      </w:pPr>
    </w:lvl>
    <w:lvl w:ilvl="4" w:tplc="7F765970" w:tentative="1">
      <w:start w:val="1"/>
      <w:numFmt w:val="lowerLetter"/>
      <w:lvlText w:val="%5."/>
      <w:lvlJc w:val="left"/>
      <w:pPr>
        <w:ind w:left="3600" w:hanging="360"/>
      </w:pPr>
    </w:lvl>
    <w:lvl w:ilvl="5" w:tplc="7CD6B486" w:tentative="1">
      <w:start w:val="1"/>
      <w:numFmt w:val="lowerRoman"/>
      <w:lvlText w:val="%6."/>
      <w:lvlJc w:val="right"/>
      <w:pPr>
        <w:ind w:left="4320" w:hanging="180"/>
      </w:pPr>
    </w:lvl>
    <w:lvl w:ilvl="6" w:tplc="F6641B46" w:tentative="1">
      <w:start w:val="1"/>
      <w:numFmt w:val="decimal"/>
      <w:lvlText w:val="%7."/>
      <w:lvlJc w:val="left"/>
      <w:pPr>
        <w:ind w:left="5040" w:hanging="360"/>
      </w:pPr>
    </w:lvl>
    <w:lvl w:ilvl="7" w:tplc="B3BCABF2" w:tentative="1">
      <w:start w:val="1"/>
      <w:numFmt w:val="lowerLetter"/>
      <w:lvlText w:val="%8."/>
      <w:lvlJc w:val="left"/>
      <w:pPr>
        <w:ind w:left="5760" w:hanging="360"/>
      </w:pPr>
    </w:lvl>
    <w:lvl w:ilvl="8" w:tplc="E95AD690" w:tentative="1">
      <w:start w:val="1"/>
      <w:numFmt w:val="lowerRoman"/>
      <w:lvlText w:val="%9."/>
      <w:lvlJc w:val="right"/>
      <w:pPr>
        <w:ind w:left="6480" w:hanging="180"/>
      </w:pPr>
    </w:lvl>
  </w:abstractNum>
  <w:abstractNum w:abstractNumId="12" w15:restartNumberingAfterBreak="0">
    <w:nsid w:val="60D065C7"/>
    <w:multiLevelType w:val="hybridMultilevel"/>
    <w:tmpl w:val="93BAB142"/>
    <w:lvl w:ilvl="0" w:tplc="0218ADD2">
      <w:start w:val="1"/>
      <w:numFmt w:val="bullet"/>
      <w:lvlText w:val=""/>
      <w:lvlJc w:val="left"/>
      <w:pPr>
        <w:ind w:left="1080" w:hanging="360"/>
      </w:pPr>
      <w:rPr>
        <w:rFonts w:ascii="Symbol" w:hAnsi="Symbol" w:hint="default"/>
        <w:sz w:val="22"/>
        <w:szCs w:val="22"/>
      </w:rPr>
    </w:lvl>
    <w:lvl w:ilvl="1" w:tplc="E920F18C" w:tentative="1">
      <w:start w:val="1"/>
      <w:numFmt w:val="bullet"/>
      <w:lvlText w:val="o"/>
      <w:lvlJc w:val="left"/>
      <w:pPr>
        <w:ind w:left="2160" w:hanging="360"/>
      </w:pPr>
      <w:rPr>
        <w:rFonts w:ascii="Courier New" w:hAnsi="Courier New" w:cs="Courier New" w:hint="default"/>
      </w:rPr>
    </w:lvl>
    <w:lvl w:ilvl="2" w:tplc="45FA19B0" w:tentative="1">
      <w:start w:val="1"/>
      <w:numFmt w:val="bullet"/>
      <w:lvlText w:val=""/>
      <w:lvlJc w:val="left"/>
      <w:pPr>
        <w:ind w:left="2880" w:hanging="360"/>
      </w:pPr>
      <w:rPr>
        <w:rFonts w:ascii="Wingdings" w:hAnsi="Wingdings" w:hint="default"/>
      </w:rPr>
    </w:lvl>
    <w:lvl w:ilvl="3" w:tplc="F578C442" w:tentative="1">
      <w:start w:val="1"/>
      <w:numFmt w:val="bullet"/>
      <w:lvlText w:val=""/>
      <w:lvlJc w:val="left"/>
      <w:pPr>
        <w:ind w:left="3600" w:hanging="360"/>
      </w:pPr>
      <w:rPr>
        <w:rFonts w:ascii="Symbol" w:hAnsi="Symbol" w:hint="default"/>
      </w:rPr>
    </w:lvl>
    <w:lvl w:ilvl="4" w:tplc="9392F56E" w:tentative="1">
      <w:start w:val="1"/>
      <w:numFmt w:val="bullet"/>
      <w:lvlText w:val="o"/>
      <w:lvlJc w:val="left"/>
      <w:pPr>
        <w:ind w:left="4320" w:hanging="360"/>
      </w:pPr>
      <w:rPr>
        <w:rFonts w:ascii="Courier New" w:hAnsi="Courier New" w:cs="Courier New" w:hint="default"/>
      </w:rPr>
    </w:lvl>
    <w:lvl w:ilvl="5" w:tplc="48BCA8F6" w:tentative="1">
      <w:start w:val="1"/>
      <w:numFmt w:val="bullet"/>
      <w:lvlText w:val=""/>
      <w:lvlJc w:val="left"/>
      <w:pPr>
        <w:ind w:left="5040" w:hanging="360"/>
      </w:pPr>
      <w:rPr>
        <w:rFonts w:ascii="Wingdings" w:hAnsi="Wingdings" w:hint="default"/>
      </w:rPr>
    </w:lvl>
    <w:lvl w:ilvl="6" w:tplc="59662A8A" w:tentative="1">
      <w:start w:val="1"/>
      <w:numFmt w:val="bullet"/>
      <w:lvlText w:val=""/>
      <w:lvlJc w:val="left"/>
      <w:pPr>
        <w:ind w:left="5760" w:hanging="360"/>
      </w:pPr>
      <w:rPr>
        <w:rFonts w:ascii="Symbol" w:hAnsi="Symbol" w:hint="default"/>
      </w:rPr>
    </w:lvl>
    <w:lvl w:ilvl="7" w:tplc="3F889E10" w:tentative="1">
      <w:start w:val="1"/>
      <w:numFmt w:val="bullet"/>
      <w:lvlText w:val="o"/>
      <w:lvlJc w:val="left"/>
      <w:pPr>
        <w:ind w:left="6480" w:hanging="360"/>
      </w:pPr>
      <w:rPr>
        <w:rFonts w:ascii="Courier New" w:hAnsi="Courier New" w:cs="Courier New" w:hint="default"/>
      </w:rPr>
    </w:lvl>
    <w:lvl w:ilvl="8" w:tplc="6E7AA782" w:tentative="1">
      <w:start w:val="1"/>
      <w:numFmt w:val="bullet"/>
      <w:lvlText w:val=""/>
      <w:lvlJc w:val="left"/>
      <w:pPr>
        <w:ind w:left="7200" w:hanging="360"/>
      </w:pPr>
      <w:rPr>
        <w:rFonts w:ascii="Wingdings" w:hAnsi="Wingdings" w:hint="default"/>
      </w:rPr>
    </w:lvl>
  </w:abstractNum>
  <w:abstractNum w:abstractNumId="13" w15:restartNumberingAfterBreak="0">
    <w:nsid w:val="6A9E7DA2"/>
    <w:multiLevelType w:val="multilevel"/>
    <w:tmpl w:val="11F4FB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DDF4173"/>
    <w:multiLevelType w:val="multilevel"/>
    <w:tmpl w:val="23BE92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DF6355"/>
    <w:multiLevelType w:val="multilevel"/>
    <w:tmpl w:val="FBC67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F8A5BB7"/>
    <w:multiLevelType w:val="hybridMultilevel"/>
    <w:tmpl w:val="9CDC5168"/>
    <w:lvl w:ilvl="0" w:tplc="5980050C">
      <w:start w:val="1"/>
      <w:numFmt w:val="decimal"/>
      <w:lvlText w:val="%1."/>
      <w:lvlJc w:val="left"/>
      <w:pPr>
        <w:ind w:left="720" w:hanging="360"/>
      </w:pPr>
      <w:rPr>
        <w:rFonts w:hint="default"/>
      </w:rPr>
    </w:lvl>
    <w:lvl w:ilvl="1" w:tplc="05A6248E" w:tentative="1">
      <w:start w:val="1"/>
      <w:numFmt w:val="lowerLetter"/>
      <w:lvlText w:val="%2."/>
      <w:lvlJc w:val="left"/>
      <w:pPr>
        <w:ind w:left="1440" w:hanging="360"/>
      </w:pPr>
    </w:lvl>
    <w:lvl w:ilvl="2" w:tplc="AA1C66B8" w:tentative="1">
      <w:start w:val="1"/>
      <w:numFmt w:val="lowerRoman"/>
      <w:lvlText w:val="%3."/>
      <w:lvlJc w:val="right"/>
      <w:pPr>
        <w:ind w:left="2160" w:hanging="180"/>
      </w:pPr>
    </w:lvl>
    <w:lvl w:ilvl="3" w:tplc="19146C5A" w:tentative="1">
      <w:start w:val="1"/>
      <w:numFmt w:val="decimal"/>
      <w:lvlText w:val="%4."/>
      <w:lvlJc w:val="left"/>
      <w:pPr>
        <w:ind w:left="2880" w:hanging="360"/>
      </w:pPr>
    </w:lvl>
    <w:lvl w:ilvl="4" w:tplc="48C87DCC" w:tentative="1">
      <w:start w:val="1"/>
      <w:numFmt w:val="lowerLetter"/>
      <w:lvlText w:val="%5."/>
      <w:lvlJc w:val="left"/>
      <w:pPr>
        <w:ind w:left="3600" w:hanging="360"/>
      </w:pPr>
    </w:lvl>
    <w:lvl w:ilvl="5" w:tplc="986E495C" w:tentative="1">
      <w:start w:val="1"/>
      <w:numFmt w:val="lowerRoman"/>
      <w:lvlText w:val="%6."/>
      <w:lvlJc w:val="right"/>
      <w:pPr>
        <w:ind w:left="4320" w:hanging="180"/>
      </w:pPr>
    </w:lvl>
    <w:lvl w:ilvl="6" w:tplc="D0C4A83E" w:tentative="1">
      <w:start w:val="1"/>
      <w:numFmt w:val="decimal"/>
      <w:lvlText w:val="%7."/>
      <w:lvlJc w:val="left"/>
      <w:pPr>
        <w:ind w:left="5040" w:hanging="360"/>
      </w:pPr>
    </w:lvl>
    <w:lvl w:ilvl="7" w:tplc="C64E1156" w:tentative="1">
      <w:start w:val="1"/>
      <w:numFmt w:val="lowerLetter"/>
      <w:lvlText w:val="%8."/>
      <w:lvlJc w:val="left"/>
      <w:pPr>
        <w:ind w:left="5760" w:hanging="360"/>
      </w:pPr>
    </w:lvl>
    <w:lvl w:ilvl="8" w:tplc="63DEB048" w:tentative="1">
      <w:start w:val="1"/>
      <w:numFmt w:val="lowerRoman"/>
      <w:lvlText w:val="%9."/>
      <w:lvlJc w:val="right"/>
      <w:pPr>
        <w:ind w:left="6480" w:hanging="180"/>
      </w:pPr>
    </w:lvl>
  </w:abstractNum>
  <w:abstractNum w:abstractNumId="17" w15:restartNumberingAfterBreak="0">
    <w:nsid w:val="74023095"/>
    <w:multiLevelType w:val="hybridMultilevel"/>
    <w:tmpl w:val="D41EFFD6"/>
    <w:lvl w:ilvl="0" w:tplc="26969262">
      <w:start w:val="1"/>
      <w:numFmt w:val="decimal"/>
      <w:lvlText w:val="%1."/>
      <w:lvlJc w:val="left"/>
      <w:pPr>
        <w:ind w:left="720" w:hanging="360"/>
      </w:pPr>
      <w:rPr>
        <w:rFonts w:hint="default"/>
        <w:color w:val="auto"/>
        <w:sz w:val="32"/>
        <w:szCs w:val="32"/>
      </w:rPr>
    </w:lvl>
    <w:lvl w:ilvl="1" w:tplc="2BAE1D70" w:tentative="1">
      <w:start w:val="1"/>
      <w:numFmt w:val="lowerLetter"/>
      <w:lvlText w:val="%2."/>
      <w:lvlJc w:val="left"/>
      <w:pPr>
        <w:ind w:left="1440" w:hanging="360"/>
      </w:pPr>
    </w:lvl>
    <w:lvl w:ilvl="2" w:tplc="AA701C18" w:tentative="1">
      <w:start w:val="1"/>
      <w:numFmt w:val="lowerRoman"/>
      <w:lvlText w:val="%3."/>
      <w:lvlJc w:val="right"/>
      <w:pPr>
        <w:ind w:left="2160" w:hanging="180"/>
      </w:pPr>
    </w:lvl>
    <w:lvl w:ilvl="3" w:tplc="490A890E" w:tentative="1">
      <w:start w:val="1"/>
      <w:numFmt w:val="decimal"/>
      <w:lvlText w:val="%4."/>
      <w:lvlJc w:val="left"/>
      <w:pPr>
        <w:ind w:left="2880" w:hanging="360"/>
      </w:pPr>
    </w:lvl>
    <w:lvl w:ilvl="4" w:tplc="6F28DB20" w:tentative="1">
      <w:start w:val="1"/>
      <w:numFmt w:val="lowerLetter"/>
      <w:lvlText w:val="%5."/>
      <w:lvlJc w:val="left"/>
      <w:pPr>
        <w:ind w:left="3600" w:hanging="360"/>
      </w:pPr>
    </w:lvl>
    <w:lvl w:ilvl="5" w:tplc="DD105C7C" w:tentative="1">
      <w:start w:val="1"/>
      <w:numFmt w:val="lowerRoman"/>
      <w:lvlText w:val="%6."/>
      <w:lvlJc w:val="right"/>
      <w:pPr>
        <w:ind w:left="4320" w:hanging="180"/>
      </w:pPr>
    </w:lvl>
    <w:lvl w:ilvl="6" w:tplc="6E9E26C0" w:tentative="1">
      <w:start w:val="1"/>
      <w:numFmt w:val="decimal"/>
      <w:lvlText w:val="%7."/>
      <w:lvlJc w:val="left"/>
      <w:pPr>
        <w:ind w:left="5040" w:hanging="360"/>
      </w:pPr>
    </w:lvl>
    <w:lvl w:ilvl="7" w:tplc="07DCEED0" w:tentative="1">
      <w:start w:val="1"/>
      <w:numFmt w:val="lowerLetter"/>
      <w:lvlText w:val="%8."/>
      <w:lvlJc w:val="left"/>
      <w:pPr>
        <w:ind w:left="5760" w:hanging="360"/>
      </w:pPr>
    </w:lvl>
    <w:lvl w:ilvl="8" w:tplc="45368896" w:tentative="1">
      <w:start w:val="1"/>
      <w:numFmt w:val="lowerRoman"/>
      <w:lvlText w:val="%9."/>
      <w:lvlJc w:val="right"/>
      <w:pPr>
        <w:ind w:left="6480" w:hanging="180"/>
      </w:pPr>
    </w:lvl>
  </w:abstractNum>
  <w:abstractNum w:abstractNumId="18" w15:restartNumberingAfterBreak="0">
    <w:nsid w:val="7D3D5549"/>
    <w:multiLevelType w:val="multilevel"/>
    <w:tmpl w:val="331032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D60229"/>
    <w:multiLevelType w:val="hybridMultilevel"/>
    <w:tmpl w:val="756ACC1C"/>
    <w:lvl w:ilvl="0" w:tplc="E23E0562">
      <w:start w:val="1"/>
      <w:numFmt w:val="decimal"/>
      <w:lvlText w:val="%1."/>
      <w:lvlJc w:val="left"/>
      <w:pPr>
        <w:ind w:left="720" w:hanging="360"/>
      </w:pPr>
      <w:rPr>
        <w:rFonts w:hint="default"/>
      </w:rPr>
    </w:lvl>
    <w:lvl w:ilvl="1" w:tplc="BEEE6922" w:tentative="1">
      <w:start w:val="1"/>
      <w:numFmt w:val="lowerLetter"/>
      <w:lvlText w:val="%2."/>
      <w:lvlJc w:val="left"/>
      <w:pPr>
        <w:ind w:left="1440" w:hanging="360"/>
      </w:pPr>
    </w:lvl>
    <w:lvl w:ilvl="2" w:tplc="A9581C0E" w:tentative="1">
      <w:start w:val="1"/>
      <w:numFmt w:val="lowerRoman"/>
      <w:lvlText w:val="%3."/>
      <w:lvlJc w:val="right"/>
      <w:pPr>
        <w:ind w:left="2160" w:hanging="180"/>
      </w:pPr>
    </w:lvl>
    <w:lvl w:ilvl="3" w:tplc="B4BE91C0" w:tentative="1">
      <w:start w:val="1"/>
      <w:numFmt w:val="decimal"/>
      <w:lvlText w:val="%4."/>
      <w:lvlJc w:val="left"/>
      <w:pPr>
        <w:ind w:left="2880" w:hanging="360"/>
      </w:pPr>
    </w:lvl>
    <w:lvl w:ilvl="4" w:tplc="F42AAA92" w:tentative="1">
      <w:start w:val="1"/>
      <w:numFmt w:val="lowerLetter"/>
      <w:lvlText w:val="%5."/>
      <w:lvlJc w:val="left"/>
      <w:pPr>
        <w:ind w:left="3600" w:hanging="360"/>
      </w:pPr>
    </w:lvl>
    <w:lvl w:ilvl="5" w:tplc="4442082E" w:tentative="1">
      <w:start w:val="1"/>
      <w:numFmt w:val="lowerRoman"/>
      <w:lvlText w:val="%6."/>
      <w:lvlJc w:val="right"/>
      <w:pPr>
        <w:ind w:left="4320" w:hanging="180"/>
      </w:pPr>
    </w:lvl>
    <w:lvl w:ilvl="6" w:tplc="10EEE5BA" w:tentative="1">
      <w:start w:val="1"/>
      <w:numFmt w:val="decimal"/>
      <w:lvlText w:val="%7."/>
      <w:lvlJc w:val="left"/>
      <w:pPr>
        <w:ind w:left="5040" w:hanging="360"/>
      </w:pPr>
    </w:lvl>
    <w:lvl w:ilvl="7" w:tplc="A9E2E15E" w:tentative="1">
      <w:start w:val="1"/>
      <w:numFmt w:val="lowerLetter"/>
      <w:lvlText w:val="%8."/>
      <w:lvlJc w:val="left"/>
      <w:pPr>
        <w:ind w:left="5760" w:hanging="360"/>
      </w:pPr>
    </w:lvl>
    <w:lvl w:ilvl="8" w:tplc="713A2088" w:tentative="1">
      <w:start w:val="1"/>
      <w:numFmt w:val="lowerRoman"/>
      <w:lvlText w:val="%9."/>
      <w:lvlJc w:val="right"/>
      <w:pPr>
        <w:ind w:left="6480" w:hanging="180"/>
      </w:pPr>
    </w:lvl>
  </w:abstractNum>
  <w:num w:numId="1" w16cid:durableId="1672756587">
    <w:abstractNumId w:val="19"/>
  </w:num>
  <w:num w:numId="2" w16cid:durableId="1043870728">
    <w:abstractNumId w:val="9"/>
  </w:num>
  <w:num w:numId="3" w16cid:durableId="2105300806">
    <w:abstractNumId w:val="11"/>
  </w:num>
  <w:num w:numId="4" w16cid:durableId="1239747749">
    <w:abstractNumId w:val="16"/>
  </w:num>
  <w:num w:numId="5" w16cid:durableId="1720980830">
    <w:abstractNumId w:val="17"/>
  </w:num>
  <w:num w:numId="6" w16cid:durableId="128716137">
    <w:abstractNumId w:val="2"/>
  </w:num>
  <w:num w:numId="7" w16cid:durableId="770515898">
    <w:abstractNumId w:val="6"/>
  </w:num>
  <w:num w:numId="8" w16cid:durableId="1282149628">
    <w:abstractNumId w:val="7"/>
  </w:num>
  <w:num w:numId="9" w16cid:durableId="362480488">
    <w:abstractNumId w:val="10"/>
  </w:num>
  <w:num w:numId="10" w16cid:durableId="1832981838">
    <w:abstractNumId w:val="1"/>
  </w:num>
  <w:num w:numId="11" w16cid:durableId="1723796772">
    <w:abstractNumId w:val="12"/>
  </w:num>
  <w:num w:numId="12" w16cid:durableId="932201476">
    <w:abstractNumId w:val="4"/>
  </w:num>
  <w:num w:numId="13" w16cid:durableId="1703704713">
    <w:abstractNumId w:val="15"/>
  </w:num>
  <w:num w:numId="14" w16cid:durableId="1212765889">
    <w:abstractNumId w:val="14"/>
  </w:num>
  <w:num w:numId="15" w16cid:durableId="574245933">
    <w:abstractNumId w:val="18"/>
  </w:num>
  <w:num w:numId="16" w16cid:durableId="55324754">
    <w:abstractNumId w:val="5"/>
  </w:num>
  <w:num w:numId="17" w16cid:durableId="1375034805">
    <w:abstractNumId w:val="0"/>
  </w:num>
  <w:num w:numId="18" w16cid:durableId="1181894222">
    <w:abstractNumId w:val="13"/>
  </w:num>
  <w:num w:numId="19" w16cid:durableId="1725056789">
    <w:abstractNumId w:val="8"/>
  </w:num>
  <w:num w:numId="20" w16cid:durableId="7217090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FFD"/>
    <w:rsid w:val="0000447D"/>
    <w:rsid w:val="00007311"/>
    <w:rsid w:val="000156D9"/>
    <w:rsid w:val="00031441"/>
    <w:rsid w:val="00041295"/>
    <w:rsid w:val="00047F81"/>
    <w:rsid w:val="00064028"/>
    <w:rsid w:val="00064287"/>
    <w:rsid w:val="000767C1"/>
    <w:rsid w:val="00083CA8"/>
    <w:rsid w:val="00094748"/>
    <w:rsid w:val="00096C4B"/>
    <w:rsid w:val="000F6839"/>
    <w:rsid w:val="001442C6"/>
    <w:rsid w:val="00151A6C"/>
    <w:rsid w:val="00155909"/>
    <w:rsid w:val="001657ED"/>
    <w:rsid w:val="00180786"/>
    <w:rsid w:val="00182C33"/>
    <w:rsid w:val="001A50E1"/>
    <w:rsid w:val="001B5C8E"/>
    <w:rsid w:val="001C23FD"/>
    <w:rsid w:val="001C5202"/>
    <w:rsid w:val="001C7C7B"/>
    <w:rsid w:val="001E1FED"/>
    <w:rsid w:val="001F56D1"/>
    <w:rsid w:val="0020013E"/>
    <w:rsid w:val="00232EEB"/>
    <w:rsid w:val="00241ABC"/>
    <w:rsid w:val="0024421D"/>
    <w:rsid w:val="00244B8A"/>
    <w:rsid w:val="00260118"/>
    <w:rsid w:val="002A7DC7"/>
    <w:rsid w:val="002B2602"/>
    <w:rsid w:val="002B4B99"/>
    <w:rsid w:val="002B7157"/>
    <w:rsid w:val="002E3506"/>
    <w:rsid w:val="002F1935"/>
    <w:rsid w:val="002F2457"/>
    <w:rsid w:val="00315969"/>
    <w:rsid w:val="003221B0"/>
    <w:rsid w:val="00332D50"/>
    <w:rsid w:val="003333A9"/>
    <w:rsid w:val="00364828"/>
    <w:rsid w:val="00372A1A"/>
    <w:rsid w:val="00373668"/>
    <w:rsid w:val="00373AEF"/>
    <w:rsid w:val="003B7170"/>
    <w:rsid w:val="003B74D2"/>
    <w:rsid w:val="003C11CA"/>
    <w:rsid w:val="003E2DEF"/>
    <w:rsid w:val="00415070"/>
    <w:rsid w:val="00417F43"/>
    <w:rsid w:val="0044157D"/>
    <w:rsid w:val="004433F3"/>
    <w:rsid w:val="00457146"/>
    <w:rsid w:val="00467AB8"/>
    <w:rsid w:val="00467B12"/>
    <w:rsid w:val="00474FFD"/>
    <w:rsid w:val="00482F99"/>
    <w:rsid w:val="0049097F"/>
    <w:rsid w:val="00496A79"/>
    <w:rsid w:val="004B59C1"/>
    <w:rsid w:val="004B6D6F"/>
    <w:rsid w:val="004C155A"/>
    <w:rsid w:val="004C5D48"/>
    <w:rsid w:val="004D5C91"/>
    <w:rsid w:val="004D6472"/>
    <w:rsid w:val="004E36F9"/>
    <w:rsid w:val="004E6F33"/>
    <w:rsid w:val="004F7545"/>
    <w:rsid w:val="00505B4B"/>
    <w:rsid w:val="00522200"/>
    <w:rsid w:val="005257E1"/>
    <w:rsid w:val="00557E15"/>
    <w:rsid w:val="00576331"/>
    <w:rsid w:val="0058270B"/>
    <w:rsid w:val="00591D1E"/>
    <w:rsid w:val="00592DE3"/>
    <w:rsid w:val="005951F1"/>
    <w:rsid w:val="005A1536"/>
    <w:rsid w:val="005A1B57"/>
    <w:rsid w:val="005D0DE5"/>
    <w:rsid w:val="005D3533"/>
    <w:rsid w:val="005E2DF5"/>
    <w:rsid w:val="0060476D"/>
    <w:rsid w:val="00610C60"/>
    <w:rsid w:val="006124BC"/>
    <w:rsid w:val="00620FA4"/>
    <w:rsid w:val="00626533"/>
    <w:rsid w:val="00643360"/>
    <w:rsid w:val="006560A9"/>
    <w:rsid w:val="00665618"/>
    <w:rsid w:val="00673632"/>
    <w:rsid w:val="00685BE7"/>
    <w:rsid w:val="006A4D37"/>
    <w:rsid w:val="006B06EB"/>
    <w:rsid w:val="006B6516"/>
    <w:rsid w:val="006C0C04"/>
    <w:rsid w:val="006E6015"/>
    <w:rsid w:val="00701A93"/>
    <w:rsid w:val="00712309"/>
    <w:rsid w:val="00713F44"/>
    <w:rsid w:val="007163F5"/>
    <w:rsid w:val="0071660C"/>
    <w:rsid w:val="007265C1"/>
    <w:rsid w:val="00734A1D"/>
    <w:rsid w:val="00735D6F"/>
    <w:rsid w:val="00741360"/>
    <w:rsid w:val="007445F2"/>
    <w:rsid w:val="00753132"/>
    <w:rsid w:val="00754E13"/>
    <w:rsid w:val="007A15BE"/>
    <w:rsid w:val="007D4DEC"/>
    <w:rsid w:val="007D50AD"/>
    <w:rsid w:val="00833BBD"/>
    <w:rsid w:val="0086545D"/>
    <w:rsid w:val="008726BA"/>
    <w:rsid w:val="008A5B5A"/>
    <w:rsid w:val="008C0A0D"/>
    <w:rsid w:val="008C29D5"/>
    <w:rsid w:val="008C6525"/>
    <w:rsid w:val="008F6561"/>
    <w:rsid w:val="009015C3"/>
    <w:rsid w:val="00912FCC"/>
    <w:rsid w:val="009347B7"/>
    <w:rsid w:val="0094438B"/>
    <w:rsid w:val="0095299D"/>
    <w:rsid w:val="00964A66"/>
    <w:rsid w:val="00967069"/>
    <w:rsid w:val="009831D3"/>
    <w:rsid w:val="00995620"/>
    <w:rsid w:val="009C0A64"/>
    <w:rsid w:val="009C69C3"/>
    <w:rsid w:val="009D61BD"/>
    <w:rsid w:val="009E1836"/>
    <w:rsid w:val="009E5E03"/>
    <w:rsid w:val="009F0AB0"/>
    <w:rsid w:val="00A07751"/>
    <w:rsid w:val="00A20BBE"/>
    <w:rsid w:val="00A2475C"/>
    <w:rsid w:val="00A328E9"/>
    <w:rsid w:val="00A50107"/>
    <w:rsid w:val="00A564C3"/>
    <w:rsid w:val="00A61521"/>
    <w:rsid w:val="00A67037"/>
    <w:rsid w:val="00A76EA9"/>
    <w:rsid w:val="00A96E3B"/>
    <w:rsid w:val="00AB5CC5"/>
    <w:rsid w:val="00AC17C2"/>
    <w:rsid w:val="00AD7FE9"/>
    <w:rsid w:val="00B00DB8"/>
    <w:rsid w:val="00B141F5"/>
    <w:rsid w:val="00B2427C"/>
    <w:rsid w:val="00B248B9"/>
    <w:rsid w:val="00B32318"/>
    <w:rsid w:val="00B40243"/>
    <w:rsid w:val="00B61FF5"/>
    <w:rsid w:val="00B838C2"/>
    <w:rsid w:val="00B91A64"/>
    <w:rsid w:val="00BA7058"/>
    <w:rsid w:val="00BA7AAC"/>
    <w:rsid w:val="00BB51AE"/>
    <w:rsid w:val="00BD20DC"/>
    <w:rsid w:val="00BF0EF3"/>
    <w:rsid w:val="00BF480D"/>
    <w:rsid w:val="00C11D92"/>
    <w:rsid w:val="00C3125F"/>
    <w:rsid w:val="00C41C27"/>
    <w:rsid w:val="00C648BF"/>
    <w:rsid w:val="00C67C4F"/>
    <w:rsid w:val="00C80898"/>
    <w:rsid w:val="00C84B14"/>
    <w:rsid w:val="00C86DEB"/>
    <w:rsid w:val="00CB1FDB"/>
    <w:rsid w:val="00CC3092"/>
    <w:rsid w:val="00CC6A0A"/>
    <w:rsid w:val="00CE6C74"/>
    <w:rsid w:val="00D226D1"/>
    <w:rsid w:val="00D2727F"/>
    <w:rsid w:val="00D36BF6"/>
    <w:rsid w:val="00D44905"/>
    <w:rsid w:val="00D521FE"/>
    <w:rsid w:val="00D5322C"/>
    <w:rsid w:val="00D71843"/>
    <w:rsid w:val="00D87494"/>
    <w:rsid w:val="00D9030B"/>
    <w:rsid w:val="00DA39CE"/>
    <w:rsid w:val="00DB43C3"/>
    <w:rsid w:val="00DC565F"/>
    <w:rsid w:val="00DE0937"/>
    <w:rsid w:val="00DE16A7"/>
    <w:rsid w:val="00E02569"/>
    <w:rsid w:val="00E038D5"/>
    <w:rsid w:val="00E3456A"/>
    <w:rsid w:val="00E35903"/>
    <w:rsid w:val="00E52881"/>
    <w:rsid w:val="00E66483"/>
    <w:rsid w:val="00E84C8A"/>
    <w:rsid w:val="00E86032"/>
    <w:rsid w:val="00EB4FCA"/>
    <w:rsid w:val="00EE47FC"/>
    <w:rsid w:val="00EE6AF1"/>
    <w:rsid w:val="00EF1E13"/>
    <w:rsid w:val="00F209EE"/>
    <w:rsid w:val="00F312D3"/>
    <w:rsid w:val="00F377B5"/>
    <w:rsid w:val="00F40560"/>
    <w:rsid w:val="00F44085"/>
    <w:rsid w:val="00FB766F"/>
    <w:rsid w:val="00FC4459"/>
    <w:rsid w:val="00FC6C8F"/>
    <w:rsid w:val="00FD0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ADFFE"/>
  <w15:chartTrackingRefBased/>
  <w15:docId w15:val="{620B5102-6CD7-4A4A-A2FC-655885B01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4F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5313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A705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4FFD"/>
    <w:pPr>
      <w:ind w:left="720"/>
      <w:contextualSpacing/>
    </w:pPr>
  </w:style>
  <w:style w:type="character" w:customStyle="1" w:styleId="Heading1Char">
    <w:name w:val="Heading 1 Char"/>
    <w:basedOn w:val="DefaultParagraphFont"/>
    <w:link w:val="Heading1"/>
    <w:uiPriority w:val="9"/>
    <w:rsid w:val="00474FF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670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7037"/>
  </w:style>
  <w:style w:type="paragraph" w:styleId="Footer">
    <w:name w:val="footer"/>
    <w:basedOn w:val="Normal"/>
    <w:link w:val="FooterChar"/>
    <w:uiPriority w:val="99"/>
    <w:unhideWhenUsed/>
    <w:rsid w:val="00A670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037"/>
  </w:style>
  <w:style w:type="paragraph" w:styleId="TOCHeading">
    <w:name w:val="TOC Heading"/>
    <w:basedOn w:val="Heading1"/>
    <w:next w:val="Normal"/>
    <w:uiPriority w:val="39"/>
    <w:unhideWhenUsed/>
    <w:qFormat/>
    <w:rsid w:val="00315969"/>
    <w:pPr>
      <w:outlineLvl w:val="9"/>
    </w:pPr>
    <w:rPr>
      <w:lang w:val="en-US"/>
    </w:rPr>
  </w:style>
  <w:style w:type="paragraph" w:styleId="TOC1">
    <w:name w:val="toc 1"/>
    <w:basedOn w:val="Normal"/>
    <w:next w:val="Normal"/>
    <w:autoRedefine/>
    <w:uiPriority w:val="39"/>
    <w:unhideWhenUsed/>
    <w:rsid w:val="00315969"/>
    <w:pPr>
      <w:spacing w:after="100"/>
    </w:pPr>
  </w:style>
  <w:style w:type="character" w:styleId="Hyperlink">
    <w:name w:val="Hyperlink"/>
    <w:basedOn w:val="DefaultParagraphFont"/>
    <w:uiPriority w:val="99"/>
    <w:unhideWhenUsed/>
    <w:rsid w:val="00315969"/>
    <w:rPr>
      <w:color w:val="0563C1" w:themeColor="hyperlink"/>
      <w:u w:val="single"/>
    </w:rPr>
  </w:style>
  <w:style w:type="paragraph" w:styleId="NormalWeb">
    <w:name w:val="Normal (Web)"/>
    <w:basedOn w:val="Normal"/>
    <w:uiPriority w:val="99"/>
    <w:semiHidden/>
    <w:unhideWhenUsed/>
    <w:rsid w:val="00FD09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75313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A7058"/>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155909"/>
    <w:rPr>
      <w:color w:val="605E5C"/>
      <w:shd w:val="clear" w:color="auto" w:fill="E1DFDD"/>
    </w:rPr>
  </w:style>
  <w:style w:type="character" w:styleId="FollowedHyperlink">
    <w:name w:val="FollowedHyperlink"/>
    <w:basedOn w:val="DefaultParagraphFont"/>
    <w:uiPriority w:val="99"/>
    <w:semiHidden/>
    <w:unhideWhenUsed/>
    <w:rsid w:val="0060476D"/>
    <w:rPr>
      <w:color w:val="954F72" w:themeColor="followedHyperlink"/>
      <w:u w:val="single"/>
    </w:rPr>
  </w:style>
  <w:style w:type="character" w:styleId="IntenseEmphasis">
    <w:name w:val="Intense Emphasis"/>
    <w:basedOn w:val="DefaultParagraphFont"/>
    <w:uiPriority w:val="21"/>
    <w:qFormat/>
    <w:rsid w:val="007445F2"/>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844315">
      <w:bodyDiv w:val="1"/>
      <w:marLeft w:val="0"/>
      <w:marRight w:val="0"/>
      <w:marTop w:val="0"/>
      <w:marBottom w:val="0"/>
      <w:divBdr>
        <w:top w:val="none" w:sz="0" w:space="0" w:color="auto"/>
        <w:left w:val="none" w:sz="0" w:space="0" w:color="auto"/>
        <w:bottom w:val="none" w:sz="0" w:space="0" w:color="auto"/>
        <w:right w:val="none" w:sz="0" w:space="0" w:color="auto"/>
      </w:divBdr>
    </w:div>
    <w:div w:id="1821190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uidance/construction-near-protected-areas-and-wildlife" TargetMode="External"/><Relationship Id="rId18" Type="http://schemas.openxmlformats.org/officeDocument/2006/relationships/hyperlink" Target="https://nonapua.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ov.uk/guidance/environmental-impact-assessment" TargetMode="External"/><Relationship Id="rId17" Type="http://schemas.openxmlformats.org/officeDocument/2006/relationships/hyperlink" Target="https://nonapua.com/" TargetMode="External"/><Relationship Id="rId2" Type="http://schemas.openxmlformats.org/officeDocument/2006/relationships/numbering" Target="numbering.xml"/><Relationship Id="rId16" Type="http://schemas.openxmlformats.org/officeDocument/2006/relationships/hyperlink" Target="https://www.nationalgeographic.com/environment/article/wind-farm-faces-fine-over-golden-eagles-death" TargetMode="External"/><Relationship Id="rId20" Type="http://schemas.openxmlformats.org/officeDocument/2006/relationships/hyperlink" Target="https://www.thetimes.co.uk/article/peat-slide-near-wind-farm-caused-permanent-environmental-damage-rckkhxk2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26042882/Wind_farms_in_rural_areas_How_far_do_community_benefits_from_wind_farms_represent_a_local_economic_development_opportunity" TargetMode="External"/><Relationship Id="rId5" Type="http://schemas.openxmlformats.org/officeDocument/2006/relationships/webSettings" Target="webSettings.xml"/><Relationship Id="rId15" Type="http://schemas.openxmlformats.org/officeDocument/2006/relationships/hyperlink" Target="https://www.local.gov.uk/benefits-and-potential-impacts-wind-energy" TargetMode="External"/><Relationship Id="rId10" Type="http://schemas.openxmlformats.org/officeDocument/2006/relationships/hyperlink" Target="https://www.berwickbank.com/news/why-we-need-to-safeguard-seabirds" TargetMode="External"/><Relationship Id="rId19" Type="http://schemas.openxmlformats.org/officeDocument/2006/relationships/hyperlink" Target="https://royalsocietypublishing.org/doi/pdf/10.1098/rspb.2017.0829"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gov.uk/government/publications/ultrasound-and-infrasound-health-effects-from-exposur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2EB0EC-2D21-424F-A249-0C3EECF9AC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3802</TotalTime>
  <Pages>13</Pages>
  <Words>3611</Words>
  <Characters>20589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 Johnpaul</dc:creator>
  <cp:lastModifiedBy>Jones, Johnpaul</cp:lastModifiedBy>
  <cp:revision>159</cp:revision>
  <dcterms:created xsi:type="dcterms:W3CDTF">2024-11-15T16:10:00Z</dcterms:created>
  <dcterms:modified xsi:type="dcterms:W3CDTF">2024-11-18T07:59:00Z</dcterms:modified>
</cp:coreProperties>
</file>