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709FA" w14:textId="17AA9440" w:rsidR="0091230E" w:rsidRPr="007643FE" w:rsidRDefault="00F35FBA">
      <w:pPr>
        <w:rPr>
          <w:b/>
          <w:bCs/>
          <w:u w:val="single"/>
        </w:rPr>
      </w:pPr>
      <w:r w:rsidRPr="007643FE">
        <w:rPr>
          <w:b/>
          <w:bCs/>
          <w:u w:val="single"/>
        </w:rPr>
        <w:t>Introduction</w:t>
      </w:r>
      <w:r w:rsidR="0091230E" w:rsidRPr="007643FE">
        <w:rPr>
          <w:b/>
          <w:bCs/>
          <w:u w:val="single"/>
        </w:rPr>
        <w:t xml:space="preserve"> </w:t>
      </w:r>
    </w:p>
    <w:p w14:paraId="4632A214" w14:textId="77777777" w:rsidR="00621896" w:rsidRPr="007643FE" w:rsidRDefault="009D3862" w:rsidP="00621896">
      <w:r w:rsidRPr="007643FE">
        <w:t xml:space="preserve">The question I have chosen to answer in my dissertation is the following: </w:t>
      </w:r>
    </w:p>
    <w:p w14:paraId="25D21252" w14:textId="06B50B5B" w:rsidR="009D3862" w:rsidRPr="007643FE" w:rsidRDefault="009D3862" w:rsidP="00621896">
      <w:r w:rsidRPr="007643FE">
        <w:rPr>
          <w:rFonts w:cs="Calibri"/>
        </w:rPr>
        <w:t xml:space="preserve">How did Technological and Strategic Advancements Implemented </w:t>
      </w:r>
      <w:r w:rsidR="005C0E7B">
        <w:rPr>
          <w:rFonts w:cs="Calibri"/>
        </w:rPr>
        <w:t xml:space="preserve">by the British Military </w:t>
      </w:r>
      <w:r w:rsidRPr="007643FE">
        <w:rPr>
          <w:rFonts w:cs="Calibri"/>
        </w:rPr>
        <w:t xml:space="preserve">During the Conflicts of Western Front in 1916 </w:t>
      </w:r>
      <w:r w:rsidR="00263212">
        <w:rPr>
          <w:rFonts w:cs="Calibri"/>
        </w:rPr>
        <w:t>Influence the Outcome of the Great War and Shape Modern Warfare.</w:t>
      </w:r>
    </w:p>
    <w:p w14:paraId="7D19DE1E" w14:textId="1014A3C1" w:rsidR="009D3862" w:rsidRDefault="009D3862">
      <w:pPr>
        <w:rPr>
          <w:rFonts w:cs="Calibri"/>
        </w:rPr>
      </w:pPr>
      <w:r w:rsidRPr="007643FE">
        <w:rPr>
          <w:rFonts w:cs="Calibri"/>
        </w:rPr>
        <w:t xml:space="preserve">This is an important question to answer because of the fact that 1916 was one of the most crucial years </w:t>
      </w:r>
      <w:r w:rsidR="006971F1" w:rsidRPr="007643FE">
        <w:rPr>
          <w:rFonts w:cs="Calibri"/>
        </w:rPr>
        <w:t>in the Great War, it saw a variety of advancements and changes in strategies and inventions, and had some of the most crucial battles of the war, particularly on the Somme, which would see the bloodiest day of the war on the 1</w:t>
      </w:r>
      <w:r w:rsidR="006971F1" w:rsidRPr="007643FE">
        <w:rPr>
          <w:rFonts w:cs="Calibri"/>
          <w:vertAlign w:val="superscript"/>
        </w:rPr>
        <w:t>st</w:t>
      </w:r>
      <w:r w:rsidR="006971F1" w:rsidRPr="007643FE">
        <w:rPr>
          <w:rFonts w:cs="Calibri"/>
        </w:rPr>
        <w:t xml:space="preserve"> July 1916.</w:t>
      </w:r>
      <w:r w:rsidR="005F579A" w:rsidRPr="007643FE">
        <w:rPr>
          <w:rFonts w:cs="Calibri"/>
        </w:rPr>
        <w:t xml:space="preserve"> </w:t>
      </w:r>
      <w:r w:rsidR="00621896" w:rsidRPr="007643FE">
        <w:rPr>
          <w:rFonts w:cs="Calibri"/>
        </w:rPr>
        <w:t>Technological</w:t>
      </w:r>
      <w:r w:rsidR="00DF3B74" w:rsidRPr="007643FE">
        <w:rPr>
          <w:rFonts w:cs="Calibri"/>
        </w:rPr>
        <w:t xml:space="preserve"> </w:t>
      </w:r>
      <w:r w:rsidR="005F579A" w:rsidRPr="007643FE">
        <w:rPr>
          <w:rFonts w:cs="Calibri"/>
        </w:rPr>
        <w:t xml:space="preserve">and strategic advancements </w:t>
      </w:r>
      <w:r w:rsidR="00263212">
        <w:rPr>
          <w:rFonts w:cs="Calibri"/>
        </w:rPr>
        <w:t>were developed by</w:t>
      </w:r>
      <w:r w:rsidR="005F579A" w:rsidRPr="007643FE">
        <w:rPr>
          <w:rFonts w:cs="Calibri"/>
        </w:rPr>
        <w:t xml:space="preserve"> both sides during this year</w:t>
      </w:r>
      <w:r w:rsidR="00263212">
        <w:rPr>
          <w:rFonts w:cs="Calibri"/>
        </w:rPr>
        <w:t>;</w:t>
      </w:r>
      <w:r w:rsidR="005F579A" w:rsidRPr="007643FE">
        <w:rPr>
          <w:rFonts w:cs="Calibri"/>
        </w:rPr>
        <w:t xml:space="preserve"> </w:t>
      </w:r>
      <w:r w:rsidR="00263212">
        <w:rPr>
          <w:rFonts w:cs="Calibri"/>
        </w:rPr>
        <w:t>m</w:t>
      </w:r>
      <w:r w:rsidR="005F579A" w:rsidRPr="007643FE">
        <w:rPr>
          <w:rFonts w:cs="Calibri"/>
        </w:rPr>
        <w:t xml:space="preserve">any of which were implemented in later conflicts, and some of which are still utilised today. It is necessary to track how combat has changed over time so that one can identify which tactics prove effective and </w:t>
      </w:r>
      <w:r w:rsidR="0023728E">
        <w:rPr>
          <w:rFonts w:cs="Calibri"/>
        </w:rPr>
        <w:t>to</w:t>
      </w:r>
      <w:r w:rsidR="005F579A" w:rsidRPr="007643FE">
        <w:rPr>
          <w:rFonts w:cs="Calibri"/>
        </w:rPr>
        <w:t xml:space="preserve"> which capacity.</w:t>
      </w:r>
    </w:p>
    <w:p w14:paraId="50AFBE22" w14:textId="0530B101" w:rsidR="00251E08" w:rsidRPr="00251E08" w:rsidRDefault="00251E08">
      <w:pPr>
        <w:rPr>
          <w:rFonts w:cs="Calibri"/>
          <w:b/>
          <w:bCs/>
          <w:color w:val="FF0000"/>
          <w:u w:val="single"/>
        </w:rPr>
      </w:pPr>
      <w:r>
        <w:rPr>
          <w:rFonts w:cs="Calibri"/>
          <w:b/>
          <w:bCs/>
          <w:u w:val="single"/>
        </w:rPr>
        <w:t>What is my Focus?</w:t>
      </w:r>
    </w:p>
    <w:p w14:paraId="147F4B46" w14:textId="02DAED4C" w:rsidR="0091230E" w:rsidRPr="007643FE" w:rsidRDefault="00240CC2">
      <w:r w:rsidRPr="007643FE">
        <w:t xml:space="preserve">I have chosen to focus on the Western Front in 1916, </w:t>
      </w:r>
      <w:r w:rsidR="006971F1" w:rsidRPr="007643FE">
        <w:t xml:space="preserve">and selected </w:t>
      </w:r>
      <w:r w:rsidRPr="007643FE">
        <w:t>the Somme as my main point of focus for the dissertation. This is because there were key technological advancements which occurred on the Somme which may have initially been utilised elsewhere, or developed on the Somme, and would then later inspire other battlefields on the Western Front in the same year.</w:t>
      </w:r>
      <w:r w:rsidR="0091230E" w:rsidRPr="007643FE">
        <w:t xml:space="preserve"> It is important to note this</w:t>
      </w:r>
      <w:r w:rsidR="0023728E">
        <w:t>,</w:t>
      </w:r>
      <w:r w:rsidR="0091230E" w:rsidRPr="007643FE">
        <w:t xml:space="preserve"> due to the fact that in order to understand why certain tactics were implemented, one must first question the origins of such strategies</w:t>
      </w:r>
      <w:r w:rsidR="006971F1" w:rsidRPr="007643FE">
        <w:t xml:space="preserve"> and developments</w:t>
      </w:r>
      <w:r w:rsidR="0091230E" w:rsidRPr="007643FE">
        <w:t>.</w:t>
      </w:r>
      <w:r w:rsidRPr="007643FE">
        <w:t xml:space="preserve"> This will also enable me to compare tactics utilised by different Commanders on different battlefields and </w:t>
      </w:r>
      <w:r w:rsidR="007643FE" w:rsidRPr="007643FE">
        <w:t>analyse</w:t>
      </w:r>
      <w:r w:rsidRPr="007643FE">
        <w:t xml:space="preserve"> how effectively these tactics were implemented on different terrains</w:t>
      </w:r>
      <w:r w:rsidR="006971F1" w:rsidRPr="007643FE">
        <w:t>, and under different circumstances</w:t>
      </w:r>
      <w:r w:rsidRPr="007643FE">
        <w:t>.</w:t>
      </w:r>
      <w:r w:rsidR="000D69CB" w:rsidRPr="007643FE">
        <w:t xml:space="preserve"> </w:t>
      </w:r>
    </w:p>
    <w:p w14:paraId="7231FB2D" w14:textId="419C644D" w:rsidR="00251E08" w:rsidRDefault="000D69CB">
      <w:r w:rsidRPr="007643FE">
        <w:t>Whilst my main focus of this assignment will be to focus on British developments and tactics, there will likely be some overlap with other military forces also. This is because certain strategies and advancements may have been copied</w:t>
      </w:r>
      <w:r w:rsidR="00240CC2" w:rsidRPr="007643FE">
        <w:t xml:space="preserve"> </w:t>
      </w:r>
      <w:r w:rsidRPr="007643FE">
        <w:t>or developed from other forces such as the German Landwehr</w:t>
      </w:r>
      <w:r w:rsidR="004B22B8" w:rsidRPr="007643FE">
        <w:t>. This is especially true in the case of Chemical Weapons of which were often developed by the German Scientist Fritz Haber.</w:t>
      </w:r>
      <w:r w:rsidR="00621896" w:rsidRPr="007643FE">
        <w:rPr>
          <w:rStyle w:val="FootnoteReference"/>
        </w:rPr>
        <w:footnoteReference w:id="1"/>
      </w:r>
      <w:r w:rsidR="004B22B8" w:rsidRPr="007643FE">
        <w:t xml:space="preserve"> This analysis will also prove to be important in understanding why British tactics changed. Often strategies would have to be amended to prevent casualties, and to counteract tactics used by hostile forces which were proving problematic to </w:t>
      </w:r>
      <w:r w:rsidR="006971F1" w:rsidRPr="007643FE">
        <w:t xml:space="preserve">British </w:t>
      </w:r>
      <w:r w:rsidR="004B22B8" w:rsidRPr="007643FE">
        <w:t>troops on the Front Lines.</w:t>
      </w:r>
      <w:r w:rsidR="0091230E" w:rsidRPr="007643FE">
        <w:t xml:space="preserve"> </w:t>
      </w:r>
    </w:p>
    <w:p w14:paraId="26C8BEB4" w14:textId="77777777" w:rsidR="000613EA" w:rsidRDefault="000613EA"/>
    <w:p w14:paraId="4813A886" w14:textId="77777777" w:rsidR="000613EA" w:rsidRDefault="000613EA"/>
    <w:p w14:paraId="4D2F8EFC" w14:textId="77777777" w:rsidR="000613EA" w:rsidRDefault="000613EA"/>
    <w:p w14:paraId="51B3EBF0" w14:textId="67A83B09" w:rsidR="00251E08" w:rsidRPr="00251E08" w:rsidRDefault="00251E08">
      <w:pPr>
        <w:rPr>
          <w:b/>
          <w:bCs/>
          <w:u w:val="single"/>
        </w:rPr>
      </w:pPr>
      <w:r>
        <w:rPr>
          <w:b/>
          <w:bCs/>
          <w:u w:val="single"/>
        </w:rPr>
        <w:lastRenderedPageBreak/>
        <w:t>Methodology</w:t>
      </w:r>
    </w:p>
    <w:p w14:paraId="1150E351" w14:textId="051590BB" w:rsidR="00DF3B74" w:rsidRPr="007643FE" w:rsidRDefault="00CB53A2">
      <w:r>
        <w:t>I will use the sources I have selected</w:t>
      </w:r>
      <w:r w:rsidR="00293AB1" w:rsidRPr="007643FE">
        <w:t xml:space="preserve"> to </w:t>
      </w:r>
      <w:r w:rsidR="00DF3B74" w:rsidRPr="007643FE">
        <w:t xml:space="preserve">explore the uses and effectiveness of </w:t>
      </w:r>
      <w:r w:rsidR="00293AB1" w:rsidRPr="007643FE">
        <w:t>the tank</w:t>
      </w:r>
      <w:r w:rsidR="00DF3B74" w:rsidRPr="007643FE">
        <w:t xml:space="preserve">, </w:t>
      </w:r>
      <w:r w:rsidR="00293AB1" w:rsidRPr="007643FE">
        <w:t>chemical weapons and gas</w:t>
      </w:r>
      <w:r w:rsidR="00DF3B74" w:rsidRPr="007643FE">
        <w:t xml:space="preserve">, </w:t>
      </w:r>
      <w:r w:rsidR="00293AB1" w:rsidRPr="007643FE">
        <w:t>artillery</w:t>
      </w:r>
      <w:r w:rsidR="00DF3B74" w:rsidRPr="007643FE">
        <w:t xml:space="preserve">, </w:t>
      </w:r>
      <w:r w:rsidR="00293AB1" w:rsidRPr="007643FE">
        <w:t>attacks on civilian populations</w:t>
      </w:r>
      <w:r w:rsidR="00AB6630" w:rsidRPr="007643FE">
        <w:t>, and aerial attacks</w:t>
      </w:r>
      <w:r w:rsidR="00DF3B74" w:rsidRPr="007643FE">
        <w:t>.</w:t>
      </w:r>
      <w:r w:rsidR="00F35FBA" w:rsidRPr="007643FE">
        <w:t xml:space="preserve"> These are all essential topics to consider as every one of these tactics drastically changed the way in which warfare was fought during the Great war, and later conflicts. Some are considered ‘war crimes’, some have been utilised in later conflicts, but all have developed over time and changed our very understanding of warfare.</w:t>
      </w:r>
    </w:p>
    <w:p w14:paraId="2305E4E2" w14:textId="348D479E" w:rsidR="0094002C" w:rsidRPr="007643FE" w:rsidRDefault="0094002C">
      <w:r w:rsidRPr="007643FE">
        <w:t>So far, for the majority of my research,</w:t>
      </w:r>
      <w:r w:rsidR="009D3862" w:rsidRPr="007643FE">
        <w:t xml:space="preserve"> I have</w:t>
      </w:r>
      <w:r w:rsidRPr="007643FE">
        <w:t xml:space="preserve"> been u</w:t>
      </w:r>
      <w:r w:rsidR="00F10939">
        <w:t>sing</w:t>
      </w:r>
      <w:r w:rsidRPr="007643FE">
        <w:t xml:space="preserve"> sources which can be found online, either through online libraries and archives. I have managed to identify both Primary and Secondary sources during this research relating to my subject matter, though I acknowledge that </w:t>
      </w:r>
      <w:r w:rsidR="001F4CA4" w:rsidRPr="007643FE">
        <w:t xml:space="preserve">I am yet to find more Primary sources. </w:t>
      </w:r>
      <w:r w:rsidR="0056333D" w:rsidRPr="007643FE">
        <w:t>As of writing this report, I have viewed the National Archives</w:t>
      </w:r>
      <w:r w:rsidR="00E42297" w:rsidRPr="007643FE">
        <w:t>’</w:t>
      </w:r>
      <w:r w:rsidR="0056333D" w:rsidRPr="007643FE">
        <w:t>,</w:t>
      </w:r>
      <w:r w:rsidR="00BD1CE8" w:rsidRPr="007643FE">
        <w:rPr>
          <w:rStyle w:val="FootnoteReference"/>
        </w:rPr>
        <w:footnoteReference w:id="2"/>
      </w:r>
      <w:r w:rsidR="0056333D" w:rsidRPr="007643FE">
        <w:t xml:space="preserve"> the Imperial War Museum</w:t>
      </w:r>
      <w:r w:rsidR="00E42297" w:rsidRPr="007643FE">
        <w:t>’s</w:t>
      </w:r>
      <w:r w:rsidR="0056333D" w:rsidRPr="007643FE">
        <w:t>,</w:t>
      </w:r>
      <w:r w:rsidR="00BD1CE8" w:rsidRPr="007643FE">
        <w:rPr>
          <w:rStyle w:val="FootnoteReference"/>
        </w:rPr>
        <w:footnoteReference w:id="3"/>
      </w:r>
      <w:r w:rsidR="0056333D" w:rsidRPr="007643FE">
        <w:t xml:space="preserve"> and the Tank Museum</w:t>
      </w:r>
      <w:r w:rsidR="00E42297" w:rsidRPr="007643FE">
        <w:t>’s</w:t>
      </w:r>
      <w:r w:rsidR="00BD1CE8" w:rsidRPr="007643FE">
        <w:rPr>
          <w:rStyle w:val="FootnoteReference"/>
        </w:rPr>
        <w:footnoteReference w:id="4"/>
      </w:r>
      <w:r w:rsidR="0056333D" w:rsidRPr="007643FE">
        <w:t xml:space="preserve"> online </w:t>
      </w:r>
      <w:r w:rsidR="009C7679" w:rsidRPr="007643FE">
        <w:t>collections</w:t>
      </w:r>
      <w:r w:rsidR="0056333D" w:rsidRPr="007643FE">
        <w:t xml:space="preserve"> for the majority of my primary source research</w:t>
      </w:r>
      <w:r w:rsidR="00F25E56">
        <w:t>. From these collections,</w:t>
      </w:r>
      <w:r w:rsidR="00FE712E">
        <w:t xml:space="preserve"> I have identified some letters</w:t>
      </w:r>
      <w:r w:rsidR="00F25E56">
        <w:t xml:space="preserve"> sent from soldiers</w:t>
      </w:r>
      <w:r w:rsidR="00FE712E">
        <w:t xml:space="preserve"> which will prove to be very valuable </w:t>
      </w:r>
      <w:r w:rsidR="006353DC">
        <w:t>when considering</w:t>
      </w:r>
      <w:r w:rsidR="00F25E56">
        <w:t xml:space="preserve"> </w:t>
      </w:r>
      <w:r w:rsidR="00214622">
        <w:t xml:space="preserve">what </w:t>
      </w:r>
      <w:r w:rsidR="006353DC">
        <w:t>the typical soldier</w:t>
      </w:r>
      <w:r w:rsidR="00214622">
        <w:t xml:space="preserve"> may have thought of such inventions</w:t>
      </w:r>
      <w:r w:rsidR="0056333D" w:rsidRPr="007643FE">
        <w:t xml:space="preserve">. When possible, I also </w:t>
      </w:r>
      <w:r w:rsidR="00CB53A2">
        <w:t>intend</w:t>
      </w:r>
      <w:r w:rsidR="0056333D" w:rsidRPr="007643FE">
        <w:t xml:space="preserve"> to visit some of these locations in hopes of finding other</w:t>
      </w:r>
      <w:r w:rsidR="00290300" w:rsidRPr="007643FE">
        <w:t xml:space="preserve"> Primary</w:t>
      </w:r>
      <w:r w:rsidR="0056333D" w:rsidRPr="007643FE">
        <w:t xml:space="preserve"> sources</w:t>
      </w:r>
      <w:r w:rsidR="00290300" w:rsidRPr="007643FE">
        <w:t xml:space="preserve"> which may prove useful.</w:t>
      </w:r>
      <w:r w:rsidR="009C7679" w:rsidRPr="007643FE">
        <w:t xml:space="preserve"> </w:t>
      </w:r>
      <w:r w:rsidR="001423BA" w:rsidRPr="007643FE">
        <w:t xml:space="preserve">One </w:t>
      </w:r>
      <w:r w:rsidR="009C7679" w:rsidRPr="007643FE">
        <w:t xml:space="preserve">primary source which I intend to use as of this time </w:t>
      </w:r>
      <w:r w:rsidR="001423BA" w:rsidRPr="007643FE">
        <w:t>is</w:t>
      </w:r>
      <w:r w:rsidR="00061903" w:rsidRPr="007643FE">
        <w:t xml:space="preserve"> Major </w:t>
      </w:r>
      <w:r w:rsidR="00061903" w:rsidRPr="007643FE">
        <w:rPr>
          <w:rFonts w:cs="Calibri"/>
        </w:rPr>
        <w:t xml:space="preserve">W.H.L Watson’s autobiography; </w:t>
      </w:r>
      <w:r w:rsidR="00061903" w:rsidRPr="007643FE">
        <w:rPr>
          <w:rFonts w:cs="Calibri"/>
          <w:i/>
          <w:iCs/>
        </w:rPr>
        <w:t>With the Tanks</w:t>
      </w:r>
      <w:r w:rsidR="00061903" w:rsidRPr="007643FE">
        <w:rPr>
          <w:rFonts w:cs="Calibri"/>
        </w:rPr>
        <w:t xml:space="preserve"> </w:t>
      </w:r>
      <w:r w:rsidR="00061903" w:rsidRPr="007643FE">
        <w:rPr>
          <w:rFonts w:cs="Calibri"/>
          <w:i/>
          <w:iCs/>
        </w:rPr>
        <w:t>1916 – 1918, Memoirs of a British Tank Commander in the Great War,</w:t>
      </w:r>
      <w:r w:rsidR="00061903" w:rsidRPr="007643FE">
        <w:rPr>
          <w:rStyle w:val="FootnoteReference"/>
          <w:rFonts w:cs="Calibri"/>
          <w:i/>
          <w:iCs/>
        </w:rPr>
        <w:footnoteReference w:id="5"/>
      </w:r>
      <w:r w:rsidR="00061903" w:rsidRPr="007643FE">
        <w:rPr>
          <w:rFonts w:cs="Calibri"/>
        </w:rPr>
        <w:t xml:space="preserve"> which will provide some key insight</w:t>
      </w:r>
      <w:r w:rsidR="000613EA">
        <w:rPr>
          <w:rFonts w:cs="Calibri"/>
        </w:rPr>
        <w:t>s</w:t>
      </w:r>
      <w:r w:rsidR="00061903" w:rsidRPr="007643FE">
        <w:rPr>
          <w:rFonts w:cs="Calibri"/>
        </w:rPr>
        <w:t xml:space="preserve"> specifically into the use of tanks during the Great War.</w:t>
      </w:r>
      <w:r w:rsidR="007752C1">
        <w:rPr>
          <w:rFonts w:cs="Calibri"/>
        </w:rPr>
        <w:t xml:space="preserve"> </w:t>
      </w:r>
      <w:r w:rsidR="009A4B11">
        <w:rPr>
          <w:rFonts w:cs="Calibri"/>
        </w:rPr>
        <w:t>This will</w:t>
      </w:r>
      <w:r w:rsidR="003A289E">
        <w:rPr>
          <w:rFonts w:cs="Calibri"/>
        </w:rPr>
        <w:t xml:space="preserve"> be</w:t>
      </w:r>
      <w:r w:rsidR="009A4B11">
        <w:rPr>
          <w:rFonts w:cs="Calibri"/>
        </w:rPr>
        <w:t xml:space="preserve"> </w:t>
      </w:r>
      <w:r w:rsidR="003A289E">
        <w:rPr>
          <w:rFonts w:cs="Calibri"/>
        </w:rPr>
        <w:t>p</w:t>
      </w:r>
      <w:r w:rsidR="005C39A4">
        <w:rPr>
          <w:rFonts w:cs="Calibri"/>
        </w:rPr>
        <w:t>articularly</w:t>
      </w:r>
      <w:r w:rsidR="003A289E">
        <w:rPr>
          <w:rFonts w:cs="Calibri"/>
        </w:rPr>
        <w:t xml:space="preserve"> useful</w:t>
      </w:r>
      <w:r w:rsidR="005C39A4">
        <w:rPr>
          <w:rFonts w:cs="Calibri"/>
        </w:rPr>
        <w:t xml:space="preserve"> when considering faults with the early</w:t>
      </w:r>
      <w:r w:rsidR="00211B26">
        <w:rPr>
          <w:rFonts w:cs="Calibri"/>
        </w:rPr>
        <w:t xml:space="preserve"> M1</w:t>
      </w:r>
      <w:r w:rsidR="005C39A4">
        <w:rPr>
          <w:rFonts w:cs="Calibri"/>
        </w:rPr>
        <w:t xml:space="preserve"> </w:t>
      </w:r>
      <w:r w:rsidR="00211B26">
        <w:rPr>
          <w:rFonts w:cs="Calibri"/>
        </w:rPr>
        <w:t>tank design.</w:t>
      </w:r>
    </w:p>
    <w:p w14:paraId="5CA46566" w14:textId="65DDA28D" w:rsidR="00290300" w:rsidRPr="007643FE" w:rsidRDefault="00290300">
      <w:r w:rsidRPr="007643FE">
        <w:t>For Secondary sources, I have found a wide range of scholarship books which will prove crucial in getting a historical perspective on the effectiveness of individual technology</w:t>
      </w:r>
      <w:r w:rsidR="009D3862" w:rsidRPr="007643FE">
        <w:t xml:space="preserve"> and</w:t>
      </w:r>
      <w:r w:rsidRPr="007643FE">
        <w:t xml:space="preserve"> </w:t>
      </w:r>
      <w:r w:rsidR="009D3862" w:rsidRPr="007643FE">
        <w:t>whether it was necessary on the fields of battle in the First World War and subsequent conflicts</w:t>
      </w:r>
      <w:r w:rsidR="006971F1" w:rsidRPr="007643FE">
        <w:t>.</w:t>
      </w:r>
      <w:r w:rsidR="00AB6630" w:rsidRPr="007643FE">
        <w:t xml:space="preserve"> I will be utili</w:t>
      </w:r>
      <w:r w:rsidR="007643FE">
        <w:t>s</w:t>
      </w:r>
      <w:r w:rsidR="00AB6630" w:rsidRPr="007643FE">
        <w:t>ing works from scholars including Denis Winter,</w:t>
      </w:r>
      <w:r w:rsidR="00AB6630" w:rsidRPr="007643FE">
        <w:rPr>
          <w:rStyle w:val="FootnoteReference"/>
        </w:rPr>
        <w:footnoteReference w:id="6"/>
      </w:r>
      <w:r w:rsidR="00AB6630" w:rsidRPr="007643FE">
        <w:t xml:space="preserve"> </w:t>
      </w:r>
      <w:r w:rsidR="00366D78" w:rsidRPr="007643FE">
        <w:t>George Raudzens</w:t>
      </w:r>
      <w:r w:rsidR="00AB6630" w:rsidRPr="007643FE">
        <w:t>,</w:t>
      </w:r>
      <w:r w:rsidR="00AB6630" w:rsidRPr="007643FE">
        <w:rPr>
          <w:rStyle w:val="FootnoteReference"/>
        </w:rPr>
        <w:footnoteReference w:id="7"/>
      </w:r>
      <w:r w:rsidR="00AB6630" w:rsidRPr="007643FE">
        <w:t xml:space="preserve"> and Paddy Grithiths.</w:t>
      </w:r>
      <w:r w:rsidR="00AB6630" w:rsidRPr="007643FE">
        <w:rPr>
          <w:rStyle w:val="FootnoteReference"/>
        </w:rPr>
        <w:footnoteReference w:id="8"/>
      </w:r>
      <w:r w:rsidR="00FC0320">
        <w:t xml:space="preserve"> These sources may</w:t>
      </w:r>
      <w:r w:rsidR="00CA7CB9">
        <w:t xml:space="preserve"> be used for a range of purposes, including the production of such </w:t>
      </w:r>
      <w:r w:rsidR="00C8068D">
        <w:t xml:space="preserve">inventions, as well as their uses on the front lines, whether they were effective, or </w:t>
      </w:r>
      <w:r w:rsidR="00A06DA9">
        <w:t>ineffective in their intended purpose.</w:t>
      </w:r>
    </w:p>
    <w:p w14:paraId="36761250" w14:textId="205F93F8" w:rsidR="00293AB1" w:rsidRPr="007643FE" w:rsidRDefault="00293AB1" w:rsidP="00293AB1">
      <w:r w:rsidRPr="007643FE">
        <w:t xml:space="preserve">I have considered comparing British and German strategies. However, in committing to this research, I must acknowledge that in certain instances it may prove difficult to find Primary Sources surrounding the German development of weaponry and tactics which have been </w:t>
      </w:r>
      <w:r w:rsidRPr="007643FE">
        <w:lastRenderedPageBreak/>
        <w:t>translated to English. As such I will need to be mindful, should I use such sources, that any and all information is accurate. This has helped me to shape my question, and my focus on British advancements, due to the fact that it will likely be more efficient for me to find sources which are written in English which I can implement into my work.</w:t>
      </w:r>
    </w:p>
    <w:p w14:paraId="191DF0F4" w14:textId="3B1EE3EB" w:rsidR="00583E6B" w:rsidRDefault="00F35FBA" w:rsidP="00583E6B">
      <w:r w:rsidRPr="007643FE">
        <w:t>Some sources which I am</w:t>
      </w:r>
      <w:r w:rsidR="00583E6B" w:rsidRPr="007643FE">
        <w:t xml:space="preserve"> considering using for my Dissertation may be fictional stories from individuals whom served on the Front-Lines of the Western Front. One such example of this is Erich Maria Remarque’s book </w:t>
      </w:r>
      <w:r w:rsidR="00583E6B" w:rsidRPr="007643FE">
        <w:rPr>
          <w:i/>
          <w:iCs/>
        </w:rPr>
        <w:t>All Quiet on the Western Front</w:t>
      </w:r>
      <w:r w:rsidR="00583E6B" w:rsidRPr="007643FE">
        <w:t>.</w:t>
      </w:r>
      <w:r w:rsidR="00583E6B" w:rsidRPr="007643FE">
        <w:rPr>
          <w:rStyle w:val="FootnoteReference"/>
        </w:rPr>
        <w:footnoteReference w:id="9"/>
      </w:r>
      <w:r w:rsidR="00583E6B" w:rsidRPr="007643FE">
        <w:t xml:space="preserve"> Whilst this book speaks of the war from the perspective of a German soldier in a work of fiction, Remarque himself served on the Western Front, and would have seen the horrors of the conflict first hand</w:t>
      </w:r>
      <w:r w:rsidR="00BD1CE8" w:rsidRPr="007643FE">
        <w:t>. T</w:t>
      </w:r>
      <w:r w:rsidR="00583E6B" w:rsidRPr="007643FE">
        <w:t>hi</w:t>
      </w:r>
      <w:r w:rsidR="00BD1CE8" w:rsidRPr="007643FE">
        <w:t>s</w:t>
      </w:r>
      <w:r w:rsidR="00583E6B" w:rsidRPr="007643FE">
        <w:t xml:space="preserve"> will provide a unique insight into what the German forces may have been thinking and experiencing on the receiving end of these weapons and tactics.</w:t>
      </w:r>
      <w:r w:rsidR="00BD1CE8" w:rsidRPr="007643FE">
        <w:t xml:space="preserve"> I will, however, have to ensure that I approach novels such as this one with caution, and ensure that the information provided within them is accurate to events which occurred during the war.</w:t>
      </w:r>
    </w:p>
    <w:p w14:paraId="3BD38AF2" w14:textId="0A3284EF" w:rsidR="00CB53A2" w:rsidRDefault="00CB53A2" w:rsidP="00583E6B">
      <w:r>
        <w:t xml:space="preserve">Though I have for the most part only started to shape my </w:t>
      </w:r>
      <w:r w:rsidR="00717FF2">
        <w:t>d</w:t>
      </w:r>
      <w:r>
        <w:t>issertation</w:t>
      </w:r>
      <w:r w:rsidR="00717FF2">
        <w:t xml:space="preserve"> through this research</w:t>
      </w:r>
      <w:r>
        <w:t xml:space="preserve">, I understand that the information which I have obtained thus far will prove crucial to </w:t>
      </w:r>
      <w:r w:rsidR="00F7020D">
        <w:t>the project overall.</w:t>
      </w:r>
    </w:p>
    <w:p w14:paraId="0280895B" w14:textId="77777777" w:rsidR="00A9512F" w:rsidRDefault="00A9512F" w:rsidP="00583E6B"/>
    <w:p w14:paraId="6C8D6AB6" w14:textId="77777777" w:rsidR="00A9512F" w:rsidRDefault="00A9512F" w:rsidP="00583E6B"/>
    <w:p w14:paraId="2BB93FEB" w14:textId="77777777" w:rsidR="00A9512F" w:rsidRDefault="00A9512F" w:rsidP="00583E6B"/>
    <w:p w14:paraId="323564C5" w14:textId="77777777" w:rsidR="00A9512F" w:rsidRDefault="00A9512F" w:rsidP="00583E6B"/>
    <w:p w14:paraId="36C7A98A" w14:textId="77777777" w:rsidR="00A9512F" w:rsidRDefault="00A9512F" w:rsidP="00583E6B"/>
    <w:p w14:paraId="7168E455" w14:textId="77777777" w:rsidR="00A9512F" w:rsidRDefault="00A9512F" w:rsidP="00583E6B"/>
    <w:p w14:paraId="5DFB5ACE" w14:textId="77777777" w:rsidR="00A9512F" w:rsidRDefault="00A9512F" w:rsidP="00583E6B"/>
    <w:p w14:paraId="7A6911E7" w14:textId="77777777" w:rsidR="00A9512F" w:rsidRDefault="00A9512F" w:rsidP="00583E6B"/>
    <w:p w14:paraId="68FFE00A" w14:textId="77777777" w:rsidR="00A9512F" w:rsidRDefault="00A9512F" w:rsidP="00583E6B"/>
    <w:p w14:paraId="0D671F61" w14:textId="77777777" w:rsidR="00A9512F" w:rsidRDefault="00A9512F" w:rsidP="00583E6B"/>
    <w:p w14:paraId="463453A5" w14:textId="77777777" w:rsidR="00A9512F" w:rsidRDefault="00A9512F" w:rsidP="00583E6B"/>
    <w:p w14:paraId="3B01E52E" w14:textId="77777777" w:rsidR="00A9512F" w:rsidRDefault="00A9512F" w:rsidP="00583E6B"/>
    <w:p w14:paraId="73AE35CC" w14:textId="77777777" w:rsidR="00A9512F" w:rsidRDefault="00A9512F" w:rsidP="00583E6B"/>
    <w:p w14:paraId="43FCF81A" w14:textId="77777777" w:rsidR="00A9512F" w:rsidRPr="00C176EC" w:rsidRDefault="00A9512F" w:rsidP="00583E6B">
      <w:pPr>
        <w:rPr>
          <w:sz w:val="22"/>
          <w:szCs w:val="22"/>
        </w:rPr>
      </w:pPr>
    </w:p>
    <w:p w14:paraId="7010255B" w14:textId="34686484" w:rsidR="00293AB1" w:rsidRPr="00C176EC" w:rsidRDefault="005A1BC4">
      <w:pPr>
        <w:rPr>
          <w:sz w:val="22"/>
          <w:szCs w:val="22"/>
        </w:rPr>
      </w:pPr>
      <w:r w:rsidRPr="00C176EC">
        <w:rPr>
          <w:b/>
          <w:bCs/>
          <w:sz w:val="22"/>
          <w:szCs w:val="22"/>
          <w:u w:val="single"/>
        </w:rPr>
        <w:lastRenderedPageBreak/>
        <w:t>Bibliography</w:t>
      </w:r>
      <w:r w:rsidR="00A9512F" w:rsidRPr="00C176EC">
        <w:rPr>
          <w:b/>
          <w:bCs/>
          <w:sz w:val="22"/>
          <w:szCs w:val="22"/>
          <w:u w:val="single"/>
        </w:rPr>
        <w:t xml:space="preserve"> </w:t>
      </w:r>
      <w:r w:rsidR="00BE4C9E" w:rsidRPr="00C176EC">
        <w:rPr>
          <w:b/>
          <w:bCs/>
          <w:sz w:val="22"/>
          <w:szCs w:val="22"/>
          <w:u w:val="single"/>
        </w:rPr>
        <w:t>-</w:t>
      </w:r>
      <w:r w:rsidR="00A9512F" w:rsidRPr="00C176EC">
        <w:rPr>
          <w:b/>
          <w:bCs/>
          <w:sz w:val="22"/>
          <w:szCs w:val="22"/>
          <w:u w:val="single"/>
        </w:rPr>
        <w:t xml:space="preserve"> Secondary Sources</w:t>
      </w:r>
    </w:p>
    <w:p w14:paraId="5A339298" w14:textId="77777777" w:rsidR="00B64689" w:rsidRPr="00C176EC" w:rsidRDefault="00B64689" w:rsidP="005A1BC4">
      <w:pPr>
        <w:rPr>
          <w:rFonts w:cs="Calibri"/>
          <w:sz w:val="22"/>
          <w:szCs w:val="22"/>
        </w:rPr>
      </w:pPr>
      <w:r w:rsidRPr="00C176EC">
        <w:rPr>
          <w:rFonts w:cs="Calibri"/>
          <w:sz w:val="22"/>
          <w:szCs w:val="22"/>
        </w:rPr>
        <w:t>Ashworth, Tony, </w:t>
      </w:r>
      <w:r w:rsidRPr="00C176EC">
        <w:rPr>
          <w:rFonts w:cs="Calibri"/>
          <w:i/>
          <w:iCs/>
          <w:sz w:val="22"/>
          <w:szCs w:val="22"/>
        </w:rPr>
        <w:t>Trench Warfare </w:t>
      </w:r>
      <w:r w:rsidRPr="00C176EC">
        <w:rPr>
          <w:rFonts w:cs="Calibri"/>
          <w:sz w:val="22"/>
          <w:szCs w:val="22"/>
        </w:rPr>
        <w:t>(New York: Pan Macmillan , 2000).</w:t>
      </w:r>
    </w:p>
    <w:p w14:paraId="078BB0FB" w14:textId="5A91F47C" w:rsidR="00B64689" w:rsidRPr="00C176EC" w:rsidRDefault="00B64689" w:rsidP="005A1BC4">
      <w:pPr>
        <w:rPr>
          <w:rFonts w:cs="Calibri"/>
          <w:sz w:val="22"/>
          <w:szCs w:val="22"/>
        </w:rPr>
      </w:pPr>
      <w:r w:rsidRPr="00C176EC">
        <w:rPr>
          <w:rFonts w:cs="Calibri"/>
          <w:sz w:val="22"/>
          <w:szCs w:val="22"/>
        </w:rPr>
        <w:t xml:space="preserve">Cecil, Hugh, and Liddle, Peter H. </w:t>
      </w:r>
      <w:r w:rsidRPr="00C176EC">
        <w:rPr>
          <w:rFonts w:cs="Calibri"/>
          <w:i/>
          <w:iCs/>
          <w:sz w:val="22"/>
          <w:szCs w:val="22"/>
        </w:rPr>
        <w:t>Facing Armageddon: the First World War experienced</w:t>
      </w:r>
      <w:r w:rsidRPr="00C176EC">
        <w:rPr>
          <w:rFonts w:cs="Calibri"/>
          <w:sz w:val="22"/>
          <w:szCs w:val="22"/>
        </w:rPr>
        <w:t xml:space="preserve">, (London: Cooper, 1996). </w:t>
      </w:r>
    </w:p>
    <w:p w14:paraId="151145E8" w14:textId="77777777" w:rsidR="00B64689" w:rsidRPr="00C176EC" w:rsidRDefault="00B64689" w:rsidP="005A1BC4">
      <w:pPr>
        <w:rPr>
          <w:rFonts w:cs="Calibri"/>
          <w:sz w:val="22"/>
          <w:szCs w:val="22"/>
        </w:rPr>
      </w:pPr>
      <w:r w:rsidRPr="00C176EC">
        <w:rPr>
          <w:rFonts w:cs="Calibri"/>
          <w:sz w:val="22"/>
          <w:szCs w:val="22"/>
        </w:rPr>
        <w:t xml:space="preserve">Freemantle, Michael, </w:t>
      </w:r>
      <w:r w:rsidRPr="00C176EC">
        <w:rPr>
          <w:rFonts w:cs="Calibri"/>
          <w:i/>
          <w:iCs/>
          <w:sz w:val="22"/>
          <w:szCs w:val="22"/>
        </w:rPr>
        <w:t>The chemists' war : 1914-1918</w:t>
      </w:r>
      <w:r w:rsidRPr="00C176EC">
        <w:rPr>
          <w:rFonts w:cs="Calibri"/>
          <w:sz w:val="22"/>
          <w:szCs w:val="22"/>
        </w:rPr>
        <w:t>, (Cambridge: Royal Society of Chemistry, 2015).</w:t>
      </w:r>
    </w:p>
    <w:p w14:paraId="52B39C03" w14:textId="77777777" w:rsidR="00B64689" w:rsidRPr="00C176EC" w:rsidRDefault="00B64689" w:rsidP="005A1BC4">
      <w:pPr>
        <w:rPr>
          <w:rFonts w:cs="Calibri"/>
          <w:sz w:val="22"/>
          <w:szCs w:val="22"/>
        </w:rPr>
      </w:pPr>
      <w:r w:rsidRPr="00C176EC">
        <w:rPr>
          <w:rFonts w:cs="Calibri"/>
          <w:sz w:val="22"/>
          <w:szCs w:val="22"/>
        </w:rPr>
        <w:t xml:space="preserve">Goran, Morris Herbert, </w:t>
      </w:r>
      <w:r w:rsidRPr="00C176EC">
        <w:rPr>
          <w:rFonts w:cs="Calibri"/>
          <w:i/>
          <w:iCs/>
          <w:sz w:val="22"/>
          <w:szCs w:val="22"/>
        </w:rPr>
        <w:t>The Story of Fritz Haber</w:t>
      </w:r>
      <w:r w:rsidRPr="00C176EC">
        <w:rPr>
          <w:rFonts w:cs="Calibri"/>
          <w:sz w:val="22"/>
          <w:szCs w:val="22"/>
        </w:rPr>
        <w:t>, (Norman: University of Oklahoma Press, 1967).</w:t>
      </w:r>
    </w:p>
    <w:p w14:paraId="4F750AE9" w14:textId="77777777" w:rsidR="00B64689" w:rsidRPr="00C176EC" w:rsidRDefault="00B64689" w:rsidP="005A1BC4">
      <w:pPr>
        <w:rPr>
          <w:rFonts w:cs="Calibri"/>
          <w:i/>
          <w:iCs/>
          <w:sz w:val="22"/>
          <w:szCs w:val="22"/>
        </w:rPr>
      </w:pPr>
      <w:r w:rsidRPr="00C176EC">
        <w:rPr>
          <w:rFonts w:cs="Calibri"/>
          <w:sz w:val="22"/>
          <w:szCs w:val="22"/>
        </w:rPr>
        <w:t>Griffiths</w:t>
      </w:r>
      <w:r w:rsidRPr="00C176EC">
        <w:rPr>
          <w:rFonts w:cs="Calibri"/>
          <w:i/>
          <w:iCs/>
          <w:sz w:val="22"/>
          <w:szCs w:val="22"/>
        </w:rPr>
        <w:t xml:space="preserve">, </w:t>
      </w:r>
      <w:r w:rsidRPr="00C176EC">
        <w:rPr>
          <w:rFonts w:cs="Calibri"/>
          <w:sz w:val="22"/>
          <w:szCs w:val="22"/>
        </w:rPr>
        <w:t>Paddy,</w:t>
      </w:r>
      <w:r w:rsidRPr="00C176EC">
        <w:rPr>
          <w:rFonts w:cs="Calibri"/>
          <w:i/>
          <w:iCs/>
          <w:sz w:val="22"/>
          <w:szCs w:val="22"/>
        </w:rPr>
        <w:t xml:space="preserve"> Battle Tactics of the Western Front – The British Army's Art of Attack 1916–18,</w:t>
      </w:r>
      <w:r w:rsidRPr="00C176EC">
        <w:rPr>
          <w:rFonts w:cs="Calibri"/>
          <w:sz w:val="22"/>
          <w:szCs w:val="22"/>
        </w:rPr>
        <w:t xml:space="preserve"> (Connecticut: Yale University Press, 1996)</w:t>
      </w:r>
      <w:r w:rsidRPr="00C176EC">
        <w:rPr>
          <w:rFonts w:cs="Calibri"/>
          <w:i/>
          <w:iCs/>
          <w:sz w:val="22"/>
          <w:szCs w:val="22"/>
        </w:rPr>
        <w:t>.</w:t>
      </w:r>
    </w:p>
    <w:p w14:paraId="58307518" w14:textId="77777777" w:rsidR="00B64689" w:rsidRPr="00C176EC" w:rsidRDefault="00B64689" w:rsidP="005A1BC4">
      <w:pPr>
        <w:rPr>
          <w:rFonts w:cs="Calibri"/>
          <w:sz w:val="22"/>
          <w:szCs w:val="22"/>
        </w:rPr>
      </w:pPr>
      <w:r w:rsidRPr="00C176EC">
        <w:rPr>
          <w:rFonts w:cs="Calibri"/>
          <w:sz w:val="22"/>
          <w:szCs w:val="22"/>
        </w:rPr>
        <w:t>Hartcup, Guy,</w:t>
      </w:r>
      <w:r w:rsidRPr="00C176EC">
        <w:rPr>
          <w:rFonts w:cs="Calibri"/>
          <w:i/>
          <w:iCs/>
          <w:sz w:val="22"/>
          <w:szCs w:val="22"/>
        </w:rPr>
        <w:t xml:space="preserve"> The War of Invention; Scientific Developments, 1914–18. </w:t>
      </w:r>
      <w:r w:rsidRPr="00C176EC">
        <w:rPr>
          <w:rFonts w:cs="Calibri"/>
          <w:sz w:val="22"/>
          <w:szCs w:val="22"/>
        </w:rPr>
        <w:t>(London: Brassey's Defence Publishers, 1988).</w:t>
      </w:r>
    </w:p>
    <w:p w14:paraId="5608FB80" w14:textId="77777777" w:rsidR="00B64689" w:rsidRPr="00C176EC" w:rsidRDefault="00B64689" w:rsidP="005C0E7B">
      <w:pPr>
        <w:rPr>
          <w:rFonts w:cs="Calibri"/>
          <w:color w:val="2C2C2C"/>
          <w:sz w:val="22"/>
          <w:szCs w:val="22"/>
          <w:shd w:val="clear" w:color="auto" w:fill="FFFFFF"/>
        </w:rPr>
      </w:pPr>
      <w:r w:rsidRPr="005C0E7B">
        <w:rPr>
          <w:rFonts w:cs="Calibri"/>
          <w:color w:val="2C2C2C"/>
          <w:sz w:val="22"/>
          <w:szCs w:val="22"/>
          <w:shd w:val="clear" w:color="auto" w:fill="FFFFFF"/>
        </w:rPr>
        <w:t xml:space="preserve">Imperial War Museum, </w:t>
      </w:r>
      <w:r w:rsidRPr="005C0E7B">
        <w:rPr>
          <w:rFonts w:cs="Calibri"/>
          <w:i/>
          <w:iCs/>
          <w:color w:val="2C2C2C"/>
          <w:sz w:val="22"/>
          <w:szCs w:val="22"/>
          <w:shd w:val="clear" w:color="auto" w:fill="FFFFFF"/>
        </w:rPr>
        <w:t>IWM Collections,</w:t>
      </w:r>
      <w:r w:rsidRPr="005C0E7B">
        <w:rPr>
          <w:rFonts w:cs="Calibri"/>
          <w:color w:val="2C2C2C"/>
          <w:sz w:val="22"/>
          <w:szCs w:val="22"/>
          <w:shd w:val="clear" w:color="auto" w:fill="FFFFFF"/>
        </w:rPr>
        <w:t xml:space="preserve"> (2024) &lt;</w:t>
      </w:r>
      <w:hyperlink r:id="rId8" w:history="1">
        <w:r w:rsidRPr="005C0E7B">
          <w:rPr>
            <w:rStyle w:val="Hyperlink"/>
            <w:rFonts w:cs="Calibri"/>
            <w:sz w:val="22"/>
            <w:szCs w:val="22"/>
            <w:shd w:val="clear" w:color="auto" w:fill="FFFFFF"/>
          </w:rPr>
          <w:t>https://www.iwm.org.uk/collections</w:t>
        </w:r>
      </w:hyperlink>
      <w:r w:rsidRPr="005C0E7B">
        <w:rPr>
          <w:rFonts w:cs="Calibri"/>
          <w:color w:val="2C2C2C"/>
          <w:sz w:val="22"/>
          <w:szCs w:val="22"/>
          <w:shd w:val="clear" w:color="auto" w:fill="FFFFFF"/>
        </w:rPr>
        <w:t>&gt; [Accessed 18/11/2024].</w:t>
      </w:r>
    </w:p>
    <w:p w14:paraId="31A538EA" w14:textId="77777777" w:rsidR="00B64689" w:rsidRPr="00C176EC" w:rsidRDefault="00B64689" w:rsidP="005A1BC4">
      <w:pPr>
        <w:rPr>
          <w:rFonts w:cs="Calibri"/>
          <w:sz w:val="22"/>
          <w:szCs w:val="22"/>
        </w:rPr>
      </w:pPr>
      <w:r w:rsidRPr="00C176EC">
        <w:rPr>
          <w:rFonts w:cs="Calibri"/>
          <w:sz w:val="22"/>
          <w:szCs w:val="22"/>
        </w:rPr>
        <w:t>Keegan, John, </w:t>
      </w:r>
      <w:r w:rsidRPr="00C176EC">
        <w:rPr>
          <w:rFonts w:cs="Calibri"/>
          <w:i/>
          <w:iCs/>
          <w:sz w:val="22"/>
          <w:szCs w:val="22"/>
        </w:rPr>
        <w:t>The First World War</w:t>
      </w:r>
      <w:r w:rsidRPr="00C176EC">
        <w:rPr>
          <w:rFonts w:cs="Calibri"/>
          <w:sz w:val="22"/>
          <w:szCs w:val="22"/>
        </w:rPr>
        <w:t> (New York: Vintage Books, 1998).</w:t>
      </w:r>
    </w:p>
    <w:p w14:paraId="2A853390" w14:textId="77777777" w:rsidR="00B64689" w:rsidRPr="00C176EC" w:rsidRDefault="00B64689" w:rsidP="005A1BC4">
      <w:pPr>
        <w:rPr>
          <w:rFonts w:cs="Calibri"/>
          <w:sz w:val="22"/>
          <w:szCs w:val="22"/>
        </w:rPr>
      </w:pPr>
      <w:r w:rsidRPr="00C176EC">
        <w:rPr>
          <w:rFonts w:cs="Calibri"/>
          <w:sz w:val="22"/>
          <w:szCs w:val="22"/>
        </w:rPr>
        <w:t xml:space="preserve">Philpot, William, </w:t>
      </w:r>
      <w:r w:rsidRPr="00C176EC">
        <w:rPr>
          <w:rFonts w:cs="Calibri"/>
          <w:i/>
          <w:iCs/>
          <w:sz w:val="22"/>
          <w:szCs w:val="22"/>
        </w:rPr>
        <w:t xml:space="preserve">Bloody victory: the sacrifice on the Somme and the making of the twentieth century, </w:t>
      </w:r>
      <w:r w:rsidRPr="00C176EC">
        <w:rPr>
          <w:rFonts w:cs="Calibri"/>
          <w:sz w:val="22"/>
          <w:szCs w:val="22"/>
        </w:rPr>
        <w:t>(London: Abacus, 2010).</w:t>
      </w:r>
    </w:p>
    <w:p w14:paraId="5317EAE3" w14:textId="77777777" w:rsidR="00B64689" w:rsidRPr="00C176EC" w:rsidRDefault="00B64689" w:rsidP="005A1BC4">
      <w:pPr>
        <w:rPr>
          <w:rFonts w:cs="Calibri"/>
          <w:sz w:val="22"/>
          <w:szCs w:val="22"/>
        </w:rPr>
      </w:pPr>
      <w:r w:rsidRPr="00C176EC">
        <w:rPr>
          <w:rFonts w:cs="Calibri"/>
          <w:i/>
          <w:iCs/>
          <w:sz w:val="22"/>
          <w:szCs w:val="22"/>
        </w:rPr>
        <w:t>Raudzens, George, "War-Winning Weapons: The Measurement of Technological Determinism in Military History". The Journal of Military History. </w:t>
      </w:r>
      <w:r w:rsidRPr="00C176EC">
        <w:rPr>
          <w:rFonts w:cs="Calibri"/>
          <w:b/>
          <w:bCs/>
          <w:i/>
          <w:iCs/>
          <w:sz w:val="22"/>
          <w:szCs w:val="22"/>
        </w:rPr>
        <w:t>54</w:t>
      </w:r>
      <w:r w:rsidRPr="00C176EC">
        <w:rPr>
          <w:rFonts w:cs="Calibri"/>
          <w:i/>
          <w:iCs/>
          <w:sz w:val="22"/>
          <w:szCs w:val="22"/>
        </w:rPr>
        <w:t> (4): (1990) pp.403–434.</w:t>
      </w:r>
    </w:p>
    <w:p w14:paraId="579ADC8E" w14:textId="77777777" w:rsidR="00B64689" w:rsidRPr="00C176EC" w:rsidRDefault="00B64689" w:rsidP="005A1BC4">
      <w:pPr>
        <w:rPr>
          <w:rFonts w:cs="Calibri"/>
          <w:sz w:val="22"/>
          <w:szCs w:val="22"/>
        </w:rPr>
      </w:pPr>
      <w:r w:rsidRPr="00C176EC">
        <w:rPr>
          <w:rFonts w:cs="Calibri"/>
          <w:sz w:val="22"/>
          <w:szCs w:val="22"/>
        </w:rPr>
        <w:t xml:space="preserve">Sheffield, Gary, </w:t>
      </w:r>
      <w:r w:rsidRPr="00C176EC">
        <w:rPr>
          <w:rFonts w:cs="Calibri"/>
          <w:i/>
          <w:iCs/>
          <w:sz w:val="22"/>
          <w:szCs w:val="22"/>
        </w:rPr>
        <w:t>Douglas Haig: from the Somme to victory</w:t>
      </w:r>
      <w:r w:rsidRPr="00C176EC">
        <w:rPr>
          <w:rFonts w:cs="Calibri"/>
          <w:sz w:val="22"/>
          <w:szCs w:val="22"/>
        </w:rPr>
        <w:t xml:space="preserve">, (London: Aurum Press, 2016). </w:t>
      </w:r>
    </w:p>
    <w:p w14:paraId="6B0C2879" w14:textId="77777777" w:rsidR="00B64689" w:rsidRPr="00C176EC" w:rsidRDefault="00B64689" w:rsidP="005A1BC4">
      <w:pPr>
        <w:rPr>
          <w:rFonts w:cs="Calibri"/>
          <w:sz w:val="22"/>
          <w:szCs w:val="22"/>
        </w:rPr>
      </w:pPr>
      <w:r w:rsidRPr="00C176EC">
        <w:rPr>
          <w:rFonts w:cs="Calibri"/>
          <w:sz w:val="22"/>
          <w:szCs w:val="22"/>
        </w:rPr>
        <w:t xml:space="preserve">Sheffield, Gary, </w:t>
      </w:r>
      <w:r w:rsidRPr="00C176EC">
        <w:rPr>
          <w:rFonts w:cs="Calibri"/>
          <w:i/>
          <w:iCs/>
          <w:sz w:val="22"/>
          <w:szCs w:val="22"/>
        </w:rPr>
        <w:t>The Great War 1914-1918. The Story of the Western Front</w:t>
      </w:r>
      <w:r w:rsidRPr="00C176EC">
        <w:rPr>
          <w:rFonts w:cs="Calibri"/>
          <w:sz w:val="22"/>
          <w:szCs w:val="22"/>
        </w:rPr>
        <w:t xml:space="preserve">, (London: SevenOaks, 2014). </w:t>
      </w:r>
    </w:p>
    <w:p w14:paraId="4C799195" w14:textId="77777777" w:rsidR="00B64689" w:rsidRPr="00C176EC" w:rsidRDefault="00B64689" w:rsidP="005A1BC4">
      <w:pPr>
        <w:rPr>
          <w:rFonts w:cs="Calibri"/>
          <w:sz w:val="22"/>
          <w:szCs w:val="22"/>
        </w:rPr>
      </w:pPr>
      <w:r w:rsidRPr="00C176EC">
        <w:rPr>
          <w:rFonts w:cs="Calibri"/>
          <w:sz w:val="22"/>
          <w:szCs w:val="22"/>
        </w:rPr>
        <w:t>Shelford, Graham</w:t>
      </w:r>
      <w:r w:rsidRPr="00C176EC">
        <w:rPr>
          <w:rFonts w:cs="Calibri"/>
          <w:i/>
          <w:iCs/>
          <w:sz w:val="22"/>
          <w:szCs w:val="22"/>
        </w:rPr>
        <w:t xml:space="preserve">, Fire-power – The British Army Weapons and Theory of War 1904–1945, </w:t>
      </w:r>
      <w:r w:rsidRPr="00C176EC">
        <w:rPr>
          <w:rFonts w:cs="Calibri"/>
          <w:sz w:val="22"/>
          <w:szCs w:val="22"/>
        </w:rPr>
        <w:t>(London: Pen &amp; Sword Books, 2004).</w:t>
      </w:r>
    </w:p>
    <w:p w14:paraId="6ED2E30F" w14:textId="77777777" w:rsidR="00B64689" w:rsidRPr="00C176EC" w:rsidRDefault="00B64689" w:rsidP="005A1BC4">
      <w:pPr>
        <w:rPr>
          <w:rFonts w:cs="Calibri"/>
          <w:sz w:val="22"/>
          <w:szCs w:val="22"/>
        </w:rPr>
      </w:pPr>
      <w:r w:rsidRPr="00C176EC">
        <w:rPr>
          <w:rFonts w:cs="Calibri"/>
          <w:sz w:val="22"/>
          <w:szCs w:val="22"/>
        </w:rPr>
        <w:t xml:space="preserve">Simpson, Andy, </w:t>
      </w:r>
      <w:r w:rsidRPr="00C176EC">
        <w:rPr>
          <w:rFonts w:cs="Calibri"/>
          <w:i/>
          <w:iCs/>
          <w:sz w:val="22"/>
          <w:szCs w:val="22"/>
        </w:rPr>
        <w:t>Hot Blood and Cold Steel: life and death in the trenches of the First World War</w:t>
      </w:r>
      <w:r w:rsidRPr="00C176EC">
        <w:rPr>
          <w:rFonts w:cs="Calibri"/>
          <w:sz w:val="22"/>
          <w:szCs w:val="22"/>
        </w:rPr>
        <w:t>,</w:t>
      </w:r>
      <w:r w:rsidRPr="00C176EC">
        <w:rPr>
          <w:rFonts w:cs="Calibri"/>
          <w:i/>
          <w:iCs/>
          <w:sz w:val="22"/>
          <w:szCs w:val="22"/>
        </w:rPr>
        <w:t xml:space="preserve"> </w:t>
      </w:r>
      <w:r w:rsidRPr="00C176EC">
        <w:rPr>
          <w:rFonts w:cs="Calibri"/>
          <w:sz w:val="22"/>
          <w:szCs w:val="22"/>
        </w:rPr>
        <w:t xml:space="preserve">(Staplehurst : Spellmount, 2002). </w:t>
      </w:r>
    </w:p>
    <w:p w14:paraId="2B5D9FCD" w14:textId="77777777" w:rsidR="00B64689" w:rsidRPr="00C176EC" w:rsidRDefault="00B64689" w:rsidP="005A1BC4">
      <w:pPr>
        <w:rPr>
          <w:rFonts w:cs="Calibri"/>
          <w:color w:val="2C2C2C"/>
          <w:sz w:val="22"/>
          <w:szCs w:val="22"/>
          <w:shd w:val="clear" w:color="auto" w:fill="FFFFFF"/>
        </w:rPr>
      </w:pPr>
      <w:r w:rsidRPr="00C176EC">
        <w:rPr>
          <w:rFonts w:cs="Calibri"/>
          <w:color w:val="2C2C2C"/>
          <w:sz w:val="22"/>
          <w:szCs w:val="22"/>
          <w:shd w:val="clear" w:color="auto" w:fill="FFFFFF"/>
        </w:rPr>
        <w:t xml:space="preserve">The National Archives, </w:t>
      </w:r>
      <w:r w:rsidRPr="00C176EC">
        <w:rPr>
          <w:rFonts w:cs="Calibri"/>
          <w:i/>
          <w:iCs/>
          <w:color w:val="2C2C2C"/>
          <w:sz w:val="22"/>
          <w:szCs w:val="22"/>
          <w:shd w:val="clear" w:color="auto" w:fill="FFFFFF"/>
        </w:rPr>
        <w:t>Explore the catalogue,</w:t>
      </w:r>
      <w:r w:rsidRPr="00C176EC">
        <w:rPr>
          <w:rFonts w:cs="Calibri"/>
          <w:color w:val="2C2C2C"/>
          <w:sz w:val="22"/>
          <w:szCs w:val="22"/>
          <w:shd w:val="clear" w:color="auto" w:fill="FFFFFF"/>
        </w:rPr>
        <w:t xml:space="preserve"> (2024) &lt;</w:t>
      </w:r>
      <w:hyperlink r:id="rId9" w:history="1">
        <w:r w:rsidRPr="00C176EC">
          <w:rPr>
            <w:rStyle w:val="Hyperlink"/>
            <w:rFonts w:cs="Calibri"/>
            <w:sz w:val="22"/>
            <w:szCs w:val="22"/>
            <w:shd w:val="clear" w:color="auto" w:fill="FFFFFF"/>
          </w:rPr>
          <w:t>https://discovery.nationalarchives.gov.uk/</w:t>
        </w:r>
      </w:hyperlink>
      <w:r w:rsidRPr="00C176EC">
        <w:rPr>
          <w:rFonts w:cs="Calibri"/>
          <w:color w:val="2C2C2C"/>
          <w:sz w:val="22"/>
          <w:szCs w:val="22"/>
          <w:shd w:val="clear" w:color="auto" w:fill="FFFFFF"/>
        </w:rPr>
        <w:t>&gt; [Accessed 18/11/2024].</w:t>
      </w:r>
    </w:p>
    <w:p w14:paraId="41C83DEF" w14:textId="77777777" w:rsidR="00B64689" w:rsidRPr="00C176EC" w:rsidRDefault="00B64689" w:rsidP="005A1BC4">
      <w:pPr>
        <w:rPr>
          <w:rFonts w:cs="Calibri"/>
          <w:color w:val="2C2C2C"/>
          <w:sz w:val="22"/>
          <w:szCs w:val="22"/>
          <w:shd w:val="clear" w:color="auto" w:fill="FFFFFF"/>
        </w:rPr>
      </w:pPr>
      <w:r w:rsidRPr="00C176EC">
        <w:rPr>
          <w:rFonts w:cs="Calibri"/>
          <w:color w:val="2C2C2C"/>
          <w:sz w:val="22"/>
          <w:szCs w:val="22"/>
          <w:shd w:val="clear" w:color="auto" w:fill="FFFFFF"/>
        </w:rPr>
        <w:t xml:space="preserve">The Tank Museum, </w:t>
      </w:r>
      <w:r w:rsidRPr="00C176EC">
        <w:rPr>
          <w:rFonts w:cs="Calibri"/>
          <w:i/>
          <w:iCs/>
          <w:color w:val="2C2C2C"/>
          <w:sz w:val="22"/>
          <w:szCs w:val="22"/>
          <w:shd w:val="clear" w:color="auto" w:fill="FFFFFF"/>
        </w:rPr>
        <w:t>Archiving and Supporting Collection</w:t>
      </w:r>
      <w:r w:rsidRPr="00C176EC">
        <w:rPr>
          <w:rFonts w:cs="Calibri"/>
          <w:color w:val="2C2C2C"/>
          <w:sz w:val="22"/>
          <w:szCs w:val="22"/>
          <w:shd w:val="clear" w:color="auto" w:fill="FFFFFF"/>
        </w:rPr>
        <w:t>, (2024) &lt;</w:t>
      </w:r>
      <w:hyperlink r:id="rId10" w:history="1">
        <w:r w:rsidRPr="00C176EC">
          <w:rPr>
            <w:rStyle w:val="Hyperlink"/>
            <w:rFonts w:cs="Calibri"/>
            <w:sz w:val="22"/>
            <w:szCs w:val="22"/>
            <w:shd w:val="clear" w:color="auto" w:fill="FFFFFF"/>
          </w:rPr>
          <w:t>https://tankmuseum.org/services/archive-and-supporting-collection</w:t>
        </w:r>
      </w:hyperlink>
      <w:r w:rsidRPr="00C176EC">
        <w:rPr>
          <w:rFonts w:cs="Calibri"/>
          <w:color w:val="2C2C2C"/>
          <w:sz w:val="22"/>
          <w:szCs w:val="22"/>
          <w:shd w:val="clear" w:color="auto" w:fill="FFFFFF"/>
        </w:rPr>
        <w:t>&gt; [Accessed 18/11/2024].</w:t>
      </w:r>
    </w:p>
    <w:p w14:paraId="39FCD816" w14:textId="77777777" w:rsidR="00B64689" w:rsidRPr="00C176EC" w:rsidRDefault="00B64689" w:rsidP="005A1BC4">
      <w:pPr>
        <w:rPr>
          <w:rFonts w:cs="Calibri"/>
          <w:color w:val="000000" w:themeColor="text1"/>
          <w:sz w:val="22"/>
          <w:szCs w:val="22"/>
        </w:rPr>
      </w:pPr>
      <w:r w:rsidRPr="00C176EC">
        <w:rPr>
          <w:rFonts w:cs="Calibri"/>
          <w:color w:val="000000" w:themeColor="text1"/>
          <w:sz w:val="22"/>
          <w:szCs w:val="22"/>
        </w:rPr>
        <w:t xml:space="preserve">Warner, Philip Firepower: From Slings to Star Wars (London: Grafton Books, 1989). </w:t>
      </w:r>
    </w:p>
    <w:p w14:paraId="33FA8ACD" w14:textId="77777777" w:rsidR="00B64689" w:rsidRPr="00C176EC" w:rsidRDefault="00B64689" w:rsidP="005A1BC4">
      <w:pPr>
        <w:rPr>
          <w:rFonts w:cs="Calibri"/>
          <w:sz w:val="22"/>
          <w:szCs w:val="22"/>
        </w:rPr>
      </w:pPr>
      <w:r w:rsidRPr="00C176EC">
        <w:rPr>
          <w:rFonts w:cs="Calibri"/>
          <w:sz w:val="22"/>
          <w:szCs w:val="22"/>
        </w:rPr>
        <w:t>Winter, Denis,</w:t>
      </w:r>
      <w:r w:rsidRPr="00C176EC">
        <w:rPr>
          <w:rFonts w:cs="Calibri"/>
          <w:i/>
          <w:iCs/>
          <w:sz w:val="22"/>
          <w:szCs w:val="22"/>
        </w:rPr>
        <w:t xml:space="preserve"> The First of the Few: Fighter Pilots of the First World War. </w:t>
      </w:r>
      <w:r w:rsidRPr="00C176EC">
        <w:rPr>
          <w:rFonts w:cs="Calibri"/>
          <w:sz w:val="22"/>
          <w:szCs w:val="22"/>
        </w:rPr>
        <w:t>(Penguin: 1983).</w:t>
      </w:r>
    </w:p>
    <w:p w14:paraId="2DABA6E7" w14:textId="77777777" w:rsidR="00B64689" w:rsidRDefault="00B64689" w:rsidP="005A1BC4">
      <w:pPr>
        <w:rPr>
          <w:rFonts w:cs="Calibri"/>
          <w:color w:val="2C2C2C"/>
          <w:sz w:val="22"/>
          <w:szCs w:val="22"/>
          <w:shd w:val="clear" w:color="auto" w:fill="FFFFFF"/>
        </w:rPr>
      </w:pPr>
      <w:r w:rsidRPr="00C176EC">
        <w:rPr>
          <w:rFonts w:cs="Calibri"/>
          <w:sz w:val="22"/>
          <w:szCs w:val="22"/>
        </w:rPr>
        <w:t xml:space="preserve">Zuber, Terence, </w:t>
      </w:r>
      <w:r w:rsidRPr="00C176EC">
        <w:rPr>
          <w:rFonts w:cs="Calibri"/>
          <w:i/>
          <w:iCs/>
          <w:sz w:val="22"/>
          <w:szCs w:val="22"/>
        </w:rPr>
        <w:t>The battle of the frontiers: Ardennes, 1914</w:t>
      </w:r>
      <w:r w:rsidRPr="00C176EC">
        <w:rPr>
          <w:rFonts w:cs="Calibri"/>
          <w:sz w:val="22"/>
          <w:szCs w:val="22"/>
        </w:rPr>
        <w:t>, (</w:t>
      </w:r>
      <w:r w:rsidRPr="00C176EC">
        <w:rPr>
          <w:rFonts w:cs="Calibri"/>
          <w:color w:val="2C2C2C"/>
          <w:sz w:val="22"/>
          <w:szCs w:val="22"/>
          <w:shd w:val="clear" w:color="auto" w:fill="FFFFFF"/>
        </w:rPr>
        <w:t>Gloucestershire: History Press, 2009).</w:t>
      </w:r>
    </w:p>
    <w:p w14:paraId="78A26145" w14:textId="77777777" w:rsidR="00C176EC" w:rsidRDefault="00C176EC" w:rsidP="005A1BC4">
      <w:pPr>
        <w:rPr>
          <w:rFonts w:cs="Calibri"/>
          <w:color w:val="2C2C2C"/>
          <w:sz w:val="22"/>
          <w:szCs w:val="22"/>
          <w:shd w:val="clear" w:color="auto" w:fill="FFFFFF"/>
        </w:rPr>
      </w:pPr>
    </w:p>
    <w:p w14:paraId="6306DC42" w14:textId="77777777" w:rsidR="00C176EC" w:rsidRPr="00C176EC" w:rsidRDefault="00C176EC" w:rsidP="005A1BC4">
      <w:pPr>
        <w:rPr>
          <w:rFonts w:cs="Calibri"/>
          <w:color w:val="2C2C2C"/>
          <w:sz w:val="22"/>
          <w:szCs w:val="22"/>
          <w:shd w:val="clear" w:color="auto" w:fill="FFFFFF"/>
        </w:rPr>
      </w:pPr>
    </w:p>
    <w:p w14:paraId="69642BAB" w14:textId="6EF14681" w:rsidR="00B20954" w:rsidRPr="00C176EC" w:rsidRDefault="00BE4C9E" w:rsidP="005A1BC4">
      <w:pPr>
        <w:rPr>
          <w:rFonts w:cs="Calibri"/>
          <w:sz w:val="22"/>
          <w:szCs w:val="22"/>
        </w:rPr>
      </w:pPr>
      <w:r w:rsidRPr="00C176EC">
        <w:rPr>
          <w:rFonts w:cs="Calibri"/>
          <w:b/>
          <w:bCs/>
          <w:sz w:val="22"/>
          <w:szCs w:val="22"/>
          <w:u w:val="single"/>
        </w:rPr>
        <w:lastRenderedPageBreak/>
        <w:t xml:space="preserve">Bibliography - </w:t>
      </w:r>
      <w:r w:rsidR="00B20954" w:rsidRPr="00C176EC">
        <w:rPr>
          <w:rFonts w:cs="Calibri"/>
          <w:b/>
          <w:bCs/>
          <w:sz w:val="22"/>
          <w:szCs w:val="22"/>
          <w:u w:val="single"/>
        </w:rPr>
        <w:t>Primary Sources</w:t>
      </w:r>
    </w:p>
    <w:p w14:paraId="49AD118A" w14:textId="77777777" w:rsidR="00C176EC" w:rsidRPr="00C176EC" w:rsidRDefault="00C176EC" w:rsidP="005A1BC4">
      <w:pPr>
        <w:rPr>
          <w:rFonts w:cs="Calibri"/>
          <w:sz w:val="22"/>
          <w:szCs w:val="22"/>
        </w:rPr>
      </w:pPr>
      <w:bookmarkStart w:id="4" w:name="_Hlk163744655"/>
      <w:r w:rsidRPr="00C176EC">
        <w:rPr>
          <w:rFonts w:cs="Calibri"/>
          <w:sz w:val="22"/>
          <w:szCs w:val="22"/>
        </w:rPr>
        <w:t xml:space="preserve">De Wiart, Adrian Carton, </w:t>
      </w:r>
      <w:r w:rsidRPr="00C176EC">
        <w:rPr>
          <w:rFonts w:cs="Calibri"/>
          <w:i/>
          <w:iCs/>
          <w:sz w:val="22"/>
          <w:szCs w:val="22"/>
        </w:rPr>
        <w:t>Happy odyssey: the memoirs of Lieutenant-General Sir Adrian Carton De Wiart</w:t>
      </w:r>
      <w:r w:rsidRPr="00C176EC">
        <w:rPr>
          <w:rFonts w:cs="Calibri"/>
          <w:sz w:val="22"/>
          <w:szCs w:val="22"/>
        </w:rPr>
        <w:t>, (Barnsley, South Yorkshire: Pen &amp; Sword Military 2007).</w:t>
      </w:r>
      <w:bookmarkEnd w:id="4"/>
    </w:p>
    <w:p w14:paraId="0F86CA41" w14:textId="77777777" w:rsidR="00C176EC" w:rsidRPr="00C176EC" w:rsidRDefault="00C176EC" w:rsidP="005A1BC4">
      <w:pPr>
        <w:rPr>
          <w:rFonts w:cs="Calibri"/>
          <w:sz w:val="22"/>
          <w:szCs w:val="22"/>
        </w:rPr>
      </w:pPr>
      <w:r w:rsidRPr="00C176EC">
        <w:rPr>
          <w:rFonts w:cs="Calibri"/>
          <w:sz w:val="22"/>
          <w:szCs w:val="22"/>
        </w:rPr>
        <w:t xml:space="preserve">Maxwell, Charlotte, </w:t>
      </w:r>
      <w:r w:rsidRPr="00C176EC">
        <w:rPr>
          <w:rFonts w:cs="Calibri"/>
          <w:i/>
          <w:iCs/>
          <w:sz w:val="22"/>
          <w:szCs w:val="22"/>
        </w:rPr>
        <w:t>Frank Maxwell</w:t>
      </w:r>
      <w:r w:rsidRPr="00C176EC">
        <w:rPr>
          <w:rFonts w:cs="Calibri"/>
          <w:sz w:val="22"/>
          <w:szCs w:val="22"/>
        </w:rPr>
        <w:t>, (London: John Murray, 1921).</w:t>
      </w:r>
    </w:p>
    <w:p w14:paraId="4109E167" w14:textId="77777777" w:rsidR="00C176EC" w:rsidRPr="00C176EC" w:rsidRDefault="00C176EC" w:rsidP="005A1BC4">
      <w:pPr>
        <w:rPr>
          <w:rFonts w:cs="Calibri"/>
          <w:sz w:val="22"/>
          <w:szCs w:val="22"/>
        </w:rPr>
      </w:pPr>
      <w:r w:rsidRPr="00C176EC">
        <w:rPr>
          <w:rFonts w:cs="Calibri"/>
          <w:sz w:val="22"/>
          <w:szCs w:val="22"/>
        </w:rPr>
        <w:t xml:space="preserve">Remarque, Erich Maria, </w:t>
      </w:r>
      <w:r w:rsidRPr="00C176EC">
        <w:rPr>
          <w:rFonts w:cs="Calibri"/>
          <w:i/>
          <w:iCs/>
          <w:sz w:val="22"/>
          <w:szCs w:val="22"/>
        </w:rPr>
        <w:t>All Quiet on the Western Front</w:t>
      </w:r>
      <w:r w:rsidRPr="00C176EC">
        <w:rPr>
          <w:rFonts w:cs="Calibri"/>
          <w:sz w:val="22"/>
          <w:szCs w:val="22"/>
        </w:rPr>
        <w:t>, (Connecticut: Fawcett Crest Books, 1957).</w:t>
      </w:r>
    </w:p>
    <w:p w14:paraId="3318F254" w14:textId="6BA0B903" w:rsidR="00C176EC" w:rsidRPr="00C176EC" w:rsidRDefault="00C176EC">
      <w:pPr>
        <w:rPr>
          <w:sz w:val="22"/>
          <w:szCs w:val="22"/>
        </w:rPr>
      </w:pPr>
      <w:r w:rsidRPr="00C176EC">
        <w:rPr>
          <w:sz w:val="22"/>
          <w:szCs w:val="22"/>
        </w:rPr>
        <w:t>The National Archives, Kew, RAIL 253/516: Lance Corporal James Davies to Charles M Baker, 23 June 1916.</w:t>
      </w:r>
      <w:r>
        <w:rPr>
          <w:sz w:val="22"/>
          <w:szCs w:val="22"/>
        </w:rPr>
        <w:t xml:space="preserve"> &lt;</w:t>
      </w:r>
      <w:hyperlink r:id="rId11" w:history="1">
        <w:r w:rsidR="00B65DE6" w:rsidRPr="003A15C2">
          <w:rPr>
            <w:rStyle w:val="Hyperlink"/>
            <w:sz w:val="22"/>
            <w:szCs w:val="22"/>
          </w:rPr>
          <w:t>https://www.nationalarchives.gov.uk/education/resources/letters-first-world-war-1916-18/trenches-towns-shelled-pieces/</w:t>
        </w:r>
      </w:hyperlink>
      <w:r>
        <w:rPr>
          <w:sz w:val="22"/>
          <w:szCs w:val="22"/>
        </w:rPr>
        <w:t xml:space="preserve">&gt; </w:t>
      </w:r>
      <w:r w:rsidRPr="00C176EC">
        <w:rPr>
          <w:sz w:val="22"/>
          <w:szCs w:val="22"/>
        </w:rPr>
        <w:t xml:space="preserve"> [Accessed 21/11/2024]</w:t>
      </w:r>
      <w:r>
        <w:rPr>
          <w:sz w:val="22"/>
          <w:szCs w:val="22"/>
        </w:rPr>
        <w:t>.</w:t>
      </w:r>
    </w:p>
    <w:p w14:paraId="5F15460C" w14:textId="655187AA" w:rsidR="00C176EC" w:rsidRPr="00C176EC" w:rsidRDefault="00C176EC" w:rsidP="00CE2F05">
      <w:pPr>
        <w:rPr>
          <w:sz w:val="22"/>
          <w:szCs w:val="22"/>
        </w:rPr>
      </w:pPr>
      <w:r w:rsidRPr="00C176EC">
        <w:rPr>
          <w:sz w:val="22"/>
          <w:szCs w:val="22"/>
        </w:rPr>
        <w:t>The National Archives, Kew, RAIL 253/516: Second Lieutenant Richard Charles Stanley Frost to Mr. Hunt, 23 August 1916.</w:t>
      </w:r>
      <w:r>
        <w:rPr>
          <w:sz w:val="22"/>
          <w:szCs w:val="22"/>
        </w:rPr>
        <w:t xml:space="preserve"> &lt;</w:t>
      </w:r>
      <w:hyperlink r:id="rId12" w:history="1">
        <w:r w:rsidRPr="003A15C2">
          <w:rPr>
            <w:rStyle w:val="Hyperlink"/>
            <w:sz w:val="22"/>
            <w:szCs w:val="22"/>
          </w:rPr>
          <w:t>https://www.nationalarchives.gov.uk/education/resources/letters-first-world-war-1916-18/trenches-big-dose-gas-shells/</w:t>
        </w:r>
      </w:hyperlink>
      <w:r>
        <w:rPr>
          <w:sz w:val="22"/>
          <w:szCs w:val="22"/>
        </w:rPr>
        <w:t xml:space="preserve">&gt; </w:t>
      </w:r>
      <w:r w:rsidRPr="00C176EC">
        <w:rPr>
          <w:sz w:val="22"/>
          <w:szCs w:val="22"/>
        </w:rPr>
        <w:t xml:space="preserve"> [Accessed 21/11/2024]</w:t>
      </w:r>
      <w:r>
        <w:rPr>
          <w:sz w:val="22"/>
          <w:szCs w:val="22"/>
        </w:rPr>
        <w:t>.</w:t>
      </w:r>
    </w:p>
    <w:p w14:paraId="4E2D29C7" w14:textId="77777777" w:rsidR="00C176EC" w:rsidRPr="00C176EC" w:rsidRDefault="00C176EC">
      <w:pPr>
        <w:rPr>
          <w:rFonts w:cs="Calibri"/>
          <w:sz w:val="22"/>
          <w:szCs w:val="22"/>
        </w:rPr>
      </w:pPr>
      <w:r w:rsidRPr="00C176EC">
        <w:rPr>
          <w:rFonts w:cs="Calibri"/>
          <w:sz w:val="22"/>
          <w:szCs w:val="22"/>
        </w:rPr>
        <w:t xml:space="preserve">Watson, W.H.L, </w:t>
      </w:r>
      <w:r w:rsidRPr="00C176EC">
        <w:rPr>
          <w:rFonts w:cs="Calibri"/>
          <w:i/>
          <w:iCs/>
          <w:sz w:val="22"/>
          <w:szCs w:val="22"/>
        </w:rPr>
        <w:t>With the Tanks</w:t>
      </w:r>
      <w:r w:rsidRPr="00C176EC">
        <w:rPr>
          <w:rFonts w:cs="Calibri"/>
          <w:sz w:val="22"/>
          <w:szCs w:val="22"/>
        </w:rPr>
        <w:t xml:space="preserve"> </w:t>
      </w:r>
      <w:r w:rsidRPr="00C176EC">
        <w:rPr>
          <w:rFonts w:cs="Calibri"/>
          <w:i/>
          <w:iCs/>
          <w:sz w:val="22"/>
          <w:szCs w:val="22"/>
        </w:rPr>
        <w:t>1916 – 1918, Memoirs of a British Tank Commander in the Great War,</w:t>
      </w:r>
      <w:r w:rsidRPr="00C176EC">
        <w:rPr>
          <w:rFonts w:cs="Calibri"/>
          <w:sz w:val="22"/>
          <w:szCs w:val="22"/>
        </w:rPr>
        <w:t xml:space="preserve"> (Barnsley: Pen and Sword, 2014).</w:t>
      </w:r>
    </w:p>
    <w:p w14:paraId="6BCB1E3B" w14:textId="77777777" w:rsidR="004A3E63" w:rsidRDefault="004A3E63"/>
    <w:p w14:paraId="393483B3" w14:textId="77777777" w:rsidR="00B65DE6" w:rsidRDefault="00B65DE6"/>
    <w:p w14:paraId="47C6B0AF" w14:textId="77777777" w:rsidR="00B65DE6" w:rsidRDefault="00B65DE6"/>
    <w:p w14:paraId="1ECED9AB" w14:textId="77777777" w:rsidR="00B65DE6" w:rsidRDefault="00B65DE6"/>
    <w:p w14:paraId="761C05F5" w14:textId="77777777" w:rsidR="00B65DE6" w:rsidRDefault="00B65DE6"/>
    <w:p w14:paraId="0380BC3C" w14:textId="77777777" w:rsidR="00B65DE6" w:rsidRDefault="00B65DE6"/>
    <w:p w14:paraId="385DA0C4" w14:textId="77777777" w:rsidR="00B65DE6" w:rsidRDefault="00B65DE6"/>
    <w:p w14:paraId="7F91C040" w14:textId="77777777" w:rsidR="00B65DE6" w:rsidRDefault="00B65DE6"/>
    <w:p w14:paraId="4F156419" w14:textId="77777777" w:rsidR="00B65DE6" w:rsidRDefault="00B65DE6"/>
    <w:p w14:paraId="642D9980" w14:textId="77777777" w:rsidR="00B65DE6" w:rsidRDefault="00B65DE6"/>
    <w:p w14:paraId="33B12D1D" w14:textId="77777777" w:rsidR="00B65DE6" w:rsidRDefault="00B65DE6"/>
    <w:p w14:paraId="71AC1B1E" w14:textId="77777777" w:rsidR="00B65DE6" w:rsidRDefault="00B65DE6"/>
    <w:p w14:paraId="32828F52" w14:textId="6C45E7E2" w:rsidR="00B65DE6" w:rsidRDefault="00B65DE6"/>
    <w:p w14:paraId="626781CB" w14:textId="77777777" w:rsidR="00B65DE6" w:rsidRDefault="00B65DE6"/>
    <w:p w14:paraId="580147F5" w14:textId="77777777" w:rsidR="00B65DE6" w:rsidRDefault="00B65DE6"/>
    <w:p w14:paraId="5CCECA0F" w14:textId="77777777" w:rsidR="00B65DE6" w:rsidRDefault="00B65DE6"/>
    <w:p w14:paraId="6F88D7DE" w14:textId="77777777" w:rsidR="00B65DE6" w:rsidRDefault="00B65DE6"/>
    <w:p w14:paraId="595A35DF" w14:textId="77777777" w:rsidR="00B65DE6" w:rsidRDefault="00B65DE6"/>
    <w:p w14:paraId="27F42C3F" w14:textId="62EE5FFA" w:rsidR="00B65DE6" w:rsidRPr="001D0D50" w:rsidRDefault="00B65DE6" w:rsidP="001D0D50">
      <w:pPr>
        <w:jc w:val="center"/>
        <w:rPr>
          <w:b/>
          <w:bCs/>
          <w:sz w:val="32"/>
          <w:szCs w:val="32"/>
          <w:u w:val="single"/>
        </w:rPr>
      </w:pPr>
      <w:r w:rsidRPr="001D0D50">
        <w:rPr>
          <w:b/>
          <w:bCs/>
          <w:sz w:val="32"/>
          <w:szCs w:val="32"/>
          <w:u w:val="single"/>
        </w:rPr>
        <w:lastRenderedPageBreak/>
        <w:t>Project Management Plan</w:t>
      </w:r>
    </w:p>
    <w:tbl>
      <w:tblPr>
        <w:tblStyle w:val="GridTable4-Accent4"/>
        <w:tblW w:w="10444" w:type="dxa"/>
        <w:tblInd w:w="-718" w:type="dxa"/>
        <w:tblLook w:val="04A0" w:firstRow="1" w:lastRow="0" w:firstColumn="1" w:lastColumn="0" w:noHBand="0" w:noVBand="1"/>
      </w:tblPr>
      <w:tblGrid>
        <w:gridCol w:w="1939"/>
        <w:gridCol w:w="8505"/>
      </w:tblGrid>
      <w:tr w:rsidR="00B65DE6" w14:paraId="5274EB45" w14:textId="77777777" w:rsidTr="001D0D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42AF0CDC" w14:textId="2AD29BC7" w:rsidR="00B65DE6" w:rsidRPr="001D0D50" w:rsidRDefault="00B65DE6">
            <w:pPr>
              <w:rPr>
                <w:color w:val="000000" w:themeColor="text1"/>
                <w:sz w:val="32"/>
                <w:szCs w:val="32"/>
                <w:u w:val="single"/>
              </w:rPr>
            </w:pPr>
            <w:r w:rsidRPr="001D0D50">
              <w:rPr>
                <w:color w:val="000000" w:themeColor="text1"/>
                <w:sz w:val="32"/>
                <w:szCs w:val="32"/>
                <w:u w:val="single"/>
              </w:rPr>
              <w:t>Month End</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08D2944" w14:textId="4B786658" w:rsidR="00B65DE6" w:rsidRPr="001D0D50" w:rsidRDefault="00B65DE6">
            <w:pPr>
              <w:cnfStyle w:val="100000000000" w:firstRow="1" w:lastRow="0" w:firstColumn="0" w:lastColumn="0" w:oddVBand="0" w:evenVBand="0" w:oddHBand="0" w:evenHBand="0" w:firstRowFirstColumn="0" w:firstRowLastColumn="0" w:lastRowFirstColumn="0" w:lastRowLastColumn="0"/>
              <w:rPr>
                <w:color w:val="000000" w:themeColor="text1"/>
                <w:sz w:val="32"/>
                <w:szCs w:val="32"/>
                <w:u w:val="single"/>
              </w:rPr>
            </w:pPr>
            <w:r w:rsidRPr="001D0D50">
              <w:rPr>
                <w:color w:val="000000" w:themeColor="text1"/>
                <w:sz w:val="32"/>
                <w:szCs w:val="32"/>
                <w:u w:val="single"/>
              </w:rPr>
              <w:t>Target</w:t>
            </w:r>
          </w:p>
        </w:tc>
      </w:tr>
      <w:tr w:rsidR="00B65DE6" w14:paraId="052DA5C3"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A72A08A" w14:textId="2057A2EF" w:rsidR="00B65DE6" w:rsidRPr="006003CB" w:rsidRDefault="00B65DE6">
            <w:r w:rsidRPr="006003CB">
              <w:t>November 2024</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80668E9" w14:textId="709E026B" w:rsidR="00B65DE6" w:rsidRDefault="000613EA"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 will have c</w:t>
            </w:r>
            <w:r w:rsidR="00B65DE6">
              <w:t>ompleted</w:t>
            </w:r>
            <w:r>
              <w:t xml:space="preserve"> my</w:t>
            </w:r>
            <w:r w:rsidR="00B65DE6">
              <w:t xml:space="preserve"> Reflective Report.</w:t>
            </w:r>
          </w:p>
          <w:p w14:paraId="2E6C3170" w14:textId="0B1F6FFE" w:rsidR="00B65DE6"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Acquired additional Primary Sources.</w:t>
            </w:r>
          </w:p>
          <w:p w14:paraId="4A85AC3E" w14:textId="59D3D442" w:rsidR="00B65DE6"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Read at least one more Scholarship Source.</w:t>
            </w:r>
          </w:p>
        </w:tc>
      </w:tr>
      <w:tr w:rsidR="00B65DE6" w14:paraId="0B779405"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433CD825" w14:textId="0A52B27F" w:rsidR="00B65DE6" w:rsidRPr="006003CB" w:rsidRDefault="00B65DE6">
            <w:r w:rsidRPr="006003CB">
              <w:t>December 2024</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F6391C4" w14:textId="4215581E"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Meet with Rhian and get feedback on my work so far, implement necessary changes.</w:t>
            </w:r>
            <w:r w:rsidR="00C15C00">
              <w:t xml:space="preserve"> (02/12/2024)</w:t>
            </w:r>
          </w:p>
          <w:p w14:paraId="0BF62109" w14:textId="5D8C9192"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Finalise my topic/question.</w:t>
            </w:r>
          </w:p>
          <w:p w14:paraId="103CE706" w14:textId="13A275E8"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Read at least three more Scholarship Sources.</w:t>
            </w:r>
          </w:p>
        </w:tc>
      </w:tr>
      <w:tr w:rsidR="00B65DE6" w14:paraId="49BA4C73"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5763832" w14:textId="433B4394" w:rsidR="00B65DE6" w:rsidRPr="006003CB" w:rsidRDefault="00B65DE6">
            <w:r w:rsidRPr="006003CB">
              <w:t>January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0C8C90F" w14:textId="7EC0BD15" w:rsidR="001B4F7C" w:rsidRDefault="001B4F7C" w:rsidP="001B4F7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Visit Imperial War Museum and National Archives to gather additional Primary Sources. </w:t>
            </w:r>
          </w:p>
          <w:p w14:paraId="4EBB7F6E" w14:textId="16799153" w:rsidR="00BF2908"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Flesh out </w:t>
            </w:r>
            <w:r w:rsidR="00C15C00">
              <w:t>overall structure for the dissertation</w:t>
            </w:r>
            <w:r w:rsidR="00BF2908">
              <w:t>.</w:t>
            </w:r>
            <w:r w:rsidR="00C15C00">
              <w:t xml:space="preserve"> </w:t>
            </w:r>
          </w:p>
          <w:p w14:paraId="2FA4FA69" w14:textId="51EED9AA" w:rsidR="00C15C00" w:rsidRDefault="00BF2908"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w:t>
            </w:r>
            <w:r w:rsidR="00C15C00">
              <w:t>onsider chapter titles, write introduction.</w:t>
            </w:r>
          </w:p>
          <w:p w14:paraId="51B6659C" w14:textId="7E17A264" w:rsidR="001B4F7C" w:rsidRDefault="00C15C00" w:rsidP="001B4F7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Read further Scholarship Sources.</w:t>
            </w:r>
          </w:p>
          <w:p w14:paraId="2356885E" w14:textId="3479146E" w:rsidR="00BF2908" w:rsidRDefault="00BF2908" w:rsidP="00BF29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Meet with Rhian to</w:t>
            </w:r>
            <w:r w:rsidR="001B4F7C">
              <w:t xml:space="preserve"> get feedback and</w:t>
            </w:r>
            <w:r>
              <w:t xml:space="preserve"> discuss progress.</w:t>
            </w:r>
          </w:p>
        </w:tc>
      </w:tr>
      <w:tr w:rsidR="00B65DE6" w14:paraId="6047547B"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D38946F" w14:textId="3087BBEA" w:rsidR="00B65DE6" w:rsidRPr="006003CB" w:rsidRDefault="00BF2908">
            <w:r w:rsidRPr="006003CB">
              <w:t>February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3495FC7" w14:textId="7DEADF1E" w:rsidR="00904493" w:rsidRDefault="00904493" w:rsidP="00904493">
            <w:pPr>
              <w:pStyle w:val="ListParagraph"/>
              <w:numPr>
                <w:ilvl w:val="0"/>
                <w:numId w:val="2"/>
              </w:numPr>
              <w:spacing w:after="160" w:line="278" w:lineRule="auto"/>
              <w:cnfStyle w:val="000000000000" w:firstRow="0" w:lastRow="0" w:firstColumn="0" w:lastColumn="0" w:oddVBand="0" w:evenVBand="0" w:oddHBand="0" w:evenHBand="0" w:firstRowFirstColumn="0" w:firstRowLastColumn="0" w:lastRowFirstColumn="0" w:lastRowLastColumn="0"/>
            </w:pPr>
            <w:r>
              <w:t>Begin writing Dissertation, prepare</w:t>
            </w:r>
            <w:r w:rsidR="005677C4">
              <w:t xml:space="preserve"> a</w:t>
            </w:r>
            <w:r>
              <w:t xml:space="preserve"> draft chapter and send to Rhian so that this can be discussed and amended.</w:t>
            </w:r>
          </w:p>
          <w:p w14:paraId="4EA30D70" w14:textId="7BB476EF" w:rsidR="001B4F7C" w:rsidRDefault="001B4F7C" w:rsidP="001B4F7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Finalise planning for Dissertation, and read any remaining </w:t>
            </w:r>
            <w:r w:rsidR="000613EA">
              <w:t>s</w:t>
            </w:r>
            <w:r>
              <w:t>ources I wish to use.</w:t>
            </w:r>
          </w:p>
        </w:tc>
      </w:tr>
      <w:tr w:rsidR="00B65DE6" w14:paraId="7399F6C6"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765D921" w14:textId="6A982B12" w:rsidR="00B65DE6" w:rsidRPr="006003CB" w:rsidRDefault="00BF2908">
            <w:r w:rsidRPr="006003CB">
              <w:t>March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8985CD" w14:textId="77777777" w:rsidR="00B65DE6" w:rsidRDefault="001B4F7C"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Complete Dissertation using feedback from draft chapter</w:t>
            </w:r>
            <w:r w:rsidR="00904493">
              <w:t>.</w:t>
            </w:r>
          </w:p>
          <w:p w14:paraId="69476927" w14:textId="02BBD242" w:rsidR="00904493" w:rsidRDefault="00904493"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Prepare and start working on presentation due in 8</w:t>
            </w:r>
            <w:r w:rsidRPr="00904493">
              <w:rPr>
                <w:vertAlign w:val="superscript"/>
              </w:rPr>
              <w:t>th</w:t>
            </w:r>
            <w:r>
              <w:t xml:space="preserve"> April 2025.</w:t>
            </w:r>
          </w:p>
        </w:tc>
      </w:tr>
      <w:tr w:rsidR="00B65DE6" w14:paraId="2A93A8D1"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13B9901" w14:textId="4DC3AA65" w:rsidR="00B65DE6" w:rsidRPr="006003CB" w:rsidRDefault="00BF2908">
            <w:r w:rsidRPr="006003CB">
              <w:t>April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795789A4" w14:textId="77777777" w:rsidR="00B65DE6" w:rsidRDefault="00904493"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Submit and present presentation (8</w:t>
            </w:r>
            <w:r w:rsidRPr="00904493">
              <w:rPr>
                <w:vertAlign w:val="superscript"/>
              </w:rPr>
              <w:t>th</w:t>
            </w:r>
            <w:r>
              <w:t xml:space="preserve"> April 2025).</w:t>
            </w:r>
          </w:p>
          <w:p w14:paraId="56698EAF" w14:textId="5111D48C" w:rsidR="00904493" w:rsidRDefault="00904493"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Finishing touches, </w:t>
            </w:r>
            <w:r w:rsidR="000613EA">
              <w:t>s</w:t>
            </w:r>
            <w:r>
              <w:t>tructure Bibliography, organise footnotes, spell check, e</w:t>
            </w:r>
            <w:r w:rsidR="005677C4">
              <w:t>tc</w:t>
            </w:r>
            <w:r>
              <w:t>.</w:t>
            </w:r>
          </w:p>
        </w:tc>
      </w:tr>
      <w:tr w:rsidR="00B65DE6" w14:paraId="412D5C51"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B13AA80" w14:textId="35732B96" w:rsidR="00B65DE6" w:rsidRPr="006003CB" w:rsidRDefault="00904493">
            <w:r w:rsidRPr="006003CB">
              <w:t>May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C80B85C" w14:textId="67E9B17B" w:rsidR="00904493" w:rsidRDefault="00904493" w:rsidP="00AC2B0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Submit Dissertation on 7</w:t>
            </w:r>
            <w:r w:rsidRPr="00904493">
              <w:rPr>
                <w:vertAlign w:val="superscript"/>
              </w:rPr>
              <w:t>th</w:t>
            </w:r>
            <w:r>
              <w:t xml:space="preserve"> May</w:t>
            </w:r>
            <w:r w:rsidR="001D0D50">
              <w:t xml:space="preserve"> 2025</w:t>
            </w:r>
            <w:r>
              <w:t>.</w:t>
            </w:r>
          </w:p>
        </w:tc>
      </w:tr>
    </w:tbl>
    <w:p w14:paraId="0172EB39" w14:textId="77777777" w:rsidR="00B65DE6" w:rsidRPr="00B65DE6" w:rsidRDefault="00B65DE6"/>
    <w:sectPr w:rsidR="00B65DE6" w:rsidRPr="00B65DE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C6121" w14:textId="77777777" w:rsidR="009912CC" w:rsidRPr="007643FE" w:rsidRDefault="009912CC" w:rsidP="00EB6F16">
      <w:pPr>
        <w:spacing w:after="0" w:line="240" w:lineRule="auto"/>
      </w:pPr>
      <w:r w:rsidRPr="007643FE">
        <w:separator/>
      </w:r>
    </w:p>
  </w:endnote>
  <w:endnote w:type="continuationSeparator" w:id="0">
    <w:p w14:paraId="32A8D8F4" w14:textId="77777777" w:rsidR="009912CC" w:rsidRPr="007643FE" w:rsidRDefault="009912CC" w:rsidP="00EB6F16">
      <w:pPr>
        <w:spacing w:after="0" w:line="240" w:lineRule="auto"/>
      </w:pPr>
      <w:r w:rsidRPr="007643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D4399" w14:textId="77777777" w:rsidR="009912CC" w:rsidRPr="007643FE" w:rsidRDefault="009912CC" w:rsidP="00EB6F16">
      <w:pPr>
        <w:spacing w:after="0" w:line="240" w:lineRule="auto"/>
      </w:pPr>
      <w:r w:rsidRPr="007643FE">
        <w:separator/>
      </w:r>
    </w:p>
  </w:footnote>
  <w:footnote w:type="continuationSeparator" w:id="0">
    <w:p w14:paraId="718E72CD" w14:textId="77777777" w:rsidR="009912CC" w:rsidRPr="007643FE" w:rsidRDefault="009912CC" w:rsidP="00EB6F16">
      <w:pPr>
        <w:spacing w:after="0" w:line="240" w:lineRule="auto"/>
      </w:pPr>
      <w:r w:rsidRPr="007643FE">
        <w:continuationSeparator/>
      </w:r>
    </w:p>
  </w:footnote>
  <w:footnote w:id="1">
    <w:p w14:paraId="62E552BC" w14:textId="3F613738" w:rsidR="00621896" w:rsidRPr="007643FE" w:rsidRDefault="00621896">
      <w:pPr>
        <w:pStyle w:val="FootnoteText"/>
      </w:pPr>
      <w:r w:rsidRPr="007643FE">
        <w:rPr>
          <w:rStyle w:val="FootnoteReference"/>
          <w:sz w:val="16"/>
          <w:szCs w:val="16"/>
        </w:rPr>
        <w:footnoteRef/>
      </w:r>
      <w:r w:rsidRPr="007643FE">
        <w:rPr>
          <w:sz w:val="16"/>
          <w:szCs w:val="16"/>
        </w:rPr>
        <w:t xml:space="preserve"> </w:t>
      </w:r>
      <w:r w:rsidRPr="007643FE">
        <w:rPr>
          <w:rFonts w:cs="Calibri"/>
          <w:sz w:val="16"/>
          <w:szCs w:val="16"/>
        </w:rPr>
        <w:t xml:space="preserve">Morris Herbert Goran </w:t>
      </w:r>
      <w:r w:rsidRPr="007643FE">
        <w:rPr>
          <w:rFonts w:cs="Calibri"/>
          <w:i/>
          <w:iCs/>
          <w:sz w:val="16"/>
          <w:szCs w:val="16"/>
        </w:rPr>
        <w:t>The Story of Fritz Haber</w:t>
      </w:r>
      <w:r w:rsidRPr="007643FE">
        <w:rPr>
          <w:rFonts w:cs="Calibri"/>
          <w:sz w:val="16"/>
          <w:szCs w:val="16"/>
        </w:rPr>
        <w:t xml:space="preserve">, </w:t>
      </w:r>
      <w:r w:rsidR="009F2168">
        <w:rPr>
          <w:rFonts w:cs="Calibri"/>
          <w:sz w:val="16"/>
          <w:szCs w:val="16"/>
        </w:rPr>
        <w:t>(</w:t>
      </w:r>
      <w:r w:rsidRPr="007643FE">
        <w:rPr>
          <w:rFonts w:cs="Calibri"/>
          <w:sz w:val="16"/>
          <w:szCs w:val="16"/>
        </w:rPr>
        <w:t>Norman: University of Oklahoma Press, 1967) p.70.</w:t>
      </w:r>
    </w:p>
  </w:footnote>
  <w:footnote w:id="2">
    <w:p w14:paraId="4CFA3823" w14:textId="38E67122" w:rsidR="00BD1CE8" w:rsidRPr="007643FE" w:rsidRDefault="00BD1CE8">
      <w:pPr>
        <w:pStyle w:val="FootnoteText"/>
        <w:rPr>
          <w:sz w:val="16"/>
          <w:szCs w:val="16"/>
        </w:rPr>
      </w:pPr>
      <w:r w:rsidRPr="007643FE">
        <w:rPr>
          <w:rStyle w:val="FootnoteReference"/>
        </w:rPr>
        <w:footnoteRef/>
      </w:r>
      <w:r w:rsidRPr="007643FE">
        <w:t xml:space="preserve"> </w:t>
      </w:r>
      <w:bookmarkStart w:id="0" w:name="_Hlk183180046"/>
      <w:r w:rsidR="00E42297" w:rsidRPr="007643FE">
        <w:rPr>
          <w:sz w:val="16"/>
          <w:szCs w:val="16"/>
        </w:rPr>
        <w:t xml:space="preserve">The National Archives, </w:t>
      </w:r>
      <w:r w:rsidR="00E42297" w:rsidRPr="007643FE">
        <w:rPr>
          <w:i/>
          <w:iCs/>
          <w:sz w:val="16"/>
          <w:szCs w:val="16"/>
        </w:rPr>
        <w:t>Explore the catalogue,</w:t>
      </w:r>
      <w:r w:rsidR="00E42297" w:rsidRPr="007643FE">
        <w:rPr>
          <w:sz w:val="16"/>
          <w:szCs w:val="16"/>
        </w:rPr>
        <w:t xml:space="preserve"> (2024) &lt;</w:t>
      </w:r>
      <w:hyperlink r:id="rId1" w:history="1">
        <w:r w:rsidR="00E42297" w:rsidRPr="007643FE">
          <w:rPr>
            <w:rStyle w:val="Hyperlink"/>
            <w:sz w:val="16"/>
            <w:szCs w:val="16"/>
          </w:rPr>
          <w:t>https://discovery.nationalarchives.gov.uk/</w:t>
        </w:r>
      </w:hyperlink>
      <w:r w:rsidR="00E42297" w:rsidRPr="007643FE">
        <w:rPr>
          <w:sz w:val="16"/>
          <w:szCs w:val="16"/>
        </w:rPr>
        <w:t>&gt; [Accessed 18/11/2024].</w:t>
      </w:r>
      <w:bookmarkEnd w:id="0"/>
    </w:p>
  </w:footnote>
  <w:footnote w:id="3">
    <w:p w14:paraId="68847DFC" w14:textId="7B8EFEF6" w:rsidR="00BD1CE8" w:rsidRPr="007643FE" w:rsidRDefault="00BD1CE8">
      <w:pPr>
        <w:pStyle w:val="FootnoteText"/>
      </w:pPr>
      <w:r w:rsidRPr="007643FE">
        <w:rPr>
          <w:rStyle w:val="FootnoteReference"/>
        </w:rPr>
        <w:footnoteRef/>
      </w:r>
      <w:r w:rsidR="009C7679" w:rsidRPr="007643FE">
        <w:t xml:space="preserve"> </w:t>
      </w:r>
      <w:bookmarkStart w:id="1" w:name="_Hlk183180028"/>
      <w:r w:rsidR="009C7679" w:rsidRPr="007643FE">
        <w:rPr>
          <w:sz w:val="16"/>
          <w:szCs w:val="16"/>
        </w:rPr>
        <w:t xml:space="preserve">Imperial War Museum, </w:t>
      </w:r>
      <w:r w:rsidR="009C7679" w:rsidRPr="007643FE">
        <w:rPr>
          <w:i/>
          <w:iCs/>
          <w:sz w:val="16"/>
          <w:szCs w:val="16"/>
        </w:rPr>
        <w:t>IWM Collections</w:t>
      </w:r>
      <w:r w:rsidR="00E42297" w:rsidRPr="007643FE">
        <w:rPr>
          <w:i/>
          <w:iCs/>
          <w:sz w:val="16"/>
          <w:szCs w:val="16"/>
        </w:rPr>
        <w:t>,</w:t>
      </w:r>
      <w:r w:rsidRPr="007643FE">
        <w:rPr>
          <w:sz w:val="16"/>
          <w:szCs w:val="16"/>
        </w:rPr>
        <w:t xml:space="preserve"> </w:t>
      </w:r>
      <w:r w:rsidR="009C7679" w:rsidRPr="007643FE">
        <w:rPr>
          <w:sz w:val="16"/>
          <w:szCs w:val="16"/>
        </w:rPr>
        <w:t>(2024) &lt;</w:t>
      </w:r>
      <w:hyperlink r:id="rId2" w:history="1">
        <w:r w:rsidR="009C7679" w:rsidRPr="007643FE">
          <w:rPr>
            <w:rStyle w:val="Hyperlink"/>
            <w:sz w:val="16"/>
            <w:szCs w:val="16"/>
          </w:rPr>
          <w:t>https://www.iwm.org.uk/collections</w:t>
        </w:r>
      </w:hyperlink>
      <w:r w:rsidR="009C7679" w:rsidRPr="007643FE">
        <w:rPr>
          <w:sz w:val="16"/>
          <w:szCs w:val="16"/>
        </w:rPr>
        <w:t>&gt; [Accessed 18/11/2024].</w:t>
      </w:r>
    </w:p>
    <w:bookmarkEnd w:id="1"/>
  </w:footnote>
  <w:footnote w:id="4">
    <w:p w14:paraId="41543E22" w14:textId="22E2A3AA" w:rsidR="00BD1CE8" w:rsidRPr="007643FE" w:rsidRDefault="00BD1CE8">
      <w:pPr>
        <w:pStyle w:val="FootnoteText"/>
      </w:pPr>
      <w:r w:rsidRPr="007643FE">
        <w:rPr>
          <w:rStyle w:val="FootnoteReference"/>
        </w:rPr>
        <w:footnoteRef/>
      </w:r>
      <w:r w:rsidRPr="007643FE">
        <w:t xml:space="preserve"> </w:t>
      </w:r>
      <w:bookmarkStart w:id="2" w:name="_Hlk183180006"/>
      <w:r w:rsidR="00E42297" w:rsidRPr="007643FE">
        <w:rPr>
          <w:sz w:val="16"/>
          <w:szCs w:val="16"/>
        </w:rPr>
        <w:t xml:space="preserve">The Tank Museum, </w:t>
      </w:r>
      <w:r w:rsidR="00E42297" w:rsidRPr="007643FE">
        <w:rPr>
          <w:i/>
          <w:iCs/>
          <w:sz w:val="16"/>
          <w:szCs w:val="16"/>
        </w:rPr>
        <w:t>Archiving and Supporting Collection</w:t>
      </w:r>
      <w:r w:rsidR="00E42297" w:rsidRPr="007643FE">
        <w:rPr>
          <w:sz w:val="16"/>
          <w:szCs w:val="16"/>
        </w:rPr>
        <w:t>, (2024) &lt;</w:t>
      </w:r>
      <w:hyperlink r:id="rId3" w:history="1">
        <w:r w:rsidR="00E42297" w:rsidRPr="007643FE">
          <w:rPr>
            <w:rStyle w:val="Hyperlink"/>
            <w:sz w:val="16"/>
            <w:szCs w:val="16"/>
          </w:rPr>
          <w:t>https://tankmuseum.org/services/archive-and-supporting-collection</w:t>
        </w:r>
      </w:hyperlink>
      <w:r w:rsidR="00E42297" w:rsidRPr="007643FE">
        <w:rPr>
          <w:sz w:val="16"/>
          <w:szCs w:val="16"/>
        </w:rPr>
        <w:t>&gt; [Accessed 18/11/2024].</w:t>
      </w:r>
      <w:bookmarkEnd w:id="2"/>
    </w:p>
  </w:footnote>
  <w:footnote w:id="5">
    <w:p w14:paraId="02C85E86" w14:textId="78DA74CD" w:rsidR="00061903" w:rsidRPr="007643FE" w:rsidRDefault="00061903">
      <w:pPr>
        <w:pStyle w:val="FootnoteText"/>
      </w:pPr>
      <w:r w:rsidRPr="007643FE">
        <w:rPr>
          <w:rStyle w:val="FootnoteReference"/>
        </w:rPr>
        <w:footnoteRef/>
      </w:r>
      <w:r w:rsidRPr="007643FE">
        <w:rPr>
          <w:sz w:val="16"/>
          <w:szCs w:val="16"/>
        </w:rPr>
        <w:t xml:space="preserve"> </w:t>
      </w:r>
      <w:r w:rsidRPr="007643FE">
        <w:rPr>
          <w:rFonts w:cs="Calibri"/>
          <w:sz w:val="16"/>
          <w:szCs w:val="16"/>
        </w:rPr>
        <w:t xml:space="preserve">W.H.L Watson,  </w:t>
      </w:r>
      <w:r w:rsidRPr="007643FE">
        <w:rPr>
          <w:rFonts w:cs="Calibri"/>
          <w:i/>
          <w:iCs/>
          <w:sz w:val="16"/>
          <w:szCs w:val="16"/>
        </w:rPr>
        <w:t>With the Tanks</w:t>
      </w:r>
      <w:r w:rsidRPr="007643FE">
        <w:rPr>
          <w:rFonts w:cs="Calibri"/>
          <w:sz w:val="16"/>
          <w:szCs w:val="16"/>
        </w:rPr>
        <w:t xml:space="preserve"> </w:t>
      </w:r>
      <w:r w:rsidRPr="007643FE">
        <w:rPr>
          <w:rFonts w:cs="Calibri"/>
          <w:i/>
          <w:iCs/>
          <w:sz w:val="16"/>
          <w:szCs w:val="16"/>
        </w:rPr>
        <w:t>1916 – 1918, Memoirs of a British Tank Commander in the Great War,</w:t>
      </w:r>
      <w:r w:rsidRPr="007643FE">
        <w:rPr>
          <w:rFonts w:cs="Calibri"/>
          <w:sz w:val="16"/>
          <w:szCs w:val="16"/>
        </w:rPr>
        <w:t xml:space="preserve"> (Barnsley: Pen and Sword, 2014).</w:t>
      </w:r>
      <w:r w:rsidR="001D0D50">
        <w:rPr>
          <w:rFonts w:cs="Calibri"/>
          <w:sz w:val="16"/>
          <w:szCs w:val="16"/>
        </w:rPr>
        <w:t xml:space="preserve"> p.58.</w:t>
      </w:r>
    </w:p>
  </w:footnote>
  <w:footnote w:id="6">
    <w:p w14:paraId="64E8012D" w14:textId="4547D852" w:rsidR="00AB6630" w:rsidRPr="007643FE" w:rsidRDefault="00AB6630">
      <w:pPr>
        <w:pStyle w:val="FootnoteText"/>
      </w:pPr>
      <w:r w:rsidRPr="007643FE">
        <w:rPr>
          <w:rStyle w:val="FootnoteReference"/>
        </w:rPr>
        <w:footnoteRef/>
      </w:r>
      <w:r w:rsidRPr="007643FE">
        <w:t xml:space="preserve"> </w:t>
      </w:r>
      <w:r w:rsidR="00366D78" w:rsidRPr="007643FE">
        <w:rPr>
          <w:rFonts w:cs="Calibri"/>
          <w:sz w:val="16"/>
          <w:szCs w:val="16"/>
        </w:rPr>
        <w:t>Denis Winter,</w:t>
      </w:r>
      <w:r w:rsidR="00366D78" w:rsidRPr="007643FE">
        <w:rPr>
          <w:rFonts w:cs="Calibri"/>
          <w:i/>
          <w:iCs/>
          <w:sz w:val="16"/>
          <w:szCs w:val="16"/>
        </w:rPr>
        <w:t xml:space="preserve"> The First of the Few: Fighter Pilots of the First World War. </w:t>
      </w:r>
      <w:r w:rsidR="00366D78" w:rsidRPr="007643FE">
        <w:rPr>
          <w:rFonts w:cs="Calibri"/>
          <w:sz w:val="16"/>
          <w:szCs w:val="16"/>
        </w:rPr>
        <w:t>(London: Penguin, 1983).</w:t>
      </w:r>
    </w:p>
  </w:footnote>
  <w:footnote w:id="7">
    <w:p w14:paraId="6AE34F5C" w14:textId="1540CB90" w:rsidR="00AB6630" w:rsidRPr="007643FE" w:rsidRDefault="00AB6630" w:rsidP="00AB6630">
      <w:pPr>
        <w:spacing w:after="0"/>
        <w:rPr>
          <w:rFonts w:cs="Calibri"/>
          <w:sz w:val="8"/>
          <w:szCs w:val="8"/>
        </w:rPr>
      </w:pPr>
      <w:r w:rsidRPr="007643FE">
        <w:rPr>
          <w:rStyle w:val="FootnoteReference"/>
          <w:sz w:val="20"/>
          <w:szCs w:val="20"/>
        </w:rPr>
        <w:footnoteRef/>
      </w:r>
      <w:r w:rsidRPr="007643FE">
        <w:rPr>
          <w:sz w:val="20"/>
          <w:szCs w:val="20"/>
        </w:rPr>
        <w:t xml:space="preserve"> </w:t>
      </w:r>
      <w:r w:rsidR="00366D78" w:rsidRPr="007643FE">
        <w:rPr>
          <w:rFonts w:cs="Calibri"/>
          <w:sz w:val="16"/>
          <w:szCs w:val="16"/>
        </w:rPr>
        <w:t>George Raudzens</w:t>
      </w:r>
      <w:r w:rsidR="00366D78" w:rsidRPr="007643FE">
        <w:rPr>
          <w:rFonts w:cs="Calibri"/>
          <w:i/>
          <w:iCs/>
          <w:sz w:val="16"/>
          <w:szCs w:val="16"/>
        </w:rPr>
        <w:t xml:space="preserve"> "War-Winning Weapons: The Measurement of Technological Determinism in Military History". The Journal of Military History. </w:t>
      </w:r>
      <w:r w:rsidR="00366D78" w:rsidRPr="007643FE">
        <w:rPr>
          <w:rFonts w:cs="Calibri"/>
          <w:b/>
          <w:bCs/>
          <w:i/>
          <w:iCs/>
          <w:sz w:val="16"/>
          <w:szCs w:val="16"/>
        </w:rPr>
        <w:t>54</w:t>
      </w:r>
      <w:r w:rsidR="00366D78" w:rsidRPr="007643FE">
        <w:rPr>
          <w:rFonts w:cs="Calibri"/>
          <w:i/>
          <w:iCs/>
          <w:sz w:val="16"/>
          <w:szCs w:val="16"/>
        </w:rPr>
        <w:t> (4): (1990) pp.403–434.</w:t>
      </w:r>
    </w:p>
  </w:footnote>
  <w:footnote w:id="8">
    <w:p w14:paraId="4BF6115F" w14:textId="5EDE67CB" w:rsidR="00AB6630" w:rsidRPr="007643FE" w:rsidRDefault="00AB6630">
      <w:pPr>
        <w:pStyle w:val="FootnoteText"/>
      </w:pPr>
      <w:r w:rsidRPr="007643FE">
        <w:rPr>
          <w:rStyle w:val="FootnoteReference"/>
        </w:rPr>
        <w:footnoteRef/>
      </w:r>
      <w:r w:rsidRPr="007643FE">
        <w:t xml:space="preserve"> </w:t>
      </w:r>
      <w:r w:rsidRPr="007643FE">
        <w:rPr>
          <w:rFonts w:cs="Calibri"/>
          <w:sz w:val="16"/>
          <w:szCs w:val="16"/>
        </w:rPr>
        <w:t>Paddy Griffiths</w:t>
      </w:r>
      <w:r w:rsidRPr="007643FE">
        <w:rPr>
          <w:rFonts w:cs="Calibri"/>
          <w:i/>
          <w:iCs/>
          <w:sz w:val="16"/>
          <w:szCs w:val="16"/>
        </w:rPr>
        <w:t xml:space="preserve">, Battle Tactics of the Western Front – The British Army's Art of Attack 1916–18, </w:t>
      </w:r>
      <w:r w:rsidRPr="007643FE">
        <w:rPr>
          <w:rFonts w:cs="Calibri"/>
          <w:sz w:val="16"/>
          <w:szCs w:val="16"/>
        </w:rPr>
        <w:t>(</w:t>
      </w:r>
      <w:r w:rsidR="00366D78" w:rsidRPr="007643FE">
        <w:rPr>
          <w:sz w:val="16"/>
          <w:szCs w:val="16"/>
        </w:rPr>
        <w:t xml:space="preserve">Connecticut: </w:t>
      </w:r>
      <w:r w:rsidRPr="007643FE">
        <w:rPr>
          <w:rFonts w:cs="Calibri"/>
          <w:sz w:val="16"/>
          <w:szCs w:val="16"/>
        </w:rPr>
        <w:t>Yale University Press, 1996)</w:t>
      </w:r>
      <w:r w:rsidR="00366D78" w:rsidRPr="007643FE">
        <w:rPr>
          <w:rFonts w:cs="Calibri"/>
          <w:sz w:val="16"/>
          <w:szCs w:val="16"/>
        </w:rPr>
        <w:t>.</w:t>
      </w:r>
    </w:p>
  </w:footnote>
  <w:footnote w:id="9">
    <w:p w14:paraId="26AAA231" w14:textId="2691D2A6" w:rsidR="00583E6B" w:rsidRPr="007643FE" w:rsidRDefault="00583E6B" w:rsidP="00583E6B">
      <w:pPr>
        <w:pStyle w:val="FootnoteText"/>
      </w:pPr>
      <w:r w:rsidRPr="007643FE">
        <w:rPr>
          <w:rStyle w:val="FootnoteReference"/>
        </w:rPr>
        <w:footnoteRef/>
      </w:r>
      <w:r w:rsidRPr="007643FE">
        <w:t xml:space="preserve"> </w:t>
      </w:r>
      <w:bookmarkStart w:id="3" w:name="_Hlk183179959"/>
      <w:r w:rsidRPr="007643FE">
        <w:rPr>
          <w:sz w:val="16"/>
          <w:szCs w:val="16"/>
        </w:rPr>
        <w:t>Erich Maria Remarque</w:t>
      </w:r>
      <w:r w:rsidR="00BD1CE8" w:rsidRPr="007643FE">
        <w:rPr>
          <w:sz w:val="16"/>
          <w:szCs w:val="16"/>
        </w:rPr>
        <w:t xml:space="preserve">, </w:t>
      </w:r>
      <w:r w:rsidR="00BD1CE8" w:rsidRPr="007643FE">
        <w:rPr>
          <w:i/>
          <w:iCs/>
          <w:sz w:val="16"/>
          <w:szCs w:val="16"/>
        </w:rPr>
        <w:t>All Quiet on the Western Front</w:t>
      </w:r>
      <w:r w:rsidR="00BD1CE8" w:rsidRPr="007643FE">
        <w:rPr>
          <w:sz w:val="16"/>
          <w:szCs w:val="16"/>
        </w:rPr>
        <w:t>, (Connecticut: Fawcett Crest Books, 1957).</w:t>
      </w:r>
      <w:bookmarkEnd w:id="3"/>
    </w:p>
    <w:p w14:paraId="446A216A" w14:textId="7B1CF6A8" w:rsidR="00583E6B" w:rsidRPr="00BD1CE8" w:rsidRDefault="00583E6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2C5CC" w14:textId="651F7D14" w:rsidR="00EB6F16" w:rsidRPr="006003CB" w:rsidRDefault="00EB6F16">
    <w:pPr>
      <w:pStyle w:val="Header"/>
      <w:rPr>
        <w:sz w:val="20"/>
        <w:szCs w:val="20"/>
      </w:rPr>
    </w:pPr>
    <w:r w:rsidRPr="006003CB">
      <w:rPr>
        <w:sz w:val="20"/>
        <w:szCs w:val="20"/>
      </w:rPr>
      <w:t>Alex Hales-Owen (2221576)</w:t>
    </w:r>
    <w:r w:rsidR="006003CB" w:rsidRPr="006003CB">
      <w:rPr>
        <w:sz w:val="20"/>
        <w:szCs w:val="20"/>
      </w:rPr>
      <w:tab/>
    </w:r>
    <w:r w:rsidR="006003CB" w:rsidRPr="006003CB">
      <w:rPr>
        <w:sz w:val="20"/>
        <w:szCs w:val="20"/>
      </w:rPr>
      <w:tab/>
      <w:t>Dissertation (HPHP6902)</w:t>
    </w:r>
  </w:p>
  <w:p w14:paraId="55F22196" w14:textId="51CA8E2F" w:rsidR="00EB6F16" w:rsidRPr="007643FE" w:rsidRDefault="00EB6F16" w:rsidP="00EB6F16">
    <w:pPr>
      <w:pStyle w:val="Header"/>
      <w:jc w:val="center"/>
      <w:rPr>
        <w:b/>
        <w:bCs/>
        <w:u w:val="single"/>
      </w:rPr>
    </w:pPr>
    <w:r w:rsidRPr="007643FE">
      <w:rPr>
        <w:b/>
        <w:bCs/>
        <w:u w:val="single"/>
      </w:rPr>
      <w:t>Dissertation Reflective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1" type="#_x0000_t75" style="width:11.4pt;height:11.4pt" o:bullet="t">
        <v:imagedata r:id="rId1" o:title="mso9C2E"/>
      </v:shape>
    </w:pict>
  </w:numPicBullet>
  <w:abstractNum w:abstractNumId="0" w15:restartNumberingAfterBreak="0">
    <w:nsid w:val="00450896"/>
    <w:multiLevelType w:val="hybridMultilevel"/>
    <w:tmpl w:val="1E1A33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AF7E58"/>
    <w:multiLevelType w:val="hybridMultilevel"/>
    <w:tmpl w:val="3702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159119">
    <w:abstractNumId w:val="0"/>
  </w:num>
  <w:num w:numId="2" w16cid:durableId="1710958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16"/>
    <w:rsid w:val="00052DE9"/>
    <w:rsid w:val="000613EA"/>
    <w:rsid w:val="00061903"/>
    <w:rsid w:val="000D69CB"/>
    <w:rsid w:val="001423BA"/>
    <w:rsid w:val="001B4F7C"/>
    <w:rsid w:val="001D0D50"/>
    <w:rsid w:val="001D13D3"/>
    <w:rsid w:val="001F4CA4"/>
    <w:rsid w:val="00211B26"/>
    <w:rsid w:val="00214622"/>
    <w:rsid w:val="0023728E"/>
    <w:rsid w:val="00240CC2"/>
    <w:rsid w:val="00251E08"/>
    <w:rsid w:val="00263212"/>
    <w:rsid w:val="00273BE0"/>
    <w:rsid w:val="00290300"/>
    <w:rsid w:val="00293AB1"/>
    <w:rsid w:val="00360B2E"/>
    <w:rsid w:val="00366D78"/>
    <w:rsid w:val="003672EA"/>
    <w:rsid w:val="003A289E"/>
    <w:rsid w:val="003C3FB0"/>
    <w:rsid w:val="003F661C"/>
    <w:rsid w:val="004012B3"/>
    <w:rsid w:val="0041385A"/>
    <w:rsid w:val="00462134"/>
    <w:rsid w:val="00480443"/>
    <w:rsid w:val="004815A6"/>
    <w:rsid w:val="004A3E63"/>
    <w:rsid w:val="004B22B8"/>
    <w:rsid w:val="004D79EC"/>
    <w:rsid w:val="00506F11"/>
    <w:rsid w:val="0056333D"/>
    <w:rsid w:val="005677C4"/>
    <w:rsid w:val="00583E6B"/>
    <w:rsid w:val="005A1BC4"/>
    <w:rsid w:val="005C0E7B"/>
    <w:rsid w:val="005C39A4"/>
    <w:rsid w:val="005F579A"/>
    <w:rsid w:val="006003CB"/>
    <w:rsid w:val="00621896"/>
    <w:rsid w:val="006353DC"/>
    <w:rsid w:val="00671B82"/>
    <w:rsid w:val="006745FE"/>
    <w:rsid w:val="006971F1"/>
    <w:rsid w:val="006B4E39"/>
    <w:rsid w:val="00705B70"/>
    <w:rsid w:val="007167B8"/>
    <w:rsid w:val="00717FF2"/>
    <w:rsid w:val="00727142"/>
    <w:rsid w:val="007643FE"/>
    <w:rsid w:val="00773887"/>
    <w:rsid w:val="007752C1"/>
    <w:rsid w:val="00871FB3"/>
    <w:rsid w:val="00881062"/>
    <w:rsid w:val="00897940"/>
    <w:rsid w:val="008C6069"/>
    <w:rsid w:val="00904493"/>
    <w:rsid w:val="0091230E"/>
    <w:rsid w:val="009228C3"/>
    <w:rsid w:val="00933F29"/>
    <w:rsid w:val="0094002C"/>
    <w:rsid w:val="00965B6E"/>
    <w:rsid w:val="009912CC"/>
    <w:rsid w:val="009A4B11"/>
    <w:rsid w:val="009C7679"/>
    <w:rsid w:val="009D3862"/>
    <w:rsid w:val="009F2168"/>
    <w:rsid w:val="00A06DA9"/>
    <w:rsid w:val="00A23B52"/>
    <w:rsid w:val="00A360F9"/>
    <w:rsid w:val="00A43D93"/>
    <w:rsid w:val="00A9512F"/>
    <w:rsid w:val="00AB0328"/>
    <w:rsid w:val="00AB6630"/>
    <w:rsid w:val="00AC2B0A"/>
    <w:rsid w:val="00B20954"/>
    <w:rsid w:val="00B64689"/>
    <w:rsid w:val="00B65DE6"/>
    <w:rsid w:val="00BD1CE8"/>
    <w:rsid w:val="00BE4C9E"/>
    <w:rsid w:val="00BF2908"/>
    <w:rsid w:val="00C15C00"/>
    <w:rsid w:val="00C176EC"/>
    <w:rsid w:val="00C57EA3"/>
    <w:rsid w:val="00C8068D"/>
    <w:rsid w:val="00C95E3C"/>
    <w:rsid w:val="00CA7CB9"/>
    <w:rsid w:val="00CB53A2"/>
    <w:rsid w:val="00CE2F05"/>
    <w:rsid w:val="00D12642"/>
    <w:rsid w:val="00D21AB7"/>
    <w:rsid w:val="00D74220"/>
    <w:rsid w:val="00D85E31"/>
    <w:rsid w:val="00DF3B74"/>
    <w:rsid w:val="00E251CF"/>
    <w:rsid w:val="00E370CD"/>
    <w:rsid w:val="00E42297"/>
    <w:rsid w:val="00E72AB9"/>
    <w:rsid w:val="00E84453"/>
    <w:rsid w:val="00EB6F16"/>
    <w:rsid w:val="00F10939"/>
    <w:rsid w:val="00F21221"/>
    <w:rsid w:val="00F25E56"/>
    <w:rsid w:val="00F35FBA"/>
    <w:rsid w:val="00F6466E"/>
    <w:rsid w:val="00F669EE"/>
    <w:rsid w:val="00F7020D"/>
    <w:rsid w:val="00F83892"/>
    <w:rsid w:val="00FA21A5"/>
    <w:rsid w:val="00FC0320"/>
    <w:rsid w:val="00FE7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F0515"/>
  <w15:chartTrackingRefBased/>
  <w15:docId w15:val="{95D939D0-9955-462D-8E4E-21304AD5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EB6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F1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F1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6F1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6F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6F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6F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6F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F16"/>
    <w:rPr>
      <w:rFonts w:eastAsiaTheme="majorEastAsia" w:cstheme="majorBidi"/>
      <w:color w:val="272727" w:themeColor="text1" w:themeTint="D8"/>
    </w:rPr>
  </w:style>
  <w:style w:type="paragraph" w:styleId="Title">
    <w:name w:val="Title"/>
    <w:basedOn w:val="Normal"/>
    <w:next w:val="Normal"/>
    <w:link w:val="TitleChar"/>
    <w:uiPriority w:val="10"/>
    <w:qFormat/>
    <w:rsid w:val="00EB6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F1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F16"/>
    <w:pPr>
      <w:spacing w:before="160"/>
      <w:jc w:val="center"/>
    </w:pPr>
    <w:rPr>
      <w:i/>
      <w:iCs/>
      <w:color w:val="404040" w:themeColor="text1" w:themeTint="BF"/>
    </w:rPr>
  </w:style>
  <w:style w:type="character" w:customStyle="1" w:styleId="QuoteChar">
    <w:name w:val="Quote Char"/>
    <w:basedOn w:val="DefaultParagraphFont"/>
    <w:link w:val="Quote"/>
    <w:uiPriority w:val="29"/>
    <w:rsid w:val="00EB6F16"/>
    <w:rPr>
      <w:rFonts w:ascii="Calibri" w:hAnsi="Calibri"/>
      <w:i/>
      <w:iCs/>
      <w:color w:val="404040" w:themeColor="text1" w:themeTint="BF"/>
    </w:rPr>
  </w:style>
  <w:style w:type="paragraph" w:styleId="ListParagraph">
    <w:name w:val="List Paragraph"/>
    <w:basedOn w:val="Normal"/>
    <w:uiPriority w:val="34"/>
    <w:qFormat/>
    <w:rsid w:val="00EB6F16"/>
    <w:pPr>
      <w:ind w:left="720"/>
      <w:contextualSpacing/>
    </w:pPr>
  </w:style>
  <w:style w:type="character" w:styleId="IntenseEmphasis">
    <w:name w:val="Intense Emphasis"/>
    <w:basedOn w:val="DefaultParagraphFont"/>
    <w:uiPriority w:val="21"/>
    <w:qFormat/>
    <w:rsid w:val="00EB6F16"/>
    <w:rPr>
      <w:i/>
      <w:iCs/>
      <w:color w:val="0F4761" w:themeColor="accent1" w:themeShade="BF"/>
    </w:rPr>
  </w:style>
  <w:style w:type="paragraph" w:styleId="IntenseQuote">
    <w:name w:val="Intense Quote"/>
    <w:basedOn w:val="Normal"/>
    <w:next w:val="Normal"/>
    <w:link w:val="IntenseQuoteChar"/>
    <w:uiPriority w:val="30"/>
    <w:qFormat/>
    <w:rsid w:val="00EB6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F16"/>
    <w:rPr>
      <w:rFonts w:ascii="Calibri" w:hAnsi="Calibri"/>
      <w:i/>
      <w:iCs/>
      <w:color w:val="0F4761" w:themeColor="accent1" w:themeShade="BF"/>
    </w:rPr>
  </w:style>
  <w:style w:type="character" w:styleId="IntenseReference">
    <w:name w:val="Intense Reference"/>
    <w:basedOn w:val="DefaultParagraphFont"/>
    <w:uiPriority w:val="32"/>
    <w:qFormat/>
    <w:rsid w:val="00EB6F16"/>
    <w:rPr>
      <w:b/>
      <w:bCs/>
      <w:smallCaps/>
      <w:color w:val="0F4761" w:themeColor="accent1" w:themeShade="BF"/>
      <w:spacing w:val="5"/>
    </w:rPr>
  </w:style>
  <w:style w:type="paragraph" w:styleId="Header">
    <w:name w:val="header"/>
    <w:basedOn w:val="Normal"/>
    <w:link w:val="HeaderChar"/>
    <w:uiPriority w:val="99"/>
    <w:unhideWhenUsed/>
    <w:rsid w:val="00EB6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F16"/>
    <w:rPr>
      <w:rFonts w:ascii="Calibri" w:hAnsi="Calibri"/>
    </w:rPr>
  </w:style>
  <w:style w:type="paragraph" w:styleId="Footer">
    <w:name w:val="footer"/>
    <w:basedOn w:val="Normal"/>
    <w:link w:val="FooterChar"/>
    <w:uiPriority w:val="99"/>
    <w:unhideWhenUsed/>
    <w:rsid w:val="00EB6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F16"/>
    <w:rPr>
      <w:rFonts w:ascii="Calibri" w:hAnsi="Calibri"/>
    </w:rPr>
  </w:style>
  <w:style w:type="paragraph" w:styleId="FootnoteText">
    <w:name w:val="footnote text"/>
    <w:basedOn w:val="Normal"/>
    <w:link w:val="FootnoteTextChar"/>
    <w:uiPriority w:val="99"/>
    <w:semiHidden/>
    <w:unhideWhenUsed/>
    <w:rsid w:val="006218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896"/>
    <w:rPr>
      <w:rFonts w:ascii="Calibri" w:hAnsi="Calibri"/>
      <w:sz w:val="20"/>
      <w:szCs w:val="20"/>
    </w:rPr>
  </w:style>
  <w:style w:type="character" w:styleId="FootnoteReference">
    <w:name w:val="footnote reference"/>
    <w:basedOn w:val="DefaultParagraphFont"/>
    <w:uiPriority w:val="99"/>
    <w:semiHidden/>
    <w:unhideWhenUsed/>
    <w:rsid w:val="00621896"/>
    <w:rPr>
      <w:vertAlign w:val="superscript"/>
    </w:rPr>
  </w:style>
  <w:style w:type="character" w:styleId="Hyperlink">
    <w:name w:val="Hyperlink"/>
    <w:basedOn w:val="DefaultParagraphFont"/>
    <w:uiPriority w:val="99"/>
    <w:unhideWhenUsed/>
    <w:rsid w:val="009C7679"/>
    <w:rPr>
      <w:color w:val="467886" w:themeColor="hyperlink"/>
      <w:u w:val="single"/>
    </w:rPr>
  </w:style>
  <w:style w:type="character" w:styleId="UnresolvedMention">
    <w:name w:val="Unresolved Mention"/>
    <w:basedOn w:val="DefaultParagraphFont"/>
    <w:uiPriority w:val="99"/>
    <w:semiHidden/>
    <w:unhideWhenUsed/>
    <w:rsid w:val="009C7679"/>
    <w:rPr>
      <w:color w:val="605E5C"/>
      <w:shd w:val="clear" w:color="auto" w:fill="E1DFDD"/>
    </w:rPr>
  </w:style>
  <w:style w:type="character" w:styleId="FollowedHyperlink">
    <w:name w:val="FollowedHyperlink"/>
    <w:basedOn w:val="DefaultParagraphFont"/>
    <w:uiPriority w:val="99"/>
    <w:semiHidden/>
    <w:unhideWhenUsed/>
    <w:rsid w:val="00B20954"/>
    <w:rPr>
      <w:color w:val="96607D" w:themeColor="followedHyperlink"/>
      <w:u w:val="single"/>
    </w:rPr>
  </w:style>
  <w:style w:type="table" w:styleId="TableGrid">
    <w:name w:val="Table Grid"/>
    <w:basedOn w:val="TableNormal"/>
    <w:uiPriority w:val="39"/>
    <w:rsid w:val="00B65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1D0D5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661319">
      <w:bodyDiv w:val="1"/>
      <w:marLeft w:val="0"/>
      <w:marRight w:val="0"/>
      <w:marTop w:val="0"/>
      <w:marBottom w:val="0"/>
      <w:divBdr>
        <w:top w:val="none" w:sz="0" w:space="0" w:color="auto"/>
        <w:left w:val="none" w:sz="0" w:space="0" w:color="auto"/>
        <w:bottom w:val="none" w:sz="0" w:space="0" w:color="auto"/>
        <w:right w:val="none" w:sz="0" w:space="0" w:color="auto"/>
      </w:divBdr>
    </w:div>
    <w:div w:id="130756881">
      <w:bodyDiv w:val="1"/>
      <w:marLeft w:val="0"/>
      <w:marRight w:val="0"/>
      <w:marTop w:val="0"/>
      <w:marBottom w:val="0"/>
      <w:divBdr>
        <w:top w:val="none" w:sz="0" w:space="0" w:color="auto"/>
        <w:left w:val="none" w:sz="0" w:space="0" w:color="auto"/>
        <w:bottom w:val="none" w:sz="0" w:space="0" w:color="auto"/>
        <w:right w:val="none" w:sz="0" w:space="0" w:color="auto"/>
      </w:divBdr>
    </w:div>
    <w:div w:id="436029011">
      <w:bodyDiv w:val="1"/>
      <w:marLeft w:val="0"/>
      <w:marRight w:val="0"/>
      <w:marTop w:val="0"/>
      <w:marBottom w:val="0"/>
      <w:divBdr>
        <w:top w:val="none" w:sz="0" w:space="0" w:color="auto"/>
        <w:left w:val="none" w:sz="0" w:space="0" w:color="auto"/>
        <w:bottom w:val="none" w:sz="0" w:space="0" w:color="auto"/>
        <w:right w:val="none" w:sz="0" w:space="0" w:color="auto"/>
      </w:divBdr>
    </w:div>
    <w:div w:id="473839511">
      <w:bodyDiv w:val="1"/>
      <w:marLeft w:val="0"/>
      <w:marRight w:val="0"/>
      <w:marTop w:val="0"/>
      <w:marBottom w:val="0"/>
      <w:divBdr>
        <w:top w:val="none" w:sz="0" w:space="0" w:color="auto"/>
        <w:left w:val="none" w:sz="0" w:space="0" w:color="auto"/>
        <w:bottom w:val="none" w:sz="0" w:space="0" w:color="auto"/>
        <w:right w:val="none" w:sz="0" w:space="0" w:color="auto"/>
      </w:divBdr>
    </w:div>
    <w:div w:id="711079517">
      <w:bodyDiv w:val="1"/>
      <w:marLeft w:val="0"/>
      <w:marRight w:val="0"/>
      <w:marTop w:val="0"/>
      <w:marBottom w:val="0"/>
      <w:divBdr>
        <w:top w:val="none" w:sz="0" w:space="0" w:color="auto"/>
        <w:left w:val="none" w:sz="0" w:space="0" w:color="auto"/>
        <w:bottom w:val="none" w:sz="0" w:space="0" w:color="auto"/>
        <w:right w:val="none" w:sz="0" w:space="0" w:color="auto"/>
      </w:divBdr>
    </w:div>
    <w:div w:id="969163320">
      <w:bodyDiv w:val="1"/>
      <w:marLeft w:val="0"/>
      <w:marRight w:val="0"/>
      <w:marTop w:val="0"/>
      <w:marBottom w:val="0"/>
      <w:divBdr>
        <w:top w:val="none" w:sz="0" w:space="0" w:color="auto"/>
        <w:left w:val="none" w:sz="0" w:space="0" w:color="auto"/>
        <w:bottom w:val="none" w:sz="0" w:space="0" w:color="auto"/>
        <w:right w:val="none" w:sz="0" w:space="0" w:color="auto"/>
      </w:divBdr>
    </w:div>
    <w:div w:id="1465268103">
      <w:bodyDiv w:val="1"/>
      <w:marLeft w:val="0"/>
      <w:marRight w:val="0"/>
      <w:marTop w:val="0"/>
      <w:marBottom w:val="0"/>
      <w:divBdr>
        <w:top w:val="none" w:sz="0" w:space="0" w:color="auto"/>
        <w:left w:val="none" w:sz="0" w:space="0" w:color="auto"/>
        <w:bottom w:val="none" w:sz="0" w:space="0" w:color="auto"/>
        <w:right w:val="none" w:sz="0" w:space="0" w:color="auto"/>
      </w:divBdr>
    </w:div>
    <w:div w:id="146958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collection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tionalarchives.gov.uk/education/resources/letters-first-world-war-1916-18/trenches-big-dose-gas-she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archives.gov.uk/education/resources/letters-first-world-war-1916-18/trenches-towns-shelled-pie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ankmuseum.org/services/archive-and-supporting-collection" TargetMode="External"/><Relationship Id="rId4" Type="http://schemas.openxmlformats.org/officeDocument/2006/relationships/settings" Target="settings.xml"/><Relationship Id="rId9" Type="http://schemas.openxmlformats.org/officeDocument/2006/relationships/hyperlink" Target="https://discovery.nationalarchives.gov.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ankmuseum.org/services/archive-and-supporting-collection" TargetMode="External"/><Relationship Id="rId2" Type="http://schemas.openxmlformats.org/officeDocument/2006/relationships/hyperlink" Target="https://www.iwm.org.uk/collections" TargetMode="External"/><Relationship Id="rId1" Type="http://schemas.openxmlformats.org/officeDocument/2006/relationships/hyperlink" Target="https://discovery.nationalarchives.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05D83-D609-4A16-B310-1596C138D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1697</Words>
  <Characters>9438</Characters>
  <Application>Microsoft Office Word</Application>
  <DocSecurity>0</DocSecurity>
  <Lines>200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58</cp:revision>
  <dcterms:created xsi:type="dcterms:W3CDTF">2024-11-17T10:31:00Z</dcterms:created>
  <dcterms:modified xsi:type="dcterms:W3CDTF">2024-11-22T18:35:00Z</dcterms:modified>
</cp:coreProperties>
</file>