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071B9" w14:textId="77777777" w:rsidR="00361B11" w:rsidRDefault="00361B11" w:rsidP="00361B11">
      <w:pPr>
        <w:jc w:val="center"/>
        <w:rPr>
          <w:rFonts w:ascii="Arial" w:hAnsi="Arial" w:cs="Arial"/>
          <w:b/>
          <w:bCs/>
          <w:sz w:val="28"/>
          <w:szCs w:val="28"/>
          <w:lang w:val="en-IN"/>
        </w:rPr>
      </w:pPr>
    </w:p>
    <w:p w14:paraId="1E6612DF" w14:textId="77777777" w:rsidR="00361B11" w:rsidRDefault="00361B11" w:rsidP="00361B11">
      <w:pPr>
        <w:jc w:val="center"/>
        <w:rPr>
          <w:rFonts w:ascii="Arial" w:hAnsi="Arial" w:cs="Arial"/>
          <w:b/>
          <w:bCs/>
          <w:sz w:val="28"/>
          <w:szCs w:val="28"/>
          <w:lang w:val="en-IN"/>
        </w:rPr>
      </w:pPr>
    </w:p>
    <w:p w14:paraId="7D6336D1" w14:textId="77777777" w:rsidR="00361B11" w:rsidRDefault="00361B11" w:rsidP="00361B11">
      <w:pPr>
        <w:jc w:val="center"/>
        <w:rPr>
          <w:rFonts w:ascii="Arial" w:hAnsi="Arial" w:cs="Arial"/>
          <w:b/>
          <w:bCs/>
          <w:sz w:val="28"/>
          <w:szCs w:val="28"/>
          <w:lang w:val="en-IN"/>
        </w:rPr>
      </w:pPr>
    </w:p>
    <w:p w14:paraId="09407D91" w14:textId="77777777" w:rsidR="00361B11" w:rsidRDefault="00361B11" w:rsidP="00361B11">
      <w:pPr>
        <w:jc w:val="center"/>
        <w:rPr>
          <w:rFonts w:ascii="Arial" w:hAnsi="Arial" w:cs="Arial"/>
          <w:b/>
          <w:bCs/>
          <w:sz w:val="28"/>
          <w:szCs w:val="28"/>
          <w:lang w:val="en-IN"/>
        </w:rPr>
      </w:pPr>
    </w:p>
    <w:p w14:paraId="37BF4EBA" w14:textId="77777777" w:rsidR="00361B11" w:rsidRDefault="00361B11" w:rsidP="00361B11">
      <w:pPr>
        <w:jc w:val="center"/>
        <w:rPr>
          <w:rFonts w:ascii="Arial" w:hAnsi="Arial" w:cs="Arial"/>
          <w:b/>
          <w:bCs/>
          <w:sz w:val="28"/>
          <w:szCs w:val="28"/>
          <w:lang w:val="en-IN"/>
        </w:rPr>
      </w:pPr>
    </w:p>
    <w:p w14:paraId="35F77A09" w14:textId="77777777" w:rsidR="00361B11" w:rsidRDefault="00361B11" w:rsidP="00361B11">
      <w:pPr>
        <w:jc w:val="center"/>
        <w:rPr>
          <w:rFonts w:ascii="Arial" w:hAnsi="Arial" w:cs="Arial"/>
          <w:b/>
          <w:bCs/>
          <w:sz w:val="28"/>
          <w:szCs w:val="28"/>
          <w:lang w:val="en-IN"/>
        </w:rPr>
      </w:pPr>
    </w:p>
    <w:p w14:paraId="24CD791D" w14:textId="77777777" w:rsidR="00361B11" w:rsidRDefault="00361B11" w:rsidP="00361B11">
      <w:pPr>
        <w:jc w:val="center"/>
        <w:rPr>
          <w:rFonts w:ascii="Arial" w:hAnsi="Arial" w:cs="Arial"/>
          <w:b/>
          <w:bCs/>
          <w:sz w:val="28"/>
          <w:szCs w:val="28"/>
          <w:lang w:val="en-IN"/>
        </w:rPr>
      </w:pPr>
    </w:p>
    <w:p w14:paraId="59C33E53" w14:textId="77777777" w:rsidR="00361B11" w:rsidRDefault="00361B11" w:rsidP="00361B11">
      <w:pPr>
        <w:jc w:val="center"/>
        <w:rPr>
          <w:rFonts w:ascii="Arial" w:hAnsi="Arial" w:cs="Arial"/>
          <w:b/>
          <w:bCs/>
          <w:sz w:val="28"/>
          <w:szCs w:val="28"/>
          <w:lang w:val="en-IN"/>
        </w:rPr>
      </w:pPr>
    </w:p>
    <w:p w14:paraId="187A7038" w14:textId="77777777" w:rsidR="00361B11" w:rsidRDefault="00361B11" w:rsidP="00361B11">
      <w:pPr>
        <w:jc w:val="center"/>
        <w:rPr>
          <w:rFonts w:ascii="Arial" w:hAnsi="Arial" w:cs="Arial"/>
          <w:b/>
          <w:bCs/>
          <w:sz w:val="28"/>
          <w:szCs w:val="28"/>
          <w:lang w:val="en-IN"/>
        </w:rPr>
      </w:pPr>
    </w:p>
    <w:p w14:paraId="475B57A5" w14:textId="323AE546" w:rsidR="00361B11" w:rsidRPr="00840E08" w:rsidRDefault="00361B11" w:rsidP="00361B11">
      <w:pPr>
        <w:jc w:val="center"/>
        <w:rPr>
          <w:rFonts w:ascii="Arial" w:hAnsi="Arial" w:cs="Arial"/>
          <w:b/>
          <w:bCs/>
          <w:sz w:val="28"/>
          <w:szCs w:val="28"/>
          <w:lang w:val="en-IN"/>
        </w:rPr>
      </w:pPr>
      <w:r w:rsidRPr="00840E08">
        <w:rPr>
          <w:rFonts w:ascii="Arial" w:hAnsi="Arial" w:cs="Arial"/>
          <w:b/>
          <w:bCs/>
          <w:sz w:val="28"/>
          <w:szCs w:val="28"/>
          <w:lang w:val="en-IN"/>
        </w:rPr>
        <w:t>University of Wales Trinity Saint David</w:t>
      </w:r>
    </w:p>
    <w:p w14:paraId="163E3A66" w14:textId="77777777" w:rsidR="00361B11" w:rsidRPr="00840E08" w:rsidRDefault="00361B11" w:rsidP="00361B11">
      <w:pPr>
        <w:jc w:val="center"/>
        <w:rPr>
          <w:rFonts w:ascii="Arial" w:hAnsi="Arial" w:cs="Arial"/>
          <w:b/>
          <w:bCs/>
          <w:sz w:val="28"/>
          <w:szCs w:val="28"/>
          <w:lang w:val="en-IN"/>
        </w:rPr>
      </w:pPr>
      <w:r w:rsidRPr="00840E08">
        <w:rPr>
          <w:rFonts w:ascii="Arial" w:hAnsi="Arial" w:cs="Arial"/>
          <w:b/>
          <w:bCs/>
          <w:sz w:val="28"/>
          <w:szCs w:val="28"/>
          <w:lang w:val="en-IN"/>
        </w:rPr>
        <w:br/>
      </w:r>
      <w:r w:rsidRPr="00840E08">
        <w:rPr>
          <w:rFonts w:ascii="Arial" w:hAnsi="Arial" w:cs="Arial"/>
          <w:b/>
          <w:bCs/>
          <w:sz w:val="28"/>
          <w:szCs w:val="28"/>
          <w:lang w:val="en-IN"/>
        </w:rPr>
        <w:br/>
        <w:t>A Strategic Examination of the Shift from Traditional Brand Ambassadors to User-Generated Influencer Content in Global Retail Marketing.</w:t>
      </w:r>
      <w:r w:rsidRPr="00840E08">
        <w:rPr>
          <w:rFonts w:ascii="Arial" w:hAnsi="Arial" w:cs="Arial"/>
          <w:b/>
          <w:bCs/>
          <w:sz w:val="28"/>
          <w:szCs w:val="28"/>
          <w:lang w:val="en-IN"/>
        </w:rPr>
        <w:br/>
      </w:r>
      <w:r w:rsidRPr="00840E08">
        <w:rPr>
          <w:rFonts w:ascii="Arial" w:hAnsi="Arial" w:cs="Arial"/>
          <w:b/>
          <w:bCs/>
          <w:sz w:val="28"/>
          <w:szCs w:val="28"/>
          <w:lang w:val="en-IN"/>
        </w:rPr>
        <w:br/>
      </w:r>
      <w:r w:rsidRPr="00840E08">
        <w:rPr>
          <w:rFonts w:ascii="Arial" w:hAnsi="Arial" w:cs="Arial"/>
          <w:b/>
          <w:bCs/>
          <w:sz w:val="28"/>
          <w:szCs w:val="28"/>
          <w:lang w:val="en-IN"/>
        </w:rPr>
        <w:br/>
      </w:r>
    </w:p>
    <w:p w14:paraId="115C3526" w14:textId="77777777" w:rsidR="00353CA2" w:rsidRDefault="00361B11" w:rsidP="00361B11">
      <w:pPr>
        <w:jc w:val="center"/>
        <w:rPr>
          <w:rFonts w:ascii="Arial" w:hAnsi="Arial" w:cs="Arial"/>
          <w:b/>
          <w:bCs/>
          <w:sz w:val="28"/>
          <w:szCs w:val="28"/>
          <w:lang w:val="en-IN"/>
        </w:rPr>
      </w:pPr>
      <w:r w:rsidRPr="00840E08">
        <w:rPr>
          <w:rFonts w:ascii="Arial" w:hAnsi="Arial" w:cs="Arial"/>
          <w:b/>
          <w:bCs/>
          <w:sz w:val="28"/>
          <w:szCs w:val="28"/>
          <w:lang w:val="en-IN"/>
        </w:rPr>
        <w:t>LCMB7035</w:t>
      </w:r>
    </w:p>
    <w:p w14:paraId="79B0B978" w14:textId="196FA589" w:rsidR="00BD4C2D" w:rsidRDefault="00361B11" w:rsidP="00361B11">
      <w:pPr>
        <w:jc w:val="center"/>
        <w:rPr>
          <w:rFonts w:ascii="Arial" w:hAnsi="Arial" w:cs="Arial"/>
          <w:b/>
          <w:bCs/>
          <w:sz w:val="28"/>
          <w:szCs w:val="28"/>
          <w:lang w:val="en-IN"/>
        </w:rPr>
      </w:pPr>
      <w:r w:rsidRPr="00840E08">
        <w:rPr>
          <w:rFonts w:ascii="Arial" w:hAnsi="Arial" w:cs="Arial"/>
          <w:b/>
          <w:bCs/>
          <w:sz w:val="28"/>
          <w:szCs w:val="28"/>
          <w:lang w:val="en-IN"/>
        </w:rPr>
        <w:br/>
        <w:t>MBA Dissertation</w:t>
      </w:r>
    </w:p>
    <w:p w14:paraId="6B2E2B1E" w14:textId="6539207F" w:rsidR="00353CA2" w:rsidRDefault="00353CA2" w:rsidP="00361B11">
      <w:pPr>
        <w:jc w:val="center"/>
      </w:pPr>
    </w:p>
    <w:p w14:paraId="5BA0990D" w14:textId="3B1C7DA9" w:rsidR="00353CA2" w:rsidRDefault="00353CA2" w:rsidP="00361B11">
      <w:pPr>
        <w:jc w:val="center"/>
      </w:pPr>
    </w:p>
    <w:p w14:paraId="76E12FE7" w14:textId="5F2B6932" w:rsidR="009C479C" w:rsidRPr="009C479C" w:rsidRDefault="009C479C" w:rsidP="009C479C">
      <w:pPr>
        <w:jc w:val="center"/>
        <w:rPr>
          <w:rFonts w:ascii="Arial" w:hAnsi="Arial" w:cs="Arial"/>
          <w:b/>
          <w:bCs/>
          <w:sz w:val="24"/>
          <w:szCs w:val="24"/>
        </w:rPr>
      </w:pPr>
      <w:r w:rsidRPr="009C479C">
        <w:rPr>
          <w:rFonts w:ascii="Arial" w:hAnsi="Arial" w:cs="Arial"/>
          <w:b/>
          <w:bCs/>
          <w:sz w:val="24"/>
          <w:szCs w:val="24"/>
        </w:rPr>
        <w:t>Full Name: Vimal</w:t>
      </w:r>
      <w:r w:rsidR="00C52022">
        <w:rPr>
          <w:rFonts w:ascii="Arial" w:hAnsi="Arial" w:cs="Arial"/>
          <w:b/>
          <w:bCs/>
          <w:sz w:val="24"/>
          <w:szCs w:val="24"/>
        </w:rPr>
        <w:t xml:space="preserve"> </w:t>
      </w:r>
      <w:r w:rsidR="00C52022" w:rsidRPr="00C52022">
        <w:rPr>
          <w:rFonts w:ascii="Arial" w:hAnsi="Arial" w:cs="Arial"/>
          <w:b/>
          <w:bCs/>
          <w:sz w:val="24"/>
          <w:szCs w:val="24"/>
        </w:rPr>
        <w:t>Edayilvila Vijayan</w:t>
      </w:r>
    </w:p>
    <w:p w14:paraId="4F0D927D" w14:textId="642BD439" w:rsidR="00353CA2" w:rsidRPr="009C479C" w:rsidRDefault="009C479C" w:rsidP="009C479C">
      <w:pPr>
        <w:jc w:val="center"/>
        <w:rPr>
          <w:rFonts w:ascii="Arial" w:hAnsi="Arial" w:cs="Arial"/>
          <w:b/>
          <w:bCs/>
          <w:sz w:val="24"/>
          <w:szCs w:val="24"/>
        </w:rPr>
      </w:pPr>
      <w:r w:rsidRPr="009C479C">
        <w:rPr>
          <w:rFonts w:ascii="Arial" w:hAnsi="Arial" w:cs="Arial"/>
          <w:b/>
          <w:bCs/>
          <w:sz w:val="24"/>
          <w:szCs w:val="24"/>
        </w:rPr>
        <w:t>Student ID:</w:t>
      </w:r>
      <w:r w:rsidR="00C52022">
        <w:rPr>
          <w:rFonts w:ascii="Arial" w:hAnsi="Arial" w:cs="Arial"/>
          <w:b/>
          <w:bCs/>
          <w:sz w:val="24"/>
          <w:szCs w:val="24"/>
        </w:rPr>
        <w:t xml:space="preserve"> </w:t>
      </w:r>
      <w:r w:rsidR="00C52022" w:rsidRPr="00C52022">
        <w:rPr>
          <w:rFonts w:ascii="Arial" w:hAnsi="Arial" w:cs="Arial"/>
          <w:b/>
          <w:bCs/>
          <w:sz w:val="24"/>
          <w:szCs w:val="24"/>
        </w:rPr>
        <w:t>2409023</w:t>
      </w:r>
    </w:p>
    <w:p w14:paraId="7E7E6F21" w14:textId="42D9426C" w:rsidR="009C479C" w:rsidRPr="009C479C" w:rsidRDefault="009C479C" w:rsidP="009C479C">
      <w:pPr>
        <w:jc w:val="center"/>
        <w:rPr>
          <w:rFonts w:ascii="Arial" w:hAnsi="Arial" w:cs="Arial"/>
          <w:b/>
          <w:bCs/>
          <w:sz w:val="24"/>
          <w:szCs w:val="24"/>
        </w:rPr>
      </w:pPr>
      <w:r w:rsidRPr="009C479C">
        <w:rPr>
          <w:rFonts w:ascii="Arial" w:hAnsi="Arial" w:cs="Arial"/>
          <w:b/>
          <w:bCs/>
          <w:sz w:val="24"/>
          <w:szCs w:val="24"/>
        </w:rPr>
        <w:t>Word count: 14901</w:t>
      </w:r>
    </w:p>
    <w:p w14:paraId="286D1F74" w14:textId="7D5C60A1" w:rsidR="00353CA2" w:rsidRDefault="00353CA2" w:rsidP="00361B11">
      <w:pPr>
        <w:jc w:val="center"/>
      </w:pPr>
    </w:p>
    <w:p w14:paraId="5BF4093B" w14:textId="3C13094E" w:rsidR="00353CA2" w:rsidRDefault="00353CA2" w:rsidP="00361B11">
      <w:pPr>
        <w:jc w:val="center"/>
      </w:pPr>
    </w:p>
    <w:p w14:paraId="740B8D9D" w14:textId="7A44B718" w:rsidR="00353CA2" w:rsidRDefault="00353CA2" w:rsidP="009C479C"/>
    <w:p w14:paraId="393105AF" w14:textId="48943AB9" w:rsidR="00353CA2" w:rsidRDefault="00353CA2" w:rsidP="00361B11">
      <w:pPr>
        <w:jc w:val="center"/>
      </w:pPr>
    </w:p>
    <w:p w14:paraId="3E2DE672" w14:textId="52171E1A" w:rsidR="00753527" w:rsidRDefault="00753527" w:rsidP="00753527">
      <w:pPr>
        <w:pStyle w:val="Heading1"/>
        <w:spacing w:line="360" w:lineRule="auto"/>
        <w:rPr>
          <w:rFonts w:ascii="Arial" w:hAnsi="Arial" w:cs="Arial"/>
          <w:b/>
          <w:bCs/>
          <w:color w:val="000000" w:themeColor="text1"/>
          <w:sz w:val="24"/>
          <w:szCs w:val="24"/>
        </w:rPr>
      </w:pPr>
      <w:bookmarkStart w:id="0" w:name="_Toc229774322"/>
      <w:r>
        <w:rPr>
          <w:rFonts w:ascii="Arial" w:hAnsi="Arial" w:cs="Arial"/>
          <w:b/>
          <w:bCs/>
          <w:color w:val="000000" w:themeColor="text1"/>
          <w:sz w:val="24"/>
          <w:szCs w:val="24"/>
        </w:rPr>
        <w:lastRenderedPageBreak/>
        <w:t>Declaration</w:t>
      </w:r>
      <w:bookmarkEnd w:id="0"/>
    </w:p>
    <w:p w14:paraId="78D8655B" w14:textId="4C15A8A4" w:rsidR="00753527" w:rsidRPr="00753527" w:rsidRDefault="00753527" w:rsidP="00753527">
      <w:pPr>
        <w:spacing w:line="360" w:lineRule="auto"/>
        <w:jc w:val="both"/>
        <w:rPr>
          <w:rFonts w:ascii="Arial" w:hAnsi="Arial" w:cs="Arial"/>
          <w:sz w:val="24"/>
          <w:szCs w:val="24"/>
        </w:rPr>
      </w:pPr>
      <w:r w:rsidRPr="00753527">
        <w:rPr>
          <w:rFonts w:ascii="Arial" w:hAnsi="Arial" w:cs="Arial"/>
          <w:sz w:val="24"/>
          <w:szCs w:val="24"/>
        </w:rPr>
        <w:t xml:space="preserve">I declare that this dissertation is my own work and that it has not been submitted in any form for a degree, diploma or other qualification at any other university or college. </w:t>
      </w:r>
      <w:r w:rsidR="00B332B1" w:rsidRPr="00B332B1">
        <w:rPr>
          <w:rFonts w:ascii="Arial" w:hAnsi="Arial" w:cs="Arial"/>
          <w:sz w:val="24"/>
          <w:szCs w:val="24"/>
        </w:rPr>
        <w:t>It has not been submitted for any degree or professional qualification at this or any other institution, in whole or in part.</w:t>
      </w:r>
    </w:p>
    <w:p w14:paraId="669F6965" w14:textId="075DEA94" w:rsidR="00753527" w:rsidRPr="00753527" w:rsidRDefault="00753527" w:rsidP="00753527">
      <w:pPr>
        <w:spacing w:line="360" w:lineRule="auto"/>
        <w:jc w:val="both"/>
        <w:rPr>
          <w:rFonts w:ascii="Arial" w:hAnsi="Arial" w:cs="Arial"/>
          <w:sz w:val="24"/>
          <w:szCs w:val="24"/>
        </w:rPr>
      </w:pPr>
      <w:r w:rsidRPr="00753527">
        <w:rPr>
          <w:rFonts w:ascii="Arial" w:hAnsi="Arial" w:cs="Arial"/>
          <w:sz w:val="24"/>
          <w:szCs w:val="24"/>
        </w:rPr>
        <w:t>This dissertation has been prepared using a Harvard referencing system as recommended by Cite Them Right and all sources consulted have been fully acknowledged and cited. Where the ideas, data or words of others have been used, this has been clearly indicated in the text and in the reference list.</w:t>
      </w:r>
    </w:p>
    <w:p w14:paraId="3B951433" w14:textId="38FCE198" w:rsidR="00753527" w:rsidRPr="00753527" w:rsidRDefault="00753527" w:rsidP="00753527">
      <w:pPr>
        <w:spacing w:line="360" w:lineRule="auto"/>
        <w:jc w:val="both"/>
        <w:rPr>
          <w:rFonts w:ascii="Arial" w:hAnsi="Arial" w:cs="Arial"/>
          <w:sz w:val="24"/>
          <w:szCs w:val="24"/>
        </w:rPr>
      </w:pPr>
      <w:r w:rsidRPr="00753527">
        <w:rPr>
          <w:rFonts w:ascii="Arial" w:hAnsi="Arial" w:cs="Arial"/>
          <w:sz w:val="24"/>
          <w:szCs w:val="24"/>
        </w:rPr>
        <w:t>I affirm that this dissertation is my own work, that all sources used are cited, and that I have not committed any academic dishonesty, such as plagiarism, fabrication, or falsification of data.</w:t>
      </w:r>
    </w:p>
    <w:p w14:paraId="5BEABB76" w14:textId="1A6D5EDD" w:rsidR="00753527" w:rsidRDefault="00753527" w:rsidP="00753527">
      <w:pPr>
        <w:spacing w:line="360" w:lineRule="auto"/>
        <w:jc w:val="both"/>
        <w:rPr>
          <w:rFonts w:ascii="Arial" w:hAnsi="Arial" w:cs="Arial"/>
          <w:sz w:val="24"/>
          <w:szCs w:val="24"/>
        </w:rPr>
      </w:pPr>
      <w:r w:rsidRPr="00753527">
        <w:rPr>
          <w:rFonts w:ascii="Arial" w:hAnsi="Arial" w:cs="Arial"/>
          <w:sz w:val="24"/>
          <w:szCs w:val="24"/>
        </w:rPr>
        <w:t>I know that any violation of academic honesty will be dealt with according to the University's rules.</w:t>
      </w:r>
    </w:p>
    <w:p w14:paraId="70DCF609" w14:textId="67D7A87C" w:rsidR="00753527" w:rsidRDefault="00753527" w:rsidP="00753527">
      <w:pPr>
        <w:spacing w:line="360" w:lineRule="auto"/>
        <w:jc w:val="both"/>
        <w:rPr>
          <w:rFonts w:ascii="Arial" w:hAnsi="Arial" w:cs="Arial"/>
          <w:sz w:val="24"/>
          <w:szCs w:val="24"/>
        </w:rPr>
      </w:pPr>
    </w:p>
    <w:p w14:paraId="0A2BDC28" w14:textId="1AA12741"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Full Name:</w:t>
      </w:r>
      <w:r w:rsidR="00460E7C">
        <w:rPr>
          <w:rFonts w:ascii="Arial" w:hAnsi="Arial" w:cs="Arial"/>
          <w:sz w:val="24"/>
          <w:szCs w:val="24"/>
        </w:rPr>
        <w:t xml:space="preserve"> Vimal Edayilvila Vijayan</w:t>
      </w:r>
    </w:p>
    <w:p w14:paraId="4FA9AB59" w14:textId="5C87346C"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Student ID:</w:t>
      </w:r>
      <w:r w:rsidR="00460E7C">
        <w:rPr>
          <w:rFonts w:ascii="Arial" w:hAnsi="Arial" w:cs="Arial"/>
          <w:sz w:val="24"/>
          <w:szCs w:val="24"/>
        </w:rPr>
        <w:t>2409023</w:t>
      </w:r>
    </w:p>
    <w:p w14:paraId="3B1F445F" w14:textId="77777777"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Programme: Master of Business Administration</w:t>
      </w:r>
    </w:p>
    <w:p w14:paraId="398ED345" w14:textId="77777777"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Module: LCMB7035 – Dissertation</w:t>
      </w:r>
    </w:p>
    <w:p w14:paraId="374BC0FA" w14:textId="77777777"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Dissertation Title: A Strategic Examination of the Shift from Traditional Brand Ambassadors to User-Generated Influencer Content in Global Retail Marketing</w:t>
      </w:r>
    </w:p>
    <w:p w14:paraId="70371886" w14:textId="55D04890"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Signature:</w:t>
      </w:r>
      <w:r w:rsidR="00460E7C">
        <w:rPr>
          <w:rFonts w:ascii="Arial" w:hAnsi="Arial" w:cs="Arial"/>
          <w:sz w:val="24"/>
          <w:szCs w:val="24"/>
        </w:rPr>
        <w:t xml:space="preserve"> vimalvijayan</w:t>
      </w:r>
    </w:p>
    <w:p w14:paraId="57678891" w14:textId="59316F2A" w:rsidR="00753527" w:rsidRPr="00753527" w:rsidRDefault="00864EC7" w:rsidP="00864EC7">
      <w:pPr>
        <w:spacing w:line="360" w:lineRule="auto"/>
        <w:jc w:val="both"/>
        <w:rPr>
          <w:rFonts w:ascii="Arial" w:hAnsi="Arial" w:cs="Arial"/>
          <w:sz w:val="24"/>
          <w:szCs w:val="24"/>
        </w:rPr>
      </w:pPr>
      <w:r w:rsidRPr="00864EC7">
        <w:rPr>
          <w:rFonts w:ascii="Arial" w:hAnsi="Arial" w:cs="Arial"/>
          <w:sz w:val="24"/>
          <w:szCs w:val="24"/>
        </w:rPr>
        <w:t>Date:</w:t>
      </w:r>
      <w:r w:rsidR="00DA025F">
        <w:rPr>
          <w:rFonts w:ascii="Arial" w:hAnsi="Arial" w:cs="Arial"/>
          <w:sz w:val="24"/>
          <w:szCs w:val="24"/>
        </w:rPr>
        <w:t xml:space="preserve"> 27/05/2026</w:t>
      </w:r>
    </w:p>
    <w:p w14:paraId="799D9455" w14:textId="2D508BDF" w:rsidR="00753527" w:rsidRDefault="00753527" w:rsidP="00753527"/>
    <w:p w14:paraId="0612C1C2" w14:textId="189FD77E" w:rsidR="00753527" w:rsidRDefault="00753527" w:rsidP="00361B11">
      <w:pPr>
        <w:jc w:val="center"/>
      </w:pPr>
    </w:p>
    <w:p w14:paraId="471AB019" w14:textId="65E2992E" w:rsidR="00753527" w:rsidRDefault="00753527" w:rsidP="00361B11">
      <w:pPr>
        <w:jc w:val="center"/>
      </w:pPr>
    </w:p>
    <w:p w14:paraId="411B5B58" w14:textId="518C0C72" w:rsidR="00753527" w:rsidRDefault="00753527" w:rsidP="00361B11">
      <w:pPr>
        <w:jc w:val="center"/>
      </w:pPr>
    </w:p>
    <w:p w14:paraId="04C64437" w14:textId="4BCBCA95" w:rsidR="00753527" w:rsidRDefault="00753527" w:rsidP="00361B11">
      <w:pPr>
        <w:jc w:val="center"/>
      </w:pPr>
    </w:p>
    <w:p w14:paraId="5F638CB3" w14:textId="77777777" w:rsidR="00F53311" w:rsidRPr="00F53311" w:rsidRDefault="00F53311" w:rsidP="00F53311">
      <w:pPr>
        <w:tabs>
          <w:tab w:val="left" w:pos="5103"/>
        </w:tabs>
        <w:spacing w:after="0" w:line="240" w:lineRule="auto"/>
        <w:jc w:val="center"/>
        <w:rPr>
          <w:rFonts w:ascii="Arial" w:eastAsia="Times New Roman" w:hAnsi="Arial" w:cs="Arial"/>
          <w:b/>
          <w:bCs/>
          <w:sz w:val="24"/>
          <w:szCs w:val="24"/>
        </w:rPr>
      </w:pPr>
      <w:r w:rsidRPr="00F53311">
        <w:rPr>
          <w:rFonts w:ascii="Arial" w:eastAsia="Times New Roman" w:hAnsi="Arial" w:cs="Arial"/>
          <w:b/>
          <w:bCs/>
          <w:sz w:val="24"/>
          <w:szCs w:val="24"/>
        </w:rPr>
        <w:lastRenderedPageBreak/>
        <w:t>APPLICATION FOR ETHICAL APPROVAL</w:t>
      </w:r>
    </w:p>
    <w:p w14:paraId="0919A079" w14:textId="77777777" w:rsidR="00F53311" w:rsidRPr="00F53311" w:rsidRDefault="00F53311" w:rsidP="00F53311">
      <w:pPr>
        <w:tabs>
          <w:tab w:val="left" w:pos="5103"/>
        </w:tabs>
        <w:spacing w:after="0" w:line="240" w:lineRule="auto"/>
        <w:ind w:right="282"/>
        <w:jc w:val="center"/>
        <w:rPr>
          <w:rFonts w:ascii="Arial" w:eastAsia="Times New Roman" w:hAnsi="Arial" w:cs="Arial"/>
          <w:b/>
          <w:bCs/>
          <w:sz w:val="20"/>
          <w:szCs w:val="20"/>
        </w:rPr>
      </w:pPr>
    </w:p>
    <w:p w14:paraId="372DF595" w14:textId="77777777" w:rsidR="00F53311" w:rsidRPr="00F53311" w:rsidRDefault="00F53311" w:rsidP="00F53311">
      <w:pPr>
        <w:tabs>
          <w:tab w:val="left" w:pos="5103"/>
        </w:tabs>
        <w:spacing w:after="0" w:line="240" w:lineRule="auto"/>
        <w:ind w:right="282"/>
        <w:jc w:val="both"/>
        <w:rPr>
          <w:rFonts w:ascii="Arial" w:eastAsia="Times New Roman" w:hAnsi="Arial" w:cs="Arial"/>
          <w:b/>
          <w:bCs/>
        </w:rPr>
      </w:pPr>
      <w:r w:rsidRPr="00F53311">
        <w:rPr>
          <w:rFonts w:ascii="Arial" w:eastAsia="Times New Roman" w:hAnsi="Arial" w:cs="Arial"/>
          <w:b/>
          <w:bCs/>
        </w:rPr>
        <w:t xml:space="preserve">In order for research to result in benefit and minimise risk of harm, it must be conducted ethically. </w:t>
      </w:r>
    </w:p>
    <w:p w14:paraId="793334BC" w14:textId="77777777" w:rsidR="00F53311" w:rsidRPr="00F53311" w:rsidRDefault="00F53311" w:rsidP="00F53311">
      <w:pPr>
        <w:tabs>
          <w:tab w:val="left" w:pos="5103"/>
        </w:tabs>
        <w:spacing w:after="0" w:line="240" w:lineRule="auto"/>
        <w:ind w:right="282"/>
        <w:jc w:val="center"/>
        <w:rPr>
          <w:rFonts w:ascii="Arial" w:eastAsia="Times New Roman" w:hAnsi="Arial" w:cs="Arial"/>
          <w:b/>
          <w:bCs/>
          <w:sz w:val="16"/>
          <w:szCs w:val="16"/>
        </w:rPr>
      </w:pPr>
    </w:p>
    <w:p w14:paraId="3C7B07CF" w14:textId="77777777" w:rsidR="00F53311" w:rsidRPr="00F53311" w:rsidRDefault="00F53311" w:rsidP="00F53311">
      <w:pPr>
        <w:tabs>
          <w:tab w:val="left" w:pos="5103"/>
        </w:tabs>
        <w:spacing w:after="0" w:line="240" w:lineRule="auto"/>
        <w:ind w:right="282"/>
        <w:jc w:val="both"/>
        <w:rPr>
          <w:rFonts w:ascii="Arial" w:eastAsia="Times New Roman" w:hAnsi="Arial" w:cs="Arial"/>
        </w:rPr>
      </w:pPr>
      <w:r w:rsidRPr="00F53311">
        <w:rPr>
          <w:rFonts w:ascii="Arial" w:eastAsia="Times New Roman" w:hAnsi="Arial" w:cs="Arial"/>
        </w:rPr>
        <w:t xml:space="preserve">The University follows the OECD Frascati manual definition of </w:t>
      </w:r>
      <w:r w:rsidRPr="00F53311">
        <w:rPr>
          <w:rFonts w:ascii="Arial" w:eastAsia="Times New Roman" w:hAnsi="Arial" w:cs="Arial"/>
          <w:b/>
        </w:rPr>
        <w:t>research activity</w:t>
      </w:r>
      <w:r w:rsidRPr="00F53311">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E75F3F" w14:textId="77777777" w:rsidR="00F53311" w:rsidRPr="00F53311" w:rsidRDefault="00F53311" w:rsidP="00F53311">
      <w:pPr>
        <w:tabs>
          <w:tab w:val="left" w:pos="5103"/>
        </w:tabs>
        <w:spacing w:after="0" w:line="240" w:lineRule="auto"/>
        <w:ind w:right="282"/>
        <w:jc w:val="both"/>
        <w:rPr>
          <w:rFonts w:ascii="Arial" w:eastAsia="Times New Roman" w:hAnsi="Arial" w:cs="Arial"/>
        </w:rPr>
      </w:pPr>
    </w:p>
    <w:p w14:paraId="053DE5EE" w14:textId="77777777" w:rsidR="00F53311" w:rsidRPr="00F53311" w:rsidRDefault="00F53311" w:rsidP="00F53311">
      <w:pPr>
        <w:tabs>
          <w:tab w:val="left" w:pos="5103"/>
        </w:tabs>
        <w:spacing w:after="0" w:line="240" w:lineRule="auto"/>
        <w:ind w:right="282"/>
        <w:jc w:val="both"/>
        <w:rPr>
          <w:rFonts w:ascii="Arial" w:eastAsia="Times New Roman" w:hAnsi="Arial" w:cs="Arial"/>
        </w:rPr>
      </w:pPr>
      <w:r w:rsidRPr="00F53311">
        <w:rPr>
          <w:rFonts w:ascii="Arial" w:eastAsia="Times New Roman" w:hAnsi="Arial" w:cs="Arial"/>
        </w:rPr>
        <w:t>The individual undertaking the research activity is known as the “principal researcher”.</w:t>
      </w:r>
    </w:p>
    <w:p w14:paraId="32AAA079" w14:textId="77777777" w:rsidR="00F53311" w:rsidRPr="00F53311" w:rsidRDefault="00F53311" w:rsidP="00F53311">
      <w:pPr>
        <w:tabs>
          <w:tab w:val="left" w:pos="5103"/>
        </w:tabs>
        <w:spacing w:after="0" w:line="240" w:lineRule="auto"/>
        <w:ind w:right="282"/>
        <w:jc w:val="both"/>
        <w:rPr>
          <w:rFonts w:ascii="Arial" w:eastAsia="Times New Roman" w:hAnsi="Arial" w:cs="Arial"/>
        </w:rPr>
      </w:pPr>
    </w:p>
    <w:p w14:paraId="56DB0099" w14:textId="77777777" w:rsidR="00F53311" w:rsidRPr="00F53311" w:rsidRDefault="00F53311" w:rsidP="00F53311">
      <w:pPr>
        <w:autoSpaceDE w:val="0"/>
        <w:autoSpaceDN w:val="0"/>
        <w:adjustRightInd w:val="0"/>
        <w:spacing w:after="0" w:line="240" w:lineRule="auto"/>
        <w:jc w:val="both"/>
        <w:rPr>
          <w:rFonts w:ascii="Arial" w:eastAsia="Times New Roman" w:hAnsi="Arial" w:cs="Arial"/>
        </w:rPr>
      </w:pPr>
      <w:r w:rsidRPr="00F53311">
        <w:rPr>
          <w:rFonts w:ascii="Arial" w:eastAsia="Times New Roman" w:hAnsi="Arial" w:cs="Arial"/>
          <w:b/>
        </w:rPr>
        <w:t>This form</w:t>
      </w:r>
      <w:r w:rsidRPr="00F53311">
        <w:rPr>
          <w:rFonts w:ascii="Arial" w:eastAsia="Times New Roman" w:hAnsi="Arial" w:cs="Arial"/>
        </w:rPr>
        <w:t xml:space="preserve"> </w:t>
      </w:r>
      <w:r w:rsidRPr="00F53311">
        <w:rPr>
          <w:rFonts w:ascii="Arial" w:eastAsia="Times New Roman" w:hAnsi="Arial" w:cs="Arial"/>
          <w:b/>
        </w:rPr>
        <w:t>must be completed and approved prior to undertaking any research activity.</w:t>
      </w:r>
      <w:r w:rsidRPr="00F53311">
        <w:rPr>
          <w:rFonts w:ascii="Arial" w:eastAsia="Times New Roman" w:hAnsi="Arial" w:cs="Arial"/>
        </w:rPr>
        <w:t xml:space="preserve"> </w:t>
      </w:r>
    </w:p>
    <w:p w14:paraId="2AB2C1BA" w14:textId="77777777" w:rsidR="00F53311" w:rsidRPr="00F53311" w:rsidRDefault="00F53311" w:rsidP="00F53311">
      <w:pPr>
        <w:autoSpaceDE w:val="0"/>
        <w:autoSpaceDN w:val="0"/>
        <w:adjustRightInd w:val="0"/>
        <w:spacing w:after="0" w:line="240" w:lineRule="auto"/>
        <w:jc w:val="both"/>
        <w:rPr>
          <w:rFonts w:ascii="Arial" w:eastAsia="Times New Roman" w:hAnsi="Arial" w:cs="Arial"/>
        </w:rPr>
      </w:pPr>
    </w:p>
    <w:p w14:paraId="26BED5BD"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A: About You (Principal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
        <w:gridCol w:w="2295"/>
        <w:gridCol w:w="3241"/>
      </w:tblGrid>
      <w:tr w:rsidR="00F53311" w:rsidRPr="00F53311" w14:paraId="285E1E1B" w14:textId="77777777" w:rsidTr="00F53311">
        <w:trPr>
          <w:trHeight w:val="439"/>
        </w:trPr>
        <w:tc>
          <w:tcPr>
            <w:tcW w:w="0" w:type="auto"/>
            <w:shd w:val="clear" w:color="auto" w:fill="F2F2F2"/>
            <w:vAlign w:val="center"/>
          </w:tcPr>
          <w:p w14:paraId="021A6CFC"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1</w:t>
            </w:r>
          </w:p>
        </w:tc>
        <w:tc>
          <w:tcPr>
            <w:tcW w:w="0" w:type="auto"/>
            <w:shd w:val="clear" w:color="auto" w:fill="F2F2F2"/>
            <w:vAlign w:val="center"/>
          </w:tcPr>
          <w:p w14:paraId="4AD3B14D"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Full Name:</w:t>
            </w:r>
          </w:p>
        </w:tc>
        <w:tc>
          <w:tcPr>
            <w:tcW w:w="0" w:type="auto"/>
            <w:vAlign w:val="center"/>
          </w:tcPr>
          <w:p w14:paraId="3645A1D4"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VIMAL EDAYILVILA VIJAYAN</w:t>
            </w:r>
          </w:p>
        </w:tc>
      </w:tr>
      <w:tr w:rsidR="00F53311" w:rsidRPr="00F53311" w14:paraId="5ECC29AF" w14:textId="77777777" w:rsidTr="00F53311">
        <w:trPr>
          <w:cantSplit/>
          <w:trHeight w:val="340"/>
        </w:trPr>
        <w:tc>
          <w:tcPr>
            <w:tcW w:w="0" w:type="auto"/>
            <w:shd w:val="clear" w:color="auto" w:fill="F2F2F2"/>
            <w:vAlign w:val="center"/>
          </w:tcPr>
          <w:p w14:paraId="3DB5AE5A"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2</w:t>
            </w:r>
          </w:p>
        </w:tc>
        <w:tc>
          <w:tcPr>
            <w:tcW w:w="0" w:type="auto"/>
            <w:shd w:val="clear" w:color="auto" w:fill="F2F2F2"/>
            <w:vAlign w:val="center"/>
          </w:tcPr>
          <w:p w14:paraId="7DEE838A"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Student Number:</w:t>
            </w:r>
          </w:p>
        </w:tc>
        <w:tc>
          <w:tcPr>
            <w:tcW w:w="0" w:type="auto"/>
            <w:vAlign w:val="center"/>
          </w:tcPr>
          <w:p w14:paraId="423944F6" w14:textId="77777777" w:rsidR="00F53311" w:rsidRPr="00F53311" w:rsidRDefault="00F53311" w:rsidP="00F53311">
            <w:pPr>
              <w:spacing w:after="0" w:line="240" w:lineRule="auto"/>
              <w:rPr>
                <w:rFonts w:ascii="Arial" w:eastAsia="Times New Roman" w:hAnsi="Arial" w:cs="Arial"/>
              </w:rPr>
            </w:pPr>
          </w:p>
          <w:p w14:paraId="2A1766B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2409023</w:t>
            </w:r>
          </w:p>
        </w:tc>
      </w:tr>
      <w:tr w:rsidR="00F53311" w:rsidRPr="00F53311" w14:paraId="62D372AF" w14:textId="77777777" w:rsidTr="00F53311">
        <w:trPr>
          <w:trHeight w:val="513"/>
        </w:trPr>
        <w:tc>
          <w:tcPr>
            <w:tcW w:w="0" w:type="auto"/>
            <w:shd w:val="clear" w:color="auto" w:fill="F2F2F2"/>
            <w:vAlign w:val="center"/>
          </w:tcPr>
          <w:p w14:paraId="5968090C"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3</w:t>
            </w:r>
          </w:p>
        </w:tc>
        <w:tc>
          <w:tcPr>
            <w:tcW w:w="0" w:type="auto"/>
            <w:shd w:val="clear" w:color="auto" w:fill="F2F2F2"/>
            <w:vAlign w:val="center"/>
          </w:tcPr>
          <w:p w14:paraId="072FEF79"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Email address:</w:t>
            </w:r>
          </w:p>
        </w:tc>
        <w:tc>
          <w:tcPr>
            <w:tcW w:w="0" w:type="auto"/>
            <w:vAlign w:val="center"/>
          </w:tcPr>
          <w:p w14:paraId="5502ADD4"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2409023@student.uwtsd.ac.uk</w:t>
            </w:r>
          </w:p>
        </w:tc>
      </w:tr>
      <w:tr w:rsidR="00F53311" w:rsidRPr="00F53311" w14:paraId="0BB83909" w14:textId="77777777" w:rsidTr="00F53311">
        <w:trPr>
          <w:trHeight w:val="549"/>
        </w:trPr>
        <w:tc>
          <w:tcPr>
            <w:tcW w:w="0" w:type="auto"/>
            <w:shd w:val="clear" w:color="auto" w:fill="F2F2F2"/>
            <w:vAlign w:val="center"/>
          </w:tcPr>
          <w:p w14:paraId="64E38727"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4</w:t>
            </w:r>
          </w:p>
        </w:tc>
        <w:tc>
          <w:tcPr>
            <w:tcW w:w="0" w:type="auto"/>
            <w:shd w:val="clear" w:color="auto" w:fill="F2F2F2"/>
            <w:vAlign w:val="center"/>
          </w:tcPr>
          <w:p w14:paraId="07C4CC5F"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Programme of Study:</w:t>
            </w:r>
          </w:p>
        </w:tc>
        <w:tc>
          <w:tcPr>
            <w:tcW w:w="0" w:type="auto"/>
            <w:vAlign w:val="center"/>
          </w:tcPr>
          <w:p w14:paraId="23E10CE3"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MBA International business</w:t>
            </w:r>
          </w:p>
        </w:tc>
      </w:tr>
      <w:tr w:rsidR="00F53311" w:rsidRPr="00F53311" w14:paraId="2142FD1B" w14:textId="77777777" w:rsidTr="00F53311">
        <w:trPr>
          <w:trHeight w:val="557"/>
        </w:trPr>
        <w:tc>
          <w:tcPr>
            <w:tcW w:w="0" w:type="auto"/>
            <w:shd w:val="clear" w:color="auto" w:fill="F2F2F2"/>
            <w:vAlign w:val="center"/>
          </w:tcPr>
          <w:p w14:paraId="3570B635"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5</w:t>
            </w:r>
          </w:p>
        </w:tc>
        <w:tc>
          <w:tcPr>
            <w:tcW w:w="0" w:type="auto"/>
            <w:shd w:val="clear" w:color="auto" w:fill="F2F2F2"/>
            <w:vAlign w:val="center"/>
          </w:tcPr>
          <w:p w14:paraId="400AE1FA"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Supervisor:</w:t>
            </w:r>
          </w:p>
        </w:tc>
        <w:tc>
          <w:tcPr>
            <w:tcW w:w="0" w:type="auto"/>
            <w:vAlign w:val="center"/>
          </w:tcPr>
          <w:p w14:paraId="7C8BFBAC"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Shahrukh Irfan</w:t>
            </w:r>
          </w:p>
        </w:tc>
      </w:tr>
    </w:tbl>
    <w:p w14:paraId="21F4C5F5"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p>
    <w:p w14:paraId="465B16FA"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B:  Internal and External Ethical Guidance Materials</w:t>
      </w:r>
    </w:p>
    <w:tbl>
      <w:tblPr>
        <w:tblStyle w:val="TableGrid1"/>
        <w:tblW w:w="0" w:type="auto"/>
        <w:tblLook w:val="04A0" w:firstRow="1" w:lastRow="0" w:firstColumn="1" w:lastColumn="0" w:noHBand="0" w:noVBand="1"/>
      </w:tblPr>
      <w:tblGrid>
        <w:gridCol w:w="328"/>
        <w:gridCol w:w="7885"/>
        <w:gridCol w:w="803"/>
      </w:tblGrid>
      <w:tr w:rsidR="00F53311" w:rsidRPr="00F53311" w14:paraId="0F34376C" w14:textId="77777777" w:rsidTr="00F53311">
        <w:tc>
          <w:tcPr>
            <w:tcW w:w="0" w:type="auto"/>
            <w:shd w:val="clear" w:color="auto" w:fill="F2F2F2"/>
          </w:tcPr>
          <w:p w14:paraId="2F8D5FE5" w14:textId="77777777" w:rsidR="00F53311" w:rsidRPr="00F53311" w:rsidRDefault="00F53311" w:rsidP="00F53311">
            <w:pPr>
              <w:autoSpaceDE w:val="0"/>
              <w:autoSpaceDN w:val="0"/>
              <w:adjustRightInd w:val="0"/>
              <w:rPr>
                <w:rFonts w:ascii="Arial" w:hAnsi="Arial" w:cs="Arial"/>
              </w:rPr>
            </w:pPr>
          </w:p>
        </w:tc>
        <w:tc>
          <w:tcPr>
            <w:tcW w:w="0" w:type="auto"/>
            <w:gridSpan w:val="2"/>
            <w:shd w:val="clear" w:color="auto" w:fill="F2F2F2"/>
          </w:tcPr>
          <w:p w14:paraId="5DA49D52"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53311" w:rsidRPr="00F53311" w14:paraId="3EFAAA46" w14:textId="77777777" w:rsidTr="00F53311">
        <w:trPr>
          <w:trHeight w:val="355"/>
        </w:trPr>
        <w:tc>
          <w:tcPr>
            <w:tcW w:w="0" w:type="auto"/>
            <w:vAlign w:val="center"/>
          </w:tcPr>
          <w:p w14:paraId="613EDB89"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w:t>
            </w:r>
          </w:p>
        </w:tc>
        <w:tc>
          <w:tcPr>
            <w:tcW w:w="0" w:type="auto"/>
            <w:vAlign w:val="center"/>
          </w:tcPr>
          <w:p w14:paraId="4379048A" w14:textId="77777777" w:rsidR="00F53311" w:rsidRPr="00F53311" w:rsidRDefault="00F53311" w:rsidP="00F53311">
            <w:pPr>
              <w:autoSpaceDE w:val="0"/>
              <w:autoSpaceDN w:val="0"/>
              <w:adjustRightInd w:val="0"/>
              <w:rPr>
                <w:rFonts w:ascii="Arial" w:hAnsi="Arial" w:cs="Arial"/>
                <w:b/>
                <w:bCs/>
              </w:rPr>
            </w:pPr>
            <w:hyperlink r:id="rId8" w:history="1">
              <w:r w:rsidRPr="00F53311">
                <w:rPr>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0" w:type="auto"/>
                <w:shd w:val="clear" w:color="auto" w:fill="BFBFBF"/>
                <w:vAlign w:val="center"/>
              </w:tcPr>
              <w:p w14:paraId="14AFFFF2"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tc>
          </w:sdtContent>
        </w:sdt>
      </w:tr>
      <w:tr w:rsidR="00F53311" w:rsidRPr="00F53311" w14:paraId="3ABCF091" w14:textId="77777777" w:rsidTr="00F53311">
        <w:trPr>
          <w:trHeight w:val="417"/>
        </w:trPr>
        <w:tc>
          <w:tcPr>
            <w:tcW w:w="0" w:type="auto"/>
            <w:vAlign w:val="center"/>
          </w:tcPr>
          <w:p w14:paraId="3163249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2</w:t>
            </w:r>
          </w:p>
        </w:tc>
        <w:tc>
          <w:tcPr>
            <w:tcW w:w="0" w:type="auto"/>
            <w:vAlign w:val="center"/>
          </w:tcPr>
          <w:p w14:paraId="437F4A36" w14:textId="77777777" w:rsidR="00F53311" w:rsidRPr="00F53311" w:rsidRDefault="00F53311" w:rsidP="00F53311">
            <w:pPr>
              <w:autoSpaceDE w:val="0"/>
              <w:autoSpaceDN w:val="0"/>
              <w:adjustRightInd w:val="0"/>
              <w:rPr>
                <w:rFonts w:ascii="Arial" w:hAnsi="Arial" w:cs="Arial"/>
                <w:b/>
                <w:bCs/>
                <w:color w:val="FF0000"/>
              </w:rPr>
            </w:pPr>
            <w:r w:rsidRPr="00F53311">
              <w:rPr>
                <w:rFonts w:ascii="Arial" w:hAnsi="Arial" w:cs="Arial"/>
                <w:b/>
                <w:bCs/>
              </w:rPr>
              <w:t>UWTSD Research Data Management Policy</w:t>
            </w:r>
          </w:p>
        </w:tc>
        <w:tc>
          <w:tcPr>
            <w:tcW w:w="0" w:type="auto"/>
            <w:shd w:val="clear" w:color="auto" w:fill="BFBF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054ECA8B" w14:textId="77777777" w:rsidR="00F53311" w:rsidRPr="00F53311" w:rsidRDefault="00F53311" w:rsidP="00F53311">
                <w:pPr>
                  <w:autoSpaceDE w:val="0"/>
                  <w:autoSpaceDN w:val="0"/>
                  <w:adjustRightInd w:val="0"/>
                  <w:jc w:val="center"/>
                  <w:rPr>
                    <w:rFonts w:ascii="Arial" w:hAnsi="Arial" w:cs="Arial"/>
                    <w:b/>
                    <w:bCs/>
                    <w:i/>
                  </w:rPr>
                </w:pPr>
                <w:r w:rsidRPr="00F53311">
                  <w:rPr>
                    <w:rFonts w:ascii="Segoe UI Symbol" w:hAnsi="Segoe UI Symbol" w:cs="Segoe UI Symbol"/>
                    <w:b/>
                    <w:bCs/>
                  </w:rPr>
                  <w:t>☒</w:t>
                </w:r>
              </w:p>
            </w:sdtContent>
          </w:sdt>
        </w:tc>
      </w:tr>
      <w:tr w:rsidR="00F53311" w:rsidRPr="00F53311" w14:paraId="719F6A53" w14:textId="77777777" w:rsidTr="00F53311">
        <w:trPr>
          <w:trHeight w:val="409"/>
        </w:trPr>
        <w:tc>
          <w:tcPr>
            <w:tcW w:w="0" w:type="auto"/>
            <w:vAlign w:val="center"/>
          </w:tcPr>
          <w:p w14:paraId="7D65BBB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3</w:t>
            </w:r>
          </w:p>
        </w:tc>
        <w:tc>
          <w:tcPr>
            <w:tcW w:w="0" w:type="auto"/>
            <w:vAlign w:val="center"/>
          </w:tcPr>
          <w:p w14:paraId="42E07CC2" w14:textId="77777777" w:rsidR="00F53311" w:rsidRPr="00F53311" w:rsidRDefault="00F53311" w:rsidP="00F53311">
            <w:pPr>
              <w:autoSpaceDE w:val="0"/>
              <w:autoSpaceDN w:val="0"/>
              <w:adjustRightInd w:val="0"/>
              <w:rPr>
                <w:rFonts w:ascii="Arial" w:hAnsi="Arial" w:cs="Arial"/>
                <w:b/>
                <w:bCs/>
                <w:iCs/>
              </w:rPr>
            </w:pPr>
          </w:p>
        </w:tc>
        <w:tc>
          <w:tcPr>
            <w:tcW w:w="0" w:type="auto"/>
            <w:shd w:val="clear" w:color="auto" w:fill="BFBF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391EE762" w14:textId="77777777" w:rsidR="00F53311" w:rsidRPr="00F53311" w:rsidRDefault="00F53311" w:rsidP="00F53311">
                <w:pPr>
                  <w:autoSpaceDE w:val="0"/>
                  <w:autoSpaceDN w:val="0"/>
                  <w:adjustRightInd w:val="0"/>
                  <w:jc w:val="center"/>
                  <w:rPr>
                    <w:rFonts w:ascii="Arial" w:hAnsi="Arial" w:cs="Arial"/>
                    <w:b/>
                    <w:bCs/>
                    <w:i/>
                  </w:rPr>
                </w:pPr>
                <w:r w:rsidRPr="00F53311">
                  <w:rPr>
                    <w:rFonts w:ascii="Segoe UI Symbol" w:hAnsi="Segoe UI Symbol" w:cs="Segoe UI Symbol"/>
                    <w:b/>
                    <w:bCs/>
                  </w:rPr>
                  <w:t>☐</w:t>
                </w:r>
              </w:p>
            </w:sdtContent>
          </w:sdt>
        </w:tc>
      </w:tr>
      <w:tr w:rsidR="00F53311" w:rsidRPr="00F53311" w14:paraId="5970AD07" w14:textId="77777777" w:rsidTr="00F53311">
        <w:trPr>
          <w:trHeight w:val="409"/>
        </w:trPr>
        <w:tc>
          <w:tcPr>
            <w:tcW w:w="0" w:type="auto"/>
            <w:vAlign w:val="center"/>
          </w:tcPr>
          <w:p w14:paraId="0BBED62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4</w:t>
            </w:r>
          </w:p>
        </w:tc>
        <w:tc>
          <w:tcPr>
            <w:tcW w:w="0" w:type="auto"/>
            <w:vAlign w:val="center"/>
          </w:tcPr>
          <w:p w14:paraId="332B8F6F" w14:textId="77777777" w:rsidR="00F53311" w:rsidRPr="00F53311" w:rsidRDefault="00F53311" w:rsidP="00F53311">
            <w:pPr>
              <w:autoSpaceDE w:val="0"/>
              <w:autoSpaceDN w:val="0"/>
              <w:adjustRightInd w:val="0"/>
              <w:rPr>
                <w:rFonts w:ascii="Arial" w:hAnsi="Arial" w:cs="Arial"/>
                <w:b/>
                <w:bCs/>
                <w:i/>
              </w:rPr>
            </w:pPr>
          </w:p>
        </w:tc>
        <w:tc>
          <w:tcPr>
            <w:tcW w:w="0" w:type="auto"/>
            <w:shd w:val="clear" w:color="auto" w:fill="BFBFBF"/>
            <w:vAlign w:val="center"/>
          </w:tcPr>
          <w:sdt>
            <w:sdtPr>
              <w:rPr>
                <w:rFonts w:ascii="Arial" w:hAnsi="Arial" w:cs="Arial"/>
                <w:b/>
                <w:bCs/>
              </w:rPr>
              <w:id w:val="-1002195764"/>
              <w14:checkbox>
                <w14:checked w14:val="0"/>
                <w14:checkedState w14:val="2612" w14:font="MS Gothic"/>
                <w14:uncheckedState w14:val="2610" w14:font="MS Gothic"/>
              </w14:checkbox>
            </w:sdtPr>
            <w:sdtContent>
              <w:p w14:paraId="292A5E4E"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r>
    </w:tbl>
    <w:p w14:paraId="52AAC573"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p>
    <w:p w14:paraId="7C65B9CB"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C: Details of Research Activity</w:t>
      </w: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09"/>
        <w:gridCol w:w="2498"/>
        <w:gridCol w:w="1935"/>
        <w:gridCol w:w="2449"/>
        <w:gridCol w:w="1935"/>
      </w:tblGrid>
      <w:tr w:rsidR="00F53311" w:rsidRPr="00F53311" w14:paraId="057F19F0" w14:textId="77777777" w:rsidTr="00F53311">
        <w:trPr>
          <w:trHeight w:val="454"/>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595ABF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9F2E917"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Indicative title:</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36E4E05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LCMB7035</w:t>
            </w:r>
          </w:p>
        </w:tc>
      </w:tr>
      <w:tr w:rsidR="00F53311" w:rsidRPr="00F53311" w14:paraId="2A1E314F" w14:textId="77777777" w:rsidTr="00F53311">
        <w:trPr>
          <w:trHeight w:val="454"/>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812C5BB"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033883F5"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Proposed start date:</w:t>
            </w:r>
          </w:p>
        </w:tc>
        <w:tc>
          <w:tcPr>
            <w:tcW w:w="0" w:type="auto"/>
            <w:tcBorders>
              <w:top w:val="single" w:sz="4" w:space="0" w:color="auto"/>
              <w:left w:val="single" w:sz="4" w:space="0" w:color="auto"/>
              <w:bottom w:val="single" w:sz="4" w:space="0" w:color="auto"/>
              <w:right w:val="single" w:sz="4" w:space="0" w:color="auto"/>
            </w:tcBorders>
            <w:vAlign w:val="center"/>
          </w:tcPr>
          <w:p w14:paraId="2A2B0C92"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10/02/2026</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08E0A38"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Proposed end date:</w:t>
            </w:r>
          </w:p>
        </w:tc>
        <w:tc>
          <w:tcPr>
            <w:tcW w:w="0" w:type="auto"/>
            <w:tcBorders>
              <w:top w:val="single" w:sz="4" w:space="0" w:color="auto"/>
              <w:left w:val="single" w:sz="4" w:space="0" w:color="auto"/>
              <w:bottom w:val="single" w:sz="4" w:space="0" w:color="auto"/>
              <w:right w:val="single" w:sz="4" w:space="0" w:color="auto"/>
            </w:tcBorders>
            <w:vAlign w:val="center"/>
          </w:tcPr>
          <w:p w14:paraId="742AD444"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20/02/2026</w:t>
            </w:r>
          </w:p>
        </w:tc>
      </w:tr>
      <w:tr w:rsidR="00F53311" w:rsidRPr="00F53311" w14:paraId="676F4AA8" w14:textId="77777777" w:rsidTr="00F53311">
        <w:trPr>
          <w:trHeight w:val="454"/>
        </w:trPr>
        <w:tc>
          <w:tcPr>
            <w:tcW w:w="0" w:type="auto"/>
            <w:tcBorders>
              <w:top w:val="single" w:sz="4" w:space="0" w:color="auto"/>
            </w:tcBorders>
            <w:shd w:val="clear" w:color="auto" w:fill="F2F2F2"/>
            <w:vAlign w:val="center"/>
          </w:tcPr>
          <w:p w14:paraId="6356803C" w14:textId="77777777" w:rsidR="00F53311" w:rsidRPr="00F53311" w:rsidRDefault="00F53311" w:rsidP="00F53311">
            <w:pPr>
              <w:spacing w:before="120" w:after="120" w:line="240" w:lineRule="auto"/>
              <w:rPr>
                <w:rFonts w:ascii="Arial" w:eastAsia="Times New Roman" w:hAnsi="Arial" w:cs="Arial"/>
              </w:rPr>
            </w:pPr>
          </w:p>
        </w:tc>
        <w:tc>
          <w:tcPr>
            <w:tcW w:w="0" w:type="auto"/>
            <w:gridSpan w:val="4"/>
            <w:tcBorders>
              <w:top w:val="single" w:sz="4" w:space="0" w:color="auto"/>
            </w:tcBorders>
            <w:shd w:val="clear" w:color="auto" w:fill="F2F2F2"/>
            <w:vAlign w:val="center"/>
          </w:tcPr>
          <w:p w14:paraId="08826427" w14:textId="77777777" w:rsidR="00F53311" w:rsidRPr="00F53311" w:rsidRDefault="00F53311" w:rsidP="00F53311">
            <w:pPr>
              <w:spacing w:before="120" w:after="120" w:line="240" w:lineRule="auto"/>
              <w:rPr>
                <w:rFonts w:ascii="Arial" w:eastAsia="Times New Roman" w:hAnsi="Arial" w:cs="Arial"/>
                <w:b/>
              </w:rPr>
            </w:pPr>
            <w:r w:rsidRPr="00F53311">
              <w:rPr>
                <w:rFonts w:ascii="Arial" w:eastAsia="Times New Roman" w:hAnsi="Arial" w:cs="Arial"/>
                <w:b/>
              </w:rPr>
              <w:t>Introduction to the Research (maximum 300 words in each section)</w:t>
            </w:r>
          </w:p>
          <w:p w14:paraId="0D48E44B" w14:textId="77777777" w:rsidR="00F53311" w:rsidRPr="00F53311" w:rsidRDefault="00F53311" w:rsidP="00F53311">
            <w:pPr>
              <w:spacing w:before="120" w:after="120" w:line="240" w:lineRule="auto"/>
              <w:rPr>
                <w:rFonts w:ascii="Arial" w:eastAsia="Times New Roman" w:hAnsi="Arial" w:cs="Arial"/>
                <w:b/>
              </w:rPr>
            </w:pPr>
            <w:r w:rsidRPr="00F53311">
              <w:rPr>
                <w:rFonts w:ascii="Arial" w:eastAsia="Times New Roman" w:hAnsi="Arial" w:cs="Arial"/>
                <w:b/>
              </w:rPr>
              <w:lastRenderedPageBreak/>
              <w:t xml:space="preserve">Ensure that you write for a </w:t>
            </w:r>
            <w:r w:rsidRPr="00F53311">
              <w:rPr>
                <w:rFonts w:ascii="Arial" w:eastAsia="Times New Roman" w:hAnsi="Arial" w:cs="Arial"/>
                <w:b/>
                <w:u w:val="single"/>
              </w:rPr>
              <w:t>Non-Specialist Audience</w:t>
            </w:r>
            <w:r w:rsidRPr="00F53311">
              <w:rPr>
                <w:rFonts w:ascii="Arial" w:eastAsia="Times New Roman" w:hAnsi="Arial" w:cs="Arial"/>
                <w:b/>
              </w:rPr>
              <w:t xml:space="preserve"> when outlining your response to the three points below:</w:t>
            </w:r>
          </w:p>
          <w:p w14:paraId="406AC698" w14:textId="77777777" w:rsidR="00F53311" w:rsidRPr="00F53311" w:rsidRDefault="00F53311" w:rsidP="00F53311">
            <w:pPr>
              <w:numPr>
                <w:ilvl w:val="0"/>
                <w:numId w:val="35"/>
              </w:numPr>
              <w:spacing w:after="0" w:line="240" w:lineRule="auto"/>
              <w:rPr>
                <w:rFonts w:ascii="Arial" w:eastAsia="Calibri" w:hAnsi="Arial" w:cs="Arial"/>
                <w:i/>
              </w:rPr>
            </w:pPr>
            <w:r w:rsidRPr="00F53311">
              <w:rPr>
                <w:rFonts w:ascii="Arial" w:eastAsia="Calibri" w:hAnsi="Arial" w:cs="Arial"/>
                <w:i/>
              </w:rPr>
              <w:t>Purpose of Research Activity</w:t>
            </w:r>
          </w:p>
          <w:p w14:paraId="5B519BA5" w14:textId="77777777" w:rsidR="00F53311" w:rsidRPr="00F53311" w:rsidRDefault="00F53311" w:rsidP="00F53311">
            <w:pPr>
              <w:numPr>
                <w:ilvl w:val="0"/>
                <w:numId w:val="35"/>
              </w:numPr>
              <w:spacing w:after="0" w:line="240" w:lineRule="auto"/>
              <w:rPr>
                <w:rFonts w:ascii="Arial" w:eastAsia="Calibri" w:hAnsi="Arial" w:cs="Arial"/>
                <w:i/>
              </w:rPr>
            </w:pPr>
            <w:r w:rsidRPr="00F53311">
              <w:rPr>
                <w:rFonts w:ascii="Arial" w:eastAsia="Calibri" w:hAnsi="Arial" w:cs="Arial"/>
                <w:i/>
              </w:rPr>
              <w:t>Proposed Research Question</w:t>
            </w:r>
          </w:p>
          <w:p w14:paraId="64CCEE64" w14:textId="77777777" w:rsidR="00F53311" w:rsidRPr="00F53311" w:rsidRDefault="00F53311" w:rsidP="00F53311">
            <w:pPr>
              <w:numPr>
                <w:ilvl w:val="0"/>
                <w:numId w:val="35"/>
              </w:numPr>
              <w:spacing w:after="0" w:line="240" w:lineRule="auto"/>
              <w:rPr>
                <w:rFonts w:ascii="Arial" w:eastAsia="Calibri" w:hAnsi="Arial" w:cs="Arial"/>
                <w:i/>
              </w:rPr>
            </w:pPr>
            <w:r w:rsidRPr="00F53311">
              <w:rPr>
                <w:rFonts w:ascii="Arial" w:eastAsia="Calibri" w:hAnsi="Arial" w:cs="Arial"/>
                <w:i/>
              </w:rPr>
              <w:t>Aims of Research Activity</w:t>
            </w:r>
          </w:p>
          <w:p w14:paraId="24E27049" w14:textId="77777777" w:rsidR="00F53311" w:rsidRPr="00F53311" w:rsidRDefault="00F53311" w:rsidP="00F53311">
            <w:pPr>
              <w:numPr>
                <w:ilvl w:val="0"/>
                <w:numId w:val="35"/>
              </w:numPr>
              <w:spacing w:after="0" w:line="240" w:lineRule="auto"/>
              <w:ind w:left="714" w:hanging="357"/>
              <w:rPr>
                <w:rFonts w:ascii="Arial" w:eastAsia="Calibri" w:hAnsi="Arial" w:cs="Arial"/>
                <w:i/>
              </w:rPr>
            </w:pPr>
            <w:r w:rsidRPr="00F53311">
              <w:rPr>
                <w:rFonts w:ascii="Arial" w:eastAsia="Calibri" w:hAnsi="Arial" w:cs="Arial"/>
                <w:i/>
              </w:rPr>
              <w:t>Objectives of Research Activity</w:t>
            </w:r>
          </w:p>
          <w:p w14:paraId="1DFA60F6" w14:textId="77777777" w:rsidR="00F53311" w:rsidRPr="00F53311" w:rsidRDefault="00F53311" w:rsidP="00F53311">
            <w:pPr>
              <w:spacing w:after="120" w:line="240" w:lineRule="auto"/>
              <w:rPr>
                <w:rFonts w:ascii="Arial" w:eastAsia="Times New Roman" w:hAnsi="Arial" w:cs="Arial"/>
              </w:rPr>
            </w:pPr>
            <w:r w:rsidRPr="00F53311">
              <w:rPr>
                <w:rFonts w:ascii="Arial" w:eastAsia="Times New Roman" w:hAnsi="Arial" w:cs="Arial"/>
              </w:rPr>
              <w:t xml:space="preserve">Demonstrate, briefly, how </w:t>
            </w:r>
            <w:r w:rsidRPr="00F53311">
              <w:rPr>
                <w:rFonts w:ascii="Arial" w:eastAsia="Times New Roman" w:hAnsi="Arial" w:cs="Arial"/>
                <w:b/>
                <w:u w:val="single"/>
              </w:rPr>
              <w:t>Existing Research</w:t>
            </w:r>
            <w:r w:rsidRPr="00F53311">
              <w:rPr>
                <w:rFonts w:ascii="Arial" w:eastAsia="Times New Roman" w:hAnsi="Arial" w:cs="Arial"/>
              </w:rPr>
              <w:t xml:space="preserve"> has informed the proposed activity and explain</w:t>
            </w:r>
          </w:p>
          <w:p w14:paraId="296678F0" w14:textId="77777777" w:rsidR="00F53311" w:rsidRPr="00F53311" w:rsidRDefault="00F53311" w:rsidP="00F53311">
            <w:pPr>
              <w:numPr>
                <w:ilvl w:val="0"/>
                <w:numId w:val="35"/>
              </w:numPr>
              <w:spacing w:after="0" w:line="240" w:lineRule="auto"/>
              <w:rPr>
                <w:rFonts w:ascii="Arial" w:eastAsia="Calibri" w:hAnsi="Arial" w:cs="Arial"/>
                <w:i/>
              </w:rPr>
            </w:pPr>
            <w:r w:rsidRPr="00F53311">
              <w:rPr>
                <w:rFonts w:ascii="Arial" w:eastAsia="Calibri" w:hAnsi="Arial" w:cs="Arial"/>
                <w:i/>
              </w:rPr>
              <w:t xml:space="preserve">What the research activity will add to the body of knowledge </w:t>
            </w:r>
          </w:p>
          <w:p w14:paraId="5B3A522C" w14:textId="77777777" w:rsidR="00F53311" w:rsidRPr="00F53311" w:rsidRDefault="00F53311" w:rsidP="00F53311">
            <w:pPr>
              <w:numPr>
                <w:ilvl w:val="0"/>
                <w:numId w:val="35"/>
              </w:numPr>
              <w:spacing w:after="0" w:line="240" w:lineRule="auto"/>
              <w:rPr>
                <w:rFonts w:ascii="Arial" w:eastAsia="Calibri" w:hAnsi="Arial" w:cs="Arial"/>
              </w:rPr>
            </w:pPr>
            <w:r w:rsidRPr="00F53311">
              <w:rPr>
                <w:rFonts w:ascii="Arial" w:eastAsia="Calibri" w:hAnsi="Arial" w:cs="Arial"/>
                <w:i/>
              </w:rPr>
              <w:t xml:space="preserve">How it addresses an area of importance. </w:t>
            </w:r>
          </w:p>
        </w:tc>
      </w:tr>
      <w:tr w:rsidR="00F53311" w:rsidRPr="00F53311" w:rsidDel="002A152D" w14:paraId="6F9869C9" w14:textId="77777777" w:rsidTr="00F53311">
        <w:trPr>
          <w:trHeight w:val="454"/>
        </w:trPr>
        <w:tc>
          <w:tcPr>
            <w:tcW w:w="0" w:type="auto"/>
            <w:vAlign w:val="center"/>
          </w:tcPr>
          <w:p w14:paraId="339005B8"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lastRenderedPageBreak/>
              <w:t>3</w:t>
            </w:r>
          </w:p>
        </w:tc>
        <w:tc>
          <w:tcPr>
            <w:tcW w:w="0" w:type="auto"/>
            <w:gridSpan w:val="4"/>
            <w:vAlign w:val="center"/>
          </w:tcPr>
          <w:p w14:paraId="373832E5" w14:textId="77777777" w:rsidR="00F53311" w:rsidRPr="00F53311" w:rsidRDefault="00F53311" w:rsidP="00F53311">
            <w:pPr>
              <w:autoSpaceDE w:val="0"/>
              <w:autoSpaceDN w:val="0"/>
              <w:adjustRightInd w:val="0"/>
              <w:spacing w:after="0" w:line="240" w:lineRule="auto"/>
              <w:rPr>
                <w:rFonts w:ascii="Arial" w:eastAsia="Times New Roman" w:hAnsi="Arial" w:cs="Arial"/>
                <w:b/>
                <w:bCs/>
              </w:rPr>
            </w:pPr>
            <w:r w:rsidRPr="00F53311">
              <w:rPr>
                <w:rFonts w:ascii="Arial" w:eastAsia="Times New Roman" w:hAnsi="Arial" w:cs="Arial"/>
                <w:b/>
                <w:bCs/>
              </w:rPr>
              <w:t>Purpose of Research Activity</w:t>
            </w:r>
          </w:p>
          <w:p w14:paraId="020546E0"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The purpose of this research is to conduct a strategic examination of the shift from traditional brand ambassadors to user-generated influencer content in global retail marketing. The study aims to explore how this transition affects brand communication, consumer engagement, and marketing effectiveness. By analysing the role of influencers and user-generated content in modern digital marketing strategies, the research seeks to understand how global retail brands adapt their promotional approaches in response to changing consumer behaviour and social media dynamics. The findings will contribute to a better understanding of contemporary marketing strategies and their implications for brand management in the global retail sector.</w:t>
            </w:r>
          </w:p>
          <w:p w14:paraId="1F7C9E06" w14:textId="77777777" w:rsidR="00F53311" w:rsidRPr="00F53311" w:rsidRDefault="00F53311" w:rsidP="00F53311">
            <w:pPr>
              <w:spacing w:after="0" w:line="240" w:lineRule="auto"/>
              <w:rPr>
                <w:rFonts w:ascii="Arial" w:eastAsia="Times New Roman" w:hAnsi="Arial" w:cs="Arial"/>
                <w:sz w:val="20"/>
                <w:szCs w:val="20"/>
              </w:rPr>
            </w:pPr>
          </w:p>
          <w:p w14:paraId="0AC70AD3" w14:textId="77777777" w:rsidR="00F53311" w:rsidRPr="00F53311" w:rsidRDefault="00F53311" w:rsidP="00F53311">
            <w:pPr>
              <w:spacing w:after="0" w:line="240" w:lineRule="auto"/>
              <w:rPr>
                <w:rFonts w:ascii="Arial" w:eastAsia="Times New Roman" w:hAnsi="Arial" w:cs="Arial"/>
                <w:sz w:val="20"/>
                <w:szCs w:val="20"/>
              </w:rPr>
            </w:pPr>
          </w:p>
          <w:p w14:paraId="10F70571" w14:textId="77777777" w:rsidR="00F53311" w:rsidRPr="00F53311" w:rsidDel="00425DA7"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color w:val="808080"/>
                <w:sz w:val="18"/>
                <w:szCs w:val="18"/>
              </w:rPr>
              <w:t>(this box should expand as you type)</w:t>
            </w:r>
          </w:p>
        </w:tc>
      </w:tr>
      <w:tr w:rsidR="00F53311" w:rsidRPr="00F53311" w:rsidDel="002A152D" w14:paraId="60164C50" w14:textId="77777777" w:rsidTr="00F53311">
        <w:trPr>
          <w:trHeight w:val="454"/>
        </w:trPr>
        <w:tc>
          <w:tcPr>
            <w:tcW w:w="0" w:type="auto"/>
            <w:vAlign w:val="center"/>
          </w:tcPr>
          <w:p w14:paraId="451F2487"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4</w:t>
            </w:r>
          </w:p>
        </w:tc>
        <w:tc>
          <w:tcPr>
            <w:tcW w:w="0" w:type="auto"/>
            <w:gridSpan w:val="4"/>
            <w:vAlign w:val="center"/>
          </w:tcPr>
          <w:p w14:paraId="56C92715" w14:textId="77777777" w:rsidR="00F53311" w:rsidRPr="00F53311" w:rsidRDefault="00F53311" w:rsidP="00F53311">
            <w:pPr>
              <w:autoSpaceDE w:val="0"/>
              <w:autoSpaceDN w:val="0"/>
              <w:adjustRightInd w:val="0"/>
              <w:spacing w:after="0" w:line="240" w:lineRule="auto"/>
              <w:rPr>
                <w:rFonts w:ascii="Arial" w:eastAsia="Times New Roman" w:hAnsi="Arial" w:cs="Arial"/>
                <w:b/>
                <w:bCs/>
              </w:rPr>
            </w:pPr>
            <w:r w:rsidRPr="00F53311">
              <w:rPr>
                <w:rFonts w:ascii="Arial" w:eastAsia="Times New Roman" w:hAnsi="Arial" w:cs="Arial"/>
                <w:b/>
                <w:bCs/>
              </w:rPr>
              <w:t>Research Question</w:t>
            </w:r>
          </w:p>
          <w:p w14:paraId="7DED3AE0"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1. What strategic factors have driven the shift from traditional brand</w:t>
            </w:r>
          </w:p>
          <w:p w14:paraId="10F892F2"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ambassadors to user-generated influencer content in global retail marketing?</w:t>
            </w:r>
          </w:p>
          <w:p w14:paraId="2B2A1339" w14:textId="77777777" w:rsidR="00F53311" w:rsidRPr="00F53311" w:rsidRDefault="00F53311" w:rsidP="00F53311">
            <w:pPr>
              <w:spacing w:after="0" w:line="240" w:lineRule="auto"/>
              <w:rPr>
                <w:rFonts w:ascii="Arial" w:eastAsia="Times New Roman" w:hAnsi="Arial" w:cs="Arial"/>
                <w:sz w:val="20"/>
                <w:szCs w:val="20"/>
              </w:rPr>
            </w:pPr>
          </w:p>
          <w:p w14:paraId="08304C39"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2. How does user-generated influencer content influence brand credibility and</w:t>
            </w:r>
          </w:p>
          <w:p w14:paraId="3FE8EA5E"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consumer engagement compared to traditional endorsements?</w:t>
            </w:r>
          </w:p>
          <w:p w14:paraId="6573F2CF" w14:textId="77777777" w:rsidR="00F53311" w:rsidRPr="00F53311" w:rsidRDefault="00F53311" w:rsidP="00F53311">
            <w:pPr>
              <w:spacing w:after="0" w:line="240" w:lineRule="auto"/>
              <w:rPr>
                <w:rFonts w:ascii="Arial" w:eastAsia="Times New Roman" w:hAnsi="Arial" w:cs="Arial"/>
                <w:sz w:val="20"/>
                <w:szCs w:val="20"/>
              </w:rPr>
            </w:pPr>
          </w:p>
          <w:p w14:paraId="2C36E729"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3. What are the risks and opportunities associated with this transition for</w:t>
            </w:r>
          </w:p>
          <w:p w14:paraId="514EE251"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multinational retail brands?</w:t>
            </w:r>
          </w:p>
          <w:p w14:paraId="5A4D0FC5" w14:textId="77777777" w:rsidR="00F53311" w:rsidRPr="00F53311" w:rsidRDefault="00F53311" w:rsidP="00F53311">
            <w:pPr>
              <w:spacing w:after="0" w:line="240" w:lineRule="auto"/>
              <w:rPr>
                <w:rFonts w:ascii="Arial" w:eastAsia="Times New Roman" w:hAnsi="Arial" w:cs="Arial"/>
                <w:sz w:val="20"/>
                <w:szCs w:val="20"/>
              </w:rPr>
            </w:pPr>
          </w:p>
          <w:p w14:paraId="5962EA4E"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4. How should global retail firms strategically adapt to this evolving marketing</w:t>
            </w:r>
          </w:p>
          <w:p w14:paraId="42C3A833"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landscape?</w:t>
            </w:r>
          </w:p>
          <w:p w14:paraId="67187BA6" w14:textId="77777777" w:rsidR="00F53311" w:rsidRPr="00F53311" w:rsidRDefault="00F53311" w:rsidP="00F53311">
            <w:pPr>
              <w:spacing w:after="0" w:line="240" w:lineRule="auto"/>
              <w:rPr>
                <w:rFonts w:ascii="Arial" w:eastAsia="Times New Roman" w:hAnsi="Arial" w:cs="Arial"/>
              </w:rPr>
            </w:pPr>
          </w:p>
          <w:p w14:paraId="314C8851" w14:textId="77777777" w:rsidR="00F53311" w:rsidRPr="00F53311" w:rsidRDefault="00F53311" w:rsidP="00F53311">
            <w:pPr>
              <w:autoSpaceDE w:val="0"/>
              <w:autoSpaceDN w:val="0"/>
              <w:adjustRightInd w:val="0"/>
              <w:spacing w:after="0" w:line="240" w:lineRule="auto"/>
              <w:rPr>
                <w:rFonts w:ascii="Arial" w:eastAsia="Times New Roman" w:hAnsi="Arial" w:cs="Arial"/>
                <w:b/>
                <w:bCs/>
              </w:rPr>
            </w:pPr>
          </w:p>
        </w:tc>
      </w:tr>
      <w:tr w:rsidR="00F53311" w:rsidRPr="00F53311" w14:paraId="31340C70" w14:textId="77777777" w:rsidTr="00F53311">
        <w:trPr>
          <w:trHeight w:val="454"/>
        </w:trPr>
        <w:tc>
          <w:tcPr>
            <w:tcW w:w="0" w:type="auto"/>
            <w:vAlign w:val="center"/>
          </w:tcPr>
          <w:p w14:paraId="527A7E71"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5</w:t>
            </w:r>
          </w:p>
        </w:tc>
        <w:tc>
          <w:tcPr>
            <w:tcW w:w="0" w:type="auto"/>
            <w:gridSpan w:val="4"/>
            <w:vAlign w:val="center"/>
          </w:tcPr>
          <w:p w14:paraId="405185AD" w14:textId="77777777" w:rsidR="00F53311" w:rsidRPr="00F53311" w:rsidRDefault="00F53311" w:rsidP="00F53311">
            <w:pPr>
              <w:autoSpaceDE w:val="0"/>
              <w:autoSpaceDN w:val="0"/>
              <w:adjustRightInd w:val="0"/>
              <w:spacing w:after="0" w:line="240" w:lineRule="auto"/>
              <w:rPr>
                <w:rFonts w:ascii="Arial" w:eastAsia="Times New Roman" w:hAnsi="Arial" w:cs="Arial"/>
                <w:b/>
                <w:bCs/>
              </w:rPr>
            </w:pPr>
            <w:r w:rsidRPr="00F53311">
              <w:rPr>
                <w:rFonts w:ascii="Arial" w:eastAsia="Times New Roman" w:hAnsi="Arial" w:cs="Arial"/>
                <w:b/>
                <w:bCs/>
              </w:rPr>
              <w:t>Aims of Research Activity</w:t>
            </w:r>
          </w:p>
          <w:p w14:paraId="12820269" w14:textId="77777777" w:rsidR="00F53311" w:rsidRPr="00F53311" w:rsidRDefault="00F53311" w:rsidP="00F53311">
            <w:pPr>
              <w:spacing w:after="0" w:line="240" w:lineRule="auto"/>
              <w:rPr>
                <w:rFonts w:ascii="Arial" w:eastAsia="Times New Roman" w:hAnsi="Arial" w:cs="Arial"/>
                <w:color w:val="00B050"/>
                <w:sz w:val="20"/>
                <w:szCs w:val="20"/>
              </w:rPr>
            </w:pPr>
            <w:r w:rsidRPr="00F53311">
              <w:rPr>
                <w:rFonts w:ascii="Arial" w:eastAsia="Times New Roman" w:hAnsi="Arial" w:cs="Arial"/>
                <w:color w:val="00B050"/>
                <w:sz w:val="20"/>
                <w:szCs w:val="20"/>
              </w:rPr>
              <w:t>The research aim is to critically examine the strategic shift from traditional brand</w:t>
            </w:r>
          </w:p>
          <w:p w14:paraId="20A33157" w14:textId="77777777" w:rsidR="00F53311" w:rsidRPr="00F53311" w:rsidRDefault="00F53311" w:rsidP="00F53311">
            <w:pPr>
              <w:spacing w:after="0" w:line="240" w:lineRule="auto"/>
              <w:rPr>
                <w:rFonts w:ascii="Arial" w:eastAsia="Times New Roman" w:hAnsi="Arial" w:cs="Arial"/>
                <w:color w:val="00B050"/>
                <w:sz w:val="20"/>
                <w:szCs w:val="20"/>
              </w:rPr>
            </w:pPr>
            <w:r w:rsidRPr="00F53311">
              <w:rPr>
                <w:rFonts w:ascii="Arial" w:eastAsia="Times New Roman" w:hAnsi="Arial" w:cs="Arial"/>
                <w:color w:val="00B050"/>
                <w:sz w:val="20"/>
                <w:szCs w:val="20"/>
              </w:rPr>
              <w:t>ambassador models to user-generated influencer content in global retail marketing,</w:t>
            </w:r>
          </w:p>
          <w:p w14:paraId="2FA89D1D" w14:textId="77777777" w:rsidR="00F53311" w:rsidRPr="00F53311" w:rsidRDefault="00F53311" w:rsidP="00F53311">
            <w:pPr>
              <w:spacing w:after="0" w:line="240" w:lineRule="auto"/>
              <w:rPr>
                <w:rFonts w:ascii="Arial" w:eastAsia="Times New Roman" w:hAnsi="Arial" w:cs="Arial"/>
                <w:color w:val="00B050"/>
                <w:sz w:val="20"/>
                <w:szCs w:val="20"/>
              </w:rPr>
            </w:pPr>
            <w:r w:rsidRPr="00F53311">
              <w:rPr>
                <w:rFonts w:ascii="Arial" w:eastAsia="Times New Roman" w:hAnsi="Arial" w:cs="Arial"/>
                <w:color w:val="00B050"/>
                <w:sz w:val="20"/>
                <w:szCs w:val="20"/>
              </w:rPr>
              <w:t>and to analyse its implications for brand equity, consumer engagement, and</w:t>
            </w:r>
          </w:p>
          <w:p w14:paraId="72A03873" w14:textId="77777777" w:rsidR="00F53311" w:rsidRPr="00F53311" w:rsidRDefault="00F53311" w:rsidP="00F53311">
            <w:pPr>
              <w:spacing w:after="0" w:line="240" w:lineRule="auto"/>
              <w:rPr>
                <w:rFonts w:ascii="Arial" w:eastAsia="Times New Roman" w:hAnsi="Arial" w:cs="Arial"/>
                <w:color w:val="00B050"/>
                <w:sz w:val="20"/>
                <w:szCs w:val="20"/>
              </w:rPr>
            </w:pPr>
            <w:r w:rsidRPr="00F53311">
              <w:rPr>
                <w:rFonts w:ascii="Arial" w:eastAsia="Times New Roman" w:hAnsi="Arial" w:cs="Arial"/>
                <w:color w:val="00B050"/>
                <w:sz w:val="20"/>
                <w:szCs w:val="20"/>
              </w:rPr>
              <w:t>competitive positioning.</w:t>
            </w:r>
          </w:p>
          <w:p w14:paraId="07A28898" w14:textId="77777777" w:rsidR="00F53311" w:rsidRPr="00F53311" w:rsidRDefault="00F53311" w:rsidP="00F53311">
            <w:pPr>
              <w:spacing w:after="0" w:line="240" w:lineRule="auto"/>
              <w:rPr>
                <w:rFonts w:ascii="Arial" w:eastAsia="Times New Roman" w:hAnsi="Arial" w:cs="Arial"/>
                <w:sz w:val="20"/>
                <w:szCs w:val="20"/>
              </w:rPr>
            </w:pPr>
          </w:p>
          <w:p w14:paraId="015EE998" w14:textId="77777777" w:rsidR="00F53311" w:rsidRPr="00F53311" w:rsidRDefault="00F53311" w:rsidP="00F53311">
            <w:pPr>
              <w:spacing w:after="0" w:line="240" w:lineRule="auto"/>
              <w:rPr>
                <w:rFonts w:ascii="Arial" w:eastAsia="Times New Roman" w:hAnsi="Arial" w:cs="Arial"/>
                <w:sz w:val="20"/>
                <w:szCs w:val="20"/>
              </w:rPr>
            </w:pPr>
          </w:p>
        </w:tc>
      </w:tr>
      <w:tr w:rsidR="00F53311" w:rsidRPr="00F53311" w14:paraId="041BB027" w14:textId="77777777" w:rsidTr="00F53311">
        <w:trPr>
          <w:trHeight w:val="454"/>
        </w:trPr>
        <w:tc>
          <w:tcPr>
            <w:tcW w:w="0" w:type="auto"/>
            <w:vAlign w:val="center"/>
          </w:tcPr>
          <w:p w14:paraId="34CE0293"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6</w:t>
            </w:r>
          </w:p>
        </w:tc>
        <w:tc>
          <w:tcPr>
            <w:tcW w:w="0" w:type="auto"/>
            <w:gridSpan w:val="4"/>
            <w:vAlign w:val="center"/>
          </w:tcPr>
          <w:p w14:paraId="5E45973B" w14:textId="77777777" w:rsidR="00F53311" w:rsidRPr="00F53311" w:rsidRDefault="00F53311" w:rsidP="00F53311">
            <w:pPr>
              <w:autoSpaceDE w:val="0"/>
              <w:autoSpaceDN w:val="0"/>
              <w:adjustRightInd w:val="0"/>
              <w:spacing w:after="0" w:line="240" w:lineRule="auto"/>
              <w:rPr>
                <w:rFonts w:ascii="Arial" w:eastAsia="Times New Roman" w:hAnsi="Arial" w:cs="Arial"/>
                <w:b/>
                <w:bCs/>
              </w:rPr>
            </w:pPr>
            <w:r w:rsidRPr="00F53311">
              <w:rPr>
                <w:rFonts w:ascii="Arial" w:eastAsia="Times New Roman" w:hAnsi="Arial" w:cs="Arial"/>
                <w:b/>
                <w:bCs/>
              </w:rPr>
              <w:t>Objectives of Research Activity</w:t>
            </w:r>
          </w:p>
          <w:p w14:paraId="2EC7A21E"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1. To explore the characteristics of traditional brand ambassador strategies in</w:t>
            </w:r>
          </w:p>
          <w:p w14:paraId="3BA31571"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global retail marketing.</w:t>
            </w:r>
          </w:p>
          <w:p w14:paraId="7A7A60E5"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2. To analyse the emergence and growth of user-generated influencer content in</w:t>
            </w:r>
          </w:p>
          <w:p w14:paraId="43E43105"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international markets.</w:t>
            </w:r>
          </w:p>
          <w:p w14:paraId="24396229"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3. To compare the strategic advantages and limitations of both approaches.</w:t>
            </w:r>
          </w:p>
          <w:p w14:paraId="48779476"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4. To examine the impact of this shift on brand equity and consumer trust.</w:t>
            </w:r>
          </w:p>
          <w:p w14:paraId="2E875D57" w14:textId="77777777" w:rsidR="00F53311" w:rsidRPr="00F53311" w:rsidRDefault="00F53311" w:rsidP="00F53311">
            <w:pPr>
              <w:spacing w:after="0" w:line="240" w:lineRule="auto"/>
              <w:rPr>
                <w:rFonts w:ascii="Arial" w:eastAsia="Times New Roman" w:hAnsi="Arial" w:cs="Arial"/>
                <w:sz w:val="20"/>
                <w:szCs w:val="20"/>
              </w:rPr>
            </w:pPr>
            <w:r w:rsidRPr="00F53311">
              <w:rPr>
                <w:rFonts w:ascii="Arial" w:eastAsia="Times New Roman" w:hAnsi="Arial" w:cs="Arial"/>
                <w:sz w:val="20"/>
                <w:szCs w:val="20"/>
              </w:rPr>
              <w:t>5. To evaluate the implications of this transformation for multinational retail firms.</w:t>
            </w:r>
          </w:p>
          <w:p w14:paraId="1A14B0B8" w14:textId="77777777" w:rsidR="00F53311" w:rsidRPr="00F53311" w:rsidRDefault="00F53311" w:rsidP="00F53311">
            <w:pPr>
              <w:spacing w:after="0" w:line="240" w:lineRule="auto"/>
              <w:rPr>
                <w:rFonts w:ascii="Arial" w:eastAsia="Times New Roman" w:hAnsi="Arial" w:cs="Arial"/>
              </w:rPr>
            </w:pPr>
          </w:p>
          <w:p w14:paraId="26CC3BB7" w14:textId="77777777" w:rsidR="00F53311" w:rsidRPr="00F53311" w:rsidRDefault="00F53311" w:rsidP="00F53311">
            <w:pPr>
              <w:spacing w:after="0" w:line="240" w:lineRule="auto"/>
              <w:rPr>
                <w:rFonts w:ascii="Arial" w:eastAsia="Times New Roman" w:hAnsi="Arial" w:cs="Arial"/>
              </w:rPr>
            </w:pPr>
          </w:p>
        </w:tc>
      </w:tr>
      <w:tr w:rsidR="00F53311" w:rsidRPr="00F53311" w14:paraId="5ACD482E" w14:textId="77777777" w:rsidTr="00F53311">
        <w:trPr>
          <w:trHeight w:val="454"/>
        </w:trPr>
        <w:tc>
          <w:tcPr>
            <w:tcW w:w="0" w:type="auto"/>
            <w:shd w:val="clear" w:color="auto" w:fill="F2F2F2"/>
            <w:vAlign w:val="center"/>
          </w:tcPr>
          <w:p w14:paraId="35418563" w14:textId="77777777" w:rsidR="00F53311" w:rsidRPr="00F53311" w:rsidRDefault="00F53311" w:rsidP="00F53311">
            <w:pPr>
              <w:spacing w:before="120" w:after="120" w:line="240" w:lineRule="auto"/>
              <w:rPr>
                <w:rFonts w:ascii="Arial" w:eastAsia="Times New Roman" w:hAnsi="Arial" w:cs="Arial"/>
              </w:rPr>
            </w:pPr>
          </w:p>
        </w:tc>
        <w:tc>
          <w:tcPr>
            <w:tcW w:w="0" w:type="auto"/>
            <w:gridSpan w:val="4"/>
            <w:shd w:val="clear" w:color="auto" w:fill="F2F2F2"/>
            <w:vAlign w:val="center"/>
          </w:tcPr>
          <w:p w14:paraId="2DA6E9CD" w14:textId="77777777" w:rsidR="00F53311" w:rsidRPr="00F53311" w:rsidRDefault="00F53311" w:rsidP="00F53311">
            <w:pPr>
              <w:spacing w:before="120" w:after="120" w:line="240" w:lineRule="auto"/>
              <w:rPr>
                <w:rFonts w:ascii="Arial" w:eastAsia="Times New Roman" w:hAnsi="Arial" w:cs="Arial"/>
                <w:b/>
              </w:rPr>
            </w:pPr>
            <w:r w:rsidRPr="00F53311">
              <w:rPr>
                <w:rFonts w:ascii="Arial" w:eastAsia="Times New Roman" w:hAnsi="Arial" w:cs="Arial"/>
                <w:b/>
              </w:rPr>
              <w:t>Proposed data collection methods (maximum 600 words)</w:t>
            </w:r>
          </w:p>
          <w:p w14:paraId="77643835"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lastRenderedPageBreak/>
              <w:t>This research will use a mixed-methods approach. Primary data will be collected through an online survey targeting consumers who engage with retail brands on social media, using structured questions to gather quantitative insights on attitudes and behaviour. Additionally, semi-structured interviews will be conducted with selected participants to gain deeper qualitative insights into perceptions of influencer content versus traditional brand ambassadors. Secondary data, including academic literature and industry reports, will also be analysed to support the study. All data will be collected and stored securely, and participant information will remain anonymous.</w:t>
            </w:r>
          </w:p>
        </w:tc>
      </w:tr>
      <w:tr w:rsidR="00F53311" w:rsidRPr="00F53311" w14:paraId="105AFF86" w14:textId="77777777" w:rsidTr="00F53311">
        <w:trPr>
          <w:trHeight w:val="454"/>
        </w:trPr>
        <w:tc>
          <w:tcPr>
            <w:tcW w:w="0" w:type="auto"/>
            <w:vAlign w:val="center"/>
          </w:tcPr>
          <w:p w14:paraId="10570187"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lastRenderedPageBreak/>
              <w:t>7</w:t>
            </w:r>
          </w:p>
        </w:tc>
        <w:tc>
          <w:tcPr>
            <w:tcW w:w="0" w:type="auto"/>
            <w:gridSpan w:val="4"/>
            <w:vAlign w:val="center"/>
          </w:tcPr>
          <w:p w14:paraId="74E2525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color w:val="00B050"/>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297D9339" w14:textId="77777777" w:rsidR="00F53311" w:rsidRPr="00F53311" w:rsidRDefault="00F53311" w:rsidP="00F53311">
            <w:pPr>
              <w:spacing w:after="0" w:line="240" w:lineRule="auto"/>
              <w:rPr>
                <w:rFonts w:ascii="Arial" w:eastAsia="Times New Roman" w:hAnsi="Arial" w:cs="Arial"/>
              </w:rPr>
            </w:pPr>
          </w:p>
          <w:p w14:paraId="5185AD6D"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color w:val="808080"/>
                <w:sz w:val="18"/>
                <w:szCs w:val="18"/>
              </w:rPr>
              <w:t>(this box should expand as you type)</w:t>
            </w:r>
          </w:p>
        </w:tc>
      </w:tr>
    </w:tbl>
    <w:p w14:paraId="0E0971C1" w14:textId="77777777" w:rsidR="00F53311" w:rsidRPr="00F53311" w:rsidRDefault="00F53311" w:rsidP="00F53311">
      <w:pPr>
        <w:spacing w:after="0" w:line="240" w:lineRule="auto"/>
        <w:rPr>
          <w:rFonts w:ascii="Times New Roman" w:eastAsia="Times New Roman" w:hAnsi="Times New Roman" w:cs="Times New Roman"/>
          <w:sz w:val="20"/>
          <w:szCs w:val="20"/>
        </w:rPr>
      </w:pPr>
    </w:p>
    <w:p w14:paraId="1B5DA3D3" w14:textId="77777777" w:rsidR="00F53311" w:rsidRPr="00F53311" w:rsidRDefault="00F53311" w:rsidP="00F53311">
      <w:pPr>
        <w:spacing w:after="240" w:line="240" w:lineRule="auto"/>
        <w:rPr>
          <w:rFonts w:ascii="Arial" w:eastAsia="Times New Roman" w:hAnsi="Arial" w:cs="Arial"/>
          <w:b/>
        </w:rPr>
      </w:pPr>
      <w:r w:rsidRPr="00F53311">
        <w:rPr>
          <w:rFonts w:ascii="Arial" w:eastAsia="Times New Roman" w:hAnsi="Arial" w:cs="Arial"/>
          <w:b/>
        </w:rPr>
        <w:t>SECTION D: Scope of Research Activity</w:t>
      </w:r>
    </w:p>
    <w:tbl>
      <w:tblPr>
        <w:tblStyle w:val="TableGrid1"/>
        <w:tblW w:w="0" w:type="auto"/>
        <w:tblLook w:val="04A0" w:firstRow="1" w:lastRow="0" w:firstColumn="1" w:lastColumn="0" w:noHBand="0" w:noVBand="1"/>
      </w:tblPr>
      <w:tblGrid>
        <w:gridCol w:w="439"/>
        <w:gridCol w:w="7444"/>
        <w:gridCol w:w="617"/>
        <w:gridCol w:w="516"/>
      </w:tblGrid>
      <w:tr w:rsidR="00F53311" w:rsidRPr="00F53311" w14:paraId="0CB90CBF" w14:textId="77777777" w:rsidTr="00F53311">
        <w:trPr>
          <w:trHeight w:val="558"/>
        </w:trPr>
        <w:tc>
          <w:tcPr>
            <w:tcW w:w="0" w:type="auto"/>
            <w:shd w:val="clear" w:color="auto" w:fill="F2F2F2"/>
            <w:vAlign w:val="center"/>
          </w:tcPr>
          <w:p w14:paraId="72629DA8" w14:textId="77777777" w:rsidR="00F53311" w:rsidRPr="00F53311" w:rsidRDefault="00F53311" w:rsidP="00F53311">
            <w:pPr>
              <w:autoSpaceDE w:val="0"/>
              <w:autoSpaceDN w:val="0"/>
              <w:adjustRightInd w:val="0"/>
              <w:rPr>
                <w:rFonts w:ascii="Arial" w:hAnsi="Arial" w:cs="Arial"/>
                <w:b/>
              </w:rPr>
            </w:pPr>
          </w:p>
        </w:tc>
        <w:tc>
          <w:tcPr>
            <w:tcW w:w="0" w:type="auto"/>
            <w:shd w:val="clear" w:color="auto" w:fill="F2F2F2"/>
            <w:vAlign w:val="center"/>
          </w:tcPr>
          <w:p w14:paraId="4C472539" w14:textId="77777777" w:rsidR="00F53311" w:rsidRPr="00F53311" w:rsidRDefault="00F53311" w:rsidP="00F53311">
            <w:pPr>
              <w:autoSpaceDE w:val="0"/>
              <w:autoSpaceDN w:val="0"/>
              <w:adjustRightInd w:val="0"/>
              <w:rPr>
                <w:rFonts w:ascii="Arial" w:hAnsi="Arial" w:cs="Arial"/>
                <w:b/>
              </w:rPr>
            </w:pPr>
            <w:r w:rsidRPr="00F53311">
              <w:rPr>
                <w:rFonts w:ascii="Arial" w:hAnsi="Arial" w:cs="Arial"/>
                <w:b/>
              </w:rPr>
              <w:t>Will the research activity include:</w:t>
            </w:r>
          </w:p>
        </w:tc>
        <w:tc>
          <w:tcPr>
            <w:tcW w:w="0" w:type="auto"/>
            <w:shd w:val="clear" w:color="auto" w:fill="F2F2F2"/>
            <w:vAlign w:val="center"/>
          </w:tcPr>
          <w:p w14:paraId="606BEAD3"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vAlign w:val="center"/>
          </w:tcPr>
          <w:p w14:paraId="271C88CE"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r>
      <w:tr w:rsidR="00F53311" w:rsidRPr="00F53311" w14:paraId="0112BC0E" w14:textId="77777777" w:rsidTr="00F53311">
        <w:trPr>
          <w:trHeight w:val="439"/>
        </w:trPr>
        <w:tc>
          <w:tcPr>
            <w:tcW w:w="0" w:type="auto"/>
            <w:shd w:val="clear" w:color="auto" w:fill="F2F2F2"/>
            <w:vAlign w:val="center"/>
          </w:tcPr>
          <w:p w14:paraId="322AC0E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w:t>
            </w:r>
          </w:p>
        </w:tc>
        <w:tc>
          <w:tcPr>
            <w:tcW w:w="0" w:type="auto"/>
            <w:shd w:val="clear" w:color="auto" w:fill="F2F2F2"/>
            <w:vAlign w:val="center"/>
          </w:tcPr>
          <w:p w14:paraId="2D37E6CA"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a questionnaire or similar research instrument?</w:t>
            </w:r>
          </w:p>
        </w:tc>
        <w:tc>
          <w:tcPr>
            <w:tcW w:w="0" w:type="auto"/>
            <w:shd w:val="clear" w:color="auto" w:fill="BFBF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549DB10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409DCEC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D08B66F" w14:textId="77777777" w:rsidTr="00F53311">
        <w:trPr>
          <w:trHeight w:val="439"/>
        </w:trPr>
        <w:tc>
          <w:tcPr>
            <w:tcW w:w="0" w:type="auto"/>
            <w:shd w:val="clear" w:color="auto" w:fill="F2F2F2"/>
            <w:vAlign w:val="center"/>
          </w:tcPr>
          <w:p w14:paraId="46C5200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2</w:t>
            </w:r>
          </w:p>
        </w:tc>
        <w:tc>
          <w:tcPr>
            <w:tcW w:w="0" w:type="auto"/>
            <w:shd w:val="clear" w:color="auto" w:fill="F2F2F2"/>
            <w:vAlign w:val="center"/>
          </w:tcPr>
          <w:p w14:paraId="136B910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interviews?</w:t>
            </w:r>
          </w:p>
        </w:tc>
        <w:tc>
          <w:tcPr>
            <w:tcW w:w="0" w:type="auto"/>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0A88E7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D6E56E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B5B0BC4" w14:textId="77777777" w:rsidTr="00F53311">
        <w:trPr>
          <w:trHeight w:val="439"/>
        </w:trPr>
        <w:tc>
          <w:tcPr>
            <w:tcW w:w="0" w:type="auto"/>
            <w:shd w:val="clear" w:color="auto" w:fill="F2F2F2"/>
            <w:vAlign w:val="center"/>
          </w:tcPr>
          <w:p w14:paraId="224B83F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3</w:t>
            </w:r>
          </w:p>
        </w:tc>
        <w:tc>
          <w:tcPr>
            <w:tcW w:w="0" w:type="auto"/>
            <w:shd w:val="clear" w:color="auto" w:fill="F2F2F2"/>
            <w:vAlign w:val="center"/>
          </w:tcPr>
          <w:p w14:paraId="4613353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focus groups?</w:t>
            </w:r>
          </w:p>
        </w:tc>
        <w:tc>
          <w:tcPr>
            <w:tcW w:w="0" w:type="auto"/>
            <w:shd w:val="clear" w:color="auto" w:fill="BFBF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69ED2A36"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4A795267"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r>
      <w:tr w:rsidR="00F53311" w:rsidRPr="00F53311" w14:paraId="73BB1E76" w14:textId="77777777" w:rsidTr="00F53311">
        <w:trPr>
          <w:trHeight w:val="403"/>
        </w:trPr>
        <w:tc>
          <w:tcPr>
            <w:tcW w:w="0" w:type="auto"/>
            <w:shd w:val="clear" w:color="auto" w:fill="F2F2F2"/>
            <w:vAlign w:val="center"/>
          </w:tcPr>
          <w:p w14:paraId="5EDF299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4</w:t>
            </w:r>
          </w:p>
        </w:tc>
        <w:tc>
          <w:tcPr>
            <w:tcW w:w="0" w:type="auto"/>
            <w:shd w:val="clear" w:color="auto" w:fill="F2F2F2"/>
            <w:vAlign w:val="center"/>
          </w:tcPr>
          <w:p w14:paraId="324B08A1"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 xml:space="preserve">Use of participant diaries? </w:t>
            </w:r>
          </w:p>
        </w:tc>
        <w:tc>
          <w:tcPr>
            <w:tcW w:w="0" w:type="auto"/>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396D79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CDA74A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56F9CC63" w14:textId="77777777" w:rsidTr="00F53311">
        <w:trPr>
          <w:trHeight w:val="403"/>
        </w:trPr>
        <w:tc>
          <w:tcPr>
            <w:tcW w:w="0" w:type="auto"/>
            <w:shd w:val="clear" w:color="auto" w:fill="F2F2F2"/>
            <w:vAlign w:val="center"/>
          </w:tcPr>
          <w:p w14:paraId="6C8C7A3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5</w:t>
            </w:r>
          </w:p>
        </w:tc>
        <w:tc>
          <w:tcPr>
            <w:tcW w:w="0" w:type="auto"/>
            <w:shd w:val="clear" w:color="auto" w:fill="F2F2F2"/>
            <w:vAlign w:val="center"/>
          </w:tcPr>
          <w:p w14:paraId="643A939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video or audio recording?</w:t>
            </w:r>
          </w:p>
        </w:tc>
        <w:tc>
          <w:tcPr>
            <w:tcW w:w="0" w:type="auto"/>
            <w:shd w:val="clear" w:color="auto" w:fill="BFBF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363CAD19"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50C9561F"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r>
      <w:tr w:rsidR="00F53311" w:rsidRPr="00F53311" w14:paraId="1C986EFE" w14:textId="77777777" w:rsidTr="00F53311">
        <w:trPr>
          <w:trHeight w:val="403"/>
        </w:trPr>
        <w:tc>
          <w:tcPr>
            <w:tcW w:w="0" w:type="auto"/>
            <w:shd w:val="clear" w:color="auto" w:fill="F2F2F2"/>
            <w:vAlign w:val="center"/>
          </w:tcPr>
          <w:p w14:paraId="4822C5B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6</w:t>
            </w:r>
          </w:p>
        </w:tc>
        <w:tc>
          <w:tcPr>
            <w:tcW w:w="0" w:type="auto"/>
            <w:shd w:val="clear" w:color="auto" w:fill="F2F2F2"/>
            <w:vAlign w:val="center"/>
          </w:tcPr>
          <w:p w14:paraId="790899FB"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computer-generated log files?</w:t>
            </w:r>
          </w:p>
        </w:tc>
        <w:tc>
          <w:tcPr>
            <w:tcW w:w="0" w:type="auto"/>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A08267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05B8C63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1EC75C1" w14:textId="77777777" w:rsidTr="00F53311">
        <w:trPr>
          <w:trHeight w:val="439"/>
        </w:trPr>
        <w:tc>
          <w:tcPr>
            <w:tcW w:w="0" w:type="auto"/>
            <w:shd w:val="clear" w:color="auto" w:fill="F2F2F2"/>
            <w:vAlign w:val="center"/>
          </w:tcPr>
          <w:p w14:paraId="1EE6BF4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7</w:t>
            </w:r>
          </w:p>
        </w:tc>
        <w:tc>
          <w:tcPr>
            <w:tcW w:w="0" w:type="auto"/>
            <w:shd w:val="clear" w:color="auto" w:fill="F2F2F2"/>
            <w:vAlign w:val="center"/>
          </w:tcPr>
          <w:p w14:paraId="154582DB"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Participant observation with their knowledge?</w:t>
            </w:r>
          </w:p>
        </w:tc>
        <w:tc>
          <w:tcPr>
            <w:tcW w:w="0" w:type="auto"/>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6B9C08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F1C0B5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BDA229C" w14:textId="77777777" w:rsidTr="00F53311">
        <w:trPr>
          <w:trHeight w:val="403"/>
        </w:trPr>
        <w:tc>
          <w:tcPr>
            <w:tcW w:w="0" w:type="auto"/>
            <w:shd w:val="clear" w:color="auto" w:fill="F2F2F2"/>
            <w:vAlign w:val="center"/>
          </w:tcPr>
          <w:p w14:paraId="576E42D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8</w:t>
            </w:r>
          </w:p>
        </w:tc>
        <w:tc>
          <w:tcPr>
            <w:tcW w:w="0" w:type="auto"/>
            <w:shd w:val="clear" w:color="auto" w:fill="F2F2F2"/>
            <w:vAlign w:val="center"/>
          </w:tcPr>
          <w:p w14:paraId="3C06B76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Participant observation without their knowledge?</w:t>
            </w:r>
          </w:p>
        </w:tc>
        <w:tc>
          <w:tcPr>
            <w:tcW w:w="0" w:type="auto"/>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68B7A677"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687A033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C5AEBAB" w14:textId="77777777" w:rsidTr="00F53311">
        <w:trPr>
          <w:trHeight w:val="439"/>
        </w:trPr>
        <w:tc>
          <w:tcPr>
            <w:tcW w:w="0" w:type="auto"/>
            <w:shd w:val="clear" w:color="auto" w:fill="F2F2F2"/>
            <w:vAlign w:val="center"/>
          </w:tcPr>
          <w:p w14:paraId="6A6E750A"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9</w:t>
            </w:r>
          </w:p>
        </w:tc>
        <w:tc>
          <w:tcPr>
            <w:tcW w:w="0" w:type="auto"/>
            <w:shd w:val="clear" w:color="auto" w:fill="F2F2F2"/>
            <w:vAlign w:val="center"/>
          </w:tcPr>
          <w:p w14:paraId="2A8CED9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Access to personal or confidential information without the participants’ specific consent?</w:t>
            </w:r>
          </w:p>
        </w:tc>
        <w:tc>
          <w:tcPr>
            <w:tcW w:w="0" w:type="auto"/>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7B8324A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7121E4FF"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F310056" w14:textId="77777777" w:rsidTr="00F53311">
        <w:trPr>
          <w:trHeight w:val="403"/>
        </w:trPr>
        <w:tc>
          <w:tcPr>
            <w:tcW w:w="0" w:type="auto"/>
            <w:shd w:val="clear" w:color="auto" w:fill="F2F2F2"/>
            <w:vAlign w:val="center"/>
          </w:tcPr>
          <w:p w14:paraId="070FE1A8"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10</w:t>
            </w:r>
          </w:p>
        </w:tc>
        <w:tc>
          <w:tcPr>
            <w:tcW w:w="0" w:type="auto"/>
            <w:shd w:val="clear" w:color="auto" w:fill="F2F2F2"/>
            <w:vAlign w:val="center"/>
          </w:tcPr>
          <w:p w14:paraId="0750980A"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Administration of any questions, test stimuli, presentation that may be experienced as physically, mentally or emotionally harmful / offensive?</w:t>
            </w:r>
          </w:p>
        </w:tc>
        <w:tc>
          <w:tcPr>
            <w:tcW w:w="0" w:type="auto"/>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9E57F57"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3452FFE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0F09C59" w14:textId="77777777" w:rsidTr="00F53311">
        <w:trPr>
          <w:trHeight w:val="403"/>
        </w:trPr>
        <w:tc>
          <w:tcPr>
            <w:tcW w:w="0" w:type="auto"/>
            <w:shd w:val="clear" w:color="auto" w:fill="F2F2F2"/>
            <w:vAlign w:val="center"/>
          </w:tcPr>
          <w:p w14:paraId="45E6C9E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11</w:t>
            </w:r>
          </w:p>
        </w:tc>
        <w:tc>
          <w:tcPr>
            <w:tcW w:w="0" w:type="auto"/>
            <w:shd w:val="clear" w:color="auto" w:fill="F2F2F2"/>
            <w:vAlign w:val="center"/>
          </w:tcPr>
          <w:p w14:paraId="41DC2A5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Performance of any acts which may cause embarrassment or affect self-esteem?</w:t>
            </w:r>
          </w:p>
        </w:tc>
        <w:tc>
          <w:tcPr>
            <w:tcW w:w="0" w:type="auto"/>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3650FE68"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C3CBB77"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113F80D3" w14:textId="77777777" w:rsidTr="00F53311">
        <w:trPr>
          <w:trHeight w:val="403"/>
        </w:trPr>
        <w:tc>
          <w:tcPr>
            <w:tcW w:w="0" w:type="auto"/>
            <w:shd w:val="clear" w:color="auto" w:fill="F2F2F2"/>
            <w:vAlign w:val="center"/>
          </w:tcPr>
          <w:p w14:paraId="49AACD2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12</w:t>
            </w:r>
          </w:p>
        </w:tc>
        <w:tc>
          <w:tcPr>
            <w:tcW w:w="0" w:type="auto"/>
            <w:shd w:val="clear" w:color="auto" w:fill="F2F2F2"/>
            <w:vAlign w:val="center"/>
          </w:tcPr>
          <w:p w14:paraId="388E6F8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Investigation of participants involved in illegal activities?</w:t>
            </w:r>
          </w:p>
        </w:tc>
        <w:tc>
          <w:tcPr>
            <w:tcW w:w="0" w:type="auto"/>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4B592D4A"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72B3FE8"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78723713" w14:textId="77777777" w:rsidTr="00F53311">
        <w:trPr>
          <w:trHeight w:val="403"/>
        </w:trPr>
        <w:tc>
          <w:tcPr>
            <w:tcW w:w="0" w:type="auto"/>
            <w:shd w:val="clear" w:color="auto" w:fill="F2F2F2"/>
            <w:vAlign w:val="center"/>
          </w:tcPr>
          <w:p w14:paraId="4C3DD47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13</w:t>
            </w:r>
          </w:p>
        </w:tc>
        <w:tc>
          <w:tcPr>
            <w:tcW w:w="0" w:type="auto"/>
            <w:shd w:val="clear" w:color="auto" w:fill="F2F2F2"/>
            <w:vAlign w:val="center"/>
          </w:tcPr>
          <w:p w14:paraId="7B0C29A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procedures that involve deception?</w:t>
            </w:r>
          </w:p>
        </w:tc>
        <w:tc>
          <w:tcPr>
            <w:tcW w:w="0" w:type="auto"/>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CA6B866"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2FCD488"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712699BA" w14:textId="77777777" w:rsidTr="00F53311">
        <w:trPr>
          <w:trHeight w:val="403"/>
        </w:trPr>
        <w:tc>
          <w:tcPr>
            <w:tcW w:w="0" w:type="auto"/>
            <w:shd w:val="clear" w:color="auto" w:fill="F2F2F2"/>
            <w:vAlign w:val="center"/>
          </w:tcPr>
          <w:p w14:paraId="50B7D3A8"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14</w:t>
            </w:r>
          </w:p>
        </w:tc>
        <w:tc>
          <w:tcPr>
            <w:tcW w:w="0" w:type="auto"/>
            <w:shd w:val="clear" w:color="auto" w:fill="F2F2F2"/>
            <w:vAlign w:val="center"/>
          </w:tcPr>
          <w:p w14:paraId="373FA25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Administration of any substance, agent or placebo?</w:t>
            </w:r>
          </w:p>
        </w:tc>
        <w:tc>
          <w:tcPr>
            <w:tcW w:w="0" w:type="auto"/>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F43699A"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783700CC"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324471A3" w14:textId="77777777" w:rsidTr="00F53311">
        <w:trPr>
          <w:trHeight w:val="403"/>
        </w:trPr>
        <w:tc>
          <w:tcPr>
            <w:tcW w:w="0" w:type="auto"/>
            <w:shd w:val="clear" w:color="auto" w:fill="F2F2F2"/>
            <w:vAlign w:val="center"/>
          </w:tcPr>
          <w:p w14:paraId="70E46C1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15</w:t>
            </w:r>
          </w:p>
        </w:tc>
        <w:tc>
          <w:tcPr>
            <w:tcW w:w="0" w:type="auto"/>
            <w:shd w:val="clear" w:color="auto" w:fill="F2F2F2"/>
            <w:vAlign w:val="center"/>
          </w:tcPr>
          <w:p w14:paraId="061330A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Working with live vertebrate animals?</w:t>
            </w:r>
          </w:p>
        </w:tc>
        <w:tc>
          <w:tcPr>
            <w:tcW w:w="0" w:type="auto"/>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93F4EF7"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CC525B4"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4C77AC4C" w14:textId="77777777" w:rsidTr="00F53311">
        <w:trPr>
          <w:trHeight w:val="403"/>
        </w:trPr>
        <w:tc>
          <w:tcPr>
            <w:tcW w:w="0" w:type="auto"/>
            <w:shd w:val="clear" w:color="auto" w:fill="F2F2F2"/>
            <w:vAlign w:val="center"/>
          </w:tcPr>
          <w:p w14:paraId="06C84ED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16</w:t>
            </w:r>
          </w:p>
        </w:tc>
        <w:tc>
          <w:tcPr>
            <w:tcW w:w="0" w:type="auto"/>
            <w:shd w:val="clear" w:color="auto" w:fill="F2F2F2"/>
            <w:vAlign w:val="center"/>
          </w:tcPr>
          <w:p w14:paraId="4D8437C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Procedures that may have a negative impact on the environment?</w:t>
            </w:r>
          </w:p>
        </w:tc>
        <w:tc>
          <w:tcPr>
            <w:tcW w:w="0" w:type="auto"/>
            <w:shd w:val="clear" w:color="auto" w:fill="BFBFBF"/>
            <w:vAlign w:val="center"/>
          </w:tcPr>
          <w:sdt>
            <w:sdtPr>
              <w:rPr>
                <w:rFonts w:ascii="Arial" w:hAnsi="Arial" w:cs="Arial"/>
                <w:b/>
                <w:bCs/>
              </w:rPr>
              <w:id w:val="1647247395"/>
              <w14:checkbox>
                <w14:checked w14:val="0"/>
                <w14:checkedState w14:val="2612" w14:font="MS Gothic"/>
                <w14:uncheckedState w14:val="2610" w14:font="MS Gothic"/>
              </w14:checkbox>
            </w:sdtPr>
            <w:sdtContent>
              <w:p w14:paraId="645DED85"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995170133"/>
              <w14:checkbox>
                <w14:checked w14:val="1"/>
                <w14:checkedState w14:val="2612" w14:font="MS Gothic"/>
                <w14:uncheckedState w14:val="2610" w14:font="MS Gothic"/>
              </w14:checkbox>
            </w:sdtPr>
            <w:sdtContent>
              <w:p w14:paraId="026DE1AF"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r>
      <w:tr w:rsidR="00F53311" w:rsidRPr="00F53311" w14:paraId="5B5BF47B" w14:textId="77777777" w:rsidTr="00F53311">
        <w:trPr>
          <w:trHeight w:val="403"/>
        </w:trPr>
        <w:tc>
          <w:tcPr>
            <w:tcW w:w="0" w:type="auto"/>
            <w:shd w:val="clear" w:color="auto" w:fill="F2F2F2"/>
            <w:vAlign w:val="center"/>
          </w:tcPr>
          <w:p w14:paraId="2619C28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17</w:t>
            </w:r>
          </w:p>
        </w:tc>
        <w:tc>
          <w:tcPr>
            <w:tcW w:w="0" w:type="auto"/>
            <w:shd w:val="clear" w:color="auto" w:fill="F2F2F2"/>
            <w:vAlign w:val="center"/>
          </w:tcPr>
          <w:p w14:paraId="454829C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Other primary data collection methods. Please indicate the type of data collection method(s) below.</w:t>
            </w:r>
          </w:p>
        </w:tc>
        <w:tc>
          <w:tcPr>
            <w:tcW w:w="0" w:type="auto"/>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C78943B"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c>
          <w:tcPr>
            <w:tcW w:w="0" w:type="auto"/>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38DB97D1" w14:textId="77777777" w:rsidR="00F53311" w:rsidRPr="00F53311" w:rsidRDefault="00F53311" w:rsidP="00F53311">
                <w:pPr>
                  <w:autoSpaceDE w:val="0"/>
                  <w:autoSpaceDN w:val="0"/>
                  <w:adjustRightInd w:val="0"/>
                  <w:jc w:val="center"/>
                  <w:rPr>
                    <w:rFonts w:ascii="Arial" w:hAnsi="Arial" w:cs="Arial"/>
                    <w:b/>
                    <w:bCs/>
                  </w:rPr>
                </w:pPr>
                <w:r w:rsidRPr="00F53311">
                  <w:rPr>
                    <w:rFonts w:ascii="Segoe UI Symbol" w:hAnsi="Segoe UI Symbol" w:cs="Segoe UI Symbol"/>
                    <w:b/>
                    <w:bCs/>
                  </w:rPr>
                  <w:t>☒</w:t>
                </w:r>
              </w:p>
            </w:sdtContent>
          </w:sdt>
        </w:tc>
      </w:tr>
      <w:tr w:rsidR="00F53311" w:rsidRPr="00F53311" w14:paraId="3D13DE89" w14:textId="77777777" w:rsidTr="00F53311">
        <w:trPr>
          <w:trHeight w:val="403"/>
        </w:trPr>
        <w:tc>
          <w:tcPr>
            <w:tcW w:w="0" w:type="auto"/>
            <w:vAlign w:val="center"/>
          </w:tcPr>
          <w:p w14:paraId="71BEFE6E" w14:textId="77777777" w:rsidR="00F53311" w:rsidRPr="00F53311" w:rsidRDefault="00F53311" w:rsidP="00F53311">
            <w:pPr>
              <w:autoSpaceDE w:val="0"/>
              <w:autoSpaceDN w:val="0"/>
              <w:adjustRightInd w:val="0"/>
              <w:rPr>
                <w:rFonts w:ascii="Arial" w:hAnsi="Arial" w:cs="Arial"/>
              </w:rPr>
            </w:pPr>
          </w:p>
        </w:tc>
        <w:tc>
          <w:tcPr>
            <w:tcW w:w="0" w:type="auto"/>
            <w:vAlign w:val="center"/>
          </w:tcPr>
          <w:p w14:paraId="4733A371"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Details of any other primary data collection method:</w:t>
            </w:r>
          </w:p>
          <w:p w14:paraId="23120C08" w14:textId="77777777" w:rsidR="00F53311" w:rsidRPr="00F53311" w:rsidRDefault="00F53311" w:rsidP="00F53311">
            <w:pPr>
              <w:rPr>
                <w:rFonts w:ascii="Arial" w:hAnsi="Arial" w:cs="Arial"/>
              </w:rPr>
            </w:pPr>
          </w:p>
          <w:p w14:paraId="06644A8E" w14:textId="77777777" w:rsidR="00F53311" w:rsidRPr="00F53311" w:rsidRDefault="00F53311" w:rsidP="00F53311">
            <w:pPr>
              <w:rPr>
                <w:rFonts w:ascii="Arial" w:hAnsi="Arial" w:cs="Arial"/>
              </w:rPr>
            </w:pPr>
          </w:p>
          <w:p w14:paraId="508CCD2D" w14:textId="77777777" w:rsidR="00F53311" w:rsidRPr="00F53311" w:rsidRDefault="00F53311" w:rsidP="00F53311">
            <w:pPr>
              <w:rPr>
                <w:rFonts w:ascii="Arial" w:hAnsi="Arial" w:cs="Arial"/>
              </w:rPr>
            </w:pPr>
          </w:p>
          <w:p w14:paraId="44A81BE7" w14:textId="77777777" w:rsidR="00F53311" w:rsidRPr="00F53311" w:rsidRDefault="00F53311" w:rsidP="00F53311">
            <w:pPr>
              <w:autoSpaceDE w:val="0"/>
              <w:autoSpaceDN w:val="0"/>
              <w:adjustRightInd w:val="0"/>
              <w:rPr>
                <w:rFonts w:ascii="Arial" w:hAnsi="Arial" w:cs="Arial"/>
              </w:rPr>
            </w:pPr>
            <w:r w:rsidRPr="00F53311">
              <w:rPr>
                <w:rFonts w:ascii="Arial" w:hAnsi="Arial" w:cs="Arial"/>
                <w:sz w:val="18"/>
                <w:szCs w:val="18"/>
              </w:rPr>
              <w:t>(this box should expand as you type)</w:t>
            </w:r>
          </w:p>
        </w:tc>
        <w:tc>
          <w:tcPr>
            <w:tcW w:w="0" w:type="auto"/>
            <w:vMerge/>
            <w:shd w:val="clear" w:color="auto" w:fill="BFBFBF"/>
            <w:vAlign w:val="center"/>
          </w:tcPr>
          <w:p w14:paraId="00433D9F" w14:textId="77777777" w:rsidR="00F53311" w:rsidRPr="00F53311" w:rsidRDefault="00F53311" w:rsidP="00F53311">
            <w:pPr>
              <w:autoSpaceDE w:val="0"/>
              <w:autoSpaceDN w:val="0"/>
              <w:adjustRightInd w:val="0"/>
              <w:jc w:val="center"/>
              <w:rPr>
                <w:rFonts w:ascii="Arial" w:hAnsi="Arial" w:cs="Arial"/>
                <w:b/>
                <w:bCs/>
              </w:rPr>
            </w:pPr>
          </w:p>
        </w:tc>
        <w:tc>
          <w:tcPr>
            <w:tcW w:w="0" w:type="auto"/>
            <w:vMerge/>
            <w:shd w:val="clear" w:color="auto" w:fill="BFBFBF"/>
            <w:vAlign w:val="center"/>
          </w:tcPr>
          <w:p w14:paraId="2E9FA1ED" w14:textId="77777777" w:rsidR="00F53311" w:rsidRPr="00F53311" w:rsidRDefault="00F53311" w:rsidP="00F53311">
            <w:pPr>
              <w:autoSpaceDE w:val="0"/>
              <w:autoSpaceDN w:val="0"/>
              <w:adjustRightInd w:val="0"/>
              <w:jc w:val="center"/>
              <w:rPr>
                <w:rFonts w:ascii="Arial" w:hAnsi="Arial" w:cs="Arial"/>
                <w:b/>
                <w:bCs/>
              </w:rPr>
            </w:pPr>
          </w:p>
        </w:tc>
      </w:tr>
    </w:tbl>
    <w:p w14:paraId="3E4D030A" w14:textId="77777777" w:rsidR="00F53311" w:rsidRPr="00F53311" w:rsidRDefault="00F53311" w:rsidP="00F53311">
      <w:pPr>
        <w:spacing w:after="0" w:line="240" w:lineRule="auto"/>
        <w:jc w:val="both"/>
        <w:rPr>
          <w:rFonts w:ascii="Arial" w:eastAsia="Times New Roman" w:hAnsi="Arial" w:cs="Arial"/>
          <w:bCs/>
          <w:iCs/>
        </w:rPr>
      </w:pPr>
    </w:p>
    <w:p w14:paraId="2B7A653C" w14:textId="77777777" w:rsidR="00F53311" w:rsidRPr="00F53311" w:rsidRDefault="00F53311" w:rsidP="00F53311">
      <w:pPr>
        <w:spacing w:after="0" w:line="240" w:lineRule="auto"/>
        <w:jc w:val="both"/>
        <w:rPr>
          <w:rFonts w:ascii="Arial" w:eastAsia="Times New Roman" w:hAnsi="Arial" w:cs="Arial"/>
          <w:bCs/>
          <w:iCs/>
        </w:rPr>
      </w:pPr>
      <w:r w:rsidRPr="00F53311">
        <w:rPr>
          <w:rFonts w:ascii="Arial" w:eastAsia="Times New Roman" w:hAnsi="Arial" w:cs="Arial"/>
          <w:bCs/>
          <w:iCs/>
        </w:rPr>
        <w:lastRenderedPageBreak/>
        <w:t>If you have ticked NO to every question then the research activity is (ethically) low risk and you may skip section E and continue to section F.</w:t>
      </w:r>
    </w:p>
    <w:p w14:paraId="118A7708" w14:textId="77777777" w:rsidR="00F53311" w:rsidRPr="00F53311" w:rsidRDefault="00F53311" w:rsidP="00F53311">
      <w:pPr>
        <w:spacing w:after="0" w:line="240" w:lineRule="auto"/>
        <w:rPr>
          <w:rFonts w:ascii="Arial" w:eastAsia="Times New Roman" w:hAnsi="Arial" w:cs="Arial"/>
          <w:bCs/>
          <w:iCs/>
        </w:rPr>
      </w:pPr>
    </w:p>
    <w:p w14:paraId="08052548" w14:textId="77777777" w:rsidR="00F53311" w:rsidRPr="00F53311" w:rsidRDefault="00F53311" w:rsidP="00F53311">
      <w:pPr>
        <w:spacing w:after="0" w:line="240" w:lineRule="auto"/>
        <w:rPr>
          <w:rFonts w:ascii="Arial" w:eastAsia="Times New Roman" w:hAnsi="Arial" w:cs="Arial"/>
          <w:bCs/>
          <w:iCs/>
        </w:rPr>
      </w:pPr>
      <w:r w:rsidRPr="00F53311">
        <w:rPr>
          <w:rFonts w:ascii="Arial" w:eastAsia="Times New Roman" w:hAnsi="Arial" w:cs="Arial"/>
          <w:bCs/>
          <w:iCs/>
        </w:rPr>
        <w:t xml:space="preserve">If YES to any question, then no research activity should be undertaken until full ethical approval has been obtained. </w:t>
      </w:r>
    </w:p>
    <w:p w14:paraId="4873F78C" w14:textId="77777777" w:rsidR="00F53311" w:rsidRPr="00F53311" w:rsidRDefault="00F53311" w:rsidP="00F53311">
      <w:pPr>
        <w:spacing w:after="0" w:line="240" w:lineRule="auto"/>
        <w:rPr>
          <w:rFonts w:ascii="Arial" w:eastAsia="Times New Roman" w:hAnsi="Arial" w:cs="Arial"/>
          <w:bCs/>
          <w:iCs/>
        </w:rPr>
      </w:pPr>
    </w:p>
    <w:p w14:paraId="23EC9F23"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E: Intended Participants</w:t>
      </w:r>
    </w:p>
    <w:tbl>
      <w:tblPr>
        <w:tblStyle w:val="TableGrid1"/>
        <w:tblW w:w="0" w:type="auto"/>
        <w:tblLook w:val="04A0" w:firstRow="1" w:lastRow="0" w:firstColumn="1" w:lastColumn="0" w:noHBand="0" w:noVBand="1"/>
      </w:tblPr>
      <w:tblGrid>
        <w:gridCol w:w="328"/>
        <w:gridCol w:w="7555"/>
        <w:gridCol w:w="617"/>
        <w:gridCol w:w="516"/>
      </w:tblGrid>
      <w:tr w:rsidR="00F53311" w:rsidRPr="00F53311" w14:paraId="37CD5A40" w14:textId="77777777" w:rsidTr="00F53311">
        <w:tc>
          <w:tcPr>
            <w:tcW w:w="0" w:type="auto"/>
            <w:shd w:val="clear" w:color="auto" w:fill="F2F2F2"/>
            <w:vAlign w:val="center"/>
          </w:tcPr>
          <w:p w14:paraId="47A1BD0F" w14:textId="77777777" w:rsidR="00F53311" w:rsidRPr="00F53311" w:rsidRDefault="00F53311" w:rsidP="00F53311">
            <w:pPr>
              <w:autoSpaceDE w:val="0"/>
              <w:autoSpaceDN w:val="0"/>
              <w:adjustRightInd w:val="0"/>
              <w:jc w:val="center"/>
              <w:rPr>
                <w:rFonts w:ascii="Arial" w:hAnsi="Arial" w:cs="Arial"/>
                <w:b/>
              </w:rPr>
            </w:pPr>
          </w:p>
        </w:tc>
        <w:tc>
          <w:tcPr>
            <w:tcW w:w="0" w:type="auto"/>
            <w:shd w:val="clear" w:color="auto" w:fill="F2F2F2"/>
          </w:tcPr>
          <w:p w14:paraId="22DEBCE5" w14:textId="77777777" w:rsidR="00F53311" w:rsidRPr="00F53311" w:rsidRDefault="00F53311" w:rsidP="00F53311">
            <w:pPr>
              <w:autoSpaceDE w:val="0"/>
              <w:autoSpaceDN w:val="0"/>
              <w:adjustRightInd w:val="0"/>
              <w:jc w:val="both"/>
              <w:rPr>
                <w:rFonts w:ascii="Arial" w:hAnsi="Arial" w:cs="Arial"/>
                <w:b/>
              </w:rPr>
            </w:pPr>
            <w:r w:rsidRPr="00F53311">
              <w:rPr>
                <w:rFonts w:ascii="Arial" w:hAnsi="Arial" w:cs="Arial"/>
                <w:b/>
              </w:rPr>
              <w:t>Who are the intended participants:</w:t>
            </w:r>
          </w:p>
        </w:tc>
        <w:tc>
          <w:tcPr>
            <w:tcW w:w="0" w:type="auto"/>
            <w:shd w:val="clear" w:color="auto" w:fill="F2F2F2"/>
          </w:tcPr>
          <w:p w14:paraId="56016BDD" w14:textId="77777777" w:rsidR="00F53311" w:rsidRPr="00F53311" w:rsidRDefault="00F53311" w:rsidP="00F53311">
            <w:pPr>
              <w:autoSpaceDE w:val="0"/>
              <w:autoSpaceDN w:val="0"/>
              <w:adjustRightInd w:val="0"/>
              <w:jc w:val="center"/>
              <w:rPr>
                <w:rFonts w:ascii="Arial" w:hAnsi="Arial" w:cs="Arial"/>
                <w:b/>
                <w:bCs/>
              </w:rPr>
            </w:pPr>
          </w:p>
          <w:p w14:paraId="0F93F2DA"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tcPr>
          <w:p w14:paraId="39D84872" w14:textId="77777777" w:rsidR="00F53311" w:rsidRPr="00F53311" w:rsidRDefault="00F53311" w:rsidP="00F53311">
            <w:pPr>
              <w:autoSpaceDE w:val="0"/>
              <w:autoSpaceDN w:val="0"/>
              <w:adjustRightInd w:val="0"/>
              <w:jc w:val="center"/>
              <w:rPr>
                <w:rFonts w:ascii="Arial" w:hAnsi="Arial" w:cs="Arial"/>
                <w:b/>
                <w:bCs/>
              </w:rPr>
            </w:pPr>
          </w:p>
          <w:p w14:paraId="3960208B"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r>
      <w:tr w:rsidR="00F53311" w:rsidRPr="00F53311" w14:paraId="57EC30E5" w14:textId="77777777" w:rsidTr="00F53311">
        <w:trPr>
          <w:trHeight w:val="439"/>
        </w:trPr>
        <w:tc>
          <w:tcPr>
            <w:tcW w:w="0" w:type="auto"/>
            <w:shd w:val="clear" w:color="auto" w:fill="F2F2F2"/>
            <w:vAlign w:val="center"/>
          </w:tcPr>
          <w:p w14:paraId="5C0C165A"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w:t>
            </w:r>
          </w:p>
        </w:tc>
        <w:tc>
          <w:tcPr>
            <w:tcW w:w="0" w:type="auto"/>
            <w:shd w:val="clear" w:color="auto" w:fill="F2F2F2"/>
            <w:vAlign w:val="center"/>
          </w:tcPr>
          <w:p w14:paraId="56C2510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Students or staff at the University?</w:t>
            </w:r>
          </w:p>
        </w:tc>
        <w:tc>
          <w:tcPr>
            <w:tcW w:w="0" w:type="auto"/>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77AAC38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6D1BA09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E95B346" w14:textId="77777777" w:rsidTr="00F53311">
        <w:trPr>
          <w:trHeight w:val="403"/>
        </w:trPr>
        <w:tc>
          <w:tcPr>
            <w:tcW w:w="0" w:type="auto"/>
            <w:shd w:val="clear" w:color="auto" w:fill="F2F2F2"/>
            <w:vAlign w:val="center"/>
          </w:tcPr>
          <w:p w14:paraId="1B1CA706"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w:t>
            </w:r>
          </w:p>
        </w:tc>
        <w:tc>
          <w:tcPr>
            <w:tcW w:w="0" w:type="auto"/>
            <w:shd w:val="clear" w:color="auto" w:fill="F2F2F2"/>
            <w:vAlign w:val="center"/>
          </w:tcPr>
          <w:p w14:paraId="35403EE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Adults (over the age of 18 and competent to give consent)?</w:t>
            </w:r>
          </w:p>
        </w:tc>
        <w:tc>
          <w:tcPr>
            <w:tcW w:w="0" w:type="auto"/>
            <w:shd w:val="clear" w:color="auto" w:fill="BFBF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7CB95CA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6E24A332"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E7B6B05" w14:textId="77777777" w:rsidTr="00F53311">
        <w:trPr>
          <w:trHeight w:val="439"/>
        </w:trPr>
        <w:tc>
          <w:tcPr>
            <w:tcW w:w="0" w:type="auto"/>
            <w:shd w:val="clear" w:color="auto" w:fill="F2F2F2"/>
            <w:vAlign w:val="center"/>
          </w:tcPr>
          <w:p w14:paraId="200B2C85"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3</w:t>
            </w:r>
          </w:p>
        </w:tc>
        <w:tc>
          <w:tcPr>
            <w:tcW w:w="0" w:type="auto"/>
            <w:shd w:val="clear" w:color="auto" w:fill="F2F2F2"/>
            <w:vAlign w:val="center"/>
          </w:tcPr>
          <w:p w14:paraId="67B7A49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Vulnerable adults?</w:t>
            </w:r>
          </w:p>
        </w:tc>
        <w:tc>
          <w:tcPr>
            <w:tcW w:w="0" w:type="auto"/>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B32DAA7"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38FAF45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F40F8C5" w14:textId="77777777" w:rsidTr="00F53311">
        <w:trPr>
          <w:trHeight w:val="403"/>
        </w:trPr>
        <w:tc>
          <w:tcPr>
            <w:tcW w:w="0" w:type="auto"/>
            <w:shd w:val="clear" w:color="auto" w:fill="F2F2F2"/>
            <w:vAlign w:val="center"/>
          </w:tcPr>
          <w:p w14:paraId="2FC55D0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4</w:t>
            </w:r>
          </w:p>
        </w:tc>
        <w:tc>
          <w:tcPr>
            <w:tcW w:w="0" w:type="auto"/>
            <w:shd w:val="clear" w:color="auto" w:fill="F2F2F2"/>
            <w:vAlign w:val="center"/>
          </w:tcPr>
          <w:p w14:paraId="418DE66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Children and Young People under the age of 18? (Consent from Parent, Carer or Guardian will be required)</w:t>
            </w:r>
          </w:p>
        </w:tc>
        <w:tc>
          <w:tcPr>
            <w:tcW w:w="0" w:type="auto"/>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BCDAF1F"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CC43C1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EFA862F" w14:textId="77777777" w:rsidTr="00F53311">
        <w:trPr>
          <w:trHeight w:val="403"/>
        </w:trPr>
        <w:tc>
          <w:tcPr>
            <w:tcW w:w="0" w:type="auto"/>
            <w:shd w:val="clear" w:color="auto" w:fill="F2F2F2"/>
            <w:vAlign w:val="center"/>
          </w:tcPr>
          <w:p w14:paraId="6A9477ED"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5</w:t>
            </w:r>
          </w:p>
        </w:tc>
        <w:tc>
          <w:tcPr>
            <w:tcW w:w="0" w:type="auto"/>
            <w:shd w:val="clear" w:color="auto" w:fill="F2F2F2"/>
            <w:vAlign w:val="center"/>
          </w:tcPr>
          <w:p w14:paraId="5CC9C18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Prisoners?</w:t>
            </w:r>
          </w:p>
        </w:tc>
        <w:tc>
          <w:tcPr>
            <w:tcW w:w="0" w:type="auto"/>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312FAC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4A2B020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54949FD" w14:textId="77777777" w:rsidTr="00F53311">
        <w:trPr>
          <w:trHeight w:val="439"/>
        </w:trPr>
        <w:tc>
          <w:tcPr>
            <w:tcW w:w="0" w:type="auto"/>
            <w:shd w:val="clear" w:color="auto" w:fill="F2F2F2"/>
            <w:vAlign w:val="center"/>
          </w:tcPr>
          <w:p w14:paraId="1BFAB4A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6</w:t>
            </w:r>
          </w:p>
        </w:tc>
        <w:tc>
          <w:tcPr>
            <w:tcW w:w="0" w:type="auto"/>
            <w:shd w:val="clear" w:color="auto" w:fill="F2F2F2"/>
            <w:vAlign w:val="center"/>
          </w:tcPr>
          <w:p w14:paraId="7BF0728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Young offenders?</w:t>
            </w:r>
          </w:p>
        </w:tc>
        <w:tc>
          <w:tcPr>
            <w:tcW w:w="0" w:type="auto"/>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5267AB4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E224F4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63FE346" w14:textId="77777777" w:rsidTr="00F53311">
        <w:trPr>
          <w:trHeight w:val="403"/>
        </w:trPr>
        <w:tc>
          <w:tcPr>
            <w:tcW w:w="0" w:type="auto"/>
            <w:shd w:val="clear" w:color="auto" w:fill="F2F2F2"/>
            <w:vAlign w:val="center"/>
          </w:tcPr>
          <w:p w14:paraId="57A8430E"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7</w:t>
            </w:r>
          </w:p>
        </w:tc>
        <w:tc>
          <w:tcPr>
            <w:tcW w:w="0" w:type="auto"/>
            <w:shd w:val="clear" w:color="auto" w:fill="F2F2F2"/>
            <w:vAlign w:val="center"/>
          </w:tcPr>
          <w:p w14:paraId="6D21494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Those who could be considered to have a particularly dependent relationship with the investigator or a gatekeeper?</w:t>
            </w:r>
          </w:p>
        </w:tc>
        <w:tc>
          <w:tcPr>
            <w:tcW w:w="0" w:type="auto"/>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103FBEF"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0E4D805"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252BD579" w14:textId="77777777" w:rsidTr="00F53311">
        <w:trPr>
          <w:trHeight w:val="403"/>
        </w:trPr>
        <w:tc>
          <w:tcPr>
            <w:tcW w:w="0" w:type="auto"/>
            <w:shd w:val="clear" w:color="auto" w:fill="F2F2F2"/>
            <w:vAlign w:val="center"/>
          </w:tcPr>
          <w:p w14:paraId="3BFEDBC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8</w:t>
            </w:r>
          </w:p>
        </w:tc>
        <w:tc>
          <w:tcPr>
            <w:tcW w:w="0" w:type="auto"/>
            <w:shd w:val="clear" w:color="auto" w:fill="F2F2F2"/>
            <w:vAlign w:val="center"/>
          </w:tcPr>
          <w:p w14:paraId="3B4172E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People engaged in illegal activities?</w:t>
            </w:r>
          </w:p>
        </w:tc>
        <w:tc>
          <w:tcPr>
            <w:tcW w:w="0" w:type="auto"/>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8E2B295"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BE9D8B9"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20612DFC" w14:textId="77777777" w:rsidTr="00F53311">
        <w:trPr>
          <w:trHeight w:val="403"/>
        </w:trPr>
        <w:tc>
          <w:tcPr>
            <w:tcW w:w="0" w:type="auto"/>
            <w:shd w:val="clear" w:color="auto" w:fill="F2F2F2"/>
            <w:vAlign w:val="center"/>
          </w:tcPr>
          <w:p w14:paraId="1DA95980"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9</w:t>
            </w:r>
          </w:p>
        </w:tc>
        <w:tc>
          <w:tcPr>
            <w:tcW w:w="0" w:type="auto"/>
            <w:shd w:val="clear" w:color="auto" w:fill="F2F2F2"/>
            <w:vAlign w:val="center"/>
          </w:tcPr>
          <w:p w14:paraId="04DB557A"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Others. Please indicate the participants below, and specifically any group who may be unable to give consent.</w:t>
            </w:r>
          </w:p>
          <w:p w14:paraId="6D6AD1DB" w14:textId="77777777" w:rsidR="00F53311" w:rsidRPr="00F53311" w:rsidRDefault="00F53311" w:rsidP="00F53311">
            <w:pPr>
              <w:autoSpaceDE w:val="0"/>
              <w:autoSpaceDN w:val="0"/>
              <w:adjustRightInd w:val="0"/>
              <w:rPr>
                <w:rFonts w:ascii="Arial" w:hAnsi="Arial" w:cs="Arial"/>
              </w:rPr>
            </w:pPr>
          </w:p>
        </w:tc>
        <w:tc>
          <w:tcPr>
            <w:tcW w:w="0" w:type="auto"/>
            <w:vMerge w:val="restart"/>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601A2AA"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vMerge w:val="restart"/>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77CA2101"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r>
      <w:tr w:rsidR="00F53311" w:rsidRPr="00F53311" w14:paraId="7E1D9A5B" w14:textId="77777777" w:rsidTr="00F53311">
        <w:trPr>
          <w:trHeight w:val="403"/>
        </w:trPr>
        <w:tc>
          <w:tcPr>
            <w:tcW w:w="0" w:type="auto"/>
            <w:vAlign w:val="center"/>
          </w:tcPr>
          <w:p w14:paraId="4B2DD185" w14:textId="77777777" w:rsidR="00F53311" w:rsidRPr="00F53311" w:rsidRDefault="00F53311" w:rsidP="00F53311">
            <w:pPr>
              <w:autoSpaceDE w:val="0"/>
              <w:autoSpaceDN w:val="0"/>
              <w:adjustRightInd w:val="0"/>
              <w:jc w:val="center"/>
              <w:rPr>
                <w:rFonts w:ascii="Arial" w:hAnsi="Arial" w:cs="Arial"/>
              </w:rPr>
            </w:pPr>
          </w:p>
        </w:tc>
        <w:tc>
          <w:tcPr>
            <w:tcW w:w="0" w:type="auto"/>
            <w:vAlign w:val="center"/>
          </w:tcPr>
          <w:p w14:paraId="37CBC54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Details of any other participant groups:</w:t>
            </w:r>
          </w:p>
          <w:p w14:paraId="1F5B9566" w14:textId="77777777" w:rsidR="00F53311" w:rsidRPr="00F53311" w:rsidRDefault="00F53311" w:rsidP="00F53311">
            <w:pPr>
              <w:rPr>
                <w:rFonts w:ascii="Arial" w:hAnsi="Arial" w:cs="Arial"/>
              </w:rPr>
            </w:pPr>
            <w:r w:rsidRPr="00F53311">
              <w:rPr>
                <w:rFonts w:ascii="Arial" w:hAnsi="Arial" w:cs="Arial"/>
                <w:color w:val="00B050"/>
              </w:rPr>
              <w:t>Complete this only if your participants cannot give consent. This includes animals</w:t>
            </w:r>
          </w:p>
          <w:p w14:paraId="177F3FC7" w14:textId="77777777" w:rsidR="00F53311" w:rsidRPr="00F53311" w:rsidRDefault="00F53311" w:rsidP="00F53311">
            <w:pPr>
              <w:rPr>
                <w:rFonts w:ascii="Arial" w:hAnsi="Arial" w:cs="Arial"/>
              </w:rPr>
            </w:pPr>
          </w:p>
          <w:p w14:paraId="07BE60FB" w14:textId="77777777" w:rsidR="00F53311" w:rsidRPr="00F53311" w:rsidRDefault="00F53311" w:rsidP="00F53311">
            <w:pPr>
              <w:autoSpaceDE w:val="0"/>
              <w:autoSpaceDN w:val="0"/>
              <w:adjustRightInd w:val="0"/>
              <w:rPr>
                <w:rFonts w:ascii="Arial" w:hAnsi="Arial" w:cs="Arial"/>
              </w:rPr>
            </w:pPr>
            <w:r w:rsidRPr="00F53311">
              <w:rPr>
                <w:rFonts w:ascii="Arial" w:hAnsi="Arial" w:cs="Arial"/>
                <w:color w:val="808080"/>
                <w:sz w:val="18"/>
                <w:szCs w:val="18"/>
              </w:rPr>
              <w:t>(this box should expand as you type)</w:t>
            </w:r>
          </w:p>
        </w:tc>
        <w:tc>
          <w:tcPr>
            <w:tcW w:w="0" w:type="auto"/>
            <w:vMerge/>
            <w:shd w:val="clear" w:color="auto" w:fill="BFBFBF"/>
            <w:vAlign w:val="center"/>
          </w:tcPr>
          <w:p w14:paraId="2D9B2CB1" w14:textId="77777777" w:rsidR="00F53311" w:rsidRPr="00F53311" w:rsidRDefault="00F53311" w:rsidP="00F53311">
            <w:pPr>
              <w:autoSpaceDE w:val="0"/>
              <w:autoSpaceDN w:val="0"/>
              <w:adjustRightInd w:val="0"/>
              <w:jc w:val="center"/>
              <w:rPr>
                <w:rFonts w:ascii="Arial" w:hAnsi="Arial" w:cs="Arial"/>
                <w:b/>
                <w:bCs/>
              </w:rPr>
            </w:pPr>
          </w:p>
        </w:tc>
        <w:tc>
          <w:tcPr>
            <w:tcW w:w="0" w:type="auto"/>
            <w:vMerge/>
            <w:shd w:val="clear" w:color="auto" w:fill="BFBFBF"/>
            <w:vAlign w:val="center"/>
          </w:tcPr>
          <w:p w14:paraId="350E3BEC" w14:textId="77777777" w:rsidR="00F53311" w:rsidRPr="00F53311" w:rsidRDefault="00F53311" w:rsidP="00F53311">
            <w:pPr>
              <w:autoSpaceDE w:val="0"/>
              <w:autoSpaceDN w:val="0"/>
              <w:adjustRightInd w:val="0"/>
              <w:jc w:val="center"/>
              <w:rPr>
                <w:rFonts w:ascii="Arial" w:hAnsi="Arial" w:cs="Arial"/>
                <w:b/>
                <w:bCs/>
              </w:rPr>
            </w:pPr>
          </w:p>
        </w:tc>
      </w:tr>
    </w:tbl>
    <w:p w14:paraId="50B79C27" w14:textId="77777777" w:rsidR="00F53311" w:rsidRPr="00F53311" w:rsidRDefault="00F53311" w:rsidP="00F53311">
      <w:pPr>
        <w:spacing w:after="0" w:line="240" w:lineRule="auto"/>
        <w:rPr>
          <w:rFonts w:ascii="Arial" w:eastAsia="Times New Roman" w:hAnsi="Arial" w:cs="Arial"/>
          <w:bCs/>
          <w:sz w:val="24"/>
          <w:szCs w:val="24"/>
        </w:rPr>
      </w:pPr>
    </w:p>
    <w:tbl>
      <w:tblPr>
        <w:tblStyle w:val="TableGrid1"/>
        <w:tblW w:w="0" w:type="auto"/>
        <w:tblLook w:val="04A0" w:firstRow="1" w:lastRow="0" w:firstColumn="1" w:lastColumn="0" w:noHBand="0" w:noVBand="1"/>
      </w:tblPr>
      <w:tblGrid>
        <w:gridCol w:w="439"/>
        <w:gridCol w:w="1743"/>
        <w:gridCol w:w="6834"/>
      </w:tblGrid>
      <w:tr w:rsidR="00F53311" w:rsidRPr="00F53311" w14:paraId="5A3CD58C" w14:textId="77777777" w:rsidTr="00F53311">
        <w:trPr>
          <w:trHeight w:val="403"/>
        </w:trPr>
        <w:tc>
          <w:tcPr>
            <w:tcW w:w="0" w:type="auto"/>
            <w:tcBorders>
              <w:bottom w:val="single" w:sz="4" w:space="0" w:color="auto"/>
            </w:tcBorders>
            <w:shd w:val="clear" w:color="auto" w:fill="F2F2F2"/>
          </w:tcPr>
          <w:p w14:paraId="2EEE7131" w14:textId="77777777" w:rsidR="00F53311" w:rsidRPr="00F53311" w:rsidRDefault="00F53311" w:rsidP="00F53311">
            <w:pPr>
              <w:rPr>
                <w:rFonts w:ascii="Arial" w:hAnsi="Arial" w:cs="Arial"/>
                <w:bCs/>
              </w:rPr>
            </w:pPr>
          </w:p>
        </w:tc>
        <w:tc>
          <w:tcPr>
            <w:tcW w:w="0" w:type="auto"/>
            <w:gridSpan w:val="2"/>
            <w:tcBorders>
              <w:bottom w:val="single" w:sz="4" w:space="0" w:color="auto"/>
            </w:tcBorders>
            <w:shd w:val="clear" w:color="auto" w:fill="F2F2F2"/>
            <w:vAlign w:val="center"/>
          </w:tcPr>
          <w:p w14:paraId="0C79234B" w14:textId="77777777" w:rsidR="00F53311" w:rsidRPr="00F53311" w:rsidRDefault="00F53311" w:rsidP="00F53311">
            <w:pPr>
              <w:rPr>
                <w:rFonts w:ascii="Arial" w:hAnsi="Arial" w:cs="Arial"/>
                <w:b/>
              </w:rPr>
            </w:pPr>
            <w:r w:rsidRPr="00F53311">
              <w:rPr>
                <w:rFonts w:ascii="Arial" w:hAnsi="Arial" w:cs="Arial"/>
                <w:b/>
              </w:rPr>
              <w:t>Participant numbers and source</w:t>
            </w:r>
          </w:p>
          <w:p w14:paraId="1E4BBA7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 xml:space="preserve">Provide an estimate of the expected number of participants. How will you identify participants and how will they be recruited? </w:t>
            </w:r>
          </w:p>
        </w:tc>
      </w:tr>
      <w:tr w:rsidR="00F53311" w:rsidRPr="00F53311" w14:paraId="3BFB43C0"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AD93ACB" w14:textId="77777777" w:rsidR="00F53311" w:rsidRPr="00F53311" w:rsidRDefault="00F53311" w:rsidP="00F53311">
            <w:pPr>
              <w:jc w:val="center"/>
              <w:rPr>
                <w:rFonts w:ascii="Arial" w:hAnsi="Arial" w:cs="Arial"/>
              </w:rPr>
            </w:pPr>
            <w:r w:rsidRPr="00F53311">
              <w:rPr>
                <w:rFonts w:ascii="Arial" w:hAnsi="Arial" w:cs="Arial"/>
              </w:rPr>
              <w:t>10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2AB15CE8" w14:textId="77777777" w:rsidR="00F53311" w:rsidRPr="00F53311" w:rsidRDefault="00F53311" w:rsidP="00F53311">
            <w:pPr>
              <w:rPr>
                <w:rFonts w:ascii="Arial" w:hAnsi="Arial" w:cs="Arial"/>
              </w:rPr>
            </w:pPr>
            <w:r w:rsidRPr="00F53311">
              <w:rPr>
                <w:rFonts w:ascii="Arial" w:hAnsi="Arial" w:cs="Arial"/>
              </w:rPr>
              <w:t>How many participants are expected?</w:t>
            </w:r>
          </w:p>
          <w:p w14:paraId="7145FE21" w14:textId="77777777" w:rsidR="00F53311" w:rsidRPr="00F53311" w:rsidRDefault="00F53311" w:rsidP="00F53311">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tcPr>
          <w:p w14:paraId="25332DA1" w14:textId="77777777" w:rsidR="00F53311" w:rsidRPr="00F53311" w:rsidRDefault="00F53311" w:rsidP="00F53311">
            <w:pPr>
              <w:rPr>
                <w:rFonts w:ascii="Arial" w:hAnsi="Arial" w:cs="Arial"/>
                <w:bCs/>
              </w:rPr>
            </w:pPr>
            <w:r w:rsidRPr="00F53311">
              <w:rPr>
                <w:rFonts w:ascii="Arial" w:hAnsi="Arial" w:cs="Arial"/>
                <w:bCs/>
              </w:rPr>
              <w:t>It is expected that around 50–100 participants will take part in the online survey, along with approximately 5–10 participants for follow-up interviews. Participants will be people who actively engage with retail brands on social media platforms such as Instagram, TikTok, and LinkedIn.</w:t>
            </w:r>
          </w:p>
          <w:p w14:paraId="376A33DC" w14:textId="77777777" w:rsidR="00F53311" w:rsidRPr="00F53311" w:rsidRDefault="00F53311" w:rsidP="00F53311">
            <w:pPr>
              <w:rPr>
                <w:rFonts w:ascii="Arial" w:hAnsi="Arial" w:cs="Arial"/>
                <w:bCs/>
              </w:rPr>
            </w:pPr>
            <w:r w:rsidRPr="00F53311">
              <w:rPr>
                <w:rFonts w:ascii="Arial" w:hAnsi="Arial" w:cs="Arial"/>
                <w:bCs/>
              </w:rPr>
              <w:t>They will be identified and contacted through online posts, university networks, and direct messages where appropriate. Participation will be entirely voluntary, and all participants will be aged 18 or over.</w:t>
            </w:r>
          </w:p>
          <w:p w14:paraId="00544582" w14:textId="77777777" w:rsidR="00F53311" w:rsidRPr="00F53311" w:rsidRDefault="00F53311" w:rsidP="00F53311">
            <w:pPr>
              <w:rPr>
                <w:rFonts w:ascii="Arial" w:hAnsi="Arial" w:cs="Arial"/>
                <w:bCs/>
              </w:rPr>
            </w:pPr>
          </w:p>
        </w:tc>
      </w:tr>
      <w:tr w:rsidR="00F53311" w:rsidRPr="00F53311" w14:paraId="7B1D0575"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162E715" w14:textId="77777777" w:rsidR="00F53311" w:rsidRPr="00F53311" w:rsidRDefault="00F53311" w:rsidP="00F53311">
            <w:pPr>
              <w:jc w:val="center"/>
              <w:rPr>
                <w:rFonts w:ascii="Arial" w:hAnsi="Arial" w:cs="Arial"/>
              </w:rPr>
            </w:pPr>
            <w:r w:rsidRPr="00F53311">
              <w:rPr>
                <w:rFonts w:ascii="Arial" w:hAnsi="Arial" w:cs="Arial"/>
              </w:rPr>
              <w:t>11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A47D9AF" w14:textId="77777777" w:rsidR="00F53311" w:rsidRPr="00F53311" w:rsidRDefault="00F53311" w:rsidP="00F53311">
            <w:pPr>
              <w:rPr>
                <w:rFonts w:ascii="Arial" w:hAnsi="Arial" w:cs="Arial"/>
              </w:rPr>
            </w:pPr>
            <w:r w:rsidRPr="00F53311">
              <w:rPr>
                <w:rFonts w:ascii="Arial" w:hAnsi="Arial" w:cs="Arial"/>
              </w:rPr>
              <w:t>Who will the participants be?</w:t>
            </w:r>
          </w:p>
          <w:p w14:paraId="7176EC3B" w14:textId="77777777" w:rsidR="00F53311" w:rsidRPr="00F53311" w:rsidRDefault="00F53311" w:rsidP="00F53311">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tcPr>
          <w:p w14:paraId="7A519595" w14:textId="77777777" w:rsidR="00F53311" w:rsidRPr="00F53311" w:rsidRDefault="00F53311" w:rsidP="00F53311">
            <w:pPr>
              <w:rPr>
                <w:rFonts w:ascii="Arial" w:hAnsi="Arial" w:cs="Arial"/>
              </w:rPr>
            </w:pPr>
          </w:p>
          <w:p w14:paraId="26E4629A" w14:textId="77777777" w:rsidR="00F53311" w:rsidRPr="00F53311" w:rsidRDefault="00F53311" w:rsidP="00F53311">
            <w:pPr>
              <w:rPr>
                <w:rFonts w:ascii="Arial" w:hAnsi="Arial" w:cs="Arial"/>
              </w:rPr>
            </w:pPr>
            <w:r w:rsidRPr="00F53311">
              <w:rPr>
                <w:rFonts w:ascii="Arial" w:hAnsi="Arial" w:cs="Arial"/>
              </w:rPr>
              <w:t>The participants will be adults (18+) who regularly use social media and engage with retail brands online. This includes people who follow influencers, view brand content, or interact with posts on platforms like Instagram, TikTok, and YouTube. Some participants may also have an interest or basic knowledge of marketing, especially those taking part in the interviews.</w:t>
            </w:r>
          </w:p>
          <w:p w14:paraId="22A76FF6" w14:textId="77777777" w:rsidR="00F53311" w:rsidRPr="00F53311" w:rsidRDefault="00F53311" w:rsidP="00F53311">
            <w:pPr>
              <w:rPr>
                <w:rFonts w:ascii="Arial" w:hAnsi="Arial" w:cs="Arial"/>
              </w:rPr>
            </w:pPr>
          </w:p>
          <w:p w14:paraId="0C7EE4D2" w14:textId="77777777" w:rsidR="00F53311" w:rsidRPr="00F53311" w:rsidRDefault="00F53311" w:rsidP="00F53311">
            <w:pPr>
              <w:rPr>
                <w:rFonts w:ascii="Arial" w:hAnsi="Arial" w:cs="Arial"/>
                <w:i/>
                <w:color w:val="808080"/>
                <w:sz w:val="18"/>
                <w:szCs w:val="18"/>
              </w:rPr>
            </w:pPr>
          </w:p>
        </w:tc>
      </w:tr>
      <w:tr w:rsidR="00F53311" w:rsidRPr="00F53311" w14:paraId="05B28075" w14:textId="77777777" w:rsidTr="00F53311">
        <w:trPr>
          <w:trHeight w:val="403"/>
        </w:trPr>
        <w:tc>
          <w:tcPr>
            <w:tcW w:w="0" w:type="auto"/>
            <w:tcBorders>
              <w:top w:val="single" w:sz="4" w:space="0" w:color="auto"/>
            </w:tcBorders>
            <w:shd w:val="clear" w:color="auto" w:fill="F2F2F2"/>
            <w:vAlign w:val="center"/>
          </w:tcPr>
          <w:p w14:paraId="23674A0C" w14:textId="77777777" w:rsidR="00F53311" w:rsidRPr="00F53311" w:rsidRDefault="00F53311" w:rsidP="00F53311">
            <w:pPr>
              <w:jc w:val="center"/>
              <w:rPr>
                <w:rFonts w:ascii="Arial" w:hAnsi="Arial" w:cs="Arial"/>
              </w:rPr>
            </w:pPr>
            <w:r w:rsidRPr="00F53311">
              <w:rPr>
                <w:rFonts w:ascii="Arial" w:hAnsi="Arial" w:cs="Arial"/>
              </w:rPr>
              <w:t>12</w:t>
            </w:r>
          </w:p>
        </w:tc>
        <w:tc>
          <w:tcPr>
            <w:tcW w:w="0" w:type="auto"/>
            <w:tcBorders>
              <w:top w:val="single" w:sz="4" w:space="0" w:color="auto"/>
            </w:tcBorders>
            <w:shd w:val="clear" w:color="auto" w:fill="F2F2F2"/>
            <w:vAlign w:val="center"/>
          </w:tcPr>
          <w:p w14:paraId="4C90819B" w14:textId="77777777" w:rsidR="00F53311" w:rsidRPr="00F53311" w:rsidRDefault="00F53311" w:rsidP="00F53311">
            <w:pPr>
              <w:rPr>
                <w:rFonts w:ascii="Arial" w:hAnsi="Arial" w:cs="Arial"/>
              </w:rPr>
            </w:pPr>
            <w:r w:rsidRPr="00F53311">
              <w:rPr>
                <w:rFonts w:ascii="Arial" w:hAnsi="Arial" w:cs="Arial"/>
              </w:rPr>
              <w:t>How will you identify the participants?</w:t>
            </w:r>
          </w:p>
        </w:tc>
        <w:tc>
          <w:tcPr>
            <w:tcW w:w="0" w:type="auto"/>
            <w:tcBorders>
              <w:top w:val="single" w:sz="4" w:space="0" w:color="auto"/>
            </w:tcBorders>
            <w:vAlign w:val="center"/>
          </w:tcPr>
          <w:p w14:paraId="5EC8E994" w14:textId="77777777" w:rsidR="00F53311" w:rsidRPr="00F53311" w:rsidRDefault="00F53311" w:rsidP="00F53311">
            <w:pPr>
              <w:rPr>
                <w:rFonts w:ascii="Arial" w:hAnsi="Arial" w:cs="Arial"/>
              </w:rPr>
            </w:pPr>
          </w:p>
          <w:p w14:paraId="5CB5BD89" w14:textId="77777777" w:rsidR="00F53311" w:rsidRPr="00F53311" w:rsidRDefault="00F53311" w:rsidP="00F53311">
            <w:pPr>
              <w:rPr>
                <w:rFonts w:ascii="Arial" w:hAnsi="Arial" w:cs="Arial"/>
              </w:rPr>
            </w:pPr>
            <w:r w:rsidRPr="00F53311">
              <w:rPr>
                <w:rFonts w:ascii="Arial" w:hAnsi="Arial" w:cs="Arial"/>
              </w:rPr>
              <w:t xml:space="preserve">Participants will be identified based on whether they actively use social media and engage with retail brands online. This includes people who follow influencers, interact with brand posts, or regularly view content on </w:t>
            </w:r>
            <w:r w:rsidRPr="00F53311">
              <w:rPr>
                <w:rFonts w:ascii="Arial" w:hAnsi="Arial" w:cs="Arial"/>
              </w:rPr>
              <w:lastRenderedPageBreak/>
              <w:t>platforms like Instagram, TikTok, and YouTube. Basic screening will be used to make sure participants are over 18 and relevant to the study.</w:t>
            </w:r>
          </w:p>
          <w:p w14:paraId="43352AC1" w14:textId="77777777" w:rsidR="00F53311" w:rsidRPr="00F53311" w:rsidRDefault="00F53311" w:rsidP="00F53311">
            <w:pPr>
              <w:rPr>
                <w:rFonts w:ascii="Arial" w:hAnsi="Arial" w:cs="Arial"/>
              </w:rPr>
            </w:pPr>
          </w:p>
          <w:p w14:paraId="69B5FCDC" w14:textId="77777777" w:rsidR="00F53311" w:rsidRPr="00F53311" w:rsidRDefault="00F53311" w:rsidP="00F53311">
            <w:pPr>
              <w:rPr>
                <w:rFonts w:ascii="Arial" w:hAnsi="Arial" w:cs="Arial"/>
                <w:color w:val="808080"/>
                <w:sz w:val="18"/>
                <w:szCs w:val="18"/>
              </w:rPr>
            </w:pPr>
          </w:p>
        </w:tc>
      </w:tr>
    </w:tbl>
    <w:p w14:paraId="2BF6B7A3" w14:textId="77777777" w:rsidR="00F53311" w:rsidRPr="00F53311" w:rsidRDefault="00F53311" w:rsidP="00F53311">
      <w:pPr>
        <w:spacing w:after="0" w:line="240" w:lineRule="auto"/>
        <w:rPr>
          <w:rFonts w:ascii="Arial" w:eastAsia="Times New Roman" w:hAnsi="Arial" w:cs="Arial"/>
          <w:bCs/>
          <w:sz w:val="24"/>
          <w:szCs w:val="24"/>
        </w:rPr>
      </w:pPr>
    </w:p>
    <w:p w14:paraId="32EFA55C" w14:textId="77777777" w:rsidR="00F53311" w:rsidRPr="00F53311" w:rsidRDefault="00F53311" w:rsidP="00F53311">
      <w:pPr>
        <w:spacing w:after="0" w:line="240" w:lineRule="auto"/>
        <w:rPr>
          <w:rFonts w:ascii="Times New Roman" w:eastAsia="Times New Roman" w:hAnsi="Times New Roman" w:cs="Times New Roman"/>
          <w:sz w:val="20"/>
          <w:szCs w:val="20"/>
        </w:rPr>
      </w:pPr>
    </w:p>
    <w:tbl>
      <w:tblPr>
        <w:tblStyle w:val="TableGrid1"/>
        <w:tblW w:w="0" w:type="auto"/>
        <w:tblLook w:val="04A0" w:firstRow="1" w:lastRow="0" w:firstColumn="1" w:lastColumn="0" w:noHBand="0" w:noVBand="1"/>
      </w:tblPr>
      <w:tblGrid>
        <w:gridCol w:w="439"/>
        <w:gridCol w:w="6883"/>
        <w:gridCol w:w="617"/>
        <w:gridCol w:w="516"/>
        <w:gridCol w:w="561"/>
      </w:tblGrid>
      <w:tr w:rsidR="00F53311" w:rsidRPr="00F53311" w14:paraId="7871D2A8" w14:textId="77777777" w:rsidTr="00F53311">
        <w:tc>
          <w:tcPr>
            <w:tcW w:w="0" w:type="auto"/>
            <w:shd w:val="clear" w:color="auto" w:fill="F2F2F2"/>
            <w:vAlign w:val="center"/>
          </w:tcPr>
          <w:p w14:paraId="2EA7764A" w14:textId="77777777" w:rsidR="00F53311" w:rsidRPr="00F53311" w:rsidRDefault="00F53311" w:rsidP="00F53311">
            <w:pPr>
              <w:autoSpaceDE w:val="0"/>
              <w:autoSpaceDN w:val="0"/>
              <w:adjustRightInd w:val="0"/>
              <w:jc w:val="center"/>
              <w:rPr>
                <w:rFonts w:ascii="Arial" w:hAnsi="Arial" w:cs="Arial"/>
                <w:bCs/>
              </w:rPr>
            </w:pPr>
          </w:p>
        </w:tc>
        <w:tc>
          <w:tcPr>
            <w:tcW w:w="0" w:type="auto"/>
            <w:shd w:val="clear" w:color="auto" w:fill="F2F2F2"/>
          </w:tcPr>
          <w:p w14:paraId="6971D3BD" w14:textId="77777777" w:rsidR="00F53311" w:rsidRPr="00F53311" w:rsidRDefault="00F53311" w:rsidP="00F53311">
            <w:pPr>
              <w:autoSpaceDE w:val="0"/>
              <w:autoSpaceDN w:val="0"/>
              <w:adjustRightInd w:val="0"/>
              <w:jc w:val="both"/>
              <w:rPr>
                <w:rFonts w:ascii="Arial" w:hAnsi="Arial" w:cs="Arial"/>
                <w:b/>
              </w:rPr>
            </w:pPr>
            <w:r w:rsidRPr="00F53311">
              <w:rPr>
                <w:rFonts w:ascii="Arial" w:hAnsi="Arial" w:cs="Arial"/>
                <w:b/>
              </w:rPr>
              <w:t>Information for participants:</w:t>
            </w:r>
          </w:p>
        </w:tc>
        <w:tc>
          <w:tcPr>
            <w:tcW w:w="0" w:type="auto"/>
            <w:shd w:val="clear" w:color="auto" w:fill="F2F2F2"/>
            <w:vAlign w:val="bottom"/>
          </w:tcPr>
          <w:p w14:paraId="4ED4F837" w14:textId="77777777" w:rsidR="00F53311" w:rsidRPr="00F53311" w:rsidRDefault="00F53311" w:rsidP="00F53311">
            <w:pPr>
              <w:autoSpaceDE w:val="0"/>
              <w:autoSpaceDN w:val="0"/>
              <w:adjustRightInd w:val="0"/>
              <w:jc w:val="center"/>
              <w:rPr>
                <w:rFonts w:ascii="Arial" w:hAnsi="Arial" w:cs="Arial"/>
                <w:b/>
                <w:bCs/>
                <w:sz w:val="16"/>
                <w:szCs w:val="16"/>
              </w:rPr>
            </w:pPr>
          </w:p>
          <w:p w14:paraId="5B4327CD"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vAlign w:val="bottom"/>
          </w:tcPr>
          <w:p w14:paraId="3A5ACACD"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c>
          <w:tcPr>
            <w:tcW w:w="0" w:type="auto"/>
            <w:shd w:val="clear" w:color="auto" w:fill="F2F2F2"/>
          </w:tcPr>
          <w:p w14:paraId="4822E075" w14:textId="77777777" w:rsidR="00F53311" w:rsidRPr="00F53311" w:rsidRDefault="00F53311" w:rsidP="00F53311">
            <w:pPr>
              <w:autoSpaceDE w:val="0"/>
              <w:autoSpaceDN w:val="0"/>
              <w:adjustRightInd w:val="0"/>
              <w:jc w:val="center"/>
              <w:rPr>
                <w:rFonts w:ascii="Arial" w:hAnsi="Arial" w:cs="Arial"/>
                <w:b/>
                <w:bCs/>
                <w:sz w:val="16"/>
                <w:szCs w:val="16"/>
              </w:rPr>
            </w:pPr>
          </w:p>
          <w:p w14:paraId="7D09B501"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N/A</w:t>
            </w:r>
          </w:p>
        </w:tc>
      </w:tr>
      <w:tr w:rsidR="00F53311" w:rsidRPr="00F53311" w14:paraId="3870E1AF" w14:textId="77777777" w:rsidTr="00F53311">
        <w:trPr>
          <w:trHeight w:val="439"/>
        </w:trPr>
        <w:tc>
          <w:tcPr>
            <w:tcW w:w="0" w:type="auto"/>
            <w:shd w:val="clear" w:color="auto" w:fill="F2F2F2"/>
            <w:vAlign w:val="center"/>
          </w:tcPr>
          <w:p w14:paraId="41AB7B6E"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13</w:t>
            </w:r>
          </w:p>
        </w:tc>
        <w:tc>
          <w:tcPr>
            <w:tcW w:w="0" w:type="auto"/>
            <w:shd w:val="clear" w:color="auto" w:fill="F2F2F2"/>
            <w:vAlign w:val="center"/>
          </w:tcPr>
          <w:p w14:paraId="6AAB034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describe the main research procedures to participants in advance, so that they are informed about what to expect?</w:t>
            </w:r>
          </w:p>
        </w:tc>
        <w:tc>
          <w:tcPr>
            <w:tcW w:w="0" w:type="auto"/>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DAA80B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1196504"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5645378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470BE5CC" w14:textId="77777777" w:rsidTr="00F53311">
        <w:trPr>
          <w:trHeight w:val="403"/>
        </w:trPr>
        <w:tc>
          <w:tcPr>
            <w:tcW w:w="0" w:type="auto"/>
            <w:shd w:val="clear" w:color="auto" w:fill="F2F2F2"/>
            <w:vAlign w:val="center"/>
          </w:tcPr>
          <w:p w14:paraId="5D8EB8A9"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14</w:t>
            </w:r>
          </w:p>
        </w:tc>
        <w:tc>
          <w:tcPr>
            <w:tcW w:w="0" w:type="auto"/>
            <w:shd w:val="clear" w:color="auto" w:fill="F2F2F2"/>
            <w:vAlign w:val="center"/>
          </w:tcPr>
          <w:p w14:paraId="474F0D2D"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tell participants that their participation is voluntary?</w:t>
            </w:r>
          </w:p>
        </w:tc>
        <w:tc>
          <w:tcPr>
            <w:tcW w:w="0" w:type="auto"/>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3EB952C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6A8CD64"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4DC6B4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14D8201" w14:textId="77777777" w:rsidTr="00F53311">
        <w:trPr>
          <w:trHeight w:val="439"/>
        </w:trPr>
        <w:tc>
          <w:tcPr>
            <w:tcW w:w="0" w:type="auto"/>
            <w:shd w:val="clear" w:color="auto" w:fill="F2F2F2"/>
            <w:vAlign w:val="center"/>
          </w:tcPr>
          <w:p w14:paraId="2E7B91B6"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15</w:t>
            </w:r>
          </w:p>
        </w:tc>
        <w:tc>
          <w:tcPr>
            <w:tcW w:w="0" w:type="auto"/>
            <w:shd w:val="clear" w:color="auto" w:fill="F2F2F2"/>
            <w:vAlign w:val="center"/>
          </w:tcPr>
          <w:p w14:paraId="5591BB59"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obtain written consent for participation?</w:t>
            </w:r>
          </w:p>
        </w:tc>
        <w:tc>
          <w:tcPr>
            <w:tcW w:w="0" w:type="auto"/>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2CD231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2C725EF"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4D0704B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35235E2" w14:textId="77777777" w:rsidTr="00F53311">
        <w:trPr>
          <w:trHeight w:val="403"/>
        </w:trPr>
        <w:tc>
          <w:tcPr>
            <w:tcW w:w="0" w:type="auto"/>
            <w:shd w:val="clear" w:color="auto" w:fill="F2F2F2"/>
            <w:vAlign w:val="center"/>
          </w:tcPr>
          <w:p w14:paraId="358134CF"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16</w:t>
            </w:r>
          </w:p>
        </w:tc>
        <w:tc>
          <w:tcPr>
            <w:tcW w:w="0" w:type="auto"/>
            <w:shd w:val="clear" w:color="auto" w:fill="F2F2F2"/>
            <w:vAlign w:val="center"/>
          </w:tcPr>
          <w:p w14:paraId="38D3B7E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explain to participants that refusal to participate in the research will not affect their treatment or education (if relevant)?</w:t>
            </w:r>
          </w:p>
        </w:tc>
        <w:tc>
          <w:tcPr>
            <w:tcW w:w="0" w:type="auto"/>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D41DB9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52917004"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30832C9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EF463EA" w14:textId="77777777" w:rsidTr="00F53311">
        <w:trPr>
          <w:trHeight w:val="439"/>
        </w:trPr>
        <w:tc>
          <w:tcPr>
            <w:tcW w:w="0" w:type="auto"/>
            <w:shd w:val="clear" w:color="auto" w:fill="F2F2F2"/>
            <w:vAlign w:val="center"/>
          </w:tcPr>
          <w:p w14:paraId="73E9EC3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17</w:t>
            </w:r>
          </w:p>
        </w:tc>
        <w:tc>
          <w:tcPr>
            <w:tcW w:w="0" w:type="auto"/>
            <w:shd w:val="clear" w:color="auto" w:fill="F2F2F2"/>
            <w:vAlign w:val="center"/>
          </w:tcPr>
          <w:p w14:paraId="70175D3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If the research is observational, will you ask participants for their consent to being observed?</w:t>
            </w:r>
          </w:p>
        </w:tc>
        <w:tc>
          <w:tcPr>
            <w:tcW w:w="0" w:type="auto"/>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4B5F9DAF"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2E311DEA"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2D555D9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903070C" w14:textId="77777777" w:rsidTr="00F53311">
        <w:trPr>
          <w:trHeight w:val="403"/>
        </w:trPr>
        <w:tc>
          <w:tcPr>
            <w:tcW w:w="0" w:type="auto"/>
            <w:shd w:val="clear" w:color="auto" w:fill="F2F2F2"/>
            <w:vAlign w:val="center"/>
          </w:tcPr>
          <w:p w14:paraId="40A9DDBA"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18</w:t>
            </w:r>
          </w:p>
        </w:tc>
        <w:tc>
          <w:tcPr>
            <w:tcW w:w="0" w:type="auto"/>
            <w:shd w:val="clear" w:color="auto" w:fill="F2F2F2"/>
            <w:vAlign w:val="center"/>
          </w:tcPr>
          <w:p w14:paraId="4FABFA9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tell participants that they may withdraw from the research at any time and for any reason?</w:t>
            </w:r>
          </w:p>
        </w:tc>
        <w:tc>
          <w:tcPr>
            <w:tcW w:w="0" w:type="auto"/>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3BA554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E65F1AF"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7F5BA9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0F8AA22" w14:textId="77777777" w:rsidTr="00F53311">
        <w:trPr>
          <w:trHeight w:val="439"/>
        </w:trPr>
        <w:tc>
          <w:tcPr>
            <w:tcW w:w="0" w:type="auto"/>
            <w:shd w:val="clear" w:color="auto" w:fill="F2F2F2"/>
            <w:vAlign w:val="center"/>
          </w:tcPr>
          <w:p w14:paraId="54321DF1"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19</w:t>
            </w:r>
          </w:p>
        </w:tc>
        <w:tc>
          <w:tcPr>
            <w:tcW w:w="0" w:type="auto"/>
            <w:shd w:val="clear" w:color="auto" w:fill="F2F2F2"/>
            <w:vAlign w:val="center"/>
          </w:tcPr>
          <w:p w14:paraId="21B3847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With questionnaires, will you give participants the option of omitting questions they do not want to answer?</w:t>
            </w:r>
          </w:p>
        </w:tc>
        <w:tc>
          <w:tcPr>
            <w:tcW w:w="0" w:type="auto"/>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7EEC870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304857C"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6F81C89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A32D8EB" w14:textId="77777777" w:rsidTr="00F53311">
        <w:trPr>
          <w:trHeight w:val="403"/>
        </w:trPr>
        <w:tc>
          <w:tcPr>
            <w:tcW w:w="0" w:type="auto"/>
            <w:shd w:val="clear" w:color="auto" w:fill="F2F2F2"/>
            <w:vAlign w:val="center"/>
          </w:tcPr>
          <w:p w14:paraId="3EA3C89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20</w:t>
            </w:r>
          </w:p>
        </w:tc>
        <w:tc>
          <w:tcPr>
            <w:tcW w:w="0" w:type="auto"/>
            <w:shd w:val="clear" w:color="auto" w:fill="F2F2F2"/>
            <w:vAlign w:val="center"/>
          </w:tcPr>
          <w:p w14:paraId="2C526A4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tell participants that their data will be treated with full confidentiality and that, if published, it will not be identifiable as theirs?</w:t>
            </w:r>
          </w:p>
        </w:tc>
        <w:tc>
          <w:tcPr>
            <w:tcW w:w="0" w:type="auto"/>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0C4B69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59E3FB6"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2FEF61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73BCD7BA" w14:textId="77777777" w:rsidTr="00F53311">
        <w:trPr>
          <w:trHeight w:val="439"/>
        </w:trPr>
        <w:tc>
          <w:tcPr>
            <w:tcW w:w="0" w:type="auto"/>
            <w:shd w:val="clear" w:color="auto" w:fill="F2F2F2"/>
            <w:vAlign w:val="center"/>
          </w:tcPr>
          <w:p w14:paraId="3BB89B0B"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21</w:t>
            </w:r>
          </w:p>
        </w:tc>
        <w:tc>
          <w:tcPr>
            <w:tcW w:w="0" w:type="auto"/>
            <w:shd w:val="clear" w:color="auto" w:fill="F2F2F2"/>
            <w:vAlign w:val="center"/>
          </w:tcPr>
          <w:p w14:paraId="3420CF8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you debrief participants at the end of their participation, in a way appropriate to the type of research undertaken?</w:t>
            </w:r>
          </w:p>
        </w:tc>
        <w:tc>
          <w:tcPr>
            <w:tcW w:w="0" w:type="auto"/>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9C5983F"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C6EA9E9"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1C79479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15052324" w14:textId="77777777" w:rsidTr="00F53311">
        <w:trPr>
          <w:trHeight w:val="403"/>
        </w:trPr>
        <w:tc>
          <w:tcPr>
            <w:tcW w:w="0" w:type="auto"/>
            <w:tcBorders>
              <w:bottom w:val="single" w:sz="4" w:space="0" w:color="auto"/>
            </w:tcBorders>
            <w:shd w:val="clear" w:color="auto" w:fill="F2F2F2"/>
            <w:vAlign w:val="center"/>
          </w:tcPr>
          <w:p w14:paraId="2EACF348"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22</w:t>
            </w:r>
          </w:p>
        </w:tc>
        <w:tc>
          <w:tcPr>
            <w:tcW w:w="0" w:type="auto"/>
            <w:gridSpan w:val="4"/>
            <w:tcBorders>
              <w:bottom w:val="single" w:sz="4" w:space="0" w:color="auto"/>
            </w:tcBorders>
            <w:shd w:val="clear" w:color="auto" w:fill="F2F2F2"/>
            <w:vAlign w:val="center"/>
          </w:tcPr>
          <w:p w14:paraId="3BFDDC9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If NO</w:t>
            </w:r>
            <w:r w:rsidRPr="00F53311">
              <w:rPr>
                <w:rFonts w:ascii="Arial" w:hAnsi="Arial" w:cs="Arial"/>
                <w:b/>
                <w:bCs/>
              </w:rPr>
              <w:t xml:space="preserve"> </w:t>
            </w:r>
            <w:r w:rsidRPr="00F53311">
              <w:rPr>
                <w:rFonts w:ascii="Arial" w:hAnsi="Arial" w:cs="Arial"/>
              </w:rPr>
              <w:t xml:space="preserve">to any of above questions, please give an explanation </w:t>
            </w:r>
          </w:p>
        </w:tc>
      </w:tr>
      <w:tr w:rsidR="00F53311" w:rsidRPr="00F53311" w14:paraId="533249A4" w14:textId="77777777" w:rsidTr="00F53311">
        <w:trPr>
          <w:trHeight w:val="403"/>
        </w:trPr>
        <w:tc>
          <w:tcPr>
            <w:tcW w:w="0" w:type="auto"/>
            <w:vAlign w:val="center"/>
          </w:tcPr>
          <w:p w14:paraId="0121E716" w14:textId="77777777" w:rsidR="00F53311" w:rsidRPr="00F53311" w:rsidRDefault="00F53311" w:rsidP="00F53311">
            <w:pPr>
              <w:jc w:val="center"/>
              <w:rPr>
                <w:rFonts w:ascii="Arial" w:hAnsi="Arial" w:cs="Arial"/>
              </w:rPr>
            </w:pPr>
          </w:p>
        </w:tc>
        <w:tc>
          <w:tcPr>
            <w:tcW w:w="0" w:type="auto"/>
            <w:gridSpan w:val="4"/>
            <w:vAlign w:val="center"/>
          </w:tcPr>
          <w:p w14:paraId="0CAAE3A7" w14:textId="77777777" w:rsidR="00F53311" w:rsidRPr="00F53311" w:rsidRDefault="00F53311" w:rsidP="00F53311">
            <w:pPr>
              <w:rPr>
                <w:rFonts w:ascii="Arial" w:hAnsi="Arial" w:cs="Arial"/>
                <w:color w:val="00B050"/>
                <w:sz w:val="24"/>
              </w:rPr>
            </w:pPr>
            <w:r w:rsidRPr="00F53311">
              <w:rPr>
                <w:rFonts w:ascii="Arial" w:hAnsi="Arial" w:cs="Arial"/>
                <w:color w:val="00B050"/>
              </w:rPr>
              <w:t>You should be able to tick YES for all of these questions. If not, then explain why not in this box.</w:t>
            </w:r>
          </w:p>
          <w:p w14:paraId="12EC3B0A" w14:textId="77777777" w:rsidR="00F53311" w:rsidRPr="00F53311" w:rsidRDefault="00F53311" w:rsidP="00F53311">
            <w:pPr>
              <w:rPr>
                <w:rFonts w:ascii="Arial" w:hAnsi="Arial" w:cs="Arial"/>
              </w:rPr>
            </w:pPr>
          </w:p>
          <w:p w14:paraId="0BA1A48C" w14:textId="77777777" w:rsidR="00F53311" w:rsidRPr="00F53311" w:rsidRDefault="00F53311" w:rsidP="00F53311">
            <w:pPr>
              <w:autoSpaceDE w:val="0"/>
              <w:autoSpaceDN w:val="0"/>
              <w:adjustRightInd w:val="0"/>
              <w:rPr>
                <w:rFonts w:cs="Arial"/>
              </w:rPr>
            </w:pPr>
            <w:r w:rsidRPr="00F53311">
              <w:rPr>
                <w:rFonts w:ascii="Arial" w:hAnsi="Arial" w:cs="Arial"/>
                <w:i/>
                <w:color w:val="808080"/>
                <w:sz w:val="18"/>
                <w:szCs w:val="18"/>
              </w:rPr>
              <w:t>(this box should expand as you type)</w:t>
            </w:r>
          </w:p>
        </w:tc>
      </w:tr>
    </w:tbl>
    <w:p w14:paraId="4B3FF24E" w14:textId="77777777" w:rsidR="00F53311" w:rsidRPr="00F53311" w:rsidRDefault="00F53311" w:rsidP="00F53311">
      <w:pPr>
        <w:spacing w:after="0" w:line="240" w:lineRule="auto"/>
        <w:rPr>
          <w:rFonts w:ascii="Times New Roman" w:eastAsia="Times New Roman" w:hAnsi="Times New Roman" w:cs="Times New Roman"/>
          <w:sz w:val="20"/>
          <w:szCs w:val="20"/>
        </w:rPr>
      </w:pPr>
    </w:p>
    <w:tbl>
      <w:tblPr>
        <w:tblStyle w:val="TableGrid1"/>
        <w:tblW w:w="0" w:type="auto"/>
        <w:tblLook w:val="04A0" w:firstRow="1" w:lastRow="0" w:firstColumn="1" w:lastColumn="0" w:noHBand="0" w:noVBand="1"/>
      </w:tblPr>
      <w:tblGrid>
        <w:gridCol w:w="440"/>
        <w:gridCol w:w="6656"/>
        <w:gridCol w:w="699"/>
        <w:gridCol w:w="585"/>
        <w:gridCol w:w="636"/>
      </w:tblGrid>
      <w:tr w:rsidR="00F53311" w:rsidRPr="00F53311" w14:paraId="36F64CB5" w14:textId="77777777" w:rsidTr="00F53311">
        <w:tc>
          <w:tcPr>
            <w:tcW w:w="0" w:type="auto"/>
            <w:shd w:val="clear" w:color="auto" w:fill="F2F2F2"/>
          </w:tcPr>
          <w:p w14:paraId="6F3F74B2" w14:textId="77777777" w:rsidR="00F53311" w:rsidRPr="00F53311" w:rsidRDefault="00F53311" w:rsidP="00F53311">
            <w:pPr>
              <w:autoSpaceDE w:val="0"/>
              <w:autoSpaceDN w:val="0"/>
              <w:adjustRightInd w:val="0"/>
              <w:jc w:val="both"/>
              <w:rPr>
                <w:rFonts w:ascii="Arial" w:hAnsi="Arial" w:cs="Arial"/>
                <w:bCs/>
              </w:rPr>
            </w:pPr>
          </w:p>
        </w:tc>
        <w:tc>
          <w:tcPr>
            <w:tcW w:w="0" w:type="auto"/>
            <w:shd w:val="clear" w:color="auto" w:fill="F2F2F2"/>
            <w:vAlign w:val="center"/>
          </w:tcPr>
          <w:p w14:paraId="706CD31D" w14:textId="77777777" w:rsidR="00F53311" w:rsidRPr="00F53311" w:rsidRDefault="00F53311" w:rsidP="00F53311">
            <w:pPr>
              <w:autoSpaceDE w:val="0"/>
              <w:autoSpaceDN w:val="0"/>
              <w:adjustRightInd w:val="0"/>
              <w:rPr>
                <w:rFonts w:ascii="Arial" w:hAnsi="Arial" w:cs="Arial"/>
                <w:b/>
              </w:rPr>
            </w:pPr>
            <w:r w:rsidRPr="00F53311">
              <w:rPr>
                <w:rFonts w:ascii="Arial" w:hAnsi="Arial" w:cs="Arial"/>
                <w:b/>
              </w:rPr>
              <w:t>Information for participants:</w:t>
            </w:r>
          </w:p>
        </w:tc>
        <w:tc>
          <w:tcPr>
            <w:tcW w:w="0" w:type="auto"/>
            <w:shd w:val="clear" w:color="auto" w:fill="F2F2F2"/>
            <w:vAlign w:val="bottom"/>
          </w:tcPr>
          <w:p w14:paraId="19EBE285" w14:textId="77777777" w:rsidR="00F53311" w:rsidRPr="00F53311" w:rsidRDefault="00F53311" w:rsidP="00F53311">
            <w:pPr>
              <w:autoSpaceDE w:val="0"/>
              <w:autoSpaceDN w:val="0"/>
              <w:adjustRightInd w:val="0"/>
              <w:jc w:val="center"/>
              <w:rPr>
                <w:rFonts w:ascii="Arial" w:hAnsi="Arial" w:cs="Arial"/>
                <w:b/>
                <w:bCs/>
                <w:sz w:val="16"/>
                <w:szCs w:val="16"/>
              </w:rPr>
            </w:pPr>
          </w:p>
          <w:p w14:paraId="095DB9D9"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vAlign w:val="bottom"/>
          </w:tcPr>
          <w:p w14:paraId="6BAF6FC7"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c>
          <w:tcPr>
            <w:tcW w:w="0" w:type="auto"/>
            <w:shd w:val="clear" w:color="auto" w:fill="F2F2F2"/>
            <w:vAlign w:val="bottom"/>
          </w:tcPr>
          <w:p w14:paraId="44601D1A" w14:textId="77777777" w:rsidR="00F53311" w:rsidRPr="00F53311" w:rsidRDefault="00F53311" w:rsidP="00F53311">
            <w:pPr>
              <w:autoSpaceDE w:val="0"/>
              <w:autoSpaceDN w:val="0"/>
              <w:adjustRightInd w:val="0"/>
              <w:jc w:val="center"/>
              <w:rPr>
                <w:rFonts w:ascii="Arial" w:hAnsi="Arial" w:cs="Arial"/>
                <w:b/>
                <w:bCs/>
                <w:sz w:val="16"/>
                <w:szCs w:val="16"/>
              </w:rPr>
            </w:pPr>
          </w:p>
          <w:p w14:paraId="3649595E"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N/A</w:t>
            </w:r>
          </w:p>
        </w:tc>
      </w:tr>
      <w:tr w:rsidR="00F53311" w:rsidRPr="00F53311" w14:paraId="1AB7A4DD" w14:textId="77777777" w:rsidTr="00F53311">
        <w:trPr>
          <w:trHeight w:val="439"/>
        </w:trPr>
        <w:tc>
          <w:tcPr>
            <w:tcW w:w="0" w:type="auto"/>
            <w:shd w:val="clear" w:color="auto" w:fill="F2F2F2"/>
            <w:vAlign w:val="center"/>
          </w:tcPr>
          <w:p w14:paraId="21E9824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24</w:t>
            </w:r>
          </w:p>
        </w:tc>
        <w:tc>
          <w:tcPr>
            <w:tcW w:w="0" w:type="auto"/>
            <w:shd w:val="clear" w:color="auto" w:fill="F2F2F2"/>
            <w:vAlign w:val="center"/>
          </w:tcPr>
          <w:p w14:paraId="16371B42"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participants be paid?</w:t>
            </w:r>
          </w:p>
        </w:tc>
        <w:tc>
          <w:tcPr>
            <w:tcW w:w="0" w:type="auto"/>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B1D816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15FB1342"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C1E8A97"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1F61C677" w14:textId="77777777" w:rsidTr="00F53311">
        <w:trPr>
          <w:trHeight w:val="403"/>
        </w:trPr>
        <w:tc>
          <w:tcPr>
            <w:tcW w:w="0" w:type="auto"/>
            <w:shd w:val="clear" w:color="auto" w:fill="F2F2F2"/>
            <w:vAlign w:val="center"/>
          </w:tcPr>
          <w:p w14:paraId="123C7C3E"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25</w:t>
            </w:r>
          </w:p>
        </w:tc>
        <w:tc>
          <w:tcPr>
            <w:tcW w:w="0" w:type="auto"/>
            <w:shd w:val="clear" w:color="auto" w:fill="F2F2F2"/>
            <w:vAlign w:val="center"/>
          </w:tcPr>
          <w:p w14:paraId="357714B7"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Is specialist electrical or other equipment to be used with participants?</w:t>
            </w:r>
          </w:p>
        </w:tc>
        <w:tc>
          <w:tcPr>
            <w:tcW w:w="0" w:type="auto"/>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3462812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42028D3D"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6F13A9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F6FA287" w14:textId="77777777" w:rsidTr="00F53311">
        <w:trPr>
          <w:trHeight w:val="439"/>
        </w:trPr>
        <w:tc>
          <w:tcPr>
            <w:tcW w:w="0" w:type="auto"/>
            <w:shd w:val="clear" w:color="auto" w:fill="F2F2F2"/>
            <w:vAlign w:val="center"/>
          </w:tcPr>
          <w:p w14:paraId="050796C8"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26</w:t>
            </w:r>
          </w:p>
        </w:tc>
        <w:tc>
          <w:tcPr>
            <w:tcW w:w="0" w:type="auto"/>
            <w:shd w:val="clear" w:color="auto" w:fill="F2F2F2"/>
            <w:vAlign w:val="center"/>
          </w:tcPr>
          <w:p w14:paraId="0F30181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Are there any financial or other interests to the investigator or University arising from this study?</w:t>
            </w:r>
          </w:p>
        </w:tc>
        <w:tc>
          <w:tcPr>
            <w:tcW w:w="0" w:type="auto"/>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3186B3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AD50BEC"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A371D6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4B089430" w14:textId="77777777" w:rsidTr="00F53311">
        <w:trPr>
          <w:trHeight w:val="403"/>
        </w:trPr>
        <w:tc>
          <w:tcPr>
            <w:tcW w:w="0" w:type="auto"/>
            <w:shd w:val="clear" w:color="auto" w:fill="F2F2F2"/>
            <w:vAlign w:val="center"/>
          </w:tcPr>
          <w:p w14:paraId="68BAF22D"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27</w:t>
            </w:r>
          </w:p>
        </w:tc>
        <w:tc>
          <w:tcPr>
            <w:tcW w:w="0" w:type="auto"/>
            <w:shd w:val="clear" w:color="auto" w:fill="F2F2F2"/>
            <w:vAlign w:val="center"/>
          </w:tcPr>
          <w:p w14:paraId="66E9A01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Will the research activity involve deliberately misleading participants in any way, or the partial or full concealment of the specific study aims?</w:t>
            </w:r>
          </w:p>
        </w:tc>
        <w:tc>
          <w:tcPr>
            <w:tcW w:w="0" w:type="auto"/>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BAF2983"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79D83EEF"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7F3477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1145E9C2" w14:textId="77777777" w:rsidTr="00F53311">
        <w:trPr>
          <w:trHeight w:val="403"/>
        </w:trPr>
        <w:tc>
          <w:tcPr>
            <w:tcW w:w="0" w:type="auto"/>
            <w:shd w:val="clear" w:color="auto" w:fill="F2F2F2"/>
            <w:vAlign w:val="center"/>
          </w:tcPr>
          <w:p w14:paraId="2329E30F"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28</w:t>
            </w:r>
          </w:p>
        </w:tc>
        <w:tc>
          <w:tcPr>
            <w:tcW w:w="0" w:type="auto"/>
            <w:gridSpan w:val="4"/>
            <w:shd w:val="clear" w:color="auto" w:fill="F2F2F2"/>
            <w:vAlign w:val="center"/>
          </w:tcPr>
          <w:p w14:paraId="18F8865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If YES</w:t>
            </w:r>
            <w:r w:rsidRPr="00F53311">
              <w:rPr>
                <w:rFonts w:ascii="Arial" w:hAnsi="Arial" w:cs="Arial"/>
                <w:b/>
                <w:bCs/>
              </w:rPr>
              <w:t xml:space="preserve"> </w:t>
            </w:r>
            <w:r w:rsidRPr="00F53311">
              <w:rPr>
                <w:rFonts w:ascii="Arial" w:hAnsi="Arial" w:cs="Arial"/>
              </w:rPr>
              <w:t xml:space="preserve">to any question, please provide full details </w:t>
            </w:r>
          </w:p>
        </w:tc>
      </w:tr>
      <w:tr w:rsidR="00F53311" w:rsidRPr="00F53311" w14:paraId="0DFF6AEF" w14:textId="77777777" w:rsidTr="00F53311">
        <w:trPr>
          <w:trHeight w:val="403"/>
        </w:trPr>
        <w:tc>
          <w:tcPr>
            <w:tcW w:w="0" w:type="auto"/>
            <w:vAlign w:val="center"/>
          </w:tcPr>
          <w:p w14:paraId="42257584" w14:textId="77777777" w:rsidR="00F53311" w:rsidRPr="00F53311" w:rsidRDefault="00F53311" w:rsidP="00F53311">
            <w:pPr>
              <w:jc w:val="center"/>
              <w:rPr>
                <w:rFonts w:ascii="Arial" w:hAnsi="Arial" w:cs="Arial"/>
              </w:rPr>
            </w:pPr>
          </w:p>
        </w:tc>
        <w:tc>
          <w:tcPr>
            <w:tcW w:w="0" w:type="auto"/>
            <w:gridSpan w:val="4"/>
            <w:vAlign w:val="center"/>
          </w:tcPr>
          <w:p w14:paraId="321A3214" w14:textId="77777777" w:rsidR="00F53311" w:rsidRPr="00F53311" w:rsidRDefault="00F53311" w:rsidP="00F53311">
            <w:pPr>
              <w:rPr>
                <w:rFonts w:ascii="Arial" w:hAnsi="Arial" w:cs="Arial"/>
                <w:color w:val="00B050"/>
                <w:sz w:val="24"/>
              </w:rPr>
            </w:pPr>
            <w:r w:rsidRPr="00F53311">
              <w:rPr>
                <w:rFonts w:ascii="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p>
          <w:p w14:paraId="31FFFD09" w14:textId="77777777" w:rsidR="00F53311" w:rsidRPr="00F53311" w:rsidRDefault="00F53311" w:rsidP="00F53311">
            <w:pPr>
              <w:rPr>
                <w:rFonts w:ascii="Arial" w:hAnsi="Arial" w:cs="Arial"/>
              </w:rPr>
            </w:pPr>
          </w:p>
          <w:p w14:paraId="449B1EF5" w14:textId="77777777" w:rsidR="00F53311" w:rsidRPr="00F53311" w:rsidRDefault="00F53311" w:rsidP="00F53311">
            <w:pPr>
              <w:autoSpaceDE w:val="0"/>
              <w:autoSpaceDN w:val="0"/>
              <w:adjustRightInd w:val="0"/>
              <w:rPr>
                <w:rFonts w:cs="Arial"/>
              </w:rPr>
            </w:pPr>
            <w:r w:rsidRPr="00F53311">
              <w:rPr>
                <w:rFonts w:ascii="Arial" w:hAnsi="Arial" w:cs="Arial"/>
                <w:i/>
                <w:color w:val="808080"/>
                <w:sz w:val="18"/>
                <w:szCs w:val="18"/>
              </w:rPr>
              <w:t>(this box should expand as you type)</w:t>
            </w:r>
          </w:p>
        </w:tc>
      </w:tr>
    </w:tbl>
    <w:p w14:paraId="1AB602B5"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p>
    <w:p w14:paraId="53928FDA"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b/>
        </w:rPr>
        <w:t>SECTION F: Anticipated Risks</w:t>
      </w:r>
    </w:p>
    <w:p w14:paraId="38A57D94" w14:textId="77777777" w:rsidR="00F53311" w:rsidRPr="00F53311" w:rsidRDefault="00F53311" w:rsidP="00F53311">
      <w:pPr>
        <w:spacing w:after="0" w:line="240" w:lineRule="auto"/>
        <w:rPr>
          <w:rFonts w:ascii="Arial" w:eastAsia="Times New Roman"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4439"/>
        <w:gridCol w:w="4272"/>
      </w:tblGrid>
      <w:tr w:rsidR="00F53311" w:rsidRPr="00F53311" w14:paraId="06A9CAC9" w14:textId="77777777" w:rsidTr="00F53311">
        <w:tc>
          <w:tcPr>
            <w:tcW w:w="0" w:type="auto"/>
            <w:tcBorders>
              <w:bottom w:val="single" w:sz="4" w:space="0" w:color="auto"/>
            </w:tcBorders>
            <w:shd w:val="clear" w:color="auto" w:fill="F2F2F2"/>
          </w:tcPr>
          <w:p w14:paraId="3FCF795F" w14:textId="77777777" w:rsidR="00F53311" w:rsidRPr="00F53311" w:rsidRDefault="00F53311" w:rsidP="00F53311">
            <w:pPr>
              <w:keepNext/>
              <w:tabs>
                <w:tab w:val="left" w:pos="5103"/>
              </w:tabs>
              <w:spacing w:after="0" w:line="240" w:lineRule="auto"/>
              <w:outlineLvl w:val="0"/>
              <w:rPr>
                <w:rFonts w:ascii="Arial" w:eastAsia="Times New Roman" w:hAnsi="Arial" w:cs="Arial"/>
              </w:rPr>
            </w:pPr>
          </w:p>
        </w:tc>
        <w:tc>
          <w:tcPr>
            <w:tcW w:w="0" w:type="auto"/>
            <w:gridSpan w:val="2"/>
            <w:tcBorders>
              <w:bottom w:val="single" w:sz="4" w:space="0" w:color="auto"/>
            </w:tcBorders>
            <w:shd w:val="clear" w:color="auto" w:fill="F2F2F2"/>
          </w:tcPr>
          <w:p w14:paraId="15700CDA" w14:textId="77777777" w:rsidR="00F53311" w:rsidRPr="00F53311" w:rsidRDefault="00F53311" w:rsidP="00F53311">
            <w:pPr>
              <w:keepNext/>
              <w:tabs>
                <w:tab w:val="left" w:pos="5103"/>
              </w:tabs>
              <w:spacing w:after="0" w:line="240" w:lineRule="auto"/>
              <w:outlineLvl w:val="0"/>
              <w:rPr>
                <w:rFonts w:ascii="Arial" w:eastAsia="Times New Roman" w:hAnsi="Arial" w:cs="Arial"/>
                <w:b/>
                <w:bCs/>
              </w:rPr>
            </w:pPr>
            <w:r w:rsidRPr="00F53311">
              <w:rPr>
                <w:rFonts w:ascii="Arial" w:eastAsia="Times New Roman" w:hAnsi="Arial" w:cs="Arial"/>
                <w:b/>
                <w:bCs/>
              </w:rPr>
              <w:br w:type="page"/>
              <w:t>Outline any anticipated risks</w:t>
            </w:r>
            <w:r w:rsidRPr="00F53311">
              <w:rPr>
                <w:rFonts w:ascii="Arial" w:eastAsia="SimSun" w:hAnsi="Arial" w:cs="Arial"/>
                <w:b/>
                <w:bCs/>
                <w:lang w:eastAsia="zh-CN"/>
              </w:rPr>
              <w:t xml:space="preserve"> </w:t>
            </w:r>
            <w:r w:rsidRPr="00F53311">
              <w:rPr>
                <w:rFonts w:ascii="Arial" w:eastAsia="Times New Roman" w:hAnsi="Arial" w:cs="Arial"/>
                <w:b/>
                <w:bCs/>
              </w:rPr>
              <w:t xml:space="preserve">that may adversely affect any of the participants, the researchers and/or the University, and the steps that will be taken to address them.  </w:t>
            </w:r>
          </w:p>
        </w:tc>
      </w:tr>
      <w:tr w:rsidR="00F53311" w:rsidRPr="00F53311" w14:paraId="3795C974" w14:textId="77777777" w:rsidTr="00F53311">
        <w:tc>
          <w:tcPr>
            <w:tcW w:w="0" w:type="auto"/>
            <w:tcBorders>
              <w:bottom w:val="single" w:sz="4" w:space="0" w:color="auto"/>
            </w:tcBorders>
            <w:shd w:val="clear" w:color="auto" w:fill="F2F2F2"/>
            <w:vAlign w:val="center"/>
          </w:tcPr>
          <w:p w14:paraId="3AD52E5A"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1</w:t>
            </w:r>
          </w:p>
        </w:tc>
        <w:tc>
          <w:tcPr>
            <w:tcW w:w="0" w:type="auto"/>
            <w:gridSpan w:val="2"/>
            <w:tcBorders>
              <w:bottom w:val="single" w:sz="4" w:space="0" w:color="auto"/>
            </w:tcBorders>
            <w:shd w:val="clear" w:color="auto" w:fill="F2F2F2"/>
          </w:tcPr>
          <w:p w14:paraId="1F60086A"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Risks to participants</w:t>
            </w:r>
          </w:p>
          <w:p w14:paraId="422F9C8E"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rPr>
              <w:t xml:space="preserve">For example: sector-specific health &amp; safety, emotional distress, financial disclosure, physical harm, transfer of personal data, sensitive organisational information. If you </w:t>
            </w:r>
            <w:r w:rsidRPr="00F53311">
              <w:rPr>
                <w:rFonts w:ascii="Arial" w:eastAsia="Times New Roman" w:hAnsi="Arial" w:cs="Arial"/>
              </w:rPr>
              <w:lastRenderedPageBreak/>
              <w:t>have identified in section D that there are no participants, then enter N/A and go skip to question 3.</w:t>
            </w:r>
          </w:p>
        </w:tc>
      </w:tr>
      <w:tr w:rsidR="00F53311" w:rsidRPr="00F53311" w14:paraId="21299638" w14:textId="77777777" w:rsidTr="00F53311">
        <w:tc>
          <w:tcPr>
            <w:tcW w:w="0" w:type="auto"/>
            <w:tcBorders>
              <w:top w:val="single" w:sz="4" w:space="0" w:color="auto"/>
              <w:bottom w:val="single" w:sz="4" w:space="0" w:color="auto"/>
            </w:tcBorders>
            <w:vAlign w:val="center"/>
          </w:tcPr>
          <w:p w14:paraId="085E4721"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rPr>
            </w:pPr>
          </w:p>
        </w:tc>
        <w:tc>
          <w:tcPr>
            <w:tcW w:w="0" w:type="auto"/>
            <w:tcBorders>
              <w:top w:val="single" w:sz="4" w:space="0" w:color="auto"/>
              <w:bottom w:val="single" w:sz="4" w:space="0" w:color="auto"/>
            </w:tcBorders>
          </w:tcPr>
          <w:p w14:paraId="23DB6441"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Risk to participants:</w:t>
            </w:r>
          </w:p>
          <w:p w14:paraId="32A1CBFC" w14:textId="77777777" w:rsidR="00F53311" w:rsidRPr="00F53311" w:rsidRDefault="00F53311" w:rsidP="00F53311">
            <w:pPr>
              <w:spacing w:after="0" w:line="240" w:lineRule="auto"/>
              <w:rPr>
                <w:rFonts w:ascii="Arial" w:eastAsia="Times New Roman" w:hAnsi="Arial" w:cs="Arial"/>
                <w:color w:val="00B050"/>
              </w:rPr>
            </w:pPr>
          </w:p>
          <w:p w14:paraId="041B4922" w14:textId="77777777" w:rsidR="00F53311" w:rsidRPr="00F53311" w:rsidRDefault="00F53311" w:rsidP="00F53311">
            <w:pPr>
              <w:spacing w:after="0" w:line="240" w:lineRule="auto"/>
              <w:rPr>
                <w:rFonts w:ascii="Arial" w:eastAsia="Times New Roman" w:hAnsi="Arial" w:cs="Arial"/>
                <w:color w:val="00B050"/>
              </w:rPr>
            </w:pPr>
            <w:r w:rsidRPr="00F53311">
              <w:rPr>
                <w:rFonts w:ascii="Arial" w:eastAsia="Times New Roman" w:hAnsi="Arial" w:cs="Arial"/>
                <w:color w:val="00B050"/>
              </w:rPr>
              <w:t>There is a small risk that participants may feel uncomfortable sharing their opinions or experiences, particularly if they feel their responses could be judged. There is also a potential risk related to data privacy, as participants will be providing information online. Although the topic is not highly sensitive, some participants may feel uneasy discussing their views on marketing or social media behaviour..</w:t>
            </w:r>
          </w:p>
          <w:p w14:paraId="25D154E0" w14:textId="77777777" w:rsidR="00F53311" w:rsidRPr="00F53311" w:rsidRDefault="00F53311" w:rsidP="00F53311">
            <w:pPr>
              <w:spacing w:after="0" w:line="240" w:lineRule="auto"/>
              <w:rPr>
                <w:rFonts w:ascii="Arial" w:eastAsia="Times New Roman" w:hAnsi="Arial" w:cs="Arial"/>
              </w:rPr>
            </w:pPr>
          </w:p>
          <w:p w14:paraId="6AB1DFB4"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i/>
                <w:color w:val="808080"/>
                <w:sz w:val="18"/>
                <w:szCs w:val="18"/>
              </w:rPr>
              <w:t>(this box should expand as you type)</w:t>
            </w:r>
          </w:p>
        </w:tc>
        <w:tc>
          <w:tcPr>
            <w:tcW w:w="0" w:type="auto"/>
            <w:tcBorders>
              <w:top w:val="single" w:sz="4" w:space="0" w:color="auto"/>
              <w:bottom w:val="single" w:sz="4" w:space="0" w:color="auto"/>
            </w:tcBorders>
          </w:tcPr>
          <w:p w14:paraId="44DFDD6C" w14:textId="77777777" w:rsidR="00F53311" w:rsidRPr="00F53311" w:rsidRDefault="00F53311" w:rsidP="00F53311">
            <w:pPr>
              <w:autoSpaceDE w:val="0"/>
              <w:autoSpaceDN w:val="0"/>
              <w:adjustRightInd w:val="0"/>
              <w:spacing w:after="0" w:line="240" w:lineRule="auto"/>
              <w:rPr>
                <w:rFonts w:ascii="Arial" w:eastAsia="Times New Roman" w:hAnsi="Arial" w:cs="Arial"/>
                <w:i/>
                <w:sz w:val="18"/>
                <w:szCs w:val="18"/>
              </w:rPr>
            </w:pPr>
            <w:r w:rsidRPr="00F53311">
              <w:rPr>
                <w:rFonts w:ascii="Arial" w:eastAsia="Times New Roman" w:hAnsi="Arial" w:cs="Arial"/>
                <w:i/>
                <w:sz w:val="18"/>
                <w:szCs w:val="18"/>
              </w:rPr>
              <w:t>How you will mitigate the risk to participants:</w:t>
            </w:r>
          </w:p>
          <w:p w14:paraId="5B3E5AB0"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i/>
                <w:sz w:val="20"/>
                <w:szCs w:val="20"/>
              </w:rPr>
            </w:pPr>
          </w:p>
          <w:p w14:paraId="022A05B5"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iCs/>
                <w:sz w:val="20"/>
                <w:szCs w:val="20"/>
              </w:rPr>
            </w:pPr>
            <w:r w:rsidRPr="00F53311">
              <w:rPr>
                <w:rFonts w:ascii="Times New Roman" w:eastAsia="Times New Roman" w:hAnsi="Times New Roman" w:cs="Arial"/>
                <w:iCs/>
                <w:sz w:val="20"/>
                <w:szCs w:val="20"/>
              </w:rPr>
              <w:t>These risks will be minimised by ensuring that participation is completely voluntary and that participants can withdraw at any time without giving a reason. All responses will be kept anonymous, and no personally identifiable information will be collected or shared. Clear information about the study will be provided, and informed consent will be obtained before participation. Data will be stored securely in line with data protection regulations.</w:t>
            </w:r>
          </w:p>
        </w:tc>
      </w:tr>
      <w:tr w:rsidR="00F53311" w:rsidRPr="00F53311" w14:paraId="3FA06B22" w14:textId="77777777" w:rsidTr="00F53311">
        <w:tc>
          <w:tcPr>
            <w:tcW w:w="0" w:type="auto"/>
            <w:tcBorders>
              <w:bottom w:val="single" w:sz="4" w:space="0" w:color="auto"/>
            </w:tcBorders>
            <w:shd w:val="clear" w:color="auto" w:fill="F2F2F2"/>
            <w:vAlign w:val="center"/>
          </w:tcPr>
          <w:p w14:paraId="5374B54A"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2</w:t>
            </w:r>
          </w:p>
        </w:tc>
        <w:tc>
          <w:tcPr>
            <w:tcW w:w="0" w:type="auto"/>
            <w:gridSpan w:val="2"/>
            <w:tcBorders>
              <w:bottom w:val="single" w:sz="4" w:space="0" w:color="auto"/>
            </w:tcBorders>
            <w:shd w:val="clear" w:color="auto" w:fill="F2F2F2"/>
          </w:tcPr>
          <w:p w14:paraId="3F5BCBA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53311">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53311" w:rsidRPr="00F53311" w14:paraId="48FD900D" w14:textId="77777777" w:rsidTr="00F53311">
        <w:tc>
          <w:tcPr>
            <w:tcW w:w="0" w:type="auto"/>
            <w:tcBorders>
              <w:top w:val="single" w:sz="4" w:space="0" w:color="auto"/>
              <w:bottom w:val="single" w:sz="4" w:space="0" w:color="auto"/>
            </w:tcBorders>
            <w:vAlign w:val="center"/>
          </w:tcPr>
          <w:p w14:paraId="083ACA4D" w14:textId="77777777" w:rsidR="00F53311" w:rsidRPr="00F53311" w:rsidRDefault="00F53311" w:rsidP="00F53311">
            <w:pPr>
              <w:spacing w:after="0" w:line="240" w:lineRule="auto"/>
              <w:jc w:val="center"/>
              <w:rPr>
                <w:rFonts w:ascii="Arial" w:eastAsia="Times New Roman" w:hAnsi="Arial" w:cs="Arial"/>
              </w:rPr>
            </w:pPr>
          </w:p>
        </w:tc>
        <w:tc>
          <w:tcPr>
            <w:tcW w:w="0" w:type="auto"/>
            <w:gridSpan w:val="2"/>
            <w:tcBorders>
              <w:top w:val="single" w:sz="4" w:space="0" w:color="auto"/>
              <w:bottom w:val="single" w:sz="4" w:space="0" w:color="auto"/>
            </w:tcBorders>
          </w:tcPr>
          <w:p w14:paraId="526FA25F" w14:textId="77777777" w:rsidR="00F53311" w:rsidRPr="00F53311" w:rsidRDefault="00F53311" w:rsidP="00F53311">
            <w:pPr>
              <w:spacing w:after="0" w:line="240" w:lineRule="auto"/>
              <w:rPr>
                <w:rFonts w:ascii="Arial" w:eastAsia="Times New Roman" w:hAnsi="Arial" w:cs="Arial"/>
              </w:rPr>
            </w:pPr>
          </w:p>
          <w:p w14:paraId="1FB4EB68" w14:textId="77777777" w:rsidR="00F53311" w:rsidRPr="00F53311" w:rsidRDefault="00F53311" w:rsidP="00F53311">
            <w:pPr>
              <w:spacing w:after="0" w:line="240" w:lineRule="auto"/>
              <w:rPr>
                <w:rFonts w:ascii="Arial" w:eastAsia="Times New Roman" w:hAnsi="Arial" w:cs="Arial"/>
              </w:rPr>
            </w:pPr>
          </w:p>
          <w:p w14:paraId="7AB7C6E6" w14:textId="77777777" w:rsidR="00F53311" w:rsidRPr="00F53311" w:rsidRDefault="00F53311" w:rsidP="00F53311">
            <w:pPr>
              <w:spacing w:after="0" w:line="240" w:lineRule="auto"/>
              <w:rPr>
                <w:rFonts w:ascii="Arial" w:eastAsia="Times New Roman" w:hAnsi="Arial" w:cs="Arial"/>
              </w:rPr>
            </w:pPr>
          </w:p>
          <w:p w14:paraId="775668C0"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r w:rsidR="00F53311" w:rsidRPr="00F53311" w14:paraId="10D63D70" w14:textId="77777777" w:rsidTr="00F53311">
        <w:tc>
          <w:tcPr>
            <w:tcW w:w="0" w:type="auto"/>
            <w:tcBorders>
              <w:top w:val="single" w:sz="4" w:space="0" w:color="auto"/>
              <w:bottom w:val="single" w:sz="4" w:space="0" w:color="auto"/>
            </w:tcBorders>
            <w:shd w:val="clear" w:color="auto" w:fill="F2F2F2"/>
            <w:vAlign w:val="center"/>
          </w:tcPr>
          <w:p w14:paraId="428C17C4"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3</w:t>
            </w:r>
          </w:p>
        </w:tc>
        <w:tc>
          <w:tcPr>
            <w:tcW w:w="0" w:type="auto"/>
            <w:gridSpan w:val="2"/>
            <w:tcBorders>
              <w:top w:val="single" w:sz="4" w:space="0" w:color="auto"/>
              <w:bottom w:val="single" w:sz="4" w:space="0" w:color="auto"/>
            </w:tcBorders>
            <w:shd w:val="clear" w:color="auto" w:fill="F2F2F2"/>
          </w:tcPr>
          <w:p w14:paraId="13789A44"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Risks to the investigator</w:t>
            </w:r>
          </w:p>
          <w:p w14:paraId="14C2D0F0"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For example: personal health &amp; safety, physical harm, emotional distress, risk of accusation of harm/impropriety, conflict of interest</w:t>
            </w:r>
          </w:p>
        </w:tc>
      </w:tr>
      <w:tr w:rsidR="00F53311" w:rsidRPr="00F53311" w14:paraId="4098C6E9" w14:textId="77777777" w:rsidTr="00F53311">
        <w:tc>
          <w:tcPr>
            <w:tcW w:w="0" w:type="auto"/>
            <w:tcBorders>
              <w:top w:val="single" w:sz="4" w:space="0" w:color="auto"/>
              <w:bottom w:val="single" w:sz="4" w:space="0" w:color="auto"/>
            </w:tcBorders>
            <w:vAlign w:val="center"/>
          </w:tcPr>
          <w:p w14:paraId="05FFB8A6"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rPr>
            </w:pPr>
          </w:p>
        </w:tc>
        <w:tc>
          <w:tcPr>
            <w:tcW w:w="0" w:type="auto"/>
            <w:tcBorders>
              <w:top w:val="single" w:sz="4" w:space="0" w:color="auto"/>
              <w:bottom w:val="single" w:sz="4" w:space="0" w:color="auto"/>
            </w:tcBorders>
          </w:tcPr>
          <w:p w14:paraId="3E5B6C4E"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Risk to the investigator:</w:t>
            </w:r>
          </w:p>
          <w:p w14:paraId="5456C86C" w14:textId="77777777" w:rsidR="00F53311" w:rsidRPr="00F53311" w:rsidRDefault="00F53311" w:rsidP="00F53311">
            <w:pPr>
              <w:spacing w:after="0" w:line="240" w:lineRule="auto"/>
              <w:rPr>
                <w:rFonts w:ascii="Arial" w:eastAsia="Times New Roman" w:hAnsi="Arial" w:cs="Arial"/>
                <w:color w:val="00B050"/>
              </w:rPr>
            </w:pPr>
            <w:r w:rsidRPr="00F53311">
              <w:rPr>
                <w:rFonts w:ascii="Arial" w:eastAsia="Times New Roman" w:hAnsi="Arial" w:cs="Arial"/>
                <w:color w:val="00B050"/>
              </w:rPr>
              <w:t>There are always risks. Do not write NA.</w:t>
            </w:r>
          </w:p>
          <w:p w14:paraId="2053BA24" w14:textId="77777777" w:rsidR="00F53311" w:rsidRPr="00F53311" w:rsidRDefault="00F53311" w:rsidP="00F53311">
            <w:pPr>
              <w:spacing w:after="0" w:line="240" w:lineRule="auto"/>
              <w:rPr>
                <w:rFonts w:ascii="Arial" w:eastAsia="Times New Roman" w:hAnsi="Arial" w:cs="Arial"/>
              </w:rPr>
            </w:pPr>
          </w:p>
          <w:p w14:paraId="4718C7ED" w14:textId="77777777" w:rsidR="00F53311" w:rsidRPr="00F53311" w:rsidRDefault="00F53311" w:rsidP="00F53311">
            <w:pPr>
              <w:spacing w:after="0" w:line="240" w:lineRule="auto"/>
              <w:rPr>
                <w:rFonts w:ascii="Arial" w:eastAsia="Times New Roman" w:hAnsi="Arial" w:cs="Arial"/>
              </w:rPr>
            </w:pPr>
          </w:p>
          <w:p w14:paraId="1CBAA891"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i/>
                <w:color w:val="808080"/>
                <w:sz w:val="18"/>
                <w:szCs w:val="18"/>
              </w:rPr>
              <w:t>(this box should expand as you type)</w:t>
            </w:r>
          </w:p>
        </w:tc>
        <w:tc>
          <w:tcPr>
            <w:tcW w:w="0" w:type="auto"/>
            <w:tcBorders>
              <w:top w:val="single" w:sz="4" w:space="0" w:color="auto"/>
              <w:bottom w:val="single" w:sz="4" w:space="0" w:color="auto"/>
            </w:tcBorders>
          </w:tcPr>
          <w:p w14:paraId="3FE17182" w14:textId="77777777" w:rsidR="00F53311" w:rsidRPr="00F53311" w:rsidRDefault="00F53311" w:rsidP="00F53311">
            <w:pPr>
              <w:autoSpaceDE w:val="0"/>
              <w:autoSpaceDN w:val="0"/>
              <w:adjustRightInd w:val="0"/>
              <w:spacing w:after="0" w:line="240" w:lineRule="auto"/>
              <w:rPr>
                <w:rFonts w:ascii="Arial" w:eastAsia="Times New Roman" w:hAnsi="Arial" w:cs="Arial"/>
                <w:i/>
                <w:sz w:val="18"/>
                <w:szCs w:val="18"/>
              </w:rPr>
            </w:pPr>
            <w:r w:rsidRPr="00F53311">
              <w:rPr>
                <w:rFonts w:ascii="Arial" w:eastAsia="Times New Roman" w:hAnsi="Arial" w:cs="Arial"/>
                <w:i/>
                <w:sz w:val="18"/>
                <w:szCs w:val="18"/>
              </w:rPr>
              <w:t>How you will mitigate the risk to the investigator:</w:t>
            </w:r>
          </w:p>
          <w:p w14:paraId="46CC4FDC" w14:textId="77777777" w:rsidR="00F53311" w:rsidRPr="00F53311" w:rsidRDefault="00F53311" w:rsidP="00F53311">
            <w:pPr>
              <w:spacing w:after="0" w:line="240" w:lineRule="auto"/>
              <w:rPr>
                <w:rFonts w:ascii="Arial" w:eastAsia="Times New Roman" w:hAnsi="Arial" w:cs="Arial"/>
              </w:rPr>
            </w:pPr>
          </w:p>
          <w:p w14:paraId="27207747" w14:textId="77777777" w:rsidR="00F53311" w:rsidRPr="00F53311" w:rsidRDefault="00F53311" w:rsidP="00F53311">
            <w:pPr>
              <w:spacing w:after="0" w:line="240" w:lineRule="auto"/>
              <w:rPr>
                <w:rFonts w:ascii="Arial" w:eastAsia="Times New Roman" w:hAnsi="Arial" w:cs="Arial"/>
              </w:rPr>
            </w:pPr>
          </w:p>
          <w:p w14:paraId="238C95CB" w14:textId="77777777" w:rsidR="00F53311" w:rsidRPr="00F53311" w:rsidRDefault="00F53311" w:rsidP="00F53311">
            <w:pPr>
              <w:spacing w:after="0" w:line="240" w:lineRule="auto"/>
              <w:rPr>
                <w:rFonts w:ascii="Arial" w:eastAsia="Times New Roman" w:hAnsi="Arial" w:cs="Arial"/>
              </w:rPr>
            </w:pPr>
          </w:p>
          <w:p w14:paraId="635B4CA8"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r w:rsidR="00F53311" w:rsidRPr="00F53311" w14:paraId="6E0DA83E" w14:textId="77777777" w:rsidTr="00F53311">
        <w:tc>
          <w:tcPr>
            <w:tcW w:w="0" w:type="auto"/>
            <w:tcBorders>
              <w:top w:val="single" w:sz="4" w:space="0" w:color="auto"/>
              <w:bottom w:val="single" w:sz="4" w:space="0" w:color="auto"/>
            </w:tcBorders>
            <w:shd w:val="clear" w:color="auto" w:fill="F2F2F2"/>
            <w:vAlign w:val="center"/>
          </w:tcPr>
          <w:p w14:paraId="4013B87A"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4</w:t>
            </w:r>
          </w:p>
        </w:tc>
        <w:tc>
          <w:tcPr>
            <w:tcW w:w="0" w:type="auto"/>
            <w:gridSpan w:val="2"/>
            <w:tcBorders>
              <w:top w:val="single" w:sz="4" w:space="0" w:color="auto"/>
              <w:bottom w:val="single" w:sz="4" w:space="0" w:color="auto"/>
            </w:tcBorders>
            <w:shd w:val="clear" w:color="auto" w:fill="F2F2F2"/>
          </w:tcPr>
          <w:p w14:paraId="4F99065F"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University/institutional risks</w:t>
            </w:r>
          </w:p>
          <w:p w14:paraId="3C96537D"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For example: adverse publicity, financial loss, data protection</w:t>
            </w:r>
          </w:p>
        </w:tc>
      </w:tr>
      <w:tr w:rsidR="00F53311" w:rsidRPr="00F53311" w14:paraId="04CB8170" w14:textId="77777777" w:rsidTr="00F53311">
        <w:tc>
          <w:tcPr>
            <w:tcW w:w="0" w:type="auto"/>
            <w:tcBorders>
              <w:top w:val="single" w:sz="4" w:space="0" w:color="auto"/>
              <w:bottom w:val="single" w:sz="4" w:space="0" w:color="auto"/>
            </w:tcBorders>
            <w:vAlign w:val="center"/>
          </w:tcPr>
          <w:p w14:paraId="1CFC3774"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rPr>
            </w:pPr>
          </w:p>
        </w:tc>
        <w:tc>
          <w:tcPr>
            <w:tcW w:w="0" w:type="auto"/>
            <w:tcBorders>
              <w:top w:val="single" w:sz="4" w:space="0" w:color="auto"/>
              <w:bottom w:val="single" w:sz="4" w:space="0" w:color="auto"/>
            </w:tcBorders>
          </w:tcPr>
          <w:p w14:paraId="12E82A65"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Risk to the University:</w:t>
            </w:r>
          </w:p>
          <w:p w14:paraId="6FAF2294"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There is a potential risk of reputational damage if the research is conducted unethically, such as failing to properly protect participant data or misrepresenting findings. There may also be data protection risks if personal information is not handled securely. Additionally, discussing real brands or marketing practices could lead to unintended negative interpretations.</w:t>
            </w:r>
          </w:p>
        </w:tc>
        <w:tc>
          <w:tcPr>
            <w:tcW w:w="0" w:type="auto"/>
            <w:tcBorders>
              <w:top w:val="single" w:sz="4" w:space="0" w:color="auto"/>
              <w:bottom w:val="single" w:sz="4" w:space="0" w:color="auto"/>
            </w:tcBorders>
          </w:tcPr>
          <w:p w14:paraId="2CCE8951" w14:textId="77777777" w:rsidR="00F53311" w:rsidRPr="00F53311" w:rsidRDefault="00F53311" w:rsidP="00F53311">
            <w:pPr>
              <w:autoSpaceDE w:val="0"/>
              <w:autoSpaceDN w:val="0"/>
              <w:adjustRightInd w:val="0"/>
              <w:spacing w:after="0" w:line="240" w:lineRule="auto"/>
              <w:rPr>
                <w:rFonts w:ascii="Arial" w:eastAsia="Times New Roman" w:hAnsi="Arial" w:cs="Arial"/>
                <w:i/>
                <w:sz w:val="18"/>
                <w:szCs w:val="18"/>
              </w:rPr>
            </w:pPr>
            <w:r w:rsidRPr="00F53311">
              <w:rPr>
                <w:rFonts w:ascii="Arial" w:eastAsia="Times New Roman" w:hAnsi="Arial" w:cs="Arial"/>
                <w:i/>
                <w:sz w:val="18"/>
                <w:szCs w:val="18"/>
              </w:rPr>
              <w:t>How you will mitigate the risk to the University:</w:t>
            </w:r>
          </w:p>
          <w:p w14:paraId="0A76C484" w14:textId="77777777" w:rsidR="00F53311" w:rsidRPr="00F53311" w:rsidRDefault="00F53311" w:rsidP="00F53311">
            <w:pPr>
              <w:spacing w:after="0" w:line="240" w:lineRule="auto"/>
              <w:rPr>
                <w:rFonts w:ascii="Arial" w:eastAsia="Times New Roman" w:hAnsi="Arial" w:cs="Arial"/>
              </w:rPr>
            </w:pPr>
          </w:p>
          <w:p w14:paraId="095DB880"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These risks will be minimised by following university ethical guidelines and data protection regulations. All participant data will be anonymised and stored securely, and no personally identifiable information will be shared. Participation will be voluntary, with informed consent obtained from all participants. The research will present findings objectively and avoid making harmful or misleading claims about any brands or organisations.</w:t>
            </w:r>
          </w:p>
          <w:p w14:paraId="6B7BB0FB" w14:textId="77777777" w:rsidR="00F53311" w:rsidRPr="00F53311" w:rsidRDefault="00F53311" w:rsidP="00F53311">
            <w:pPr>
              <w:spacing w:after="0" w:line="240" w:lineRule="auto"/>
              <w:rPr>
                <w:rFonts w:ascii="Arial" w:eastAsia="Times New Roman" w:hAnsi="Arial" w:cs="Arial"/>
              </w:rPr>
            </w:pPr>
          </w:p>
          <w:p w14:paraId="03418D04"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p>
        </w:tc>
      </w:tr>
      <w:tr w:rsidR="00F53311" w:rsidRPr="00F53311" w14:paraId="1515790C" w14:textId="77777777" w:rsidTr="00F53311">
        <w:tc>
          <w:tcPr>
            <w:tcW w:w="0" w:type="auto"/>
            <w:tcBorders>
              <w:top w:val="single" w:sz="4" w:space="0" w:color="auto"/>
              <w:bottom w:val="single" w:sz="4" w:space="0" w:color="auto"/>
            </w:tcBorders>
            <w:shd w:val="clear" w:color="auto" w:fill="F2F2F2"/>
            <w:vAlign w:val="center"/>
          </w:tcPr>
          <w:p w14:paraId="0E3154E6"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5</w:t>
            </w:r>
          </w:p>
        </w:tc>
        <w:tc>
          <w:tcPr>
            <w:tcW w:w="0" w:type="auto"/>
            <w:gridSpan w:val="2"/>
            <w:tcBorders>
              <w:top w:val="single" w:sz="4" w:space="0" w:color="auto"/>
              <w:bottom w:val="single" w:sz="4" w:space="0" w:color="auto"/>
            </w:tcBorders>
            <w:shd w:val="clear" w:color="auto" w:fill="F2F2F2"/>
          </w:tcPr>
          <w:p w14:paraId="1592B04C"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Environmental risks</w:t>
            </w:r>
          </w:p>
          <w:p w14:paraId="37821968"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For example: accidental spillage of pollutants, damage to local ecosystems</w:t>
            </w:r>
          </w:p>
        </w:tc>
      </w:tr>
      <w:tr w:rsidR="00F53311" w:rsidRPr="00F53311" w14:paraId="1E1BD20F" w14:textId="77777777" w:rsidTr="00F53311">
        <w:tc>
          <w:tcPr>
            <w:tcW w:w="0" w:type="auto"/>
            <w:tcBorders>
              <w:top w:val="single" w:sz="4" w:space="0" w:color="auto"/>
              <w:bottom w:val="single" w:sz="4" w:space="0" w:color="auto"/>
            </w:tcBorders>
            <w:vAlign w:val="center"/>
          </w:tcPr>
          <w:p w14:paraId="73D17D73"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rPr>
            </w:pPr>
          </w:p>
        </w:tc>
        <w:tc>
          <w:tcPr>
            <w:tcW w:w="0" w:type="auto"/>
            <w:tcBorders>
              <w:top w:val="single" w:sz="4" w:space="0" w:color="auto"/>
              <w:bottom w:val="single" w:sz="4" w:space="0" w:color="auto"/>
            </w:tcBorders>
          </w:tcPr>
          <w:p w14:paraId="46C6988B"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rPr>
              <w:t>Risk to the environment:</w:t>
            </w:r>
          </w:p>
          <w:p w14:paraId="4BD6D866" w14:textId="77777777" w:rsidR="00F53311" w:rsidRPr="00F53311" w:rsidRDefault="00F53311" w:rsidP="00F53311">
            <w:pPr>
              <w:spacing w:after="0" w:line="240" w:lineRule="auto"/>
              <w:rPr>
                <w:rFonts w:ascii="Arial" w:eastAsia="Times New Roman" w:hAnsi="Arial" w:cs="Arial"/>
              </w:rPr>
            </w:pPr>
          </w:p>
          <w:p w14:paraId="0C389AF9"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This research is low risk as it is conducted entirely online. However, there may be a minor environmental impact related to digital energy use, such as electricity consumption from devices and online data storage.</w:t>
            </w:r>
          </w:p>
          <w:p w14:paraId="729DF4BB" w14:textId="77777777" w:rsidR="00F53311" w:rsidRPr="00F53311" w:rsidRDefault="00F53311" w:rsidP="00F53311">
            <w:pPr>
              <w:spacing w:after="0" w:line="240" w:lineRule="auto"/>
              <w:rPr>
                <w:rFonts w:ascii="Arial" w:eastAsia="Times New Roman" w:hAnsi="Arial" w:cs="Arial"/>
              </w:rPr>
            </w:pPr>
          </w:p>
          <w:p w14:paraId="30C2A591" w14:textId="77777777" w:rsidR="00F53311" w:rsidRPr="00F53311" w:rsidRDefault="00F53311" w:rsidP="00F53311">
            <w:pPr>
              <w:autoSpaceDE w:val="0"/>
              <w:autoSpaceDN w:val="0"/>
              <w:adjustRightInd w:val="0"/>
              <w:spacing w:after="0" w:line="240" w:lineRule="auto"/>
              <w:rPr>
                <w:rFonts w:ascii="Arial" w:eastAsia="Times New Roman" w:hAnsi="Arial" w:cs="Arial"/>
              </w:rPr>
            </w:pPr>
            <w:r w:rsidRPr="00F53311">
              <w:rPr>
                <w:rFonts w:ascii="Arial" w:eastAsia="Times New Roman" w:hAnsi="Arial" w:cs="Arial"/>
                <w:i/>
                <w:color w:val="808080"/>
                <w:sz w:val="18"/>
                <w:szCs w:val="18"/>
              </w:rPr>
              <w:t>(this box should expand as you type)</w:t>
            </w:r>
          </w:p>
        </w:tc>
        <w:tc>
          <w:tcPr>
            <w:tcW w:w="0" w:type="auto"/>
            <w:tcBorders>
              <w:top w:val="single" w:sz="4" w:space="0" w:color="auto"/>
              <w:bottom w:val="single" w:sz="4" w:space="0" w:color="auto"/>
            </w:tcBorders>
          </w:tcPr>
          <w:p w14:paraId="36567A6D" w14:textId="77777777" w:rsidR="00F53311" w:rsidRPr="00F53311" w:rsidRDefault="00F53311" w:rsidP="00F53311">
            <w:pPr>
              <w:autoSpaceDE w:val="0"/>
              <w:autoSpaceDN w:val="0"/>
              <w:adjustRightInd w:val="0"/>
              <w:spacing w:after="0" w:line="240" w:lineRule="auto"/>
              <w:rPr>
                <w:rFonts w:ascii="Arial" w:eastAsia="Times New Roman" w:hAnsi="Arial" w:cs="Arial"/>
                <w:i/>
                <w:sz w:val="18"/>
                <w:szCs w:val="18"/>
              </w:rPr>
            </w:pPr>
            <w:r w:rsidRPr="00F53311">
              <w:rPr>
                <w:rFonts w:ascii="Arial" w:eastAsia="Times New Roman" w:hAnsi="Arial" w:cs="Arial"/>
                <w:i/>
                <w:sz w:val="18"/>
                <w:szCs w:val="18"/>
              </w:rPr>
              <w:t>How you will mitigate the risk to environment:</w:t>
            </w:r>
          </w:p>
          <w:p w14:paraId="2EA37DC4" w14:textId="77777777" w:rsidR="00F53311" w:rsidRPr="00F53311" w:rsidRDefault="00F53311" w:rsidP="00F53311">
            <w:pPr>
              <w:spacing w:after="0" w:line="240" w:lineRule="auto"/>
              <w:rPr>
                <w:rFonts w:ascii="Arial" w:eastAsia="Times New Roman" w:hAnsi="Arial" w:cs="Arial"/>
              </w:rPr>
            </w:pPr>
          </w:p>
          <w:p w14:paraId="511C9DB2"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The research will minimise environmental impact by using digital methods only, avoiding paper use and physical materials. Data will be stored efficiently, and unnecessary duplication of files will be avoided to reduce digital resource usage.</w:t>
            </w:r>
          </w:p>
          <w:p w14:paraId="51DA992B" w14:textId="77777777" w:rsidR="00F53311" w:rsidRPr="00F53311" w:rsidRDefault="00F53311" w:rsidP="00F53311">
            <w:pPr>
              <w:spacing w:after="0" w:line="240" w:lineRule="auto"/>
              <w:rPr>
                <w:rFonts w:ascii="Arial" w:eastAsia="Times New Roman" w:hAnsi="Arial" w:cs="Arial"/>
              </w:rPr>
            </w:pPr>
          </w:p>
          <w:p w14:paraId="4A32E8DA"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bl>
    <w:p w14:paraId="2C563B47" w14:textId="77777777" w:rsidR="00F53311" w:rsidRPr="00F53311" w:rsidRDefault="00F53311" w:rsidP="00F53311">
      <w:pPr>
        <w:spacing w:after="0" w:line="240" w:lineRule="auto"/>
        <w:rPr>
          <w:rFonts w:ascii="Times New Roman" w:eastAsia="Times New Roman" w:hAnsi="Times New Roman" w:cs="Times New Roman"/>
          <w:sz w:val="20"/>
          <w:szCs w:val="20"/>
        </w:rPr>
      </w:pPr>
    </w:p>
    <w:p w14:paraId="032CE49E"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b/>
        </w:rPr>
        <w:t>SECTION G: Feedback, Consent and Confidentiality</w:t>
      </w:r>
    </w:p>
    <w:p w14:paraId="6C4B425C" w14:textId="77777777" w:rsidR="00F53311" w:rsidRPr="00F53311" w:rsidRDefault="00F53311" w:rsidP="00F53311">
      <w:pPr>
        <w:spacing w:after="0" w:line="240" w:lineRule="auto"/>
        <w:rPr>
          <w:rFonts w:ascii="Arial" w:eastAsia="Times New Roman" w:hAnsi="Arial" w:cs="Arial"/>
          <w:b/>
        </w:rPr>
      </w:pPr>
    </w:p>
    <w:p w14:paraId="1E3DAFC6"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If you have identified in section D that there are no participants, then enter skip this section and continue to section H.</w:t>
      </w:r>
    </w:p>
    <w:p w14:paraId="3F8CFC25" w14:textId="77777777" w:rsidR="00F53311" w:rsidRPr="00F53311" w:rsidRDefault="00F53311" w:rsidP="00F53311">
      <w:pPr>
        <w:spacing w:after="0" w:line="240" w:lineRule="auto"/>
        <w:rPr>
          <w:rFonts w:ascii="Arial" w:eastAsia="Times New Roman"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8711"/>
      </w:tblGrid>
      <w:tr w:rsidR="00F53311" w:rsidRPr="00F53311" w14:paraId="569B6B93" w14:textId="77777777" w:rsidTr="00F53311">
        <w:tc>
          <w:tcPr>
            <w:tcW w:w="0" w:type="auto"/>
            <w:tcBorders>
              <w:top w:val="single" w:sz="4" w:space="0" w:color="auto"/>
              <w:bottom w:val="single" w:sz="4" w:space="0" w:color="auto"/>
            </w:tcBorders>
            <w:shd w:val="clear" w:color="auto" w:fill="F2F2F2"/>
          </w:tcPr>
          <w:p w14:paraId="1EB200A5" w14:textId="77777777" w:rsidR="00F53311" w:rsidRPr="00F53311" w:rsidRDefault="00F53311" w:rsidP="00F53311">
            <w:pPr>
              <w:spacing w:after="0" w:line="240" w:lineRule="auto"/>
              <w:rPr>
                <w:rFonts w:ascii="Arial" w:eastAsia="Times New Roman" w:hAnsi="Arial" w:cs="Arial"/>
                <w:bCs/>
              </w:rPr>
            </w:pPr>
            <w:r w:rsidRPr="00F53311">
              <w:rPr>
                <w:rFonts w:ascii="Arial" w:eastAsia="Times New Roman" w:hAnsi="Arial" w:cs="Arial"/>
                <w:bCs/>
              </w:rPr>
              <w:t>1</w:t>
            </w:r>
          </w:p>
        </w:tc>
        <w:tc>
          <w:tcPr>
            <w:tcW w:w="0" w:type="auto"/>
            <w:tcBorders>
              <w:top w:val="single" w:sz="4" w:space="0" w:color="auto"/>
              <w:bottom w:val="single" w:sz="4" w:space="0" w:color="auto"/>
            </w:tcBorders>
            <w:shd w:val="clear" w:color="auto" w:fill="F2F2F2"/>
          </w:tcPr>
          <w:p w14:paraId="2DCF6E51"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Feedback</w:t>
            </w:r>
          </w:p>
          <w:p w14:paraId="09C7F1FF"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 xml:space="preserve">What de-briefing and feedback will be provided to participants, how will this be done and when? </w:t>
            </w:r>
          </w:p>
        </w:tc>
      </w:tr>
      <w:tr w:rsidR="00F53311" w:rsidRPr="00F53311" w14:paraId="7BF44742" w14:textId="77777777" w:rsidTr="00F53311">
        <w:tc>
          <w:tcPr>
            <w:tcW w:w="0" w:type="auto"/>
            <w:tcBorders>
              <w:top w:val="single" w:sz="4" w:space="0" w:color="auto"/>
              <w:bottom w:val="single" w:sz="4" w:space="0" w:color="auto"/>
            </w:tcBorders>
          </w:tcPr>
          <w:p w14:paraId="237AB920" w14:textId="77777777" w:rsidR="00F53311" w:rsidRPr="00F53311" w:rsidRDefault="00F53311" w:rsidP="00F53311">
            <w:pPr>
              <w:spacing w:after="0" w:line="240" w:lineRule="auto"/>
              <w:rPr>
                <w:rFonts w:ascii="Arial" w:eastAsia="Times New Roman" w:hAnsi="Arial" w:cs="Arial"/>
                <w:bCs/>
              </w:rPr>
            </w:pPr>
          </w:p>
        </w:tc>
        <w:tc>
          <w:tcPr>
            <w:tcW w:w="0" w:type="auto"/>
            <w:tcBorders>
              <w:top w:val="single" w:sz="4" w:space="0" w:color="auto"/>
              <w:bottom w:val="single" w:sz="4" w:space="0" w:color="auto"/>
            </w:tcBorders>
          </w:tcPr>
          <w:p w14:paraId="361CC87B" w14:textId="77777777" w:rsidR="00F53311" w:rsidRPr="00F53311" w:rsidRDefault="00F53311" w:rsidP="00F53311">
            <w:pPr>
              <w:spacing w:after="0" w:line="240" w:lineRule="auto"/>
              <w:rPr>
                <w:rFonts w:ascii="Arial" w:eastAsia="Times New Roman" w:hAnsi="Arial" w:cs="Arial"/>
                <w:color w:val="00B050"/>
                <w:sz w:val="24"/>
              </w:rPr>
            </w:pPr>
            <w:r w:rsidRPr="00F53311">
              <w:rPr>
                <w:rFonts w:ascii="Arial" w:eastAsia="Times New Roman" w:hAnsi="Arial" w:cs="Arial"/>
                <w:color w:val="00B050"/>
                <w:szCs w:val="20"/>
              </w:rPr>
              <w:t>You don’t need to email your participants with your final report. A good alternative is to set up an email address that they will be able to contact for further details or results.</w:t>
            </w:r>
          </w:p>
          <w:p w14:paraId="0943F7F2" w14:textId="77777777" w:rsidR="00F53311" w:rsidRPr="00F53311" w:rsidRDefault="00F53311" w:rsidP="00F53311">
            <w:pPr>
              <w:spacing w:after="0" w:line="240" w:lineRule="auto"/>
              <w:rPr>
                <w:rFonts w:ascii="Arial" w:eastAsia="Times New Roman" w:hAnsi="Arial" w:cs="Arial"/>
              </w:rPr>
            </w:pPr>
          </w:p>
          <w:p w14:paraId="0F8BA98D"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r w:rsidR="00F53311" w:rsidRPr="00F53311" w14:paraId="0BCD1EAB" w14:textId="77777777" w:rsidTr="00F53311">
        <w:tc>
          <w:tcPr>
            <w:tcW w:w="0" w:type="auto"/>
            <w:tcBorders>
              <w:top w:val="single" w:sz="4" w:space="0" w:color="auto"/>
              <w:bottom w:val="single" w:sz="4" w:space="0" w:color="auto"/>
            </w:tcBorders>
            <w:shd w:val="clear" w:color="auto" w:fill="F2F2F2"/>
          </w:tcPr>
          <w:p w14:paraId="655EA24A" w14:textId="77777777" w:rsidR="00F53311" w:rsidRPr="00F53311" w:rsidRDefault="00F53311" w:rsidP="00F53311">
            <w:pPr>
              <w:spacing w:after="0" w:line="240" w:lineRule="auto"/>
              <w:rPr>
                <w:rFonts w:ascii="Arial" w:eastAsia="Times New Roman" w:hAnsi="Arial" w:cs="Arial"/>
                <w:bCs/>
              </w:rPr>
            </w:pPr>
            <w:r w:rsidRPr="00F53311">
              <w:rPr>
                <w:rFonts w:ascii="Arial" w:eastAsia="Times New Roman" w:hAnsi="Arial" w:cs="Arial"/>
                <w:bCs/>
              </w:rPr>
              <w:t>2</w:t>
            </w:r>
          </w:p>
        </w:tc>
        <w:tc>
          <w:tcPr>
            <w:tcW w:w="0" w:type="auto"/>
            <w:tcBorders>
              <w:top w:val="single" w:sz="4" w:space="0" w:color="auto"/>
              <w:bottom w:val="single" w:sz="4" w:space="0" w:color="auto"/>
            </w:tcBorders>
            <w:shd w:val="clear" w:color="auto" w:fill="F2F2F2"/>
          </w:tcPr>
          <w:p w14:paraId="7A84DFB3"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b/>
              </w:rPr>
              <w:t>Informed consent</w:t>
            </w:r>
          </w:p>
          <w:p w14:paraId="5686C8AB" w14:textId="77777777" w:rsidR="00F53311" w:rsidRPr="00F53311" w:rsidRDefault="00F53311" w:rsidP="00F53311">
            <w:pPr>
              <w:autoSpaceDE w:val="0"/>
              <w:autoSpaceDN w:val="0"/>
              <w:adjustRightInd w:val="0"/>
              <w:spacing w:after="0" w:line="240" w:lineRule="auto"/>
              <w:rPr>
                <w:rFonts w:ascii="Arial" w:eastAsia="Times New Roman" w:hAnsi="Arial" w:cs="Arial"/>
                <w:lang w:eastAsia="en-GB"/>
              </w:rPr>
            </w:pPr>
            <w:r w:rsidRPr="00F53311">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53311" w:rsidRPr="00F53311" w14:paraId="03B032A0" w14:textId="77777777" w:rsidTr="00F53311">
        <w:tc>
          <w:tcPr>
            <w:tcW w:w="0" w:type="auto"/>
            <w:tcBorders>
              <w:top w:val="single" w:sz="4" w:space="0" w:color="auto"/>
              <w:bottom w:val="single" w:sz="4" w:space="0" w:color="auto"/>
            </w:tcBorders>
          </w:tcPr>
          <w:p w14:paraId="571E31BA" w14:textId="77777777" w:rsidR="00F53311" w:rsidRPr="00F53311" w:rsidRDefault="00F53311" w:rsidP="00F53311">
            <w:pPr>
              <w:spacing w:after="0" w:line="240" w:lineRule="auto"/>
              <w:rPr>
                <w:rFonts w:ascii="Arial" w:eastAsia="Times New Roman" w:hAnsi="Arial" w:cs="Arial"/>
                <w:bCs/>
              </w:rPr>
            </w:pPr>
          </w:p>
        </w:tc>
        <w:tc>
          <w:tcPr>
            <w:tcW w:w="0" w:type="auto"/>
            <w:tcBorders>
              <w:top w:val="single" w:sz="4" w:space="0" w:color="auto"/>
              <w:bottom w:val="single" w:sz="4" w:space="0" w:color="auto"/>
            </w:tcBorders>
          </w:tcPr>
          <w:p w14:paraId="3C66A1D5" w14:textId="77777777" w:rsidR="00F53311" w:rsidRPr="00F53311" w:rsidRDefault="00F53311" w:rsidP="00F53311">
            <w:pPr>
              <w:spacing w:after="0" w:line="240" w:lineRule="auto"/>
              <w:rPr>
                <w:rFonts w:ascii="Arial" w:eastAsia="Times New Roman" w:hAnsi="Arial" w:cs="Arial"/>
                <w:color w:val="00B050"/>
                <w:szCs w:val="20"/>
              </w:rPr>
            </w:pPr>
            <w:r w:rsidRPr="00F53311">
              <w:rPr>
                <w:rFonts w:ascii="Arial" w:eastAsia="Times New Roman" w:hAnsi="Arial" w:cs="Arial"/>
                <w:color w:val="00B050"/>
                <w:szCs w:val="20"/>
              </w:rPr>
              <w:t>If you are using a paper questionnaire then you should have the participants sign an appropriate consent form. These forms will count as personal data and should be noted as such in section J.</w:t>
            </w:r>
          </w:p>
          <w:p w14:paraId="485B4C7C" w14:textId="77777777" w:rsidR="00F53311" w:rsidRPr="00F53311" w:rsidRDefault="00F53311" w:rsidP="00F53311">
            <w:pPr>
              <w:spacing w:after="0" w:line="240" w:lineRule="auto"/>
              <w:rPr>
                <w:rFonts w:ascii="Arial" w:eastAsia="Times New Roman" w:hAnsi="Arial" w:cs="Arial"/>
                <w:color w:val="00B050"/>
                <w:sz w:val="24"/>
              </w:rPr>
            </w:pPr>
            <w:r w:rsidRPr="00F53311">
              <w:rPr>
                <w:rFonts w:ascii="Arial" w:eastAsia="Times New Roman" w:hAnsi="Arial" w:cs="Arial"/>
                <w:color w:val="00B050"/>
                <w:szCs w:val="20"/>
              </w:rPr>
              <w:t>If you are using an online questionnaire, then you should have a screen before the questions start that acts as a consent form, informing participants that by clicking on the NEXT button they are providing consent.</w:t>
            </w:r>
          </w:p>
          <w:p w14:paraId="7191FE4C" w14:textId="77777777" w:rsidR="00F53311" w:rsidRPr="00F53311" w:rsidRDefault="00F53311" w:rsidP="00F53311">
            <w:pPr>
              <w:spacing w:after="0" w:line="240" w:lineRule="auto"/>
              <w:rPr>
                <w:rFonts w:ascii="Arial" w:eastAsia="Times New Roman" w:hAnsi="Arial" w:cs="Arial"/>
              </w:rPr>
            </w:pPr>
          </w:p>
          <w:p w14:paraId="08D58DDE"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r w:rsidR="00F53311" w:rsidRPr="00F53311" w14:paraId="3F811D34" w14:textId="77777777" w:rsidTr="00F53311">
        <w:tc>
          <w:tcPr>
            <w:tcW w:w="0" w:type="auto"/>
            <w:tcBorders>
              <w:top w:val="single" w:sz="4" w:space="0" w:color="auto"/>
              <w:bottom w:val="single" w:sz="4" w:space="0" w:color="auto"/>
            </w:tcBorders>
            <w:shd w:val="clear" w:color="auto" w:fill="F2F2F2"/>
          </w:tcPr>
          <w:p w14:paraId="1992E7B7" w14:textId="77777777" w:rsidR="00F53311" w:rsidRPr="00F53311" w:rsidRDefault="00F53311" w:rsidP="00F53311">
            <w:pPr>
              <w:spacing w:after="0" w:line="240" w:lineRule="auto"/>
              <w:rPr>
                <w:rFonts w:ascii="Arial" w:eastAsia="Times New Roman" w:hAnsi="Arial" w:cs="Arial"/>
                <w:bCs/>
              </w:rPr>
            </w:pPr>
            <w:r w:rsidRPr="00F53311">
              <w:rPr>
                <w:rFonts w:ascii="Arial" w:eastAsia="Times New Roman" w:hAnsi="Arial" w:cs="Arial"/>
                <w:bCs/>
              </w:rPr>
              <w:t>3</w:t>
            </w:r>
          </w:p>
        </w:tc>
        <w:tc>
          <w:tcPr>
            <w:tcW w:w="0" w:type="auto"/>
            <w:tcBorders>
              <w:top w:val="single" w:sz="4" w:space="0" w:color="auto"/>
              <w:bottom w:val="single" w:sz="4" w:space="0" w:color="auto"/>
            </w:tcBorders>
            <w:shd w:val="clear" w:color="auto" w:fill="F2F2F2"/>
          </w:tcPr>
          <w:p w14:paraId="33D004D0"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b/>
              </w:rPr>
              <w:t>Confidentiality / Anonymity</w:t>
            </w:r>
          </w:p>
          <w:p w14:paraId="4E557548" w14:textId="77777777" w:rsidR="00F53311" w:rsidRPr="00F53311" w:rsidRDefault="00F53311" w:rsidP="00F53311">
            <w:pPr>
              <w:spacing w:after="0" w:line="240" w:lineRule="auto"/>
              <w:rPr>
                <w:rFonts w:ascii="Arial" w:eastAsia="Times New Roman" w:hAnsi="Arial" w:cs="Arial"/>
              </w:rPr>
            </w:pPr>
            <w:r w:rsidRPr="00F53311">
              <w:rPr>
                <w:rFonts w:ascii="Arial" w:eastAsia="Times New Roman" w:hAnsi="Arial" w:cs="Arial"/>
              </w:rPr>
              <w:t xml:space="preserve">Set out how anonymity of participants and confidentiality will be ensured in any outputs. If anonymity is not being offered, explain why this is the case. </w:t>
            </w:r>
          </w:p>
        </w:tc>
      </w:tr>
      <w:tr w:rsidR="00F53311" w:rsidRPr="00F53311" w14:paraId="79DD4ACE" w14:textId="77777777" w:rsidTr="00F53311">
        <w:tc>
          <w:tcPr>
            <w:tcW w:w="0" w:type="auto"/>
            <w:tcBorders>
              <w:top w:val="single" w:sz="4" w:space="0" w:color="auto"/>
              <w:bottom w:val="single" w:sz="4" w:space="0" w:color="auto"/>
            </w:tcBorders>
          </w:tcPr>
          <w:p w14:paraId="574A29C2" w14:textId="77777777" w:rsidR="00F53311" w:rsidRPr="00F53311" w:rsidRDefault="00F53311" w:rsidP="00F53311">
            <w:pPr>
              <w:spacing w:after="0" w:line="240" w:lineRule="auto"/>
              <w:rPr>
                <w:rFonts w:ascii="Arial" w:eastAsia="Times New Roman" w:hAnsi="Arial" w:cs="Arial"/>
                <w:bCs/>
              </w:rPr>
            </w:pPr>
          </w:p>
        </w:tc>
        <w:tc>
          <w:tcPr>
            <w:tcW w:w="0" w:type="auto"/>
            <w:tcBorders>
              <w:top w:val="single" w:sz="4" w:space="0" w:color="auto"/>
              <w:bottom w:val="single" w:sz="4" w:space="0" w:color="auto"/>
            </w:tcBorders>
          </w:tcPr>
          <w:p w14:paraId="5330D775" w14:textId="77777777" w:rsidR="00F53311" w:rsidRPr="00F53311" w:rsidRDefault="00F53311" w:rsidP="00F53311">
            <w:pPr>
              <w:spacing w:after="0" w:line="240" w:lineRule="auto"/>
              <w:rPr>
                <w:rFonts w:ascii="Arial" w:eastAsia="Times New Roman" w:hAnsi="Arial" w:cs="Arial"/>
                <w:color w:val="00B050"/>
                <w:szCs w:val="20"/>
              </w:rPr>
            </w:pPr>
            <w:r w:rsidRPr="00F53311">
              <w:rPr>
                <w:rFonts w:ascii="Arial" w:eastAsia="Times New Roman" w:hAnsi="Arial" w:cs="Arial"/>
                <w:color w:val="00B050"/>
                <w:szCs w:val="20"/>
              </w:rPr>
              <w:t>Do not collect names unless you really need them. Do not name participants or organisations in any research publications (including the thesis) without their explicit permission.</w:t>
            </w:r>
          </w:p>
          <w:p w14:paraId="13C6977F" w14:textId="77777777" w:rsidR="00F53311" w:rsidRPr="00F53311" w:rsidRDefault="00F53311" w:rsidP="00F53311">
            <w:pPr>
              <w:spacing w:after="0" w:line="240" w:lineRule="auto"/>
              <w:rPr>
                <w:rFonts w:ascii="Arial" w:eastAsia="Times New Roman" w:hAnsi="Arial" w:cs="Arial"/>
              </w:rPr>
            </w:pPr>
          </w:p>
          <w:p w14:paraId="44AE9D82" w14:textId="77777777" w:rsidR="00F53311" w:rsidRPr="00F53311" w:rsidRDefault="00F53311" w:rsidP="00F53311">
            <w:pPr>
              <w:autoSpaceDE w:val="0"/>
              <w:autoSpaceDN w:val="0"/>
              <w:adjustRightInd w:val="0"/>
              <w:spacing w:after="0" w:line="240" w:lineRule="auto"/>
              <w:rPr>
                <w:rFonts w:ascii="Times New Roman" w:eastAsia="Times New Roman" w:hAnsi="Times New Roman" w:cs="Arial"/>
                <w:sz w:val="20"/>
                <w:szCs w:val="20"/>
              </w:rPr>
            </w:pPr>
            <w:r w:rsidRPr="00F53311">
              <w:rPr>
                <w:rFonts w:ascii="Arial" w:eastAsia="Times New Roman" w:hAnsi="Arial" w:cs="Arial"/>
                <w:i/>
                <w:color w:val="808080"/>
                <w:sz w:val="18"/>
                <w:szCs w:val="18"/>
              </w:rPr>
              <w:t>(this box should expand as you type)</w:t>
            </w:r>
          </w:p>
        </w:tc>
      </w:tr>
    </w:tbl>
    <w:p w14:paraId="398BC516" w14:textId="77777777" w:rsidR="00F53311" w:rsidRPr="00F53311" w:rsidRDefault="00F53311" w:rsidP="00F53311">
      <w:pPr>
        <w:spacing w:after="0" w:line="240" w:lineRule="auto"/>
        <w:rPr>
          <w:rFonts w:ascii="Arial" w:eastAsia="Times New Roman" w:hAnsi="Arial" w:cs="Arial"/>
        </w:rPr>
      </w:pPr>
    </w:p>
    <w:p w14:paraId="4214A765" w14:textId="77777777" w:rsidR="00F53311" w:rsidRPr="00F53311" w:rsidRDefault="00F53311" w:rsidP="00F53311">
      <w:pPr>
        <w:spacing w:after="0" w:line="240" w:lineRule="auto"/>
        <w:rPr>
          <w:rFonts w:ascii="Arial" w:eastAsia="Times New Roman" w:hAnsi="Arial" w:cs="Arial"/>
          <w:b/>
        </w:rPr>
      </w:pPr>
      <w:r w:rsidRPr="00F53311">
        <w:rPr>
          <w:rFonts w:ascii="Arial" w:eastAsia="Times New Roman" w:hAnsi="Arial" w:cs="Arial"/>
          <w:b/>
        </w:rPr>
        <w:t>SECTION H: Data Protection and Storage</w:t>
      </w:r>
    </w:p>
    <w:p w14:paraId="2D66B5B1" w14:textId="77777777" w:rsidR="00F53311" w:rsidRPr="00F53311" w:rsidRDefault="00F53311" w:rsidP="00F53311">
      <w:pPr>
        <w:spacing w:after="0" w:line="240" w:lineRule="auto"/>
        <w:rPr>
          <w:rFonts w:ascii="Arial" w:eastAsia="Times New Roman" w:hAnsi="Arial" w:cs="Arial"/>
          <w:b/>
        </w:rPr>
      </w:pPr>
    </w:p>
    <w:tbl>
      <w:tblPr>
        <w:tblW w:w="0" w:type="auto"/>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
        <w:gridCol w:w="7479"/>
        <w:gridCol w:w="657"/>
        <w:gridCol w:w="546"/>
      </w:tblGrid>
      <w:tr w:rsidR="00F53311" w:rsidRPr="00F53311" w14:paraId="225C533B" w14:textId="77777777" w:rsidTr="00F53311">
        <w:trPr>
          <w:trHeight w:val="403"/>
        </w:trPr>
        <w:tc>
          <w:tcPr>
            <w:tcW w:w="0" w:type="auto"/>
            <w:tcBorders>
              <w:left w:val="single" w:sz="4" w:space="0" w:color="auto"/>
              <w:bottom w:val="single" w:sz="4" w:space="0" w:color="auto"/>
              <w:right w:val="single" w:sz="4" w:space="0" w:color="auto"/>
            </w:tcBorders>
            <w:shd w:val="clear" w:color="auto" w:fill="F2F2F2"/>
            <w:vAlign w:val="center"/>
          </w:tcPr>
          <w:p w14:paraId="585525A2" w14:textId="77777777" w:rsidR="00F53311" w:rsidRPr="00F53311" w:rsidRDefault="00F53311" w:rsidP="00F5331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0" w:type="auto"/>
            <w:tcBorders>
              <w:left w:val="single" w:sz="4" w:space="0" w:color="auto"/>
              <w:bottom w:val="single" w:sz="4" w:space="0" w:color="auto"/>
              <w:right w:val="single" w:sz="4" w:space="0" w:color="auto"/>
            </w:tcBorders>
            <w:shd w:val="clear" w:color="auto" w:fill="F2F2F2"/>
            <w:vAlign w:val="center"/>
          </w:tcPr>
          <w:p w14:paraId="5591ABFD" w14:textId="77777777" w:rsidR="00F53311" w:rsidRPr="00F53311" w:rsidRDefault="00F53311" w:rsidP="00F53311">
            <w:pPr>
              <w:autoSpaceDE w:val="0"/>
              <w:autoSpaceDN w:val="0"/>
              <w:adjustRightInd w:val="0"/>
              <w:spacing w:before="100" w:beforeAutospacing="1" w:after="100" w:afterAutospacing="1" w:line="240" w:lineRule="auto"/>
              <w:rPr>
                <w:rFonts w:ascii="Arial" w:eastAsia="Times New Roman" w:hAnsi="Arial" w:cs="Arial"/>
                <w:lang w:eastAsia="en-GB"/>
              </w:rPr>
            </w:pPr>
            <w:r w:rsidRPr="00F53311">
              <w:rPr>
                <w:rFonts w:ascii="Arial" w:eastAsia="Times New Roman" w:hAnsi="Arial" w:cs="Arial"/>
                <w:lang w:eastAsia="en-GB"/>
              </w:rPr>
              <w:t>Does the research activity involve personal da</w:t>
            </w:r>
            <w:r w:rsidRPr="00F53311">
              <w:rPr>
                <w:rFonts w:ascii="Arial" w:eastAsia="Times New Roman" w:hAnsi="Arial" w:cs="Arial"/>
                <w:shd w:val="clear" w:color="auto" w:fill="F2F2F2"/>
                <w:lang w:eastAsia="en-GB"/>
              </w:rPr>
              <w:t>t</w:t>
            </w:r>
            <w:r w:rsidRPr="00F53311">
              <w:rPr>
                <w:rFonts w:ascii="Arial" w:eastAsia="Times New Roman" w:hAnsi="Arial" w:cs="Arial"/>
                <w:lang w:eastAsia="en-GB"/>
              </w:rPr>
              <w:t>a (as defined by the General Data Protection Regulation 2016 “GDPR” and the Data Protection Act 2018 “DPA”)?</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07FF794"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Arial" w:eastAsia="Times New Roman" w:hAnsi="Arial" w:cs="Arial"/>
                <w:b/>
                <w:bCs/>
                <w:lang w:eastAsia="en-GB"/>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849CD78"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Arial" w:eastAsia="Times New Roman" w:hAnsi="Arial" w:cs="Arial"/>
                <w:b/>
                <w:bCs/>
                <w:lang w:eastAsia="en-GB"/>
              </w:rPr>
              <w:t>NO</w:t>
            </w:r>
          </w:p>
        </w:tc>
      </w:tr>
      <w:tr w:rsidR="00F53311" w:rsidRPr="00F53311" w14:paraId="0E6CCFC8" w14:textId="77777777" w:rsidTr="00F53311">
        <w:trPr>
          <w:trHeight w:val="403"/>
        </w:trPr>
        <w:tc>
          <w:tcPr>
            <w:tcW w:w="0" w:type="auto"/>
            <w:tcBorders>
              <w:left w:val="single" w:sz="4" w:space="0" w:color="auto"/>
              <w:bottom w:val="single" w:sz="4" w:space="0" w:color="auto"/>
              <w:right w:val="single" w:sz="4" w:space="0" w:color="auto"/>
            </w:tcBorders>
            <w:shd w:val="clear" w:color="auto" w:fill="F2F2F2"/>
            <w:vAlign w:val="center"/>
          </w:tcPr>
          <w:p w14:paraId="4AF1C1B8"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bCs/>
                <w:iCs/>
                <w:lang w:eastAsia="en-GB"/>
              </w:rPr>
            </w:pPr>
            <w:r w:rsidRPr="00F53311">
              <w:rPr>
                <w:rFonts w:ascii="Arial" w:eastAsia="Times New Roman" w:hAnsi="Arial" w:cs="Arial"/>
                <w:bCs/>
                <w:iCs/>
                <w:lang w:eastAsia="en-GB"/>
              </w:rPr>
              <w:t>1</w:t>
            </w:r>
          </w:p>
        </w:tc>
        <w:tc>
          <w:tcPr>
            <w:tcW w:w="0" w:type="auto"/>
            <w:tcBorders>
              <w:left w:val="single" w:sz="4" w:space="0" w:color="auto"/>
              <w:bottom w:val="single" w:sz="4" w:space="0" w:color="auto"/>
              <w:right w:val="single" w:sz="4" w:space="0" w:color="auto"/>
            </w:tcBorders>
            <w:shd w:val="clear" w:color="auto" w:fill="F2F2F2"/>
            <w:vAlign w:val="center"/>
          </w:tcPr>
          <w:p w14:paraId="37A18E08" w14:textId="77777777" w:rsidR="00F53311" w:rsidRPr="00F53311" w:rsidRDefault="00F53311" w:rsidP="00F53311">
            <w:pPr>
              <w:autoSpaceDE w:val="0"/>
              <w:autoSpaceDN w:val="0"/>
              <w:adjustRightInd w:val="0"/>
              <w:spacing w:after="0" w:line="240" w:lineRule="auto"/>
              <w:ind w:left="567" w:right="567"/>
              <w:rPr>
                <w:rFonts w:ascii="Arial" w:eastAsia="Times New Roman" w:hAnsi="Arial" w:cs="Arial"/>
                <w:lang w:eastAsia="en-GB"/>
              </w:rPr>
            </w:pPr>
            <w:r w:rsidRPr="00F53311">
              <w:rPr>
                <w:rFonts w:ascii="Arial" w:eastAsia="Times New Roman" w:hAnsi="Arial" w:cs="Arial"/>
                <w:b/>
                <w:bCs/>
                <w:i/>
                <w:iCs/>
                <w:lang w:eastAsia="en-GB"/>
              </w:rPr>
              <w:t>“Personal data”</w:t>
            </w:r>
            <w:r w:rsidRPr="00F53311">
              <w:rPr>
                <w:rFonts w:ascii="Arial" w:eastAsia="Times New Roman" w:hAnsi="Arial" w:cs="Arial"/>
                <w:i/>
                <w:iCs/>
                <w:lang w:eastAsia="en-GB"/>
              </w:rPr>
              <w:t xml:space="preserve"> </w:t>
            </w:r>
            <w:r w:rsidRPr="00F53311">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w:t>
            </w:r>
            <w:r w:rsidRPr="00F53311">
              <w:rPr>
                <w:rFonts w:ascii="Arial" w:eastAsia="Times New Roman" w:hAnsi="Arial" w:cs="Arial"/>
                <w:i/>
                <w:iCs/>
                <w:color w:val="333333"/>
                <w:szCs w:val="24"/>
                <w:shd w:val="clear" w:color="auto" w:fill="F2F2F2"/>
                <w:lang w:eastAsia="en-GB"/>
              </w:rPr>
              <w:lastRenderedPageBreak/>
              <w:t>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BD288BF"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MS Gothic" w:eastAsia="MS Gothic" w:hAnsi="MS Gothic" w:cs="Arial" w:hint="eastAsia"/>
                <w:b/>
                <w:bCs/>
                <w:lang w:val="en-US" w:eastAsia="en-GB"/>
              </w:rPr>
              <w:lastRenderedPageBreak/>
              <w:t>☐</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66D4D7EF"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MS Gothic" w:eastAsia="MS Gothic" w:hAnsi="MS Gothic" w:cs="Arial" w:hint="eastAsia"/>
                <w:b/>
                <w:bCs/>
                <w:highlight w:val="black"/>
                <w:lang w:val="en-US" w:eastAsia="en-GB"/>
              </w:rPr>
              <w:t>☐</w:t>
            </w:r>
          </w:p>
        </w:tc>
      </w:tr>
      <w:tr w:rsidR="00F53311" w:rsidRPr="00F53311" w14:paraId="3916334B"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F6BEAF8" w14:textId="77777777" w:rsidR="00F53311" w:rsidRPr="00F53311" w:rsidRDefault="00F53311" w:rsidP="00F5331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A221896" w14:textId="77777777" w:rsidR="00F53311" w:rsidRPr="00F53311" w:rsidRDefault="00F53311" w:rsidP="00F53311">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F53311">
              <w:rPr>
                <w:rFonts w:ascii="Arial" w:eastAsia="Times New Roman" w:hAnsi="Arial" w:cs="Arial"/>
                <w:lang w:eastAsia="en-GB"/>
              </w:rPr>
              <w:t>If YES, provide a</w:t>
            </w:r>
            <w:r w:rsidRPr="00F53311">
              <w:rPr>
                <w:rFonts w:ascii="Arial" w:eastAsia="Times New Roman" w:hAnsi="Arial" w:cs="Arial"/>
                <w:b/>
                <w:bCs/>
                <w:lang w:eastAsia="en-GB"/>
              </w:rPr>
              <w:t xml:space="preserve"> </w:t>
            </w:r>
            <w:r w:rsidRPr="00F53311">
              <w:rPr>
                <w:rFonts w:ascii="Arial" w:eastAsia="Times New Roman" w:hAnsi="Arial" w:cs="Arial"/>
                <w:lang w:eastAsia="en-GB"/>
              </w:rPr>
              <w:t>description of the data and explain why this data needs to be collected:</w:t>
            </w:r>
          </w:p>
        </w:tc>
      </w:tr>
      <w:tr w:rsidR="00F53311" w:rsidRPr="00F53311" w14:paraId="6E51B30B"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23BAA74E"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4AB113C2" w14:textId="77777777" w:rsidR="00F53311" w:rsidRPr="00F53311" w:rsidRDefault="00F53311" w:rsidP="00F53311">
            <w:pPr>
              <w:spacing w:after="0" w:line="240" w:lineRule="auto"/>
              <w:rPr>
                <w:rFonts w:ascii="Arial" w:eastAsia="Times New Roman" w:hAnsi="Arial" w:cs="Arial"/>
                <w:color w:val="00B050"/>
                <w:sz w:val="24"/>
              </w:rPr>
            </w:pPr>
            <w:r w:rsidRPr="00F53311">
              <w:rPr>
                <w:rFonts w:ascii="Arial" w:eastAsia="Times New Roman" w:hAnsi="Arial" w:cs="Arial"/>
                <w:color w:val="00B050"/>
                <w:szCs w:val="20"/>
              </w:rPr>
              <w:t>This includes audio/video data of participants but can also include IP addresses and usernames. Names, addresses and emails also count, as do consent forms.</w:t>
            </w:r>
          </w:p>
          <w:p w14:paraId="064FCAB4" w14:textId="77777777" w:rsidR="00F53311" w:rsidRPr="00F53311" w:rsidRDefault="00F53311" w:rsidP="00F53311">
            <w:pPr>
              <w:spacing w:after="0" w:line="240" w:lineRule="auto"/>
              <w:rPr>
                <w:rFonts w:ascii="Arial" w:eastAsia="Times New Roman" w:hAnsi="Arial" w:cs="Arial"/>
              </w:rPr>
            </w:pPr>
          </w:p>
          <w:p w14:paraId="3E200AF8" w14:textId="77777777" w:rsidR="00F53311" w:rsidRPr="00F53311" w:rsidRDefault="00F53311" w:rsidP="00F53311">
            <w:pPr>
              <w:autoSpaceDE w:val="0"/>
              <w:autoSpaceDN w:val="0"/>
              <w:adjustRightInd w:val="0"/>
              <w:spacing w:after="0" w:line="240" w:lineRule="auto"/>
              <w:rPr>
                <w:rFonts w:ascii="Times New Roman" w:eastAsia="Times New Roman" w:hAnsi="Times New Roman" w:cs="Times New Roman"/>
                <w:i/>
                <w:sz w:val="20"/>
                <w:szCs w:val="20"/>
              </w:rPr>
            </w:pPr>
            <w:r w:rsidRPr="00F53311">
              <w:rPr>
                <w:rFonts w:ascii="Arial" w:eastAsia="Times New Roman" w:hAnsi="Arial" w:cs="Arial"/>
                <w:i/>
                <w:color w:val="808080"/>
                <w:sz w:val="18"/>
                <w:szCs w:val="18"/>
              </w:rPr>
              <w:t>(this box should expand as you type)</w:t>
            </w:r>
          </w:p>
        </w:tc>
      </w:tr>
      <w:tr w:rsidR="00F53311" w:rsidRPr="00F53311" w14:paraId="6D742418" w14:textId="77777777" w:rsidTr="00F53311">
        <w:trPr>
          <w:trHeight w:val="403"/>
        </w:trPr>
        <w:tc>
          <w:tcPr>
            <w:tcW w:w="0" w:type="auto"/>
            <w:tcBorders>
              <w:left w:val="single" w:sz="4" w:space="0" w:color="auto"/>
              <w:bottom w:val="single" w:sz="4" w:space="0" w:color="auto"/>
              <w:right w:val="single" w:sz="4" w:space="0" w:color="auto"/>
            </w:tcBorders>
            <w:shd w:val="clear" w:color="auto" w:fill="F2F2F2"/>
            <w:vAlign w:val="center"/>
          </w:tcPr>
          <w:p w14:paraId="4F4E9CDD" w14:textId="77777777" w:rsidR="00F53311" w:rsidRPr="00F53311" w:rsidRDefault="00F53311" w:rsidP="00F53311">
            <w:pPr>
              <w:autoSpaceDE w:val="0"/>
              <w:autoSpaceDN w:val="0"/>
              <w:adjustRightInd w:val="0"/>
              <w:spacing w:after="0" w:line="240" w:lineRule="auto"/>
              <w:jc w:val="center"/>
              <w:rPr>
                <w:rFonts w:ascii="Arial" w:eastAsia="Times New Roman" w:hAnsi="Arial" w:cs="Arial"/>
                <w:lang w:eastAsia="en-GB"/>
              </w:rPr>
            </w:pPr>
          </w:p>
        </w:tc>
        <w:tc>
          <w:tcPr>
            <w:tcW w:w="0" w:type="auto"/>
            <w:tcBorders>
              <w:left w:val="single" w:sz="4" w:space="0" w:color="auto"/>
              <w:bottom w:val="single" w:sz="4" w:space="0" w:color="auto"/>
              <w:right w:val="single" w:sz="4" w:space="0" w:color="auto"/>
            </w:tcBorders>
            <w:shd w:val="clear" w:color="auto" w:fill="F2F2F2"/>
            <w:vAlign w:val="center"/>
          </w:tcPr>
          <w:p w14:paraId="15E4AB78" w14:textId="77777777" w:rsidR="00F53311" w:rsidRPr="00F53311" w:rsidRDefault="00F53311" w:rsidP="00F53311">
            <w:pPr>
              <w:autoSpaceDE w:val="0"/>
              <w:autoSpaceDN w:val="0"/>
              <w:adjustRightInd w:val="0"/>
              <w:spacing w:after="0" w:line="240" w:lineRule="auto"/>
              <w:rPr>
                <w:rFonts w:ascii="Times New Roman" w:eastAsia="Calibri" w:hAnsi="Times New Roman" w:cs="Times New Roman"/>
                <w:sz w:val="24"/>
                <w:szCs w:val="24"/>
                <w:lang w:eastAsia="en-GB"/>
              </w:rPr>
            </w:pPr>
            <w:r w:rsidRPr="00F53311">
              <w:rPr>
                <w:rFonts w:ascii="Arial" w:eastAsia="Times New Roman" w:hAnsi="Arial" w:cs="Arial"/>
                <w:lang w:eastAsia="en-GB"/>
              </w:rPr>
              <w:t>Does it involve special category data (as defined by the GDPR)?</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0092E4A1"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Arial" w:eastAsia="Times New Roman" w:hAnsi="Arial" w:cs="Arial"/>
                <w:b/>
                <w:bCs/>
                <w:lang w:eastAsia="en-GB"/>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E599349"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F53311">
              <w:rPr>
                <w:rFonts w:ascii="Arial" w:eastAsia="Times New Roman" w:hAnsi="Arial" w:cs="Arial"/>
                <w:b/>
                <w:bCs/>
                <w:lang w:eastAsia="en-GB"/>
              </w:rPr>
              <w:t>NO</w:t>
            </w:r>
          </w:p>
        </w:tc>
      </w:tr>
      <w:tr w:rsidR="00F53311" w:rsidRPr="00F53311" w14:paraId="1E0B0C8C"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B99AA7D" w14:textId="77777777" w:rsidR="00F53311" w:rsidRPr="00F53311" w:rsidRDefault="00F53311" w:rsidP="00F53311">
            <w:pPr>
              <w:spacing w:after="0" w:line="240" w:lineRule="auto"/>
              <w:jc w:val="center"/>
              <w:rPr>
                <w:rFonts w:ascii="Arial" w:eastAsia="Times New Roman" w:hAnsi="Arial" w:cs="Arial"/>
                <w:bCs/>
                <w:iCs/>
                <w:color w:val="000000"/>
                <w:sz w:val="20"/>
                <w:szCs w:val="23"/>
                <w:lang w:eastAsia="en-GB"/>
              </w:rPr>
            </w:pPr>
            <w:r w:rsidRPr="00F53311">
              <w:rPr>
                <w:rFonts w:ascii="Arial" w:eastAsia="Times New Roman" w:hAnsi="Arial" w:cs="Arial"/>
                <w:bCs/>
                <w:iCs/>
                <w:color w:val="000000"/>
                <w:sz w:val="20"/>
                <w:szCs w:val="23"/>
                <w:lang w:eastAsia="en-GB"/>
              </w:rPr>
              <w:t>3</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712E3FB8" w14:textId="77777777" w:rsidR="00F53311" w:rsidRPr="00F53311" w:rsidRDefault="00F53311" w:rsidP="00F53311">
            <w:pPr>
              <w:spacing w:after="0" w:line="240" w:lineRule="auto"/>
              <w:ind w:left="567" w:right="567"/>
              <w:rPr>
                <w:rFonts w:ascii="Times New Roman" w:eastAsia="Times New Roman" w:hAnsi="Times New Roman" w:cs="Times New Roman"/>
                <w:sz w:val="24"/>
                <w:szCs w:val="24"/>
                <w:lang w:eastAsia="en-GB"/>
              </w:rPr>
            </w:pPr>
            <w:r w:rsidRPr="00F53311">
              <w:rPr>
                <w:rFonts w:ascii="Arial" w:eastAsia="Times New Roman" w:hAnsi="Arial" w:cs="Arial"/>
                <w:b/>
                <w:bCs/>
                <w:i/>
                <w:iCs/>
                <w:color w:val="000000"/>
                <w:sz w:val="20"/>
                <w:szCs w:val="23"/>
                <w:lang w:eastAsia="en-GB"/>
              </w:rPr>
              <w:t>“Special category data”</w:t>
            </w:r>
            <w:r w:rsidRPr="00F53311">
              <w:rPr>
                <w:rFonts w:ascii="Arial" w:eastAsia="Times New Roman" w:hAnsi="Arial" w:cs="Arial"/>
                <w:i/>
                <w:iCs/>
                <w:color w:val="000000"/>
                <w:sz w:val="20"/>
                <w:szCs w:val="23"/>
                <w:lang w:eastAsia="en-GB"/>
              </w:rPr>
              <w:t> means sensitive personal data consisting of information as to the data subjects’ –</w:t>
            </w:r>
          </w:p>
          <w:p w14:paraId="164F6C88"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(a) racial or ethnic origin,</w:t>
            </w:r>
          </w:p>
          <w:p w14:paraId="00036C76"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(b) political opinions,</w:t>
            </w:r>
          </w:p>
          <w:p w14:paraId="1E64902F"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(c) religious beliefs or other beliefs of a similar nature,</w:t>
            </w:r>
          </w:p>
          <w:p w14:paraId="12FC2016"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6D67B874"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(e) physical or mental health or condition,</w:t>
            </w:r>
          </w:p>
          <w:p w14:paraId="3F1C3523"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(f) sexual life,</w:t>
            </w:r>
          </w:p>
          <w:p w14:paraId="382F4CAB" w14:textId="77777777" w:rsidR="00F53311" w:rsidRPr="00F53311" w:rsidRDefault="00F53311" w:rsidP="00F53311">
            <w:pPr>
              <w:spacing w:after="0" w:line="240" w:lineRule="auto"/>
              <w:ind w:left="1134" w:right="567"/>
              <w:rPr>
                <w:rFonts w:ascii="Times New Roman" w:eastAsia="Times New Roman" w:hAnsi="Times New Roman" w:cs="Times New Roman"/>
                <w:sz w:val="24"/>
                <w:szCs w:val="24"/>
                <w:lang w:eastAsia="en-GB"/>
              </w:rPr>
            </w:pPr>
            <w:r w:rsidRPr="00F53311">
              <w:rPr>
                <w:rFonts w:ascii="Arial" w:eastAsia="Times New Roman" w:hAnsi="Arial" w:cs="Arial"/>
                <w:i/>
                <w:iCs/>
                <w:color w:val="000000"/>
                <w:sz w:val="20"/>
                <w:szCs w:val="23"/>
                <w:lang w:eastAsia="en-GB"/>
              </w:rPr>
              <w:t>(g) genetics,</w:t>
            </w:r>
          </w:p>
          <w:p w14:paraId="099D0481" w14:textId="77777777" w:rsidR="00F53311" w:rsidRPr="00F53311" w:rsidRDefault="00F53311" w:rsidP="00F53311">
            <w:pPr>
              <w:spacing w:after="0" w:line="240" w:lineRule="auto"/>
              <w:ind w:left="1134" w:right="567"/>
              <w:rPr>
                <w:rFonts w:ascii="Arial" w:eastAsia="Times New Roman" w:hAnsi="Arial" w:cs="Arial"/>
                <w:i/>
                <w:iCs/>
                <w:color w:val="000000"/>
                <w:sz w:val="20"/>
                <w:szCs w:val="23"/>
                <w:lang w:eastAsia="en-GB"/>
              </w:rPr>
            </w:pPr>
            <w:r w:rsidRPr="00F53311">
              <w:rPr>
                <w:rFonts w:ascii="Arial" w:eastAsia="Times New Roman" w:hAnsi="Arial" w:cs="Arial"/>
                <w:i/>
                <w:iCs/>
                <w:color w:val="000000"/>
                <w:sz w:val="20"/>
                <w:szCs w:val="23"/>
                <w:lang w:eastAsia="en-GB"/>
              </w:rPr>
              <w:t>(h) biometric data (as used for ID purposes),</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67C28E2B"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2DD50880" w14:textId="77777777" w:rsidR="00F53311" w:rsidRPr="00F53311" w:rsidRDefault="00F53311" w:rsidP="00F53311">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F53311">
              <w:rPr>
                <w:rFonts w:ascii="MS Gothic" w:eastAsia="MS Gothic" w:hAnsi="MS Gothic" w:cs="Arial" w:hint="eastAsia"/>
                <w:b/>
                <w:bCs/>
                <w:lang w:val="en-US" w:eastAsia="en-GB"/>
              </w:rPr>
              <w:t>☐</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60B3DA29" w14:textId="77777777" w:rsidR="00F53311" w:rsidRPr="00F53311" w:rsidRDefault="00F53311" w:rsidP="00F5331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6EC5318E" w14:textId="77777777" w:rsidR="00F53311" w:rsidRPr="00F53311" w:rsidRDefault="00F53311" w:rsidP="00F53311">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F53311">
              <w:rPr>
                <w:rFonts w:ascii="MS Gothic" w:eastAsia="MS Gothic" w:hAnsi="MS Gothic" w:cs="Arial" w:hint="eastAsia"/>
                <w:b/>
                <w:bCs/>
                <w:color w:val="FF0000"/>
                <w:highlight w:val="black"/>
                <w:lang w:val="en-US" w:eastAsia="en-GB"/>
              </w:rPr>
              <w:t>☐</w:t>
            </w:r>
          </w:p>
        </w:tc>
      </w:tr>
      <w:tr w:rsidR="00F53311" w:rsidRPr="00F53311" w14:paraId="329C6722"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28ED295B" w14:textId="77777777" w:rsidR="00F53311" w:rsidRPr="00F53311" w:rsidRDefault="00F53311" w:rsidP="00F5331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D586160" w14:textId="77777777" w:rsidR="00F53311" w:rsidRPr="00F53311" w:rsidRDefault="00F53311" w:rsidP="00F53311">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F53311">
              <w:rPr>
                <w:rFonts w:ascii="Arial" w:eastAsia="Times New Roman" w:hAnsi="Arial" w:cs="Arial"/>
                <w:lang w:eastAsia="en-GB"/>
              </w:rPr>
              <w:t>If YES, provide a</w:t>
            </w:r>
            <w:r w:rsidRPr="00F53311">
              <w:rPr>
                <w:rFonts w:ascii="Arial" w:eastAsia="Times New Roman" w:hAnsi="Arial" w:cs="Arial"/>
                <w:b/>
                <w:bCs/>
                <w:lang w:eastAsia="en-GB"/>
              </w:rPr>
              <w:t xml:space="preserve"> </w:t>
            </w:r>
            <w:r w:rsidRPr="00F53311">
              <w:rPr>
                <w:rFonts w:ascii="Arial" w:eastAsia="Times New Roman" w:hAnsi="Arial" w:cs="Arial"/>
                <w:lang w:eastAsia="en-GB"/>
              </w:rPr>
              <w:t>description of the special category data and explain why this data needs to be collected:</w:t>
            </w:r>
          </w:p>
        </w:tc>
      </w:tr>
      <w:tr w:rsidR="00F53311" w:rsidRPr="00F53311" w14:paraId="3DA61D7D" w14:textId="77777777" w:rsidTr="00F53311">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352D533A" w14:textId="77777777" w:rsidR="00F53311" w:rsidRPr="00F53311" w:rsidRDefault="00F53311" w:rsidP="00F53311">
            <w:pPr>
              <w:spacing w:after="0" w:line="240" w:lineRule="auto"/>
              <w:jc w:val="center"/>
              <w:rPr>
                <w:rFonts w:ascii="Arial" w:eastAsia="Times New Roman" w:hAnsi="Arial" w:cs="Arial"/>
              </w:rPr>
            </w:pPr>
            <w:r w:rsidRPr="00F53311">
              <w:rPr>
                <w:rFonts w:ascii="Arial" w:eastAsia="Times New Roman" w:hAnsi="Arial" w:cs="Arial"/>
              </w:rPr>
              <w:t>4</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6DEA3AD" w14:textId="77777777" w:rsidR="00F53311" w:rsidRPr="00F53311" w:rsidRDefault="00F53311" w:rsidP="00F53311">
            <w:pPr>
              <w:spacing w:after="0" w:line="240" w:lineRule="auto"/>
              <w:rPr>
                <w:rFonts w:ascii="Arial" w:eastAsia="Times New Roman" w:hAnsi="Arial" w:cs="Arial"/>
                <w:color w:val="00B050"/>
                <w:sz w:val="24"/>
              </w:rPr>
            </w:pPr>
            <w:r w:rsidRPr="00F53311">
              <w:rPr>
                <w:rFonts w:ascii="Arial" w:eastAsia="Times New Roman" w:hAnsi="Arial" w:cs="Arial"/>
                <w:color w:val="00B050"/>
                <w:szCs w:val="20"/>
              </w:rPr>
              <w:t>What counts as ‘sensitive’ will differ between cultures. Any information on behaviour that is not in accordance with cultural norms would count as sensitive personal data.</w:t>
            </w:r>
          </w:p>
          <w:p w14:paraId="4639E1E3" w14:textId="77777777" w:rsidR="00F53311" w:rsidRPr="00F53311" w:rsidRDefault="00F53311" w:rsidP="00F53311">
            <w:pPr>
              <w:spacing w:after="0" w:line="240" w:lineRule="auto"/>
              <w:rPr>
                <w:rFonts w:ascii="Arial" w:eastAsia="Times New Roman" w:hAnsi="Arial" w:cs="Arial"/>
              </w:rPr>
            </w:pPr>
          </w:p>
          <w:p w14:paraId="359BAA97" w14:textId="77777777" w:rsidR="00F53311" w:rsidRPr="00F53311" w:rsidRDefault="00F53311" w:rsidP="00F53311">
            <w:pPr>
              <w:spacing w:after="0" w:line="240" w:lineRule="auto"/>
              <w:rPr>
                <w:rFonts w:ascii="Arial" w:eastAsia="Times New Roman" w:hAnsi="Arial" w:cs="Arial"/>
              </w:rPr>
            </w:pPr>
          </w:p>
          <w:p w14:paraId="2FEC36A0" w14:textId="77777777" w:rsidR="00F53311" w:rsidRPr="00F53311" w:rsidRDefault="00F53311" w:rsidP="00F53311">
            <w:pPr>
              <w:spacing w:after="0" w:line="240" w:lineRule="auto"/>
              <w:rPr>
                <w:rFonts w:ascii="Arial" w:eastAsia="Times New Roman" w:hAnsi="Arial" w:cs="Arial"/>
              </w:rPr>
            </w:pPr>
          </w:p>
          <w:p w14:paraId="13F874D0" w14:textId="77777777" w:rsidR="00F53311" w:rsidRPr="00F53311" w:rsidRDefault="00F53311" w:rsidP="00F53311">
            <w:pPr>
              <w:autoSpaceDE w:val="0"/>
              <w:autoSpaceDN w:val="0"/>
              <w:adjustRightInd w:val="0"/>
              <w:spacing w:after="0" w:line="240" w:lineRule="auto"/>
              <w:rPr>
                <w:rFonts w:ascii="Times New Roman" w:eastAsia="Times New Roman" w:hAnsi="Times New Roman" w:cs="Times New Roman"/>
                <w:sz w:val="20"/>
                <w:szCs w:val="20"/>
              </w:rPr>
            </w:pPr>
            <w:r w:rsidRPr="00F53311">
              <w:rPr>
                <w:rFonts w:ascii="Arial" w:eastAsia="Times New Roman" w:hAnsi="Arial" w:cs="Arial"/>
                <w:i/>
                <w:color w:val="808080"/>
                <w:sz w:val="18"/>
                <w:szCs w:val="18"/>
              </w:rPr>
              <w:t>(this box should expand as you type)</w:t>
            </w:r>
          </w:p>
        </w:tc>
      </w:tr>
    </w:tbl>
    <w:p w14:paraId="28C61AA8" w14:textId="77777777" w:rsidR="00F53311" w:rsidRPr="00F53311" w:rsidRDefault="00F53311" w:rsidP="00F53311">
      <w:pPr>
        <w:spacing w:after="0" w:line="240" w:lineRule="auto"/>
        <w:rPr>
          <w:rFonts w:ascii="Times New Roman" w:eastAsia="Times New Roman" w:hAnsi="Times New Roman" w:cs="Times New Roman"/>
          <w:sz w:val="20"/>
          <w:szCs w:val="20"/>
        </w:rPr>
      </w:pPr>
    </w:p>
    <w:tbl>
      <w:tblPr>
        <w:tblStyle w:val="TableGrid1"/>
        <w:tblW w:w="0" w:type="auto"/>
        <w:tblLook w:val="04A0" w:firstRow="1" w:lastRow="0" w:firstColumn="1" w:lastColumn="0" w:noHBand="0" w:noVBand="1"/>
      </w:tblPr>
      <w:tblGrid>
        <w:gridCol w:w="439"/>
        <w:gridCol w:w="7273"/>
        <w:gridCol w:w="710"/>
        <w:gridCol w:w="594"/>
      </w:tblGrid>
      <w:tr w:rsidR="00F53311" w:rsidRPr="00F53311" w14:paraId="57506ABF" w14:textId="77777777" w:rsidTr="00F53311">
        <w:trPr>
          <w:trHeight w:val="439"/>
        </w:trPr>
        <w:tc>
          <w:tcPr>
            <w:tcW w:w="0" w:type="auto"/>
            <w:shd w:val="clear" w:color="auto" w:fill="F2F2F2"/>
            <w:vAlign w:val="center"/>
          </w:tcPr>
          <w:p w14:paraId="52F95521" w14:textId="77777777" w:rsidR="00F53311" w:rsidRPr="00F53311" w:rsidRDefault="00F53311" w:rsidP="00F53311">
            <w:pPr>
              <w:autoSpaceDE w:val="0"/>
              <w:autoSpaceDN w:val="0"/>
              <w:adjustRightInd w:val="0"/>
              <w:jc w:val="center"/>
              <w:rPr>
                <w:rFonts w:ascii="Arial" w:hAnsi="Arial" w:cs="Arial"/>
              </w:rPr>
            </w:pPr>
          </w:p>
        </w:tc>
        <w:tc>
          <w:tcPr>
            <w:tcW w:w="0" w:type="auto"/>
            <w:shd w:val="clear" w:color="auto" w:fill="F2F2F2"/>
          </w:tcPr>
          <w:p w14:paraId="4243B25F" w14:textId="77777777" w:rsidR="00F53311" w:rsidRPr="00F53311" w:rsidRDefault="00F53311" w:rsidP="00F53311">
            <w:pPr>
              <w:autoSpaceDE w:val="0"/>
              <w:autoSpaceDN w:val="0"/>
              <w:adjustRightInd w:val="0"/>
              <w:rPr>
                <w:rFonts w:ascii="Arial" w:hAnsi="Arial" w:cs="Arial"/>
                <w:b/>
                <w:bCs/>
              </w:rPr>
            </w:pPr>
            <w:r w:rsidRPr="00F53311">
              <w:rPr>
                <w:b/>
              </w:rPr>
              <w:br w:type="page"/>
            </w:r>
            <w:r w:rsidRPr="00F53311">
              <w:rPr>
                <w:rFonts w:ascii="Arial" w:hAnsi="Arial" w:cs="Arial"/>
                <w:b/>
              </w:rPr>
              <w:t>Will data from the research activity (collected data, drafts of the thesis, or materials for publication) be stored in any of the following ways?</w:t>
            </w:r>
          </w:p>
        </w:tc>
        <w:tc>
          <w:tcPr>
            <w:tcW w:w="0" w:type="auto"/>
            <w:shd w:val="clear" w:color="auto" w:fill="F2F2F2"/>
          </w:tcPr>
          <w:p w14:paraId="3A1EC91E"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tcPr>
          <w:p w14:paraId="4A165F3C"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r>
      <w:tr w:rsidR="00F53311" w:rsidRPr="00F53311" w14:paraId="00FBC2F2" w14:textId="77777777" w:rsidTr="00F53311">
        <w:trPr>
          <w:trHeight w:val="439"/>
        </w:trPr>
        <w:tc>
          <w:tcPr>
            <w:tcW w:w="0" w:type="auto"/>
            <w:shd w:val="clear" w:color="auto" w:fill="F2F2F2"/>
            <w:vAlign w:val="center"/>
          </w:tcPr>
          <w:p w14:paraId="431BF515"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5</w:t>
            </w:r>
          </w:p>
        </w:tc>
        <w:tc>
          <w:tcPr>
            <w:tcW w:w="0" w:type="auto"/>
            <w:shd w:val="clear" w:color="auto" w:fill="F2F2F2"/>
            <w:vAlign w:val="center"/>
          </w:tcPr>
          <w:p w14:paraId="2295FC59"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Manual files (i.e. in paper form)?</w:t>
            </w:r>
          </w:p>
        </w:tc>
        <w:tc>
          <w:tcPr>
            <w:tcW w:w="0" w:type="auto"/>
            <w:shd w:val="clear" w:color="auto" w:fill="BFBFBF"/>
          </w:tcPr>
          <w:sdt>
            <w:sdtPr>
              <w:rPr>
                <w:rFonts w:ascii="Arial" w:hAnsi="Arial" w:cs="Arial"/>
                <w:b/>
                <w:bCs/>
              </w:rPr>
              <w:id w:val="-716891366"/>
              <w14:checkbox>
                <w14:checked w14:val="0"/>
                <w14:checkedState w14:val="2612" w14:font="MS Gothic"/>
                <w14:uncheckedState w14:val="2610" w14:font="MS Gothic"/>
              </w14:checkbox>
            </w:sdtPr>
            <w:sdtContent>
              <w:p w14:paraId="6EFEB460"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124512450"/>
              <w14:checkbox>
                <w14:checked w14:val="1"/>
                <w14:checkedState w14:val="2612" w14:font="MS Gothic"/>
                <w14:uncheckedState w14:val="2610" w14:font="MS Gothic"/>
              </w14:checkbox>
            </w:sdtPr>
            <w:sdtContent>
              <w:p w14:paraId="3C5AC31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D6AC019" w14:textId="77777777" w:rsidTr="00F53311">
        <w:trPr>
          <w:trHeight w:val="403"/>
        </w:trPr>
        <w:tc>
          <w:tcPr>
            <w:tcW w:w="0" w:type="auto"/>
            <w:shd w:val="clear" w:color="auto" w:fill="F2F2F2"/>
            <w:vAlign w:val="center"/>
          </w:tcPr>
          <w:p w14:paraId="5572731D"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6</w:t>
            </w:r>
          </w:p>
        </w:tc>
        <w:tc>
          <w:tcPr>
            <w:tcW w:w="0" w:type="auto"/>
            <w:shd w:val="clear" w:color="auto" w:fill="F2F2F2"/>
            <w:vAlign w:val="center"/>
          </w:tcPr>
          <w:p w14:paraId="22B6F807"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University computers?</w:t>
            </w:r>
          </w:p>
        </w:tc>
        <w:tc>
          <w:tcPr>
            <w:tcW w:w="0" w:type="auto"/>
            <w:shd w:val="clear" w:color="auto" w:fill="BFBFBF"/>
          </w:tcPr>
          <w:sdt>
            <w:sdtPr>
              <w:rPr>
                <w:rFonts w:ascii="Arial" w:hAnsi="Arial" w:cs="Arial"/>
                <w:b/>
                <w:bCs/>
              </w:rPr>
              <w:id w:val="-1058942064"/>
              <w14:checkbox>
                <w14:checked w14:val="0"/>
                <w14:checkedState w14:val="2612" w14:font="MS Gothic"/>
                <w14:uncheckedState w14:val="2610" w14:font="MS Gothic"/>
              </w14:checkbox>
            </w:sdtPr>
            <w:sdtContent>
              <w:p w14:paraId="6055F756"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1525707884"/>
              <w14:checkbox>
                <w14:checked w14:val="1"/>
                <w14:checkedState w14:val="2612" w14:font="MS Gothic"/>
                <w14:uncheckedState w14:val="2610" w14:font="MS Gothic"/>
              </w14:checkbox>
            </w:sdtPr>
            <w:sdtContent>
              <w:p w14:paraId="5CFE936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C033491" w14:textId="77777777" w:rsidTr="00F53311">
        <w:trPr>
          <w:trHeight w:val="439"/>
        </w:trPr>
        <w:tc>
          <w:tcPr>
            <w:tcW w:w="0" w:type="auto"/>
            <w:shd w:val="clear" w:color="auto" w:fill="F2F2F2"/>
            <w:vAlign w:val="center"/>
          </w:tcPr>
          <w:p w14:paraId="73585074"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7</w:t>
            </w:r>
          </w:p>
        </w:tc>
        <w:tc>
          <w:tcPr>
            <w:tcW w:w="0" w:type="auto"/>
            <w:shd w:val="clear" w:color="auto" w:fill="F2F2F2"/>
            <w:vAlign w:val="center"/>
          </w:tcPr>
          <w:p w14:paraId="1E13560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Private company computers?</w:t>
            </w:r>
          </w:p>
        </w:tc>
        <w:tc>
          <w:tcPr>
            <w:tcW w:w="0" w:type="auto"/>
            <w:shd w:val="clear" w:color="auto" w:fill="BFBFBF"/>
          </w:tcPr>
          <w:sdt>
            <w:sdtPr>
              <w:rPr>
                <w:rFonts w:ascii="Arial" w:hAnsi="Arial" w:cs="Arial"/>
                <w:b/>
                <w:bCs/>
              </w:rPr>
              <w:id w:val="428779520"/>
              <w14:checkbox>
                <w14:checked w14:val="0"/>
                <w14:checkedState w14:val="2612" w14:font="MS Gothic"/>
                <w14:uncheckedState w14:val="2610" w14:font="MS Gothic"/>
              </w14:checkbox>
            </w:sdtPr>
            <w:sdtContent>
              <w:p w14:paraId="66D7DC99"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1738441066"/>
              <w14:checkbox>
                <w14:checked w14:val="1"/>
                <w14:checkedState w14:val="2612" w14:font="MS Gothic"/>
                <w14:uncheckedState w14:val="2610" w14:font="MS Gothic"/>
              </w14:checkbox>
            </w:sdtPr>
            <w:sdtContent>
              <w:p w14:paraId="0236D12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52895B68" w14:textId="77777777" w:rsidTr="00F53311">
        <w:trPr>
          <w:trHeight w:val="403"/>
        </w:trPr>
        <w:tc>
          <w:tcPr>
            <w:tcW w:w="0" w:type="auto"/>
            <w:shd w:val="clear" w:color="auto" w:fill="F2F2F2"/>
            <w:vAlign w:val="center"/>
          </w:tcPr>
          <w:p w14:paraId="72045F4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8</w:t>
            </w:r>
          </w:p>
        </w:tc>
        <w:tc>
          <w:tcPr>
            <w:tcW w:w="0" w:type="auto"/>
            <w:shd w:val="clear" w:color="auto" w:fill="F2F2F2"/>
            <w:vAlign w:val="center"/>
          </w:tcPr>
          <w:p w14:paraId="2CC7943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Home or other personal computers?</w:t>
            </w:r>
          </w:p>
        </w:tc>
        <w:tc>
          <w:tcPr>
            <w:tcW w:w="0" w:type="auto"/>
            <w:shd w:val="clear" w:color="auto" w:fill="BFBFBF"/>
          </w:tcPr>
          <w:sdt>
            <w:sdtPr>
              <w:rPr>
                <w:rFonts w:ascii="Arial" w:hAnsi="Arial" w:cs="Arial"/>
                <w:b/>
                <w:bCs/>
              </w:rPr>
              <w:id w:val="666676712"/>
              <w14:checkbox>
                <w14:checked w14:val="0"/>
                <w14:checkedState w14:val="2612" w14:font="MS Gothic"/>
                <w14:uncheckedState w14:val="2610" w14:font="MS Gothic"/>
              </w14:checkbox>
            </w:sdtPr>
            <w:sdtContent>
              <w:p w14:paraId="7F8D57CB"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243309197"/>
              <w14:checkbox>
                <w14:checked w14:val="1"/>
                <w14:checkedState w14:val="2612" w14:font="MS Gothic"/>
                <w14:uncheckedState w14:val="2610" w14:font="MS Gothic"/>
              </w14:checkbox>
            </w:sdtPr>
            <w:sdtContent>
              <w:p w14:paraId="6C6DFCD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3B27C6C" w14:textId="77777777" w:rsidTr="00F53311">
        <w:trPr>
          <w:trHeight w:val="403"/>
        </w:trPr>
        <w:tc>
          <w:tcPr>
            <w:tcW w:w="0" w:type="auto"/>
            <w:shd w:val="clear" w:color="auto" w:fill="F2F2F2"/>
            <w:vAlign w:val="center"/>
          </w:tcPr>
          <w:p w14:paraId="7A849180"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9</w:t>
            </w:r>
          </w:p>
        </w:tc>
        <w:tc>
          <w:tcPr>
            <w:tcW w:w="0" w:type="auto"/>
            <w:shd w:val="clear" w:color="auto" w:fill="F2F2F2"/>
            <w:vAlign w:val="center"/>
          </w:tcPr>
          <w:p w14:paraId="4ACECAD8"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Laptop computers/ CDs/ Portable disk-drives/ memory sticks?</w:t>
            </w:r>
          </w:p>
        </w:tc>
        <w:tc>
          <w:tcPr>
            <w:tcW w:w="0" w:type="auto"/>
            <w:shd w:val="clear" w:color="auto" w:fill="BFBFBF"/>
          </w:tcPr>
          <w:sdt>
            <w:sdtPr>
              <w:rPr>
                <w:rFonts w:ascii="Arial" w:hAnsi="Arial" w:cs="Arial"/>
                <w:b/>
                <w:bCs/>
              </w:rPr>
              <w:id w:val="1761182650"/>
              <w14:checkbox>
                <w14:checked w14:val="0"/>
                <w14:checkedState w14:val="2612" w14:font="MS Gothic"/>
                <w14:uncheckedState w14:val="2610" w14:font="MS Gothic"/>
              </w14:checkbox>
            </w:sdtPr>
            <w:sdtContent>
              <w:p w14:paraId="7A48974F"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1031489010"/>
              <w14:checkbox>
                <w14:checked w14:val="1"/>
                <w14:checkedState w14:val="2612" w14:font="MS Gothic"/>
                <w14:uncheckedState w14:val="2610" w14:font="MS Gothic"/>
              </w14:checkbox>
            </w:sdtPr>
            <w:sdtContent>
              <w:p w14:paraId="4DE19F8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6E5CB7C6" w14:textId="77777777" w:rsidTr="00F53311">
        <w:trPr>
          <w:trHeight w:val="403"/>
        </w:trPr>
        <w:tc>
          <w:tcPr>
            <w:tcW w:w="0" w:type="auto"/>
            <w:shd w:val="clear" w:color="auto" w:fill="F2F2F2"/>
            <w:vAlign w:val="center"/>
          </w:tcPr>
          <w:p w14:paraId="515C2EC6"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10</w:t>
            </w:r>
          </w:p>
        </w:tc>
        <w:tc>
          <w:tcPr>
            <w:tcW w:w="0" w:type="auto"/>
            <w:shd w:val="clear" w:color="auto" w:fill="F2F2F2"/>
            <w:vAlign w:val="center"/>
          </w:tcPr>
          <w:p w14:paraId="587B3F37"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“Cloud” storage or websites?</w:t>
            </w:r>
          </w:p>
        </w:tc>
        <w:tc>
          <w:tcPr>
            <w:tcW w:w="0" w:type="auto"/>
            <w:shd w:val="clear" w:color="auto" w:fill="BFBFBF"/>
          </w:tcPr>
          <w:sdt>
            <w:sdtPr>
              <w:rPr>
                <w:rFonts w:ascii="Arial" w:hAnsi="Arial" w:cs="Arial"/>
                <w:b/>
                <w:bCs/>
              </w:rPr>
              <w:id w:val="-40376448"/>
              <w14:checkbox>
                <w14:checked w14:val="0"/>
                <w14:checkedState w14:val="2612" w14:font="MS Gothic"/>
                <w14:uncheckedState w14:val="2610" w14:font="MS Gothic"/>
              </w14:checkbox>
            </w:sdtPr>
            <w:sdtContent>
              <w:p w14:paraId="0B35004B"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tcPr>
          <w:sdt>
            <w:sdtPr>
              <w:rPr>
                <w:rFonts w:ascii="Arial" w:hAnsi="Arial" w:cs="Arial"/>
                <w:b/>
                <w:bCs/>
              </w:rPr>
              <w:id w:val="-2004037841"/>
              <w14:checkbox>
                <w14:checked w14:val="1"/>
                <w14:checkedState w14:val="2612" w14:font="MS Gothic"/>
                <w14:uncheckedState w14:val="2610" w14:font="MS Gothic"/>
              </w14:checkbox>
            </w:sdtPr>
            <w:sdtContent>
              <w:p w14:paraId="0B58F28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9B0CB33" w14:textId="77777777" w:rsidTr="00F53311">
        <w:trPr>
          <w:trHeight w:val="403"/>
        </w:trPr>
        <w:tc>
          <w:tcPr>
            <w:tcW w:w="0" w:type="auto"/>
            <w:shd w:val="clear" w:color="auto" w:fill="F2F2F2"/>
            <w:vAlign w:val="center"/>
          </w:tcPr>
          <w:p w14:paraId="76031080"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11</w:t>
            </w:r>
          </w:p>
        </w:tc>
        <w:tc>
          <w:tcPr>
            <w:tcW w:w="0" w:type="auto"/>
            <w:shd w:val="clear" w:color="auto" w:fill="F2F2F2"/>
          </w:tcPr>
          <w:p w14:paraId="6E9CFC27"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Other – specify:</w:t>
            </w:r>
          </w:p>
          <w:p w14:paraId="1782558A" w14:textId="77777777" w:rsidR="00F53311" w:rsidRPr="00F53311" w:rsidRDefault="00F53311" w:rsidP="00F53311">
            <w:pPr>
              <w:autoSpaceDE w:val="0"/>
              <w:autoSpaceDN w:val="0"/>
              <w:adjustRightInd w:val="0"/>
              <w:rPr>
                <w:rFonts w:ascii="Arial" w:hAnsi="Arial" w:cs="Arial"/>
              </w:rPr>
            </w:pPr>
          </w:p>
        </w:tc>
        <w:tc>
          <w:tcPr>
            <w:tcW w:w="0" w:type="auto"/>
            <w:shd w:val="clear" w:color="auto" w:fill="BFBF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7E183BDD"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02BD77F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5C432224" w14:textId="77777777" w:rsidTr="00F53311">
        <w:trPr>
          <w:trHeight w:val="403"/>
        </w:trPr>
        <w:tc>
          <w:tcPr>
            <w:tcW w:w="0" w:type="auto"/>
            <w:shd w:val="clear" w:color="auto" w:fill="F2F2F2"/>
            <w:vAlign w:val="center"/>
          </w:tcPr>
          <w:p w14:paraId="4E703666"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rPr>
              <w:t>12</w:t>
            </w:r>
          </w:p>
        </w:tc>
        <w:tc>
          <w:tcPr>
            <w:tcW w:w="0" w:type="auto"/>
            <w:gridSpan w:val="3"/>
            <w:shd w:val="clear" w:color="auto" w:fill="F2F2F2"/>
          </w:tcPr>
          <w:p w14:paraId="41E3D3DA" w14:textId="77777777" w:rsidR="00F53311" w:rsidRPr="00F53311" w:rsidRDefault="00F53311" w:rsidP="00F53311">
            <w:pPr>
              <w:autoSpaceDE w:val="0"/>
              <w:autoSpaceDN w:val="0"/>
              <w:adjustRightInd w:val="0"/>
              <w:rPr>
                <w:rFonts w:ascii="Arial" w:hAnsi="Arial" w:cs="Arial"/>
                <w:b/>
                <w:bCs/>
              </w:rPr>
            </w:pPr>
            <w:r w:rsidRPr="00F53311">
              <w:rPr>
                <w:rFonts w:ascii="Arial" w:hAnsi="Arial" w:cs="Arial"/>
                <w:bCs/>
              </w:rPr>
              <w:t xml:space="preserve">For all stored data, explain the measures in place to ensure the security of the data collected, data confidentiality, including details of backup procedures, </w:t>
            </w:r>
            <w:r w:rsidRPr="00F53311">
              <w:rPr>
                <w:rFonts w:ascii="Arial" w:hAnsi="Arial" w:cs="Arial"/>
                <w:bCs/>
                <w:shd w:val="clear" w:color="auto" w:fill="F2F2F2"/>
              </w:rPr>
              <w:t>password</w:t>
            </w:r>
            <w:r w:rsidRPr="00F53311">
              <w:rPr>
                <w:rFonts w:ascii="Arial" w:hAnsi="Arial" w:cs="Arial"/>
                <w:bCs/>
              </w:rPr>
              <w:t xml:space="preserve"> protection, encryption, anonymisation and pseudonymisation</w:t>
            </w:r>
            <w:r w:rsidRPr="00F53311">
              <w:rPr>
                <w:rFonts w:ascii="Arial" w:hAnsi="Arial" w:cs="Arial"/>
              </w:rPr>
              <w:t>:</w:t>
            </w:r>
          </w:p>
        </w:tc>
      </w:tr>
      <w:tr w:rsidR="00F53311" w:rsidRPr="00F53311" w14:paraId="6568FFA8" w14:textId="77777777" w:rsidTr="00F53311">
        <w:trPr>
          <w:trHeight w:val="403"/>
        </w:trPr>
        <w:tc>
          <w:tcPr>
            <w:tcW w:w="0" w:type="auto"/>
            <w:vAlign w:val="center"/>
          </w:tcPr>
          <w:p w14:paraId="1681B804" w14:textId="77777777" w:rsidR="00F53311" w:rsidRPr="00F53311" w:rsidRDefault="00F53311" w:rsidP="00F53311">
            <w:pPr>
              <w:jc w:val="center"/>
              <w:rPr>
                <w:rFonts w:ascii="Arial" w:hAnsi="Arial" w:cs="Arial"/>
              </w:rPr>
            </w:pPr>
          </w:p>
        </w:tc>
        <w:tc>
          <w:tcPr>
            <w:tcW w:w="0" w:type="auto"/>
            <w:gridSpan w:val="3"/>
          </w:tcPr>
          <w:p w14:paraId="097D2B60" w14:textId="77777777" w:rsidR="00F53311" w:rsidRPr="00F53311" w:rsidRDefault="00F53311" w:rsidP="00F53311">
            <w:pPr>
              <w:rPr>
                <w:rFonts w:ascii="Arial" w:hAnsi="Arial" w:cs="Arial"/>
                <w:color w:val="00B050"/>
              </w:rPr>
            </w:pPr>
            <w:r w:rsidRPr="00F53311">
              <w:rPr>
                <w:rFonts w:ascii="Arial" w:hAnsi="Arial" w:cs="Arial"/>
                <w:color w:val="00B050"/>
              </w:rPr>
              <w:t>If possible, save your data on computers that are secure and regularly backed up. Many cloud services only provide GDPR-compliant storage for business customers. An example of suitable text is given below.</w:t>
            </w:r>
          </w:p>
          <w:p w14:paraId="21F5C503" w14:textId="77777777" w:rsidR="00F53311" w:rsidRPr="00F53311" w:rsidRDefault="00F53311" w:rsidP="00F53311">
            <w:pPr>
              <w:rPr>
                <w:rFonts w:ascii="Arial" w:hAnsi="Arial" w:cs="Arial"/>
                <w:color w:val="00B050"/>
              </w:rPr>
            </w:pPr>
          </w:p>
          <w:p w14:paraId="6C93D456" w14:textId="77777777" w:rsidR="00F53311" w:rsidRPr="00F53311" w:rsidRDefault="00F53311" w:rsidP="00F53311">
            <w:pPr>
              <w:autoSpaceDE w:val="0"/>
              <w:autoSpaceDN w:val="0"/>
              <w:adjustRightInd w:val="0"/>
              <w:rPr>
                <w:rFonts w:ascii="Arial" w:hAnsi="Arial" w:cs="Arial"/>
                <w:i/>
                <w:color w:val="7030A0"/>
              </w:rPr>
            </w:pPr>
            <w:r w:rsidRPr="00F53311">
              <w:rPr>
                <w:rFonts w:ascii="Arial" w:hAnsi="Arial" w:cs="Arial"/>
                <w:i/>
                <w:color w:val="7030A0"/>
              </w:rPr>
              <w:t>All data will be kept in password protected cloud storage on the University Office 365 system which</w:t>
            </w:r>
          </w:p>
          <w:p w14:paraId="7E45D5AF" w14:textId="77777777" w:rsidR="00F53311" w:rsidRPr="00F53311" w:rsidRDefault="00F53311" w:rsidP="00F53311">
            <w:pPr>
              <w:autoSpaceDE w:val="0"/>
              <w:autoSpaceDN w:val="0"/>
              <w:adjustRightInd w:val="0"/>
              <w:rPr>
                <w:rFonts w:ascii="Arial" w:hAnsi="Arial" w:cs="Arial"/>
                <w:i/>
                <w:color w:val="7030A0"/>
              </w:rPr>
            </w:pPr>
            <w:r w:rsidRPr="00F53311">
              <w:rPr>
                <w:rFonts w:ascii="Arial" w:hAnsi="Arial" w:cs="Arial"/>
                <w:i/>
                <w:color w:val="7030A0"/>
              </w:rPr>
              <w:lastRenderedPageBreak/>
              <w:t>will not be shared. Audio/visual data will be transcribed and would be shown to participants to</w:t>
            </w:r>
          </w:p>
          <w:p w14:paraId="582390E3" w14:textId="77777777" w:rsidR="00F53311" w:rsidRPr="00F53311" w:rsidRDefault="00F53311" w:rsidP="00F53311">
            <w:pPr>
              <w:autoSpaceDE w:val="0"/>
              <w:autoSpaceDN w:val="0"/>
              <w:adjustRightInd w:val="0"/>
              <w:rPr>
                <w:rFonts w:ascii="Arial" w:hAnsi="Arial" w:cs="Arial"/>
                <w:i/>
                <w:color w:val="7030A0"/>
              </w:rPr>
            </w:pPr>
            <w:r w:rsidRPr="00F53311">
              <w:rPr>
                <w:rFonts w:ascii="Arial" w:hAnsi="Arial" w:cs="Arial"/>
                <w:i/>
                <w:color w:val="7030A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677A271C" w14:textId="77777777" w:rsidR="00F53311" w:rsidRPr="00F53311" w:rsidRDefault="00F53311" w:rsidP="00F53311">
            <w:pPr>
              <w:rPr>
                <w:rFonts w:ascii="Arial" w:hAnsi="Arial" w:cs="Arial"/>
              </w:rPr>
            </w:pPr>
          </w:p>
          <w:p w14:paraId="543B446C" w14:textId="77777777" w:rsidR="00F53311" w:rsidRPr="00F53311" w:rsidRDefault="00F53311" w:rsidP="00F53311">
            <w:pPr>
              <w:rPr>
                <w:rFonts w:ascii="Arial" w:hAnsi="Arial" w:cs="Arial"/>
              </w:rPr>
            </w:pPr>
          </w:p>
          <w:p w14:paraId="00BCC89E" w14:textId="77777777" w:rsidR="00F53311" w:rsidRPr="00F53311" w:rsidRDefault="00F53311" w:rsidP="00F53311">
            <w:pPr>
              <w:autoSpaceDE w:val="0"/>
              <w:autoSpaceDN w:val="0"/>
              <w:adjustRightInd w:val="0"/>
              <w:rPr>
                <w:rFonts w:ascii="Arial" w:hAnsi="Arial" w:cs="Arial"/>
                <w:b/>
                <w:bCs/>
              </w:rPr>
            </w:pPr>
            <w:r w:rsidRPr="00F53311">
              <w:rPr>
                <w:rFonts w:ascii="Arial" w:hAnsi="Arial" w:cs="Arial"/>
                <w:i/>
                <w:color w:val="808080"/>
                <w:sz w:val="18"/>
                <w:szCs w:val="18"/>
              </w:rPr>
              <w:t>(this box should expand as you type)</w:t>
            </w:r>
          </w:p>
        </w:tc>
      </w:tr>
    </w:tbl>
    <w:p w14:paraId="0824BAF5" w14:textId="77777777" w:rsidR="00F53311" w:rsidRPr="00F53311" w:rsidRDefault="00F53311" w:rsidP="00F53311">
      <w:pPr>
        <w:spacing w:after="0" w:line="240" w:lineRule="auto"/>
        <w:rPr>
          <w:rFonts w:ascii="Times New Roman" w:eastAsia="Times New Roman" w:hAnsi="Times New Roman" w:cs="Times New Roman"/>
          <w:sz w:val="20"/>
          <w:szCs w:val="20"/>
        </w:rPr>
      </w:pPr>
    </w:p>
    <w:tbl>
      <w:tblPr>
        <w:tblStyle w:val="TableGrid1"/>
        <w:tblW w:w="0" w:type="auto"/>
        <w:tblLook w:val="04A0" w:firstRow="1" w:lastRow="0" w:firstColumn="1" w:lastColumn="0" w:noHBand="0" w:noVBand="1"/>
      </w:tblPr>
      <w:tblGrid>
        <w:gridCol w:w="439"/>
        <w:gridCol w:w="7242"/>
        <w:gridCol w:w="727"/>
        <w:gridCol w:w="608"/>
      </w:tblGrid>
      <w:tr w:rsidR="00F53311" w:rsidRPr="00F53311" w14:paraId="72747C74" w14:textId="77777777" w:rsidTr="00F53311">
        <w:trPr>
          <w:trHeight w:val="439"/>
        </w:trPr>
        <w:tc>
          <w:tcPr>
            <w:tcW w:w="0" w:type="auto"/>
            <w:shd w:val="clear" w:color="auto" w:fill="F2F2F2"/>
          </w:tcPr>
          <w:p w14:paraId="04250FAA" w14:textId="77777777" w:rsidR="00F53311" w:rsidRPr="00F53311" w:rsidRDefault="00F53311" w:rsidP="00F53311">
            <w:pPr>
              <w:autoSpaceDE w:val="0"/>
              <w:autoSpaceDN w:val="0"/>
              <w:adjustRightInd w:val="0"/>
              <w:rPr>
                <w:rFonts w:ascii="Arial" w:hAnsi="Arial" w:cs="Arial"/>
              </w:rPr>
            </w:pPr>
          </w:p>
        </w:tc>
        <w:tc>
          <w:tcPr>
            <w:tcW w:w="0" w:type="auto"/>
            <w:gridSpan w:val="3"/>
            <w:shd w:val="clear" w:color="auto" w:fill="F2F2F2"/>
            <w:vAlign w:val="center"/>
          </w:tcPr>
          <w:p w14:paraId="1CD6AB40" w14:textId="77777777" w:rsidR="00F53311" w:rsidRPr="00F53311" w:rsidRDefault="00F53311" w:rsidP="00F53311">
            <w:pPr>
              <w:autoSpaceDE w:val="0"/>
              <w:autoSpaceDN w:val="0"/>
              <w:adjustRightInd w:val="0"/>
              <w:rPr>
                <w:rFonts w:ascii="Arial" w:hAnsi="Arial" w:cs="Arial"/>
                <w:b/>
                <w:bCs/>
              </w:rPr>
            </w:pPr>
            <w:r w:rsidRPr="00F53311">
              <w:rPr>
                <w:rFonts w:ascii="Arial" w:hAnsi="Arial" w:cs="Arial"/>
                <w:b/>
                <w:bCs/>
              </w:rPr>
              <w:t>Data Protection</w:t>
            </w:r>
          </w:p>
        </w:tc>
      </w:tr>
      <w:tr w:rsidR="00F53311" w:rsidRPr="00F53311" w14:paraId="09562EB4" w14:textId="77777777" w:rsidTr="00F53311">
        <w:trPr>
          <w:trHeight w:val="439"/>
        </w:trPr>
        <w:tc>
          <w:tcPr>
            <w:tcW w:w="0" w:type="auto"/>
            <w:shd w:val="clear" w:color="auto" w:fill="F2F2F2"/>
            <w:vAlign w:val="center"/>
          </w:tcPr>
          <w:p w14:paraId="79D775E8" w14:textId="77777777" w:rsidR="00F53311" w:rsidRPr="00F53311" w:rsidRDefault="00F53311" w:rsidP="00F53311">
            <w:pPr>
              <w:autoSpaceDE w:val="0"/>
              <w:autoSpaceDN w:val="0"/>
              <w:adjustRightInd w:val="0"/>
              <w:jc w:val="center"/>
              <w:rPr>
                <w:rFonts w:ascii="Arial" w:hAnsi="Arial" w:cs="Arial"/>
              </w:rPr>
            </w:pPr>
          </w:p>
        </w:tc>
        <w:tc>
          <w:tcPr>
            <w:tcW w:w="0" w:type="auto"/>
            <w:shd w:val="clear" w:color="auto" w:fill="F2F2F2"/>
            <w:vAlign w:val="center"/>
          </w:tcPr>
          <w:p w14:paraId="59D34A94" w14:textId="77777777" w:rsidR="00F53311" w:rsidRPr="00F53311" w:rsidRDefault="00F53311" w:rsidP="00F53311">
            <w:pPr>
              <w:autoSpaceDE w:val="0"/>
              <w:autoSpaceDN w:val="0"/>
              <w:adjustRightInd w:val="0"/>
              <w:rPr>
                <w:rFonts w:ascii="Arial" w:hAnsi="Arial" w:cs="Arial"/>
                <w:b/>
                <w:bCs/>
              </w:rPr>
            </w:pPr>
            <w:r w:rsidRPr="00F53311">
              <w:rPr>
                <w:rFonts w:ascii="Arial" w:hAnsi="Arial" w:cs="Arial"/>
              </w:rPr>
              <w:t xml:space="preserve">Will the research activity </w:t>
            </w:r>
            <w:r w:rsidRPr="00F53311">
              <w:rPr>
                <w:rFonts w:ascii="Arial" w:hAnsi="Arial" w:cs="Arial"/>
                <w:bCs/>
              </w:rPr>
              <w:t>involve any of the following activities:</w:t>
            </w:r>
          </w:p>
        </w:tc>
        <w:tc>
          <w:tcPr>
            <w:tcW w:w="0" w:type="auto"/>
            <w:shd w:val="clear" w:color="auto" w:fill="F2F2F2"/>
            <w:vAlign w:val="center"/>
          </w:tcPr>
          <w:p w14:paraId="19E0EF01"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vAlign w:val="center"/>
          </w:tcPr>
          <w:p w14:paraId="653DA7AB"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r>
      <w:tr w:rsidR="00F53311" w:rsidRPr="00F53311" w14:paraId="1E62CEA9" w14:textId="77777777" w:rsidTr="00F53311">
        <w:trPr>
          <w:trHeight w:val="439"/>
        </w:trPr>
        <w:tc>
          <w:tcPr>
            <w:tcW w:w="0" w:type="auto"/>
            <w:shd w:val="clear" w:color="auto" w:fill="F2F2F2"/>
            <w:vAlign w:val="center"/>
          </w:tcPr>
          <w:p w14:paraId="4A4A723A"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13</w:t>
            </w:r>
          </w:p>
        </w:tc>
        <w:tc>
          <w:tcPr>
            <w:tcW w:w="0" w:type="auto"/>
            <w:shd w:val="clear" w:color="auto" w:fill="F2F2F2"/>
            <w:vAlign w:val="center"/>
          </w:tcPr>
          <w:p w14:paraId="250CF5CF"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Electronic transfer of data in any form?</w:t>
            </w:r>
          </w:p>
        </w:tc>
        <w:tc>
          <w:tcPr>
            <w:tcW w:w="0" w:type="auto"/>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7D3EDEC3"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6FF4D38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793842F5" w14:textId="77777777" w:rsidTr="00F53311">
        <w:trPr>
          <w:trHeight w:val="403"/>
        </w:trPr>
        <w:tc>
          <w:tcPr>
            <w:tcW w:w="0" w:type="auto"/>
            <w:shd w:val="clear" w:color="auto" w:fill="F2F2F2"/>
            <w:vAlign w:val="center"/>
          </w:tcPr>
          <w:p w14:paraId="4F9EF84B"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14</w:t>
            </w:r>
          </w:p>
        </w:tc>
        <w:tc>
          <w:tcPr>
            <w:tcW w:w="0" w:type="auto"/>
            <w:shd w:val="clear" w:color="auto" w:fill="F2F2F2"/>
            <w:vAlign w:val="center"/>
          </w:tcPr>
          <w:p w14:paraId="20A8395A"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Sharing of data with others at the University outside of the immediate research team?</w:t>
            </w:r>
          </w:p>
        </w:tc>
        <w:tc>
          <w:tcPr>
            <w:tcW w:w="0" w:type="auto"/>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0ACFEF2"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7BD6E2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77937BAB" w14:textId="77777777" w:rsidTr="00F53311">
        <w:trPr>
          <w:trHeight w:val="439"/>
        </w:trPr>
        <w:tc>
          <w:tcPr>
            <w:tcW w:w="0" w:type="auto"/>
            <w:shd w:val="clear" w:color="auto" w:fill="F2F2F2"/>
            <w:vAlign w:val="center"/>
          </w:tcPr>
          <w:p w14:paraId="7E6D9AF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15</w:t>
            </w:r>
          </w:p>
        </w:tc>
        <w:tc>
          <w:tcPr>
            <w:tcW w:w="0" w:type="auto"/>
            <w:shd w:val="clear" w:color="auto" w:fill="F2F2F2"/>
            <w:vAlign w:val="center"/>
          </w:tcPr>
          <w:p w14:paraId="4DDE567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Sharing of data with other organisations?</w:t>
            </w:r>
          </w:p>
        </w:tc>
        <w:tc>
          <w:tcPr>
            <w:tcW w:w="0" w:type="auto"/>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5A8B6C6"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478C112"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2CFBFCC5" w14:textId="77777777" w:rsidTr="00F53311">
        <w:trPr>
          <w:trHeight w:val="403"/>
        </w:trPr>
        <w:tc>
          <w:tcPr>
            <w:tcW w:w="0" w:type="auto"/>
            <w:shd w:val="clear" w:color="auto" w:fill="F2F2F2"/>
            <w:vAlign w:val="center"/>
          </w:tcPr>
          <w:p w14:paraId="6FFC4ECC"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16</w:t>
            </w:r>
          </w:p>
        </w:tc>
        <w:tc>
          <w:tcPr>
            <w:tcW w:w="0" w:type="auto"/>
            <w:shd w:val="clear" w:color="auto" w:fill="F2F2F2"/>
            <w:vAlign w:val="center"/>
          </w:tcPr>
          <w:p w14:paraId="3D67D5BB"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Export of data outside the UK or importing of data from outside the UK?</w:t>
            </w:r>
          </w:p>
        </w:tc>
        <w:tc>
          <w:tcPr>
            <w:tcW w:w="0" w:type="auto"/>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37F36E2"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2694EA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5D486DCC" w14:textId="77777777" w:rsidTr="00F53311">
        <w:trPr>
          <w:trHeight w:val="403"/>
        </w:trPr>
        <w:tc>
          <w:tcPr>
            <w:tcW w:w="0" w:type="auto"/>
            <w:shd w:val="clear" w:color="auto" w:fill="F2F2F2"/>
            <w:vAlign w:val="center"/>
          </w:tcPr>
          <w:p w14:paraId="5A1CD4B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17</w:t>
            </w:r>
          </w:p>
        </w:tc>
        <w:tc>
          <w:tcPr>
            <w:tcW w:w="0" w:type="auto"/>
            <w:shd w:val="clear" w:color="auto" w:fill="F2F2F2"/>
            <w:vAlign w:val="center"/>
          </w:tcPr>
          <w:p w14:paraId="1F18CDA4"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Use of personal addresses, postcodes, faxes, emails or telephone numbers?</w:t>
            </w:r>
          </w:p>
        </w:tc>
        <w:tc>
          <w:tcPr>
            <w:tcW w:w="0" w:type="auto"/>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1595D4A9"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00C2732"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3C56E247" w14:textId="77777777" w:rsidTr="00F53311">
        <w:trPr>
          <w:trHeight w:val="403"/>
        </w:trPr>
        <w:tc>
          <w:tcPr>
            <w:tcW w:w="0" w:type="auto"/>
            <w:shd w:val="clear" w:color="auto" w:fill="F2F2F2"/>
            <w:vAlign w:val="center"/>
          </w:tcPr>
          <w:p w14:paraId="3EA913A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18</w:t>
            </w:r>
          </w:p>
        </w:tc>
        <w:tc>
          <w:tcPr>
            <w:tcW w:w="0" w:type="auto"/>
            <w:shd w:val="clear" w:color="auto" w:fill="F2F2F2"/>
            <w:vAlign w:val="center"/>
          </w:tcPr>
          <w:p w14:paraId="77631699"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Publication of data that might allow identification of individuals?</w:t>
            </w:r>
          </w:p>
        </w:tc>
        <w:tc>
          <w:tcPr>
            <w:tcW w:w="0" w:type="auto"/>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F66E93D" w14:textId="77777777" w:rsidR="00F53311" w:rsidRPr="00F53311" w:rsidRDefault="00F53311" w:rsidP="00F53311">
                <w:pPr>
                  <w:autoSpaceDE w:val="0"/>
                  <w:autoSpaceDN w:val="0"/>
                  <w:adjustRightInd w:val="0"/>
                  <w:jc w:val="center"/>
                  <w:rPr>
                    <w:rFonts w:ascii="Arial" w:hAnsi="Arial" w:cs="Arial"/>
                    <w:bCs/>
                  </w:rPr>
                </w:pPr>
                <w:r w:rsidRPr="00F53311">
                  <w:rPr>
                    <w:rFonts w:ascii="Segoe UI Symbol" w:hAnsi="Segoe UI Symbol" w:cs="Segoe UI Symbol"/>
                    <w:b/>
                    <w:bCs/>
                  </w:rPr>
                  <w:t>☐</w:t>
                </w:r>
              </w:p>
            </w:sdtContent>
          </w:sdt>
        </w:tc>
        <w:tc>
          <w:tcPr>
            <w:tcW w:w="0" w:type="auto"/>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1A0E942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b/>
                    <w:bCs/>
                  </w:rPr>
                  <w:t>☒</w:t>
                </w:r>
              </w:p>
            </w:sdtContent>
          </w:sdt>
        </w:tc>
      </w:tr>
      <w:tr w:rsidR="00F53311" w:rsidRPr="00F53311" w14:paraId="0975CECA" w14:textId="77777777" w:rsidTr="00F53311">
        <w:trPr>
          <w:trHeight w:val="403"/>
        </w:trPr>
        <w:tc>
          <w:tcPr>
            <w:tcW w:w="0" w:type="auto"/>
            <w:shd w:val="clear" w:color="auto" w:fill="F2F2F2"/>
            <w:vAlign w:val="center"/>
          </w:tcPr>
          <w:p w14:paraId="6C33A185" w14:textId="77777777" w:rsidR="00F53311" w:rsidRPr="00F53311" w:rsidRDefault="00F53311" w:rsidP="00F53311">
            <w:pPr>
              <w:spacing w:before="120" w:after="120"/>
              <w:jc w:val="center"/>
              <w:rPr>
                <w:rFonts w:ascii="Arial" w:hAnsi="Arial" w:cs="Arial"/>
              </w:rPr>
            </w:pPr>
            <w:r w:rsidRPr="00F53311">
              <w:rPr>
                <w:rFonts w:ascii="Arial" w:hAnsi="Arial" w:cs="Arial"/>
              </w:rPr>
              <w:t>19</w:t>
            </w:r>
          </w:p>
        </w:tc>
        <w:tc>
          <w:tcPr>
            <w:tcW w:w="0" w:type="auto"/>
            <w:gridSpan w:val="3"/>
            <w:shd w:val="clear" w:color="auto" w:fill="F2F2F2"/>
            <w:vAlign w:val="center"/>
          </w:tcPr>
          <w:p w14:paraId="13C86275" w14:textId="77777777" w:rsidR="00F53311" w:rsidRPr="00F53311" w:rsidRDefault="00F53311" w:rsidP="00F53311">
            <w:pPr>
              <w:spacing w:before="120" w:after="120"/>
              <w:rPr>
                <w:rFonts w:ascii="Arial" w:hAnsi="Arial" w:cs="Arial"/>
                <w:bCs/>
              </w:rPr>
            </w:pPr>
            <w:r w:rsidRPr="00F53311">
              <w:rPr>
                <w:rFonts w:ascii="Arial" w:hAnsi="Arial" w:cs="Arial"/>
              </w:rPr>
              <w:t>If YES</w:t>
            </w:r>
            <w:r w:rsidRPr="00F53311">
              <w:rPr>
                <w:rFonts w:ascii="Arial" w:hAnsi="Arial" w:cs="Arial"/>
                <w:b/>
                <w:bCs/>
              </w:rPr>
              <w:t xml:space="preserve"> </w:t>
            </w:r>
            <w:r w:rsidRPr="00F53311">
              <w:rPr>
                <w:rFonts w:ascii="Arial" w:hAnsi="Arial" w:cs="Arial"/>
              </w:rPr>
              <w:t xml:space="preserve">to any question, please provide full details, </w:t>
            </w:r>
            <w:r w:rsidRPr="00F53311">
              <w:rPr>
                <w:rFonts w:ascii="Arial" w:hAnsi="Arial" w:cs="Arial"/>
                <w:bCs/>
              </w:rPr>
              <w:t>explaining how this will be conducted in accordance with the GDPR and Data Protection Act (2018) (and/or any international equivalent):</w:t>
            </w:r>
          </w:p>
        </w:tc>
      </w:tr>
      <w:tr w:rsidR="00F53311" w:rsidRPr="00F53311" w14:paraId="7688C144" w14:textId="77777777" w:rsidTr="00F53311">
        <w:trPr>
          <w:trHeight w:val="403"/>
        </w:trPr>
        <w:tc>
          <w:tcPr>
            <w:tcW w:w="0" w:type="auto"/>
            <w:vAlign w:val="center"/>
          </w:tcPr>
          <w:p w14:paraId="078ADC46" w14:textId="77777777" w:rsidR="00F53311" w:rsidRPr="00F53311" w:rsidRDefault="00F53311" w:rsidP="00F53311">
            <w:pPr>
              <w:autoSpaceDE w:val="0"/>
              <w:autoSpaceDN w:val="0"/>
              <w:adjustRightInd w:val="0"/>
              <w:jc w:val="center"/>
              <w:rPr>
                <w:rFonts w:ascii="Arial" w:hAnsi="Arial" w:cs="Arial"/>
              </w:rPr>
            </w:pPr>
          </w:p>
        </w:tc>
        <w:tc>
          <w:tcPr>
            <w:tcW w:w="0" w:type="auto"/>
            <w:gridSpan w:val="3"/>
            <w:vAlign w:val="center"/>
          </w:tcPr>
          <w:p w14:paraId="75312871" w14:textId="77777777" w:rsidR="00F53311" w:rsidRPr="00F53311" w:rsidRDefault="00F53311" w:rsidP="00F53311">
            <w:pPr>
              <w:autoSpaceDE w:val="0"/>
              <w:autoSpaceDN w:val="0"/>
              <w:adjustRightInd w:val="0"/>
              <w:rPr>
                <w:rFonts w:ascii="Arial" w:hAnsi="Arial" w:cs="Arial"/>
                <w:color w:val="00B050"/>
              </w:rPr>
            </w:pPr>
            <w:r w:rsidRPr="00F53311">
              <w:rPr>
                <w:rFonts w:ascii="Arial" w:hAnsi="Arial" w:cs="Arial"/>
                <w:color w:val="00B050"/>
              </w:rPr>
              <w:t>This includes data such as drafts of your thesis as well as experimental or survey data. An example of suitable text is given below.</w:t>
            </w:r>
          </w:p>
          <w:p w14:paraId="79E96E09" w14:textId="77777777" w:rsidR="00F53311" w:rsidRPr="00F53311" w:rsidRDefault="00F53311" w:rsidP="00F53311">
            <w:pPr>
              <w:autoSpaceDE w:val="0"/>
              <w:autoSpaceDN w:val="0"/>
              <w:adjustRightInd w:val="0"/>
              <w:rPr>
                <w:rFonts w:ascii="Arial" w:hAnsi="Arial" w:cs="Arial"/>
              </w:rPr>
            </w:pPr>
          </w:p>
          <w:p w14:paraId="0B2F3A32"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7030A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DD84B6F" w14:textId="77777777" w:rsidR="00F53311" w:rsidRPr="00F53311" w:rsidRDefault="00F53311" w:rsidP="00F53311">
            <w:pPr>
              <w:autoSpaceDE w:val="0"/>
              <w:autoSpaceDN w:val="0"/>
              <w:adjustRightInd w:val="0"/>
              <w:rPr>
                <w:rFonts w:ascii="Arial" w:hAnsi="Arial" w:cs="Arial"/>
              </w:rPr>
            </w:pPr>
          </w:p>
          <w:p w14:paraId="5DD2AECC" w14:textId="77777777" w:rsidR="00F53311" w:rsidRPr="00F53311" w:rsidRDefault="00F53311" w:rsidP="00F53311">
            <w:pPr>
              <w:autoSpaceDE w:val="0"/>
              <w:autoSpaceDN w:val="0"/>
              <w:adjustRightInd w:val="0"/>
              <w:rPr>
                <w:rFonts w:cs="Arial"/>
              </w:rPr>
            </w:pPr>
            <w:r w:rsidRPr="00F53311">
              <w:rPr>
                <w:rFonts w:ascii="Arial" w:hAnsi="Arial" w:cs="Arial"/>
                <w:i/>
                <w:color w:val="808080"/>
                <w:sz w:val="18"/>
                <w:szCs w:val="18"/>
              </w:rPr>
              <w:t>(this box should expand as you type)</w:t>
            </w:r>
          </w:p>
        </w:tc>
      </w:tr>
      <w:tr w:rsidR="00F53311" w:rsidRPr="00F53311" w14:paraId="2742322E" w14:textId="77777777" w:rsidTr="00F53311">
        <w:trPr>
          <w:trHeight w:val="403"/>
        </w:trPr>
        <w:tc>
          <w:tcPr>
            <w:tcW w:w="0" w:type="auto"/>
            <w:shd w:val="clear" w:color="auto" w:fill="F2F2F2"/>
            <w:vAlign w:val="center"/>
          </w:tcPr>
          <w:p w14:paraId="776B42E3"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rPr>
              <w:t>20</w:t>
            </w:r>
          </w:p>
        </w:tc>
        <w:tc>
          <w:tcPr>
            <w:tcW w:w="0" w:type="auto"/>
            <w:gridSpan w:val="3"/>
            <w:shd w:val="clear" w:color="auto" w:fill="F2F2F2"/>
            <w:vAlign w:val="center"/>
          </w:tcPr>
          <w:p w14:paraId="68F201F6" w14:textId="77777777" w:rsidR="00F53311" w:rsidRPr="00F53311" w:rsidRDefault="00F53311" w:rsidP="00F53311">
            <w:pPr>
              <w:autoSpaceDE w:val="0"/>
              <w:autoSpaceDN w:val="0"/>
              <w:adjustRightInd w:val="0"/>
              <w:rPr>
                <w:rFonts w:ascii="Arial" w:hAnsi="Arial" w:cs="Arial"/>
              </w:rPr>
            </w:pPr>
            <w:r w:rsidRPr="00F53311">
              <w:rPr>
                <w:rFonts w:ascii="Arial" w:hAnsi="Arial" w:cs="Arial"/>
                <w:bCs/>
              </w:rPr>
              <w:t>List all who will have access to the data generated by the research activity</w:t>
            </w:r>
            <w:r w:rsidRPr="00F53311">
              <w:rPr>
                <w:rFonts w:ascii="Arial" w:hAnsi="Arial" w:cs="Arial"/>
              </w:rPr>
              <w:t>:</w:t>
            </w:r>
          </w:p>
        </w:tc>
      </w:tr>
      <w:tr w:rsidR="00F53311" w:rsidRPr="00F53311" w14:paraId="0D2E20A7" w14:textId="77777777" w:rsidTr="00F53311">
        <w:trPr>
          <w:trHeight w:val="403"/>
        </w:trPr>
        <w:tc>
          <w:tcPr>
            <w:tcW w:w="0" w:type="auto"/>
            <w:vAlign w:val="center"/>
          </w:tcPr>
          <w:p w14:paraId="318BD332" w14:textId="77777777" w:rsidR="00F53311" w:rsidRPr="00F53311" w:rsidRDefault="00F53311" w:rsidP="00F53311">
            <w:pPr>
              <w:autoSpaceDE w:val="0"/>
              <w:autoSpaceDN w:val="0"/>
              <w:adjustRightInd w:val="0"/>
              <w:jc w:val="center"/>
              <w:rPr>
                <w:rFonts w:ascii="Arial" w:hAnsi="Arial" w:cs="Arial"/>
              </w:rPr>
            </w:pPr>
          </w:p>
        </w:tc>
        <w:tc>
          <w:tcPr>
            <w:tcW w:w="0" w:type="auto"/>
            <w:gridSpan w:val="3"/>
            <w:vAlign w:val="center"/>
          </w:tcPr>
          <w:p w14:paraId="5C31FFC0" w14:textId="77777777" w:rsidR="00F53311" w:rsidRPr="00F53311" w:rsidRDefault="00F53311" w:rsidP="00F53311">
            <w:pPr>
              <w:autoSpaceDE w:val="0"/>
              <w:autoSpaceDN w:val="0"/>
              <w:adjustRightInd w:val="0"/>
              <w:rPr>
                <w:rFonts w:ascii="Arial" w:hAnsi="Arial" w:cs="Arial"/>
                <w:color w:val="00B050"/>
                <w:sz w:val="24"/>
              </w:rPr>
            </w:pPr>
            <w:r w:rsidRPr="00F53311">
              <w:rPr>
                <w:rFonts w:ascii="Arial" w:hAnsi="Arial" w:cs="Arial"/>
                <w:color w:val="00B050"/>
              </w:rPr>
              <w:t>Normally the principal researcher, possibly also the supervisor and, if the project has an industrial partner, a representative of that partner. Possibly also external examiner or second marker?</w:t>
            </w:r>
          </w:p>
          <w:p w14:paraId="052D59BF" w14:textId="77777777" w:rsidR="00F53311" w:rsidRPr="00F53311" w:rsidRDefault="00F53311" w:rsidP="00F53311">
            <w:pPr>
              <w:autoSpaceDE w:val="0"/>
              <w:autoSpaceDN w:val="0"/>
              <w:adjustRightInd w:val="0"/>
              <w:rPr>
                <w:rFonts w:ascii="Arial" w:hAnsi="Arial" w:cs="Arial"/>
              </w:rPr>
            </w:pPr>
          </w:p>
          <w:p w14:paraId="37D8A491"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808080"/>
                <w:sz w:val="18"/>
                <w:szCs w:val="18"/>
              </w:rPr>
              <w:t>(this box should expand as you type)</w:t>
            </w:r>
          </w:p>
        </w:tc>
      </w:tr>
      <w:tr w:rsidR="00F53311" w:rsidRPr="00F53311" w14:paraId="623A40E3" w14:textId="77777777" w:rsidTr="00F53311">
        <w:trPr>
          <w:trHeight w:val="403"/>
        </w:trPr>
        <w:tc>
          <w:tcPr>
            <w:tcW w:w="0" w:type="auto"/>
            <w:shd w:val="clear" w:color="auto" w:fill="F2F2F2"/>
            <w:vAlign w:val="center"/>
          </w:tcPr>
          <w:p w14:paraId="3DA74F34"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rPr>
              <w:t>21</w:t>
            </w:r>
          </w:p>
        </w:tc>
        <w:tc>
          <w:tcPr>
            <w:tcW w:w="0" w:type="auto"/>
            <w:gridSpan w:val="3"/>
            <w:shd w:val="clear" w:color="auto" w:fill="F2F2F2"/>
          </w:tcPr>
          <w:p w14:paraId="569661FE" w14:textId="77777777" w:rsidR="00F53311" w:rsidRPr="00F53311" w:rsidRDefault="00F53311" w:rsidP="00F53311">
            <w:pPr>
              <w:autoSpaceDE w:val="0"/>
              <w:autoSpaceDN w:val="0"/>
              <w:adjustRightInd w:val="0"/>
              <w:rPr>
                <w:rFonts w:ascii="Arial" w:hAnsi="Arial" w:cs="Arial"/>
              </w:rPr>
            </w:pPr>
            <w:r w:rsidRPr="00F53311">
              <w:rPr>
                <w:rFonts w:ascii="Arial" w:hAnsi="Arial" w:cs="Arial"/>
                <w:bCs/>
              </w:rPr>
              <w:t>List who will have control of, and act as custodian(s) for, data generated by the research activity</w:t>
            </w:r>
            <w:r w:rsidRPr="00F53311">
              <w:rPr>
                <w:rFonts w:ascii="Arial" w:hAnsi="Arial" w:cs="Arial"/>
              </w:rPr>
              <w:t>:</w:t>
            </w:r>
          </w:p>
        </w:tc>
      </w:tr>
      <w:tr w:rsidR="00F53311" w:rsidRPr="00F53311" w14:paraId="2C51C88F" w14:textId="77777777" w:rsidTr="00F53311">
        <w:trPr>
          <w:trHeight w:val="403"/>
        </w:trPr>
        <w:tc>
          <w:tcPr>
            <w:tcW w:w="0" w:type="auto"/>
            <w:vAlign w:val="center"/>
          </w:tcPr>
          <w:p w14:paraId="6FD828B7" w14:textId="77777777" w:rsidR="00F53311" w:rsidRPr="00F53311" w:rsidRDefault="00F53311" w:rsidP="00F53311">
            <w:pPr>
              <w:autoSpaceDE w:val="0"/>
              <w:autoSpaceDN w:val="0"/>
              <w:adjustRightInd w:val="0"/>
              <w:jc w:val="center"/>
              <w:rPr>
                <w:rFonts w:ascii="Arial" w:hAnsi="Arial" w:cs="Arial"/>
              </w:rPr>
            </w:pPr>
          </w:p>
        </w:tc>
        <w:tc>
          <w:tcPr>
            <w:tcW w:w="0" w:type="auto"/>
            <w:gridSpan w:val="3"/>
          </w:tcPr>
          <w:p w14:paraId="529EF608" w14:textId="77777777" w:rsidR="00F53311" w:rsidRPr="00F53311" w:rsidRDefault="00F53311" w:rsidP="00F53311">
            <w:pPr>
              <w:autoSpaceDE w:val="0"/>
              <w:autoSpaceDN w:val="0"/>
              <w:adjustRightInd w:val="0"/>
              <w:rPr>
                <w:rFonts w:ascii="Arial" w:hAnsi="Arial" w:cs="Arial"/>
                <w:color w:val="00B050"/>
              </w:rPr>
            </w:pPr>
            <w:r w:rsidRPr="00F53311">
              <w:rPr>
                <w:rFonts w:ascii="Arial" w:hAnsi="Arial" w:cs="Arial"/>
                <w:color w:val="00B050"/>
              </w:rPr>
              <w:t>Usually the principal researcher.</w:t>
            </w:r>
          </w:p>
          <w:p w14:paraId="37516CFE" w14:textId="77777777" w:rsidR="00F53311" w:rsidRPr="00F53311" w:rsidRDefault="00F53311" w:rsidP="00F53311">
            <w:pPr>
              <w:autoSpaceDE w:val="0"/>
              <w:autoSpaceDN w:val="0"/>
              <w:adjustRightInd w:val="0"/>
              <w:rPr>
                <w:rFonts w:ascii="Arial" w:hAnsi="Arial" w:cs="Arial"/>
              </w:rPr>
            </w:pPr>
          </w:p>
          <w:p w14:paraId="49CF2F2E"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808080"/>
                <w:sz w:val="18"/>
                <w:szCs w:val="18"/>
              </w:rPr>
              <w:t>(this box should expand as you type)</w:t>
            </w:r>
          </w:p>
        </w:tc>
      </w:tr>
      <w:tr w:rsidR="00F53311" w:rsidRPr="00F53311" w14:paraId="66EDE305" w14:textId="77777777" w:rsidTr="00F53311">
        <w:trPr>
          <w:trHeight w:val="403"/>
        </w:trPr>
        <w:tc>
          <w:tcPr>
            <w:tcW w:w="0" w:type="auto"/>
            <w:shd w:val="clear" w:color="auto" w:fill="F2F2F2"/>
            <w:vAlign w:val="center"/>
          </w:tcPr>
          <w:p w14:paraId="5887EF6A"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rPr>
              <w:t>22</w:t>
            </w:r>
          </w:p>
        </w:tc>
        <w:tc>
          <w:tcPr>
            <w:tcW w:w="0" w:type="auto"/>
            <w:gridSpan w:val="3"/>
            <w:shd w:val="clear" w:color="auto" w:fill="F2F2F2"/>
          </w:tcPr>
          <w:p w14:paraId="71F88AB3" w14:textId="77777777" w:rsidR="00F53311" w:rsidRPr="00F53311" w:rsidRDefault="00F53311" w:rsidP="00F53311">
            <w:pPr>
              <w:autoSpaceDE w:val="0"/>
              <w:autoSpaceDN w:val="0"/>
              <w:adjustRightInd w:val="0"/>
              <w:rPr>
                <w:rFonts w:ascii="Arial" w:hAnsi="Arial" w:cs="Arial"/>
              </w:rPr>
            </w:pPr>
            <w:r w:rsidRPr="00F53311">
              <w:rPr>
                <w:rFonts w:ascii="Arial" w:hAnsi="Arial" w:cs="Arial"/>
                <w:bCs/>
              </w:rPr>
              <w:t xml:space="preserve">Give details of data storage arrangements, including security measures in place to protect the data, where data will be stored, how long for, and in what form. </w:t>
            </w:r>
          </w:p>
        </w:tc>
      </w:tr>
      <w:tr w:rsidR="00F53311" w:rsidRPr="00F53311" w14:paraId="57C7CE5D" w14:textId="77777777" w:rsidTr="00F53311">
        <w:trPr>
          <w:trHeight w:val="403"/>
        </w:trPr>
        <w:tc>
          <w:tcPr>
            <w:tcW w:w="0" w:type="auto"/>
            <w:vAlign w:val="center"/>
          </w:tcPr>
          <w:p w14:paraId="4F2B2988" w14:textId="77777777" w:rsidR="00F53311" w:rsidRPr="00F53311" w:rsidRDefault="00F53311" w:rsidP="00F53311">
            <w:pPr>
              <w:autoSpaceDE w:val="0"/>
              <w:autoSpaceDN w:val="0"/>
              <w:adjustRightInd w:val="0"/>
              <w:jc w:val="center"/>
              <w:rPr>
                <w:rFonts w:ascii="Arial" w:hAnsi="Arial" w:cs="Arial"/>
              </w:rPr>
            </w:pPr>
          </w:p>
        </w:tc>
        <w:tc>
          <w:tcPr>
            <w:tcW w:w="0" w:type="auto"/>
            <w:gridSpan w:val="3"/>
          </w:tcPr>
          <w:p w14:paraId="45E523C4"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7030A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299FC7C" w14:textId="77777777" w:rsidR="00F53311" w:rsidRPr="00F53311" w:rsidRDefault="00F53311" w:rsidP="00F53311">
            <w:pPr>
              <w:autoSpaceDE w:val="0"/>
              <w:autoSpaceDN w:val="0"/>
              <w:adjustRightInd w:val="0"/>
              <w:rPr>
                <w:rFonts w:ascii="Arial" w:hAnsi="Arial" w:cs="Arial"/>
              </w:rPr>
            </w:pPr>
          </w:p>
          <w:p w14:paraId="6877D233"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808080"/>
                <w:sz w:val="18"/>
                <w:szCs w:val="18"/>
              </w:rPr>
              <w:t>(this box should expand as you type)</w:t>
            </w:r>
          </w:p>
        </w:tc>
      </w:tr>
      <w:tr w:rsidR="00F53311" w:rsidRPr="00F53311" w14:paraId="3D943136" w14:textId="77777777" w:rsidTr="00F53311">
        <w:trPr>
          <w:trHeight w:val="600"/>
        </w:trPr>
        <w:tc>
          <w:tcPr>
            <w:tcW w:w="0" w:type="auto"/>
            <w:shd w:val="clear" w:color="auto" w:fill="F2F2F2"/>
            <w:vAlign w:val="center"/>
          </w:tcPr>
          <w:p w14:paraId="27449C7B"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bCs/>
              </w:rPr>
              <w:lastRenderedPageBreak/>
              <w:t>22</w:t>
            </w:r>
          </w:p>
        </w:tc>
        <w:tc>
          <w:tcPr>
            <w:tcW w:w="0" w:type="auto"/>
            <w:shd w:val="clear" w:color="auto" w:fill="F2F2F2"/>
          </w:tcPr>
          <w:p w14:paraId="0E33D43B" w14:textId="77777777" w:rsidR="00F53311" w:rsidRPr="00F53311" w:rsidRDefault="00F53311" w:rsidP="00F53311">
            <w:pPr>
              <w:autoSpaceDE w:val="0"/>
              <w:autoSpaceDN w:val="0"/>
              <w:adjustRightInd w:val="0"/>
              <w:rPr>
                <w:rFonts w:ascii="Arial" w:hAnsi="Arial" w:cs="Arial"/>
                <w:color w:val="000000"/>
              </w:rPr>
            </w:pPr>
            <w:r w:rsidRPr="00F53311">
              <w:rPr>
                <w:rFonts w:ascii="Arial" w:hAnsi="Arial" w:cs="Arial"/>
                <w:bCs/>
              </w:rPr>
              <w:t xml:space="preserve">Confirm that you have read the UWTSD guidance on data management (see </w:t>
            </w:r>
            <w:hyperlink r:id="rId9" w:history="1">
              <w:r w:rsidRPr="00F53311">
                <w:rPr>
                  <w:rFonts w:ascii="Arial" w:hAnsi="Arial" w:cs="Arial"/>
                  <w:color w:val="000000"/>
                  <w:u w:val="single"/>
                </w:rPr>
                <w:t>https://www.uwtsd.ac.uk/library/research-data-management/</w:t>
              </w:r>
            </w:hyperlink>
            <w:r w:rsidRPr="00F53311">
              <w:rPr>
                <w:rFonts w:ascii="Arial" w:hAnsi="Arial" w:cs="Arial"/>
                <w:color w:val="000000"/>
              </w:rPr>
              <w:t>)</w:t>
            </w:r>
          </w:p>
        </w:tc>
        <w:tc>
          <w:tcPr>
            <w:tcW w:w="0" w:type="auto"/>
            <w:gridSpan w:val="2"/>
            <w:vAlign w:val="center"/>
          </w:tcPr>
          <w:p w14:paraId="7561A217" w14:textId="77777777" w:rsidR="00F53311" w:rsidRPr="00F53311" w:rsidRDefault="00000000" w:rsidP="00F53311">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sidR="00F53311" w:rsidRPr="00F53311">
                  <w:rPr>
                    <w:rFonts w:ascii="Segoe UI Symbol" w:hAnsi="Segoe UI Symbol" w:cs="Segoe UI Symbol"/>
                    <w:b/>
                    <w:bCs/>
                  </w:rPr>
                  <w:t>☒</w:t>
                </w:r>
              </w:sdtContent>
            </w:sdt>
          </w:p>
        </w:tc>
      </w:tr>
      <w:tr w:rsidR="00F53311" w:rsidRPr="00F53311" w14:paraId="65DFA6E8" w14:textId="77777777" w:rsidTr="00F53311">
        <w:trPr>
          <w:trHeight w:val="632"/>
        </w:trPr>
        <w:tc>
          <w:tcPr>
            <w:tcW w:w="0" w:type="auto"/>
            <w:shd w:val="clear" w:color="auto" w:fill="F2F2F2"/>
            <w:vAlign w:val="center"/>
          </w:tcPr>
          <w:p w14:paraId="7930AAF9" w14:textId="77777777" w:rsidR="00F53311" w:rsidRPr="00F53311" w:rsidRDefault="00F53311" w:rsidP="00F53311">
            <w:pPr>
              <w:autoSpaceDE w:val="0"/>
              <w:autoSpaceDN w:val="0"/>
              <w:adjustRightInd w:val="0"/>
              <w:jc w:val="center"/>
              <w:rPr>
                <w:rFonts w:ascii="Arial" w:hAnsi="Arial" w:cs="Arial"/>
                <w:bCs/>
              </w:rPr>
            </w:pPr>
            <w:r w:rsidRPr="00F53311">
              <w:rPr>
                <w:rFonts w:ascii="Arial" w:hAnsi="Arial" w:cs="Arial"/>
                <w:bCs/>
              </w:rPr>
              <w:t>23</w:t>
            </w:r>
          </w:p>
        </w:tc>
        <w:tc>
          <w:tcPr>
            <w:tcW w:w="0" w:type="auto"/>
            <w:shd w:val="clear" w:color="auto" w:fill="F2F2F2"/>
          </w:tcPr>
          <w:p w14:paraId="5B1C01CD" w14:textId="77777777" w:rsidR="00F53311" w:rsidRPr="00F53311" w:rsidRDefault="00F53311" w:rsidP="00F53311">
            <w:pPr>
              <w:autoSpaceDE w:val="0"/>
              <w:autoSpaceDN w:val="0"/>
              <w:adjustRightInd w:val="0"/>
              <w:rPr>
                <w:rFonts w:ascii="Arial" w:hAnsi="Arial" w:cs="Arial"/>
              </w:rPr>
            </w:pPr>
            <w:r w:rsidRPr="00F53311">
              <w:rPr>
                <w:rFonts w:ascii="Arial" w:hAnsi="Arial" w:cs="Arial"/>
                <w:bCs/>
              </w:rPr>
              <w:t>Confirm that you are aware that you need to keep all data until after your research has completed or the end of your funding</w:t>
            </w:r>
          </w:p>
        </w:tc>
        <w:tc>
          <w:tcPr>
            <w:tcW w:w="0" w:type="auto"/>
            <w:gridSpan w:val="2"/>
            <w:vAlign w:val="center"/>
          </w:tcPr>
          <w:p w14:paraId="5C7DEC50" w14:textId="77777777" w:rsidR="00F53311" w:rsidRPr="00F53311" w:rsidRDefault="00000000" w:rsidP="00F53311">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sidR="00F53311" w:rsidRPr="00F53311">
                  <w:rPr>
                    <w:rFonts w:ascii="Segoe UI Symbol" w:hAnsi="Segoe UI Symbol" w:cs="Segoe UI Symbol"/>
                    <w:b/>
                    <w:bCs/>
                  </w:rPr>
                  <w:t>☒</w:t>
                </w:r>
              </w:sdtContent>
            </w:sdt>
          </w:p>
        </w:tc>
      </w:tr>
    </w:tbl>
    <w:p w14:paraId="5012F70F" w14:textId="77777777" w:rsidR="00F53311" w:rsidRPr="00F53311" w:rsidRDefault="00F53311" w:rsidP="00F53311">
      <w:pPr>
        <w:spacing w:after="0" w:line="240" w:lineRule="auto"/>
        <w:rPr>
          <w:rFonts w:ascii="Arial" w:eastAsia="Times New Roman" w:hAnsi="Arial" w:cs="Arial"/>
          <w:b/>
          <w:bCs/>
        </w:rPr>
      </w:pPr>
    </w:p>
    <w:p w14:paraId="029CE00E"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p>
    <w:p w14:paraId="574C3840"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I: Use of AI tools</w:t>
      </w:r>
    </w:p>
    <w:tbl>
      <w:tblPr>
        <w:tblStyle w:val="TableGrid1"/>
        <w:tblW w:w="0" w:type="auto"/>
        <w:tblInd w:w="-5" w:type="dxa"/>
        <w:tblLook w:val="04A0" w:firstRow="1" w:lastRow="0" w:firstColumn="1" w:lastColumn="0" w:noHBand="0" w:noVBand="1"/>
      </w:tblPr>
      <w:tblGrid>
        <w:gridCol w:w="762"/>
        <w:gridCol w:w="6510"/>
        <w:gridCol w:w="637"/>
        <w:gridCol w:w="533"/>
        <w:gridCol w:w="579"/>
      </w:tblGrid>
      <w:tr w:rsidR="00F53311" w:rsidRPr="00F53311" w14:paraId="7B1AC2F0" w14:textId="77777777" w:rsidTr="00F53311">
        <w:tc>
          <w:tcPr>
            <w:tcW w:w="0" w:type="auto"/>
            <w:gridSpan w:val="2"/>
            <w:shd w:val="clear" w:color="auto" w:fill="F2F2F2"/>
          </w:tcPr>
          <w:p w14:paraId="2216CDD0" w14:textId="77777777" w:rsidR="00F53311" w:rsidRPr="00F53311" w:rsidRDefault="00F53311" w:rsidP="00F53311">
            <w:pPr>
              <w:autoSpaceDE w:val="0"/>
              <w:autoSpaceDN w:val="0"/>
              <w:adjustRightInd w:val="0"/>
              <w:jc w:val="both"/>
              <w:rPr>
                <w:rFonts w:ascii="Arial" w:hAnsi="Arial" w:cs="Arial"/>
                <w:b/>
              </w:rPr>
            </w:pPr>
            <w:r w:rsidRPr="00F53311">
              <w:rPr>
                <w:rFonts w:ascii="Arial" w:hAnsi="Arial" w:cs="Arial"/>
                <w:b/>
              </w:rPr>
              <w:t>Use of generative AI and other AI-based tools</w:t>
            </w:r>
          </w:p>
          <w:p w14:paraId="5FE277E2" w14:textId="77777777" w:rsidR="00F53311" w:rsidRPr="00F53311" w:rsidRDefault="00F53311" w:rsidP="00F53311">
            <w:pPr>
              <w:autoSpaceDE w:val="0"/>
              <w:autoSpaceDN w:val="0"/>
              <w:adjustRightInd w:val="0"/>
              <w:jc w:val="both"/>
              <w:rPr>
                <w:rFonts w:ascii="Arial" w:hAnsi="Arial" w:cs="Arial"/>
                <w:bCs/>
              </w:rPr>
            </w:pPr>
            <w:r w:rsidRPr="00F53311">
              <w:rPr>
                <w:rFonts w:ascii="Arial" w:hAnsi="Arial" w:cs="Arial"/>
                <w:bC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E1DF258" w14:textId="77777777" w:rsidR="00F53311" w:rsidRPr="00F53311" w:rsidRDefault="00F53311" w:rsidP="00F53311">
            <w:pPr>
              <w:autoSpaceDE w:val="0"/>
              <w:autoSpaceDN w:val="0"/>
              <w:adjustRightInd w:val="0"/>
              <w:jc w:val="both"/>
              <w:rPr>
                <w:rFonts w:ascii="Arial" w:hAnsi="Arial" w:cs="Arial"/>
                <w:bCs/>
              </w:rPr>
            </w:pPr>
          </w:p>
          <w:p w14:paraId="2DE6DA42" w14:textId="77777777" w:rsidR="00F53311" w:rsidRPr="00F53311" w:rsidRDefault="00F53311" w:rsidP="00F53311">
            <w:pPr>
              <w:autoSpaceDE w:val="0"/>
              <w:autoSpaceDN w:val="0"/>
              <w:adjustRightInd w:val="0"/>
              <w:jc w:val="both"/>
              <w:rPr>
                <w:rFonts w:ascii="Arial" w:hAnsi="Arial" w:cs="Arial"/>
                <w:bCs/>
              </w:rPr>
            </w:pPr>
            <w:r w:rsidRPr="00F53311">
              <w:rPr>
                <w:rFonts w:ascii="Arial" w:hAnsi="Arial" w:cs="Arial"/>
                <w:bCs/>
              </w:rPr>
              <w:t>Will the research use AI tools to do any of the following:</w:t>
            </w:r>
          </w:p>
        </w:tc>
        <w:tc>
          <w:tcPr>
            <w:tcW w:w="0" w:type="auto"/>
            <w:shd w:val="clear" w:color="auto" w:fill="F2F2F2"/>
            <w:vAlign w:val="center"/>
          </w:tcPr>
          <w:p w14:paraId="0C4FE9FA"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YES</w:t>
            </w:r>
          </w:p>
        </w:tc>
        <w:tc>
          <w:tcPr>
            <w:tcW w:w="0" w:type="auto"/>
            <w:shd w:val="clear" w:color="auto" w:fill="F2F2F2"/>
            <w:vAlign w:val="center"/>
          </w:tcPr>
          <w:p w14:paraId="70CFC0AF"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NO</w:t>
            </w:r>
          </w:p>
        </w:tc>
        <w:tc>
          <w:tcPr>
            <w:tcW w:w="0" w:type="auto"/>
            <w:shd w:val="clear" w:color="auto" w:fill="F2F2F2"/>
            <w:vAlign w:val="center"/>
          </w:tcPr>
          <w:p w14:paraId="6D1FE17F" w14:textId="77777777" w:rsidR="00F53311" w:rsidRPr="00F53311" w:rsidRDefault="00F53311" w:rsidP="00F53311">
            <w:pPr>
              <w:autoSpaceDE w:val="0"/>
              <w:autoSpaceDN w:val="0"/>
              <w:adjustRightInd w:val="0"/>
              <w:jc w:val="center"/>
              <w:rPr>
                <w:rFonts w:ascii="Arial" w:hAnsi="Arial" w:cs="Arial"/>
                <w:b/>
                <w:bCs/>
              </w:rPr>
            </w:pPr>
            <w:r w:rsidRPr="00F53311">
              <w:rPr>
                <w:rFonts w:ascii="Arial" w:hAnsi="Arial" w:cs="Arial"/>
                <w:b/>
                <w:bCs/>
              </w:rPr>
              <w:t>N/A</w:t>
            </w:r>
          </w:p>
        </w:tc>
      </w:tr>
      <w:tr w:rsidR="00F53311" w:rsidRPr="00F53311" w14:paraId="38691314" w14:textId="77777777" w:rsidTr="00F53311">
        <w:trPr>
          <w:trHeight w:val="439"/>
        </w:trPr>
        <w:tc>
          <w:tcPr>
            <w:tcW w:w="0" w:type="auto"/>
            <w:shd w:val="clear" w:color="auto" w:fill="F2F2F2"/>
            <w:vAlign w:val="center"/>
          </w:tcPr>
          <w:p w14:paraId="4CB5707D"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w:t>
            </w:r>
          </w:p>
        </w:tc>
        <w:tc>
          <w:tcPr>
            <w:tcW w:w="0" w:type="auto"/>
            <w:shd w:val="clear" w:color="auto" w:fill="F2F2F2"/>
            <w:vAlign w:val="center"/>
          </w:tcPr>
          <w:p w14:paraId="67A95CA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Capture data?</w:t>
            </w:r>
          </w:p>
        </w:tc>
        <w:tc>
          <w:tcPr>
            <w:tcW w:w="0" w:type="auto"/>
            <w:shd w:val="clear" w:color="auto" w:fill="BFBFBF"/>
            <w:vAlign w:val="center"/>
          </w:tcPr>
          <w:sdt>
            <w:sdtPr>
              <w:rPr>
                <w:rFonts w:ascii="Arial" w:hAnsi="Arial" w:cs="Arial"/>
              </w:rPr>
              <w:id w:val="1926216434"/>
              <w14:checkbox>
                <w14:checked w14:val="0"/>
                <w14:checkedState w14:val="2612" w14:font="MS Gothic"/>
                <w14:uncheckedState w14:val="2610" w14:font="MS Gothic"/>
              </w14:checkbox>
            </w:sdtPr>
            <w:sdtContent>
              <w:p w14:paraId="67535192"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707373964"/>
              <w14:checkbox>
                <w14:checked w14:val="1"/>
                <w14:checkedState w14:val="2612" w14:font="MS Gothic"/>
                <w14:uncheckedState w14:val="2610" w14:font="MS Gothic"/>
              </w14:checkbox>
            </w:sdtPr>
            <w:sdtContent>
              <w:p w14:paraId="026D3A0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946218528"/>
              <w14:checkbox>
                <w14:checked w14:val="0"/>
                <w14:checkedState w14:val="2612" w14:font="MS Gothic"/>
                <w14:uncheckedState w14:val="2610" w14:font="MS Gothic"/>
              </w14:checkbox>
            </w:sdtPr>
            <w:sdtContent>
              <w:p w14:paraId="3357551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0503285C" w14:textId="77777777" w:rsidTr="00F53311">
        <w:trPr>
          <w:trHeight w:val="403"/>
        </w:trPr>
        <w:tc>
          <w:tcPr>
            <w:tcW w:w="0" w:type="auto"/>
            <w:shd w:val="clear" w:color="auto" w:fill="F2F2F2"/>
            <w:vAlign w:val="center"/>
          </w:tcPr>
          <w:p w14:paraId="320DB311"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2</w:t>
            </w:r>
          </w:p>
        </w:tc>
        <w:tc>
          <w:tcPr>
            <w:tcW w:w="0" w:type="auto"/>
            <w:shd w:val="clear" w:color="auto" w:fill="F2F2F2"/>
            <w:vAlign w:val="center"/>
          </w:tcPr>
          <w:p w14:paraId="529B73FB"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and/or edit text?</w:t>
            </w:r>
          </w:p>
        </w:tc>
        <w:tc>
          <w:tcPr>
            <w:tcW w:w="0" w:type="auto"/>
            <w:shd w:val="clear" w:color="auto" w:fill="BFBFBF"/>
            <w:vAlign w:val="center"/>
          </w:tcPr>
          <w:sdt>
            <w:sdtPr>
              <w:rPr>
                <w:rFonts w:ascii="Arial" w:hAnsi="Arial" w:cs="Arial"/>
              </w:rPr>
              <w:id w:val="-1976356530"/>
              <w14:checkbox>
                <w14:checked w14:val="0"/>
                <w14:checkedState w14:val="2612" w14:font="MS Gothic"/>
                <w14:uncheckedState w14:val="2610" w14:font="MS Gothic"/>
              </w14:checkbox>
            </w:sdtPr>
            <w:sdtContent>
              <w:p w14:paraId="30BD581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124915725"/>
              <w14:checkbox>
                <w14:checked w14:val="1"/>
                <w14:checkedState w14:val="2612" w14:font="MS Gothic"/>
                <w14:uncheckedState w14:val="2610" w14:font="MS Gothic"/>
              </w14:checkbox>
            </w:sdtPr>
            <w:sdtContent>
              <w:p w14:paraId="6AE990D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830252064"/>
              <w14:checkbox>
                <w14:checked w14:val="0"/>
                <w14:checkedState w14:val="2612" w14:font="MS Gothic"/>
                <w14:uncheckedState w14:val="2610" w14:font="MS Gothic"/>
              </w14:checkbox>
            </w:sdtPr>
            <w:sdtContent>
              <w:p w14:paraId="1D669F8A"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7286B6FB" w14:textId="77777777" w:rsidTr="00F53311">
        <w:trPr>
          <w:trHeight w:val="403"/>
        </w:trPr>
        <w:tc>
          <w:tcPr>
            <w:tcW w:w="0" w:type="auto"/>
            <w:shd w:val="clear" w:color="auto" w:fill="F2F2F2"/>
            <w:vAlign w:val="center"/>
          </w:tcPr>
          <w:p w14:paraId="652FFFE0"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3</w:t>
            </w:r>
          </w:p>
        </w:tc>
        <w:tc>
          <w:tcPr>
            <w:tcW w:w="0" w:type="auto"/>
            <w:shd w:val="clear" w:color="auto" w:fill="F2F2F2"/>
            <w:vAlign w:val="center"/>
          </w:tcPr>
          <w:p w14:paraId="7D7825E3"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graphics?</w:t>
            </w:r>
          </w:p>
        </w:tc>
        <w:tc>
          <w:tcPr>
            <w:tcW w:w="0" w:type="auto"/>
            <w:shd w:val="clear" w:color="auto" w:fill="BFBFBF"/>
            <w:vAlign w:val="center"/>
          </w:tcPr>
          <w:sdt>
            <w:sdtPr>
              <w:rPr>
                <w:rFonts w:ascii="Arial" w:hAnsi="Arial" w:cs="Arial"/>
              </w:rPr>
              <w:id w:val="-489091387"/>
              <w14:checkbox>
                <w14:checked w14:val="0"/>
                <w14:checkedState w14:val="2612" w14:font="MS Gothic"/>
                <w14:uncheckedState w14:val="2610" w14:font="MS Gothic"/>
              </w14:checkbox>
            </w:sdtPr>
            <w:sdtContent>
              <w:p w14:paraId="05527CCA"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90683493"/>
              <w14:checkbox>
                <w14:checked w14:val="1"/>
                <w14:checkedState w14:val="2612" w14:font="MS Gothic"/>
                <w14:uncheckedState w14:val="2610" w14:font="MS Gothic"/>
              </w14:checkbox>
            </w:sdtPr>
            <w:sdtContent>
              <w:p w14:paraId="488A06A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396882234"/>
              <w14:checkbox>
                <w14:checked w14:val="0"/>
                <w14:checkedState w14:val="2612" w14:font="MS Gothic"/>
                <w14:uncheckedState w14:val="2610" w14:font="MS Gothic"/>
              </w14:checkbox>
            </w:sdtPr>
            <w:sdtContent>
              <w:p w14:paraId="722E3A7D"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6D2A1834" w14:textId="77777777" w:rsidTr="00F53311">
        <w:trPr>
          <w:trHeight w:val="403"/>
        </w:trPr>
        <w:tc>
          <w:tcPr>
            <w:tcW w:w="0" w:type="auto"/>
            <w:shd w:val="clear" w:color="auto" w:fill="F2F2F2"/>
            <w:vAlign w:val="center"/>
          </w:tcPr>
          <w:p w14:paraId="3526B8D7"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4</w:t>
            </w:r>
          </w:p>
        </w:tc>
        <w:tc>
          <w:tcPr>
            <w:tcW w:w="0" w:type="auto"/>
            <w:shd w:val="clear" w:color="auto" w:fill="F2F2F2"/>
            <w:vAlign w:val="center"/>
          </w:tcPr>
          <w:p w14:paraId="298DDB1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video?</w:t>
            </w:r>
          </w:p>
        </w:tc>
        <w:tc>
          <w:tcPr>
            <w:tcW w:w="0" w:type="auto"/>
            <w:shd w:val="clear" w:color="auto" w:fill="BFBFBF"/>
            <w:vAlign w:val="center"/>
          </w:tcPr>
          <w:sdt>
            <w:sdtPr>
              <w:rPr>
                <w:rFonts w:ascii="Arial" w:hAnsi="Arial" w:cs="Arial"/>
              </w:rPr>
              <w:id w:val="-1245803632"/>
              <w14:checkbox>
                <w14:checked w14:val="0"/>
                <w14:checkedState w14:val="2612" w14:font="MS Gothic"/>
                <w14:uncheckedState w14:val="2610" w14:font="MS Gothic"/>
              </w14:checkbox>
            </w:sdtPr>
            <w:sdtContent>
              <w:p w14:paraId="421B943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2043635272"/>
              <w14:checkbox>
                <w14:checked w14:val="1"/>
                <w14:checkedState w14:val="2612" w14:font="MS Gothic"/>
                <w14:uncheckedState w14:val="2610" w14:font="MS Gothic"/>
              </w14:checkbox>
            </w:sdtPr>
            <w:sdtContent>
              <w:p w14:paraId="3710FF8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523134186"/>
              <w14:checkbox>
                <w14:checked w14:val="0"/>
                <w14:checkedState w14:val="2612" w14:font="MS Gothic"/>
                <w14:uncheckedState w14:val="2610" w14:font="MS Gothic"/>
              </w14:checkbox>
            </w:sdtPr>
            <w:sdtContent>
              <w:p w14:paraId="2227D52E"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6F531A4F" w14:textId="77777777" w:rsidTr="00F53311">
        <w:trPr>
          <w:trHeight w:val="403"/>
        </w:trPr>
        <w:tc>
          <w:tcPr>
            <w:tcW w:w="0" w:type="auto"/>
            <w:shd w:val="clear" w:color="auto" w:fill="F2F2F2"/>
            <w:vAlign w:val="center"/>
          </w:tcPr>
          <w:p w14:paraId="02EF8293"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5</w:t>
            </w:r>
          </w:p>
        </w:tc>
        <w:tc>
          <w:tcPr>
            <w:tcW w:w="0" w:type="auto"/>
            <w:shd w:val="clear" w:color="auto" w:fill="F2F2F2"/>
            <w:vAlign w:val="center"/>
          </w:tcPr>
          <w:p w14:paraId="3970E24C"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sound/music?</w:t>
            </w:r>
          </w:p>
        </w:tc>
        <w:tc>
          <w:tcPr>
            <w:tcW w:w="0" w:type="auto"/>
            <w:shd w:val="clear" w:color="auto" w:fill="BFBFBF"/>
            <w:vAlign w:val="center"/>
          </w:tcPr>
          <w:sdt>
            <w:sdtPr>
              <w:rPr>
                <w:rFonts w:ascii="Arial" w:hAnsi="Arial" w:cs="Arial"/>
              </w:rPr>
              <w:id w:val="-405153558"/>
              <w14:checkbox>
                <w14:checked w14:val="0"/>
                <w14:checkedState w14:val="2612" w14:font="MS Gothic"/>
                <w14:uncheckedState w14:val="2610" w14:font="MS Gothic"/>
              </w14:checkbox>
            </w:sdtPr>
            <w:sdtContent>
              <w:p w14:paraId="3AA64D7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15911874"/>
              <w14:checkbox>
                <w14:checked w14:val="1"/>
                <w14:checkedState w14:val="2612" w14:font="MS Gothic"/>
                <w14:uncheckedState w14:val="2610" w14:font="MS Gothic"/>
              </w14:checkbox>
            </w:sdtPr>
            <w:sdtContent>
              <w:p w14:paraId="18F770A8"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930580053"/>
              <w14:checkbox>
                <w14:checked w14:val="0"/>
                <w14:checkedState w14:val="2612" w14:font="MS Gothic"/>
                <w14:uncheckedState w14:val="2610" w14:font="MS Gothic"/>
              </w14:checkbox>
            </w:sdtPr>
            <w:sdtContent>
              <w:p w14:paraId="67A9920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254B8B68" w14:textId="77777777" w:rsidTr="00F53311">
        <w:trPr>
          <w:trHeight w:val="439"/>
        </w:trPr>
        <w:tc>
          <w:tcPr>
            <w:tcW w:w="0" w:type="auto"/>
            <w:shd w:val="clear" w:color="auto" w:fill="F2F2F2"/>
            <w:vAlign w:val="center"/>
          </w:tcPr>
          <w:p w14:paraId="622542C1"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6</w:t>
            </w:r>
          </w:p>
        </w:tc>
        <w:tc>
          <w:tcPr>
            <w:tcW w:w="0" w:type="auto"/>
            <w:shd w:val="clear" w:color="auto" w:fill="F2F2F2"/>
            <w:vAlign w:val="center"/>
          </w:tcPr>
          <w:p w14:paraId="4A7EE245"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code?</w:t>
            </w:r>
          </w:p>
        </w:tc>
        <w:tc>
          <w:tcPr>
            <w:tcW w:w="0" w:type="auto"/>
            <w:shd w:val="clear" w:color="auto" w:fill="BFBFBF"/>
            <w:vAlign w:val="center"/>
          </w:tcPr>
          <w:sdt>
            <w:sdtPr>
              <w:rPr>
                <w:rFonts w:ascii="Arial" w:hAnsi="Arial" w:cs="Arial"/>
              </w:rPr>
              <w:id w:val="1457459209"/>
              <w14:checkbox>
                <w14:checked w14:val="0"/>
                <w14:checkedState w14:val="2612" w14:font="MS Gothic"/>
                <w14:uncheckedState w14:val="2610" w14:font="MS Gothic"/>
              </w14:checkbox>
            </w:sdtPr>
            <w:sdtContent>
              <w:p w14:paraId="00BB4A1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2044195477"/>
              <w14:checkbox>
                <w14:checked w14:val="1"/>
                <w14:checkedState w14:val="2612" w14:font="MS Gothic"/>
                <w14:uncheckedState w14:val="2610" w14:font="MS Gothic"/>
              </w14:checkbox>
            </w:sdtPr>
            <w:sdtContent>
              <w:p w14:paraId="2C15D961"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42519630"/>
              <w14:checkbox>
                <w14:checked w14:val="0"/>
                <w14:checkedState w14:val="2612" w14:font="MS Gothic"/>
                <w14:uncheckedState w14:val="2610" w14:font="MS Gothic"/>
              </w14:checkbox>
            </w:sdtPr>
            <w:sdtContent>
              <w:p w14:paraId="5D41183C"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32B637E4" w14:textId="77777777" w:rsidTr="00F53311">
        <w:trPr>
          <w:trHeight w:val="403"/>
        </w:trPr>
        <w:tc>
          <w:tcPr>
            <w:tcW w:w="0" w:type="auto"/>
            <w:shd w:val="clear" w:color="auto" w:fill="F2F2F2"/>
            <w:vAlign w:val="center"/>
          </w:tcPr>
          <w:p w14:paraId="5E2FC93B"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7</w:t>
            </w:r>
          </w:p>
        </w:tc>
        <w:tc>
          <w:tcPr>
            <w:tcW w:w="0" w:type="auto"/>
            <w:shd w:val="clear" w:color="auto" w:fill="F2F2F2"/>
            <w:vAlign w:val="center"/>
          </w:tcPr>
          <w:p w14:paraId="6A47BBF7"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Generate synthetic data?</w:t>
            </w:r>
          </w:p>
        </w:tc>
        <w:tc>
          <w:tcPr>
            <w:tcW w:w="0" w:type="auto"/>
            <w:shd w:val="clear" w:color="auto" w:fill="BFBFBF"/>
            <w:vAlign w:val="center"/>
          </w:tcPr>
          <w:sdt>
            <w:sdtPr>
              <w:rPr>
                <w:rFonts w:ascii="Arial" w:hAnsi="Arial" w:cs="Arial"/>
              </w:rPr>
              <w:id w:val="2016112145"/>
              <w14:checkbox>
                <w14:checked w14:val="0"/>
                <w14:checkedState w14:val="2612" w14:font="MS Gothic"/>
                <w14:uncheckedState w14:val="2610" w14:font="MS Gothic"/>
              </w14:checkbox>
            </w:sdtPr>
            <w:sdtContent>
              <w:p w14:paraId="5D02E34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305010608"/>
              <w14:checkbox>
                <w14:checked w14:val="1"/>
                <w14:checkedState w14:val="2612" w14:font="MS Gothic"/>
                <w14:uncheckedState w14:val="2610" w14:font="MS Gothic"/>
              </w14:checkbox>
            </w:sdtPr>
            <w:sdtContent>
              <w:p w14:paraId="52D5C78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567940934"/>
              <w14:checkbox>
                <w14:checked w14:val="0"/>
                <w14:checkedState w14:val="2612" w14:font="MS Gothic"/>
                <w14:uncheckedState w14:val="2610" w14:font="MS Gothic"/>
              </w14:checkbox>
            </w:sdtPr>
            <w:sdtContent>
              <w:p w14:paraId="6E544A60"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35462EEC" w14:textId="77777777" w:rsidTr="00F53311">
        <w:trPr>
          <w:trHeight w:val="403"/>
        </w:trPr>
        <w:tc>
          <w:tcPr>
            <w:tcW w:w="0" w:type="auto"/>
            <w:shd w:val="clear" w:color="auto" w:fill="F2F2F2"/>
            <w:vAlign w:val="center"/>
          </w:tcPr>
          <w:p w14:paraId="138AF8C7"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8</w:t>
            </w:r>
          </w:p>
        </w:tc>
        <w:tc>
          <w:tcPr>
            <w:tcW w:w="0" w:type="auto"/>
            <w:shd w:val="clear" w:color="auto" w:fill="F2F2F2"/>
            <w:vAlign w:val="center"/>
          </w:tcPr>
          <w:p w14:paraId="5576A0B1"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Analyse data?</w:t>
            </w:r>
          </w:p>
        </w:tc>
        <w:tc>
          <w:tcPr>
            <w:tcW w:w="0" w:type="auto"/>
            <w:shd w:val="clear" w:color="auto" w:fill="BFBFBF"/>
            <w:vAlign w:val="center"/>
          </w:tcPr>
          <w:sdt>
            <w:sdtPr>
              <w:rPr>
                <w:rFonts w:ascii="Arial" w:hAnsi="Arial" w:cs="Arial"/>
              </w:rPr>
              <w:id w:val="-1294974624"/>
              <w14:checkbox>
                <w14:checked w14:val="0"/>
                <w14:checkedState w14:val="2612" w14:font="MS Gothic"/>
                <w14:uncheckedState w14:val="2610" w14:font="MS Gothic"/>
              </w14:checkbox>
            </w:sdtPr>
            <w:sdtContent>
              <w:p w14:paraId="42FF7B32"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502082000"/>
              <w14:checkbox>
                <w14:checked w14:val="1"/>
                <w14:checkedState w14:val="2612" w14:font="MS Gothic"/>
                <w14:uncheckedState w14:val="2610" w14:font="MS Gothic"/>
              </w14:checkbox>
            </w:sdtPr>
            <w:sdtContent>
              <w:p w14:paraId="5E25FF4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733089734"/>
              <w14:checkbox>
                <w14:checked w14:val="0"/>
                <w14:checkedState w14:val="2612" w14:font="MS Gothic"/>
                <w14:uncheckedState w14:val="2610" w14:font="MS Gothic"/>
              </w14:checkbox>
            </w:sdtPr>
            <w:sdtContent>
              <w:p w14:paraId="72BF705A"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0BA314B1" w14:textId="77777777" w:rsidTr="00F53311">
        <w:trPr>
          <w:trHeight w:val="403"/>
        </w:trPr>
        <w:tc>
          <w:tcPr>
            <w:tcW w:w="0" w:type="auto"/>
            <w:shd w:val="clear" w:color="auto" w:fill="F2F2F2"/>
            <w:vAlign w:val="center"/>
          </w:tcPr>
          <w:p w14:paraId="6082E1E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9</w:t>
            </w:r>
          </w:p>
        </w:tc>
        <w:tc>
          <w:tcPr>
            <w:tcW w:w="0" w:type="auto"/>
            <w:shd w:val="clear" w:color="auto" w:fill="F2F2F2"/>
            <w:vAlign w:val="center"/>
          </w:tcPr>
          <w:p w14:paraId="18208640"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Analyse personal or sensitive data?</w:t>
            </w:r>
          </w:p>
        </w:tc>
        <w:tc>
          <w:tcPr>
            <w:tcW w:w="0" w:type="auto"/>
            <w:shd w:val="clear" w:color="auto" w:fill="BFBFBF"/>
            <w:vAlign w:val="center"/>
          </w:tcPr>
          <w:sdt>
            <w:sdtPr>
              <w:rPr>
                <w:rFonts w:ascii="Arial" w:hAnsi="Arial" w:cs="Arial"/>
              </w:rPr>
              <w:id w:val="1608620116"/>
              <w14:checkbox>
                <w14:checked w14:val="0"/>
                <w14:checkedState w14:val="2612" w14:font="MS Gothic"/>
                <w14:uncheckedState w14:val="2610" w14:font="MS Gothic"/>
              </w14:checkbox>
            </w:sdtPr>
            <w:sdtContent>
              <w:p w14:paraId="32CB155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559057466"/>
              <w14:checkbox>
                <w14:checked w14:val="1"/>
                <w14:checkedState w14:val="2612" w14:font="MS Gothic"/>
                <w14:uncheckedState w14:val="2610" w14:font="MS Gothic"/>
              </w14:checkbox>
            </w:sdtPr>
            <w:sdtContent>
              <w:p w14:paraId="33FED7D7"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644392904"/>
              <w14:checkbox>
                <w14:checked w14:val="0"/>
                <w14:checkedState w14:val="2612" w14:font="MS Gothic"/>
                <w14:uncheckedState w14:val="2610" w14:font="MS Gothic"/>
              </w14:checkbox>
            </w:sdtPr>
            <w:sdtContent>
              <w:p w14:paraId="52AB2B25"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2661551B" w14:textId="77777777" w:rsidTr="00F53311">
        <w:trPr>
          <w:trHeight w:val="439"/>
        </w:trPr>
        <w:tc>
          <w:tcPr>
            <w:tcW w:w="0" w:type="auto"/>
            <w:shd w:val="clear" w:color="auto" w:fill="F2F2F2"/>
            <w:vAlign w:val="center"/>
          </w:tcPr>
          <w:p w14:paraId="0A5D9382"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10</w:t>
            </w:r>
          </w:p>
        </w:tc>
        <w:tc>
          <w:tcPr>
            <w:tcW w:w="0" w:type="auto"/>
            <w:shd w:val="clear" w:color="auto" w:fill="F2F2F2"/>
            <w:vAlign w:val="center"/>
          </w:tcPr>
          <w:p w14:paraId="42F0A776"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Classify data?</w:t>
            </w:r>
          </w:p>
        </w:tc>
        <w:tc>
          <w:tcPr>
            <w:tcW w:w="0" w:type="auto"/>
            <w:shd w:val="clear" w:color="auto" w:fill="BFBFBF"/>
            <w:vAlign w:val="center"/>
          </w:tcPr>
          <w:sdt>
            <w:sdtPr>
              <w:rPr>
                <w:rFonts w:ascii="Arial" w:hAnsi="Arial" w:cs="Arial"/>
              </w:rPr>
              <w:id w:val="324639604"/>
              <w14:checkbox>
                <w14:checked w14:val="0"/>
                <w14:checkedState w14:val="2612" w14:font="MS Gothic"/>
                <w14:uncheckedState w14:val="2610" w14:font="MS Gothic"/>
              </w14:checkbox>
            </w:sdtPr>
            <w:sdtContent>
              <w:p w14:paraId="25552D6A"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16349551"/>
              <w14:checkbox>
                <w14:checked w14:val="1"/>
                <w14:checkedState w14:val="2612" w14:font="MS Gothic"/>
                <w14:uncheckedState w14:val="2610" w14:font="MS Gothic"/>
              </w14:checkbox>
            </w:sdtPr>
            <w:sdtContent>
              <w:p w14:paraId="4FBC034A"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465344194"/>
              <w14:checkbox>
                <w14:checked w14:val="0"/>
                <w14:checkedState w14:val="2612" w14:font="MS Gothic"/>
                <w14:uncheckedState w14:val="2610" w14:font="MS Gothic"/>
              </w14:checkbox>
            </w:sdtPr>
            <w:sdtContent>
              <w:p w14:paraId="7AD7082B"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0F6C949B" w14:textId="77777777" w:rsidTr="00F53311">
        <w:trPr>
          <w:trHeight w:val="439"/>
        </w:trPr>
        <w:tc>
          <w:tcPr>
            <w:tcW w:w="0" w:type="auto"/>
            <w:shd w:val="clear" w:color="auto" w:fill="F2F2F2"/>
            <w:vAlign w:val="center"/>
          </w:tcPr>
          <w:p w14:paraId="7F0AAD78" w14:textId="77777777" w:rsidR="00F53311" w:rsidRPr="00F53311" w:rsidRDefault="00F53311" w:rsidP="00F53311">
            <w:pPr>
              <w:autoSpaceDE w:val="0"/>
              <w:autoSpaceDN w:val="0"/>
              <w:adjustRightInd w:val="0"/>
              <w:jc w:val="center"/>
              <w:rPr>
                <w:rFonts w:ascii="Arial" w:hAnsi="Arial" w:cs="Arial"/>
              </w:rPr>
            </w:pPr>
            <w:r w:rsidRPr="00F53311">
              <w:rPr>
                <w:rFonts w:ascii="Arial" w:hAnsi="Arial" w:cs="Arial"/>
              </w:rPr>
              <w:t>11</w:t>
            </w:r>
          </w:p>
        </w:tc>
        <w:tc>
          <w:tcPr>
            <w:tcW w:w="0" w:type="auto"/>
            <w:shd w:val="clear" w:color="auto" w:fill="F2F2F2"/>
            <w:vAlign w:val="center"/>
          </w:tcPr>
          <w:p w14:paraId="57ADCB6E"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Do you intend to use the free version of any AI tools?</w:t>
            </w:r>
          </w:p>
        </w:tc>
        <w:tc>
          <w:tcPr>
            <w:tcW w:w="0" w:type="auto"/>
            <w:shd w:val="clear" w:color="auto" w:fill="BFBFBF"/>
            <w:vAlign w:val="center"/>
          </w:tcPr>
          <w:sdt>
            <w:sdtPr>
              <w:rPr>
                <w:rFonts w:ascii="Arial" w:hAnsi="Arial" w:cs="Arial"/>
              </w:rPr>
              <w:id w:val="1717616931"/>
              <w14:checkbox>
                <w14:checked w14:val="0"/>
                <w14:checkedState w14:val="2612" w14:font="MS Gothic"/>
                <w14:uncheckedState w14:val="2610" w14:font="MS Gothic"/>
              </w14:checkbox>
            </w:sdtPr>
            <w:sdtContent>
              <w:p w14:paraId="41621819"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767925130"/>
              <w14:checkbox>
                <w14:checked w14:val="1"/>
                <w14:checkedState w14:val="2612" w14:font="MS Gothic"/>
                <w14:uncheckedState w14:val="2610" w14:font="MS Gothic"/>
              </w14:checkbox>
            </w:sdtPr>
            <w:sdtContent>
              <w:p w14:paraId="6B434874"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c>
          <w:tcPr>
            <w:tcW w:w="0" w:type="auto"/>
            <w:shd w:val="clear" w:color="auto" w:fill="BFBFBF"/>
            <w:vAlign w:val="center"/>
          </w:tcPr>
          <w:sdt>
            <w:sdtPr>
              <w:rPr>
                <w:rFonts w:ascii="Arial" w:hAnsi="Arial" w:cs="Arial"/>
              </w:rPr>
              <w:id w:val="1748227023"/>
              <w14:checkbox>
                <w14:checked w14:val="0"/>
                <w14:checkedState w14:val="2612" w14:font="MS Gothic"/>
                <w14:uncheckedState w14:val="2610" w14:font="MS Gothic"/>
              </w14:checkbox>
            </w:sdtPr>
            <w:sdtContent>
              <w:p w14:paraId="0F3F6E06" w14:textId="77777777" w:rsidR="00F53311" w:rsidRPr="00F53311" w:rsidRDefault="00F53311" w:rsidP="00F53311">
                <w:pPr>
                  <w:autoSpaceDE w:val="0"/>
                  <w:autoSpaceDN w:val="0"/>
                  <w:adjustRightInd w:val="0"/>
                  <w:jc w:val="center"/>
                  <w:rPr>
                    <w:rFonts w:ascii="Arial" w:hAnsi="Arial" w:cs="Arial"/>
                  </w:rPr>
                </w:pPr>
                <w:r w:rsidRPr="00F53311">
                  <w:rPr>
                    <w:rFonts w:ascii="Segoe UI Symbol" w:hAnsi="Segoe UI Symbol" w:cs="Segoe UI Symbol"/>
                  </w:rPr>
                  <w:t>☐</w:t>
                </w:r>
              </w:p>
            </w:sdtContent>
          </w:sdt>
        </w:tc>
      </w:tr>
      <w:tr w:rsidR="00F53311" w:rsidRPr="00F53311" w14:paraId="7C9FAC8F" w14:textId="77777777" w:rsidTr="00F53311">
        <w:trPr>
          <w:trHeight w:val="403"/>
        </w:trPr>
        <w:tc>
          <w:tcPr>
            <w:tcW w:w="0" w:type="auto"/>
            <w:gridSpan w:val="5"/>
            <w:shd w:val="clear" w:color="auto" w:fill="F2F2F2"/>
            <w:vAlign w:val="center"/>
          </w:tcPr>
          <w:p w14:paraId="538DA92B" w14:textId="77777777" w:rsidR="00F53311" w:rsidRPr="00F53311" w:rsidRDefault="00F53311" w:rsidP="00F53311">
            <w:pPr>
              <w:autoSpaceDE w:val="0"/>
              <w:autoSpaceDN w:val="0"/>
              <w:adjustRightInd w:val="0"/>
              <w:rPr>
                <w:rFonts w:ascii="Arial" w:hAnsi="Arial" w:cs="Arial"/>
              </w:rPr>
            </w:pPr>
            <w:r w:rsidRPr="00F53311">
              <w:rPr>
                <w:rFonts w:ascii="Arial" w:hAnsi="Arial" w:cs="Arial"/>
              </w:rPr>
              <w:t xml:space="preserve">If you have answered </w:t>
            </w:r>
            <w:r w:rsidRPr="00F53311">
              <w:rPr>
                <w:rFonts w:ascii="Arial" w:hAnsi="Arial" w:cs="Arial"/>
                <w:b/>
                <w:bCs/>
              </w:rPr>
              <w:t>YES</w:t>
            </w:r>
            <w:r w:rsidRPr="00F53311">
              <w:rPr>
                <w:rFonts w:ascii="Arial" w:hAnsi="Arial" w:cs="Arial"/>
              </w:rPr>
              <w:t xml:space="preserve"> to any of questions O1-O11, please provide justification detailing why this is necessary for the research.  </w:t>
            </w:r>
          </w:p>
        </w:tc>
      </w:tr>
      <w:tr w:rsidR="00F53311" w:rsidRPr="00F53311" w14:paraId="3AD00385" w14:textId="77777777" w:rsidTr="00F53311">
        <w:trPr>
          <w:trHeight w:val="403"/>
        </w:trPr>
        <w:tc>
          <w:tcPr>
            <w:tcW w:w="0" w:type="auto"/>
            <w:vAlign w:val="center"/>
          </w:tcPr>
          <w:p w14:paraId="14ABF744" w14:textId="77777777" w:rsidR="00F53311" w:rsidRPr="00F53311" w:rsidRDefault="00F53311" w:rsidP="00F53311">
            <w:pPr>
              <w:jc w:val="center"/>
              <w:rPr>
                <w:rFonts w:ascii="Arial" w:hAnsi="Arial" w:cs="Arial"/>
              </w:rPr>
            </w:pPr>
            <w:r w:rsidRPr="00F53311">
              <w:rPr>
                <w:rFonts w:ascii="Arial" w:hAnsi="Arial" w:cs="Arial"/>
              </w:rPr>
              <w:t>12</w:t>
            </w:r>
          </w:p>
        </w:tc>
        <w:tc>
          <w:tcPr>
            <w:tcW w:w="0" w:type="auto"/>
            <w:gridSpan w:val="4"/>
            <w:vAlign w:val="center"/>
          </w:tcPr>
          <w:p w14:paraId="2439B55C" w14:textId="77777777" w:rsidR="00F53311" w:rsidRPr="00F53311" w:rsidRDefault="00F53311" w:rsidP="00F53311">
            <w:pPr>
              <w:rPr>
                <w:rFonts w:ascii="Arial" w:hAnsi="Arial" w:cs="Arial"/>
                <w:color w:val="00B050"/>
              </w:rPr>
            </w:pPr>
            <w:r w:rsidRPr="00F53311">
              <w:rPr>
                <w:rFonts w:ascii="Arial" w:hAnsi="Arial" w:cs="Arial"/>
                <w:color w:val="00B050"/>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54EF531A" w14:textId="77777777" w:rsidR="00F53311" w:rsidRPr="00F53311" w:rsidRDefault="00F53311" w:rsidP="00F53311">
            <w:pPr>
              <w:autoSpaceDE w:val="0"/>
              <w:autoSpaceDN w:val="0"/>
              <w:adjustRightInd w:val="0"/>
              <w:rPr>
                <w:rFonts w:ascii="Arial" w:hAnsi="Arial" w:cs="Arial"/>
                <w:i/>
                <w:color w:val="808080"/>
                <w:sz w:val="18"/>
                <w:szCs w:val="18"/>
              </w:rPr>
            </w:pPr>
          </w:p>
          <w:p w14:paraId="7C53EDA0" w14:textId="77777777" w:rsidR="00F53311" w:rsidRPr="00F53311" w:rsidRDefault="00F53311" w:rsidP="00F53311">
            <w:pPr>
              <w:autoSpaceDE w:val="0"/>
              <w:autoSpaceDN w:val="0"/>
              <w:adjustRightInd w:val="0"/>
              <w:rPr>
                <w:rFonts w:ascii="Arial" w:hAnsi="Arial" w:cs="Arial"/>
              </w:rPr>
            </w:pPr>
            <w:r w:rsidRPr="00F53311">
              <w:rPr>
                <w:rFonts w:ascii="Arial" w:hAnsi="Arial" w:cs="Arial"/>
                <w:i/>
                <w:color w:val="808080"/>
                <w:sz w:val="18"/>
                <w:szCs w:val="18"/>
              </w:rPr>
              <w:t>(this box should expand as you type)</w:t>
            </w:r>
          </w:p>
        </w:tc>
      </w:tr>
    </w:tbl>
    <w:p w14:paraId="5923CA79" w14:textId="77777777" w:rsidR="00F53311" w:rsidRPr="00F53311" w:rsidRDefault="00F53311" w:rsidP="00F53311">
      <w:pPr>
        <w:spacing w:after="0" w:line="240" w:lineRule="auto"/>
        <w:rPr>
          <w:rFonts w:ascii="Arial" w:eastAsia="Times New Roman" w:hAnsi="Arial" w:cs="Arial"/>
          <w:b/>
          <w:bCs/>
        </w:rPr>
      </w:pPr>
    </w:p>
    <w:p w14:paraId="4D1B76E6" w14:textId="77777777" w:rsidR="00F53311" w:rsidRPr="00F53311" w:rsidRDefault="00F53311" w:rsidP="00F53311">
      <w:pPr>
        <w:spacing w:after="0" w:line="240" w:lineRule="auto"/>
        <w:rPr>
          <w:rFonts w:ascii="Arial" w:eastAsia="Times New Roman" w:hAnsi="Arial" w:cs="Arial"/>
          <w:b/>
          <w:bCs/>
        </w:rPr>
      </w:pPr>
    </w:p>
    <w:p w14:paraId="31AD2175" w14:textId="77777777" w:rsidR="00F53311" w:rsidRPr="00F53311" w:rsidRDefault="00F53311" w:rsidP="00F53311">
      <w:pPr>
        <w:autoSpaceDE w:val="0"/>
        <w:autoSpaceDN w:val="0"/>
        <w:adjustRightInd w:val="0"/>
        <w:spacing w:after="240" w:line="240" w:lineRule="auto"/>
        <w:jc w:val="both"/>
        <w:rPr>
          <w:rFonts w:ascii="Arial" w:eastAsia="Times New Roman" w:hAnsi="Arial" w:cs="Arial"/>
          <w:b/>
        </w:rPr>
      </w:pPr>
      <w:r w:rsidRPr="00F53311">
        <w:rPr>
          <w:rFonts w:ascii="Arial" w:eastAsia="Times New Roman" w:hAnsi="Arial" w:cs="Arial"/>
          <w:b/>
        </w:rPr>
        <w:t>SECTION J: Declaration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9"/>
        <w:gridCol w:w="2699"/>
        <w:gridCol w:w="3249"/>
        <w:gridCol w:w="2729"/>
      </w:tblGrid>
      <w:tr w:rsidR="00F53311" w:rsidRPr="00F53311" w14:paraId="4AD864EA" w14:textId="77777777" w:rsidTr="00F53311">
        <w:trPr>
          <w:trHeight w:val="1807"/>
        </w:trPr>
        <w:tc>
          <w:tcPr>
            <w:tcW w:w="0" w:type="auto"/>
            <w:shd w:val="clear" w:color="auto" w:fill="F2F2F2"/>
            <w:vAlign w:val="center"/>
          </w:tcPr>
          <w:p w14:paraId="59E95F6B" w14:textId="77777777" w:rsidR="00F53311" w:rsidRPr="00F53311" w:rsidRDefault="00F53311" w:rsidP="00F53311">
            <w:pPr>
              <w:spacing w:after="0" w:line="240" w:lineRule="auto"/>
              <w:jc w:val="center"/>
              <w:rPr>
                <w:rFonts w:ascii="Arial" w:eastAsia="Times New Roman" w:hAnsi="Arial" w:cs="Arial"/>
              </w:rPr>
            </w:pPr>
          </w:p>
        </w:tc>
        <w:tc>
          <w:tcPr>
            <w:tcW w:w="0" w:type="auto"/>
            <w:gridSpan w:val="3"/>
            <w:shd w:val="clear" w:color="auto" w:fill="F2F2F2"/>
            <w:vAlign w:val="center"/>
          </w:tcPr>
          <w:p w14:paraId="68FE6482" w14:textId="77777777" w:rsidR="00F53311" w:rsidRPr="00F53311" w:rsidRDefault="00F53311" w:rsidP="00F53311">
            <w:pPr>
              <w:spacing w:after="0" w:line="240" w:lineRule="auto"/>
              <w:jc w:val="both"/>
              <w:rPr>
                <w:rFonts w:ascii="Arial" w:eastAsia="Times New Roman" w:hAnsi="Arial" w:cs="Arial"/>
                <w:b/>
                <w:bCs/>
                <w:color w:val="000000"/>
              </w:rPr>
            </w:pPr>
            <w:r w:rsidRPr="00F53311">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F53311">
              <w:rPr>
                <w:rFonts w:ascii="Arial" w:eastAsia="Times New Roman" w:hAnsi="Arial" w:cs="Arial"/>
                <w:b/>
                <w:bCs/>
                <w:color w:val="000000"/>
              </w:rPr>
              <w:t>.</w:t>
            </w:r>
          </w:p>
          <w:p w14:paraId="0262CADD" w14:textId="77777777" w:rsidR="00F53311" w:rsidRPr="00F53311" w:rsidRDefault="00F53311" w:rsidP="00F53311">
            <w:pPr>
              <w:spacing w:after="0" w:line="240" w:lineRule="auto"/>
              <w:jc w:val="both"/>
              <w:rPr>
                <w:rFonts w:ascii="Arial" w:eastAsia="Times New Roman" w:hAnsi="Arial" w:cs="Arial"/>
                <w:b/>
                <w:bCs/>
                <w:color w:val="000000"/>
              </w:rPr>
            </w:pPr>
          </w:p>
          <w:p w14:paraId="230D2886" w14:textId="77777777" w:rsidR="00F53311" w:rsidRPr="00F53311" w:rsidRDefault="00F53311" w:rsidP="00F53311">
            <w:pPr>
              <w:spacing w:after="0" w:line="240" w:lineRule="auto"/>
              <w:jc w:val="both"/>
              <w:rPr>
                <w:rFonts w:ascii="Arial" w:eastAsia="Times New Roman" w:hAnsi="Arial" w:cs="Arial"/>
                <w:color w:val="000080"/>
              </w:rPr>
            </w:pPr>
            <w:r w:rsidRPr="00F53311">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F53311">
                <w:rPr>
                  <w:rFonts w:ascii="Arial" w:eastAsia="Times New Roman" w:hAnsi="Arial" w:cs="Arial"/>
                  <w:color w:val="0000FF"/>
                  <w:u w:val="single"/>
                </w:rPr>
                <w:t>https://www.uwtsd.ac.uk/research/research-ethics/</w:t>
              </w:r>
            </w:hyperlink>
            <w:r w:rsidRPr="00F53311">
              <w:rPr>
                <w:rFonts w:ascii="Arial" w:eastAsia="Times New Roman" w:hAnsi="Arial" w:cs="Arial"/>
              </w:rPr>
              <w:t xml:space="preserve"> </w:t>
            </w:r>
          </w:p>
        </w:tc>
      </w:tr>
      <w:tr w:rsidR="00F53311" w:rsidRPr="00F53311" w14:paraId="40F18337" w14:textId="77777777" w:rsidTr="00F53311">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AA43361" w14:textId="77777777" w:rsidR="00F53311" w:rsidRPr="00F53311" w:rsidRDefault="00F53311" w:rsidP="00F53311">
            <w:pPr>
              <w:spacing w:before="100" w:beforeAutospacing="1" w:after="100" w:afterAutospacing="1" w:line="240" w:lineRule="auto"/>
              <w:jc w:val="center"/>
              <w:rPr>
                <w:rFonts w:ascii="Arial" w:eastAsia="Times New Roman" w:hAnsi="Arial" w:cs="Arial"/>
                <w:bCs/>
              </w:rPr>
            </w:pPr>
            <w:r w:rsidRPr="00F53311">
              <w:rPr>
                <w:rFonts w:ascii="Arial" w:eastAsia="Times New Roman" w:hAnsi="Arial" w:cs="Arial"/>
                <w:bCs/>
              </w:rPr>
              <w:lastRenderedPageBreak/>
              <w:t>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854104B" w14:textId="77777777" w:rsidR="00F53311" w:rsidRPr="00F53311" w:rsidRDefault="00F53311" w:rsidP="00F53311">
            <w:pPr>
              <w:spacing w:before="100" w:beforeAutospacing="1" w:after="100" w:afterAutospacing="1" w:line="240" w:lineRule="auto"/>
              <w:rPr>
                <w:rFonts w:ascii="Arial" w:eastAsia="Times New Roman" w:hAnsi="Arial" w:cs="Arial"/>
              </w:rPr>
            </w:pPr>
            <w:r w:rsidRPr="00F53311">
              <w:rPr>
                <w:rFonts w:ascii="Arial" w:eastAsia="Times New Roman" w:hAnsi="Arial" w:cs="Arial"/>
                <w:b/>
                <w:bCs/>
              </w:rPr>
              <w:t>Signature of applicant:</w:t>
            </w:r>
          </w:p>
        </w:tc>
        <w:tc>
          <w:tcPr>
            <w:tcW w:w="0" w:type="auto"/>
            <w:tcBorders>
              <w:left w:val="single" w:sz="4" w:space="0" w:color="auto"/>
            </w:tcBorders>
            <w:vAlign w:val="center"/>
          </w:tcPr>
          <w:p w14:paraId="0C01D0FC" w14:textId="77777777" w:rsidR="00F53311" w:rsidRPr="00F53311" w:rsidRDefault="00F53311" w:rsidP="00F53311">
            <w:pPr>
              <w:spacing w:before="100" w:beforeAutospacing="1" w:after="100" w:afterAutospacing="1" w:line="240" w:lineRule="auto"/>
              <w:rPr>
                <w:rFonts w:ascii="Arial" w:eastAsia="Times New Roman" w:hAnsi="Arial" w:cs="Arial"/>
              </w:rPr>
            </w:pPr>
            <w:r w:rsidRPr="00F53311">
              <w:rPr>
                <w:rFonts w:ascii="Arial" w:eastAsia="Times New Roman" w:hAnsi="Arial" w:cs="Arial"/>
              </w:rPr>
              <w:t>VIMAL EDAYIVILA VIJAYAN</w:t>
            </w:r>
          </w:p>
        </w:tc>
        <w:tc>
          <w:tcPr>
            <w:tcW w:w="0" w:type="auto"/>
            <w:vAlign w:val="center"/>
          </w:tcPr>
          <w:p w14:paraId="3CBB0ED1" w14:textId="77777777" w:rsidR="00F53311" w:rsidRPr="00F53311" w:rsidRDefault="00F53311" w:rsidP="00F53311">
            <w:pPr>
              <w:spacing w:before="100" w:beforeAutospacing="1" w:after="100" w:afterAutospacing="1" w:line="240" w:lineRule="auto"/>
              <w:rPr>
                <w:rFonts w:ascii="Arial" w:eastAsia="Times New Roman" w:hAnsi="Arial" w:cs="Arial"/>
                <w:b/>
                <w:bCs/>
              </w:rPr>
            </w:pPr>
            <w:r w:rsidRPr="00F53311">
              <w:rPr>
                <w:rFonts w:ascii="Arial" w:eastAsia="Times New Roman" w:hAnsi="Arial" w:cs="Arial"/>
                <w:b/>
                <w:bCs/>
              </w:rPr>
              <w:t>Date:25/03/2026</w:t>
            </w:r>
          </w:p>
          <w:p w14:paraId="6F343566" w14:textId="77777777" w:rsidR="00F53311" w:rsidRPr="00F53311" w:rsidRDefault="00F53311" w:rsidP="00F53311">
            <w:pPr>
              <w:spacing w:before="100" w:beforeAutospacing="1" w:after="100" w:afterAutospacing="1" w:line="240" w:lineRule="auto"/>
              <w:rPr>
                <w:rFonts w:ascii="Arial" w:eastAsia="Times New Roman" w:hAnsi="Arial" w:cs="Arial"/>
              </w:rPr>
            </w:pPr>
          </w:p>
        </w:tc>
      </w:tr>
      <w:tr w:rsidR="00F53311" w:rsidRPr="00F53311" w14:paraId="0A71B246" w14:textId="77777777" w:rsidTr="00F533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0" w:type="auto"/>
            <w:shd w:val="clear" w:color="auto" w:fill="F2F2F2"/>
            <w:vAlign w:val="center"/>
          </w:tcPr>
          <w:p w14:paraId="0C43A3E2" w14:textId="77777777" w:rsidR="00F53311" w:rsidRPr="00F53311" w:rsidRDefault="00F53311" w:rsidP="00F53311">
            <w:pPr>
              <w:spacing w:after="0" w:line="240" w:lineRule="auto"/>
              <w:contextualSpacing/>
              <w:jc w:val="center"/>
              <w:rPr>
                <w:rFonts w:ascii="Arial" w:eastAsia="Calibri" w:hAnsi="Arial" w:cs="Arial"/>
              </w:rPr>
            </w:pPr>
            <w:r w:rsidRPr="00F53311">
              <w:rPr>
                <w:rFonts w:ascii="Arial" w:eastAsia="Calibri" w:hAnsi="Arial" w:cs="Arial"/>
              </w:rPr>
              <w:t>2</w:t>
            </w:r>
          </w:p>
        </w:tc>
        <w:tc>
          <w:tcPr>
            <w:tcW w:w="0" w:type="auto"/>
            <w:shd w:val="clear" w:color="auto" w:fill="F2F2F2"/>
            <w:vAlign w:val="center"/>
          </w:tcPr>
          <w:p w14:paraId="19F2D2D8" w14:textId="77777777" w:rsidR="00F53311" w:rsidRPr="00F53311" w:rsidRDefault="00F53311" w:rsidP="00F53311">
            <w:pPr>
              <w:spacing w:after="0" w:line="240" w:lineRule="auto"/>
              <w:contextualSpacing/>
              <w:rPr>
                <w:rFonts w:ascii="Arial" w:eastAsia="Calibri" w:hAnsi="Arial" w:cs="Arial"/>
              </w:rPr>
            </w:pPr>
            <w:r w:rsidRPr="00F53311">
              <w:rPr>
                <w:rFonts w:ascii="Arial" w:eastAsia="Calibri" w:hAnsi="Arial" w:cs="Arial"/>
              </w:rPr>
              <w:t>Supervisor:</w:t>
            </w:r>
          </w:p>
        </w:tc>
        <w:tc>
          <w:tcPr>
            <w:tcW w:w="0" w:type="auto"/>
            <w:vAlign w:val="center"/>
          </w:tcPr>
          <w:p w14:paraId="138F75B9" w14:textId="77777777" w:rsidR="00F53311" w:rsidRPr="00F53311" w:rsidRDefault="00F53311" w:rsidP="00F53311">
            <w:pPr>
              <w:spacing w:after="0" w:line="240" w:lineRule="auto"/>
              <w:contextualSpacing/>
              <w:rPr>
                <w:rFonts w:ascii="Arial" w:eastAsia="Calibri" w:hAnsi="Arial" w:cs="Arial"/>
              </w:rPr>
            </w:pPr>
            <w:r w:rsidRPr="00F53311">
              <w:rPr>
                <w:rFonts w:ascii="Arial" w:eastAsia="Calibri" w:hAnsi="Arial" w:cs="Arial"/>
              </w:rPr>
              <w:t>Shahrukh Irfan</w:t>
            </w:r>
          </w:p>
        </w:tc>
        <w:tc>
          <w:tcPr>
            <w:tcW w:w="0" w:type="auto"/>
            <w:vMerge w:val="restart"/>
          </w:tcPr>
          <w:p w14:paraId="01A3F81A" w14:textId="77777777" w:rsidR="00F53311" w:rsidRPr="00F53311" w:rsidRDefault="00F53311" w:rsidP="00F53311">
            <w:pPr>
              <w:spacing w:after="0" w:line="240" w:lineRule="auto"/>
              <w:contextualSpacing/>
              <w:rPr>
                <w:rFonts w:ascii="Arial" w:eastAsia="Calibri" w:hAnsi="Arial" w:cs="Arial"/>
              </w:rPr>
            </w:pPr>
            <w:r w:rsidRPr="00F53311">
              <w:rPr>
                <w:rFonts w:ascii="Arial" w:eastAsia="Calibri" w:hAnsi="Arial" w:cs="Arial"/>
                <w:b/>
                <w:bCs/>
              </w:rPr>
              <w:t>Date: 26/03/2026</w:t>
            </w:r>
          </w:p>
        </w:tc>
      </w:tr>
      <w:tr w:rsidR="00F53311" w:rsidRPr="00F53311" w14:paraId="6DD8BD2F" w14:textId="77777777" w:rsidTr="00F533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0" w:type="auto"/>
            <w:shd w:val="clear" w:color="auto" w:fill="F2F2F2"/>
            <w:vAlign w:val="center"/>
          </w:tcPr>
          <w:p w14:paraId="46D0DD14" w14:textId="77777777" w:rsidR="00F53311" w:rsidRPr="00F53311" w:rsidRDefault="00F53311" w:rsidP="00F53311">
            <w:pPr>
              <w:spacing w:after="0" w:line="240" w:lineRule="auto"/>
              <w:contextualSpacing/>
              <w:jc w:val="center"/>
              <w:rPr>
                <w:rFonts w:ascii="Arial" w:eastAsia="Calibri" w:hAnsi="Arial" w:cs="Arial"/>
              </w:rPr>
            </w:pPr>
            <w:r w:rsidRPr="00F53311">
              <w:rPr>
                <w:rFonts w:ascii="Arial" w:eastAsia="Calibri" w:hAnsi="Arial" w:cs="Arial"/>
              </w:rPr>
              <w:t>3</w:t>
            </w:r>
          </w:p>
        </w:tc>
        <w:tc>
          <w:tcPr>
            <w:tcW w:w="0" w:type="auto"/>
            <w:shd w:val="clear" w:color="auto" w:fill="F2F2F2"/>
            <w:vAlign w:val="center"/>
          </w:tcPr>
          <w:p w14:paraId="55BE2FB4" w14:textId="77777777" w:rsidR="00F53311" w:rsidRPr="00F53311" w:rsidRDefault="00F53311" w:rsidP="00F53311">
            <w:pPr>
              <w:spacing w:after="0" w:line="240" w:lineRule="auto"/>
              <w:contextualSpacing/>
              <w:rPr>
                <w:rFonts w:ascii="Arial" w:eastAsia="Calibri" w:hAnsi="Arial" w:cs="Arial"/>
              </w:rPr>
            </w:pPr>
            <w:r w:rsidRPr="00F53311">
              <w:rPr>
                <w:rFonts w:ascii="Arial" w:eastAsia="Calibri" w:hAnsi="Arial" w:cs="Arial"/>
              </w:rPr>
              <w:t>Signature:</w:t>
            </w:r>
          </w:p>
        </w:tc>
        <w:tc>
          <w:tcPr>
            <w:tcW w:w="0" w:type="auto"/>
            <w:vAlign w:val="center"/>
          </w:tcPr>
          <w:p w14:paraId="7C38F00B" w14:textId="77777777" w:rsidR="00F53311" w:rsidRPr="00F53311" w:rsidRDefault="00F53311" w:rsidP="00F53311">
            <w:pPr>
              <w:spacing w:after="0" w:line="240" w:lineRule="auto"/>
              <w:contextualSpacing/>
              <w:rPr>
                <w:rFonts w:ascii="Arial" w:eastAsia="Calibri" w:hAnsi="Arial" w:cs="Arial"/>
              </w:rPr>
            </w:pPr>
            <w:r w:rsidRPr="00F53311">
              <w:rPr>
                <w:rFonts w:ascii="Arial" w:eastAsia="Calibri" w:hAnsi="Arial" w:cs="Arial"/>
                <w:noProof/>
              </w:rPr>
              <w:drawing>
                <wp:inline distT="0" distB="0" distL="0" distR="0" wp14:anchorId="2DD6FAA6" wp14:editId="2B5A7F7B">
                  <wp:extent cx="914400" cy="673100"/>
                  <wp:effectExtent l="0" t="0" r="0" b="0"/>
                  <wp:docPr id="125251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518277" name="Picture 1252518277"/>
                          <pic:cNvPicPr/>
                        </pic:nvPicPr>
                        <pic:blipFill>
                          <a:blip r:embed="rId11"/>
                          <a:stretch>
                            <a:fillRect/>
                          </a:stretch>
                        </pic:blipFill>
                        <pic:spPr>
                          <a:xfrm>
                            <a:off x="0" y="0"/>
                            <a:ext cx="914400" cy="673100"/>
                          </a:xfrm>
                          <a:prstGeom prst="rect">
                            <a:avLst/>
                          </a:prstGeom>
                        </pic:spPr>
                      </pic:pic>
                    </a:graphicData>
                  </a:graphic>
                </wp:inline>
              </w:drawing>
            </w:r>
          </w:p>
          <w:p w14:paraId="2F5DC62A" w14:textId="77777777" w:rsidR="00F53311" w:rsidRPr="00F53311" w:rsidRDefault="00F53311" w:rsidP="00F53311">
            <w:pPr>
              <w:spacing w:after="0" w:line="240" w:lineRule="auto"/>
              <w:contextualSpacing/>
              <w:rPr>
                <w:rFonts w:ascii="Arial" w:eastAsia="Calibri" w:hAnsi="Arial" w:cs="Arial"/>
              </w:rPr>
            </w:pPr>
          </w:p>
        </w:tc>
        <w:tc>
          <w:tcPr>
            <w:tcW w:w="0" w:type="auto"/>
            <w:vMerge/>
            <w:vAlign w:val="center"/>
          </w:tcPr>
          <w:p w14:paraId="3B880FF3" w14:textId="77777777" w:rsidR="00F53311" w:rsidRPr="00F53311" w:rsidRDefault="00F53311" w:rsidP="00F53311">
            <w:pPr>
              <w:spacing w:after="0" w:line="240" w:lineRule="auto"/>
              <w:contextualSpacing/>
              <w:rPr>
                <w:rFonts w:ascii="Arial" w:eastAsia="Calibri" w:hAnsi="Arial" w:cs="Arial"/>
              </w:rPr>
            </w:pPr>
          </w:p>
        </w:tc>
      </w:tr>
    </w:tbl>
    <w:p w14:paraId="2EDEA119" w14:textId="77777777" w:rsidR="00F53311" w:rsidRPr="00F53311" w:rsidRDefault="00F53311" w:rsidP="00F53311">
      <w:pPr>
        <w:spacing w:after="0" w:line="240" w:lineRule="auto"/>
        <w:rPr>
          <w:rFonts w:ascii="Arial" w:eastAsia="Times New Roman" w:hAnsi="Arial" w:cs="Arial"/>
        </w:rPr>
      </w:pPr>
    </w:p>
    <w:p w14:paraId="64279044" w14:textId="37DC4BDA" w:rsidR="00F53311" w:rsidRDefault="00F53311" w:rsidP="00F53311"/>
    <w:p w14:paraId="1956CA2E" w14:textId="31971456" w:rsidR="00F53311" w:rsidRDefault="00F53311" w:rsidP="00F53311"/>
    <w:p w14:paraId="0BF407FA" w14:textId="42857BAA" w:rsidR="00F53311" w:rsidRDefault="00F53311" w:rsidP="00F53311"/>
    <w:p w14:paraId="15E609CB" w14:textId="026BE40F" w:rsidR="00F53311" w:rsidRDefault="00F53311" w:rsidP="00F53311"/>
    <w:p w14:paraId="0018C009" w14:textId="176EB494" w:rsidR="00F53311" w:rsidRDefault="00F53311" w:rsidP="00F53311"/>
    <w:p w14:paraId="0D12471E" w14:textId="2A2EDAE2" w:rsidR="00F53311" w:rsidRDefault="00F53311" w:rsidP="00F53311"/>
    <w:p w14:paraId="628FD08A" w14:textId="7155E091" w:rsidR="00F53311" w:rsidRDefault="00F53311" w:rsidP="00F53311"/>
    <w:p w14:paraId="0695115E" w14:textId="04ADC03F" w:rsidR="00F53311" w:rsidRDefault="00F53311" w:rsidP="00F53311"/>
    <w:p w14:paraId="18B4EF88" w14:textId="243007C8" w:rsidR="00F53311" w:rsidRDefault="00F53311" w:rsidP="00F53311"/>
    <w:p w14:paraId="61A74358" w14:textId="0420F052" w:rsidR="00F53311" w:rsidRDefault="00F53311" w:rsidP="00F53311"/>
    <w:p w14:paraId="7EB020AC" w14:textId="47F85B9B" w:rsidR="00F53311" w:rsidRDefault="00F53311" w:rsidP="00F53311"/>
    <w:p w14:paraId="1DDF1D02" w14:textId="70DEEAB6" w:rsidR="00F53311" w:rsidRDefault="00F53311" w:rsidP="00F53311"/>
    <w:p w14:paraId="32DF4E77" w14:textId="3557CFB8" w:rsidR="00F53311" w:rsidRDefault="00F53311" w:rsidP="00F53311"/>
    <w:p w14:paraId="04C8A41C" w14:textId="5DE50C32" w:rsidR="00F53311" w:rsidRDefault="00F53311" w:rsidP="00F53311"/>
    <w:p w14:paraId="3711CF77" w14:textId="689724FC" w:rsidR="00F53311" w:rsidRDefault="00F53311" w:rsidP="00F53311"/>
    <w:p w14:paraId="0972D727" w14:textId="76D6F0BA" w:rsidR="00F53311" w:rsidRDefault="00F53311" w:rsidP="00F53311"/>
    <w:p w14:paraId="2EDDF77F" w14:textId="46B922A9" w:rsidR="00F53311" w:rsidRDefault="00F53311" w:rsidP="00F53311"/>
    <w:p w14:paraId="477395FF" w14:textId="4D4377B7" w:rsidR="00F53311" w:rsidRDefault="00F53311" w:rsidP="00F53311"/>
    <w:p w14:paraId="30549660" w14:textId="5A35DB2E" w:rsidR="00F53311" w:rsidRDefault="00F53311" w:rsidP="00F53311"/>
    <w:p w14:paraId="5F264754" w14:textId="13FBE687" w:rsidR="00F53311" w:rsidRDefault="00F53311" w:rsidP="00F53311"/>
    <w:p w14:paraId="41C7862F" w14:textId="7F6DFC5A" w:rsidR="00F53311" w:rsidRDefault="00F53311" w:rsidP="00F53311"/>
    <w:p w14:paraId="397700E2" w14:textId="31209266" w:rsidR="00F53311" w:rsidRDefault="00F53311" w:rsidP="00F53311"/>
    <w:p w14:paraId="499D17FD" w14:textId="77777777" w:rsidR="00F53311" w:rsidRDefault="00F53311" w:rsidP="00F53311"/>
    <w:p w14:paraId="0DDF5C11" w14:textId="1269761D" w:rsidR="00864EC7" w:rsidRDefault="00864EC7" w:rsidP="00864EC7">
      <w:pPr>
        <w:pStyle w:val="Heading1"/>
        <w:spacing w:line="360" w:lineRule="auto"/>
        <w:rPr>
          <w:rFonts w:ascii="Arial" w:hAnsi="Arial" w:cs="Arial"/>
          <w:b/>
          <w:bCs/>
          <w:color w:val="000000" w:themeColor="text1"/>
          <w:sz w:val="24"/>
          <w:szCs w:val="24"/>
        </w:rPr>
      </w:pPr>
      <w:bookmarkStart w:id="1" w:name="_Toc229774323"/>
      <w:r>
        <w:rPr>
          <w:rFonts w:ascii="Arial" w:hAnsi="Arial" w:cs="Arial"/>
          <w:b/>
          <w:bCs/>
          <w:color w:val="000000" w:themeColor="text1"/>
          <w:sz w:val="24"/>
          <w:szCs w:val="24"/>
        </w:rPr>
        <w:lastRenderedPageBreak/>
        <w:t>Acknowledgements</w:t>
      </w:r>
      <w:bookmarkEnd w:id="1"/>
    </w:p>
    <w:p w14:paraId="11425F1C" w14:textId="25A76B90"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I would like to thank my dissertation supervisor for his guidance, constructive feedback and constant encouragement during the research process. Their academic wisdom and understanding were of great help in developing the direction and quality of this work.</w:t>
      </w:r>
    </w:p>
    <w:p w14:paraId="6371D85A" w14:textId="22D6442A"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I would also like to thank the faculty and academic staff of the Institute of Inner-City Learning, London Campus for their teaching during the MBA programme which has laid the theoretical framework for this dissertation.</w:t>
      </w:r>
    </w:p>
    <w:p w14:paraId="72E4F360" w14:textId="40D5B5F6" w:rsidR="00864EC7" w:rsidRDefault="00864EC7" w:rsidP="00864EC7">
      <w:pPr>
        <w:spacing w:line="360" w:lineRule="auto"/>
        <w:jc w:val="both"/>
        <w:rPr>
          <w:rFonts w:ascii="Arial" w:hAnsi="Arial" w:cs="Arial"/>
          <w:sz w:val="24"/>
          <w:szCs w:val="24"/>
        </w:rPr>
      </w:pPr>
      <w:r w:rsidRPr="00864EC7">
        <w:rPr>
          <w:rFonts w:ascii="Arial" w:hAnsi="Arial" w:cs="Arial"/>
          <w:sz w:val="24"/>
          <w:szCs w:val="24"/>
        </w:rPr>
        <w:t xml:space="preserve">Lastly, I would like to express my gratitude to my family and friends for their constant support and understanding throughout this challenging time of study. They have been an ongoing source of motivation for </w:t>
      </w:r>
      <w:r w:rsidR="0081502A">
        <w:rPr>
          <w:rFonts w:ascii="Arial" w:hAnsi="Arial" w:cs="Arial"/>
          <w:sz w:val="24"/>
          <w:szCs w:val="24"/>
        </w:rPr>
        <w:t>me</w:t>
      </w:r>
      <w:r w:rsidRPr="00864EC7">
        <w:rPr>
          <w:rFonts w:ascii="Arial" w:hAnsi="Arial" w:cs="Arial"/>
          <w:sz w:val="24"/>
          <w:szCs w:val="24"/>
        </w:rPr>
        <w:t>.</w:t>
      </w:r>
    </w:p>
    <w:p w14:paraId="6703D161" w14:textId="188476BE" w:rsidR="00864EC7" w:rsidRDefault="00864EC7" w:rsidP="00864EC7">
      <w:pPr>
        <w:spacing w:line="360" w:lineRule="auto"/>
        <w:jc w:val="both"/>
        <w:rPr>
          <w:rFonts w:ascii="Arial" w:hAnsi="Arial" w:cs="Arial"/>
          <w:sz w:val="24"/>
          <w:szCs w:val="24"/>
        </w:rPr>
      </w:pPr>
    </w:p>
    <w:p w14:paraId="2CCC1E35" w14:textId="2DAFA029" w:rsidR="00864EC7" w:rsidRDefault="00864EC7" w:rsidP="00864EC7">
      <w:pPr>
        <w:spacing w:line="360" w:lineRule="auto"/>
        <w:jc w:val="both"/>
        <w:rPr>
          <w:rFonts w:ascii="Arial" w:hAnsi="Arial" w:cs="Arial"/>
          <w:sz w:val="24"/>
          <w:szCs w:val="24"/>
        </w:rPr>
      </w:pPr>
    </w:p>
    <w:p w14:paraId="45A0149E" w14:textId="2943D56E" w:rsidR="00864EC7" w:rsidRDefault="00864EC7" w:rsidP="00864EC7">
      <w:pPr>
        <w:spacing w:line="360" w:lineRule="auto"/>
        <w:jc w:val="both"/>
        <w:rPr>
          <w:rFonts w:ascii="Arial" w:hAnsi="Arial" w:cs="Arial"/>
          <w:sz w:val="24"/>
          <w:szCs w:val="24"/>
        </w:rPr>
      </w:pPr>
    </w:p>
    <w:p w14:paraId="2A5FA33F" w14:textId="320669E6" w:rsidR="00864EC7" w:rsidRDefault="00864EC7" w:rsidP="00864EC7">
      <w:pPr>
        <w:spacing w:line="360" w:lineRule="auto"/>
        <w:jc w:val="both"/>
        <w:rPr>
          <w:rFonts w:ascii="Arial" w:hAnsi="Arial" w:cs="Arial"/>
          <w:sz w:val="24"/>
          <w:szCs w:val="24"/>
        </w:rPr>
      </w:pPr>
    </w:p>
    <w:p w14:paraId="3B19775E" w14:textId="5B0530AE" w:rsidR="00864EC7" w:rsidRDefault="00864EC7" w:rsidP="00864EC7">
      <w:pPr>
        <w:spacing w:line="360" w:lineRule="auto"/>
        <w:jc w:val="both"/>
        <w:rPr>
          <w:rFonts w:ascii="Arial" w:hAnsi="Arial" w:cs="Arial"/>
          <w:sz w:val="24"/>
          <w:szCs w:val="24"/>
        </w:rPr>
      </w:pPr>
    </w:p>
    <w:p w14:paraId="712973C0" w14:textId="5E4A8635" w:rsidR="00864EC7" w:rsidRDefault="00864EC7" w:rsidP="00864EC7">
      <w:pPr>
        <w:spacing w:line="360" w:lineRule="auto"/>
        <w:jc w:val="both"/>
        <w:rPr>
          <w:rFonts w:ascii="Arial" w:hAnsi="Arial" w:cs="Arial"/>
          <w:sz w:val="24"/>
          <w:szCs w:val="24"/>
        </w:rPr>
      </w:pPr>
    </w:p>
    <w:p w14:paraId="6C0B8A06" w14:textId="11BB022B" w:rsidR="00864EC7" w:rsidRDefault="00864EC7" w:rsidP="00864EC7">
      <w:pPr>
        <w:spacing w:line="360" w:lineRule="auto"/>
        <w:jc w:val="both"/>
        <w:rPr>
          <w:rFonts w:ascii="Arial" w:hAnsi="Arial" w:cs="Arial"/>
          <w:sz w:val="24"/>
          <w:szCs w:val="24"/>
        </w:rPr>
      </w:pPr>
    </w:p>
    <w:p w14:paraId="4E4ED402" w14:textId="412826E5" w:rsidR="00864EC7" w:rsidRDefault="00864EC7" w:rsidP="00864EC7">
      <w:pPr>
        <w:spacing w:line="360" w:lineRule="auto"/>
        <w:jc w:val="both"/>
        <w:rPr>
          <w:rFonts w:ascii="Arial" w:hAnsi="Arial" w:cs="Arial"/>
          <w:sz w:val="24"/>
          <w:szCs w:val="24"/>
        </w:rPr>
      </w:pPr>
    </w:p>
    <w:p w14:paraId="3C68F4AF" w14:textId="217FC115" w:rsidR="00864EC7" w:rsidRDefault="00864EC7" w:rsidP="00864EC7">
      <w:pPr>
        <w:spacing w:line="360" w:lineRule="auto"/>
        <w:jc w:val="both"/>
        <w:rPr>
          <w:rFonts w:ascii="Arial" w:hAnsi="Arial" w:cs="Arial"/>
          <w:sz w:val="24"/>
          <w:szCs w:val="24"/>
        </w:rPr>
      </w:pPr>
    </w:p>
    <w:p w14:paraId="3D1EFE7F" w14:textId="69162CFE" w:rsidR="00864EC7" w:rsidRDefault="00864EC7" w:rsidP="00864EC7">
      <w:pPr>
        <w:spacing w:line="360" w:lineRule="auto"/>
        <w:jc w:val="both"/>
        <w:rPr>
          <w:rFonts w:ascii="Arial" w:hAnsi="Arial" w:cs="Arial"/>
          <w:sz w:val="24"/>
          <w:szCs w:val="24"/>
        </w:rPr>
      </w:pPr>
    </w:p>
    <w:p w14:paraId="12C90AD5" w14:textId="45B138D6" w:rsidR="00864EC7" w:rsidRDefault="00864EC7" w:rsidP="00864EC7">
      <w:pPr>
        <w:spacing w:line="360" w:lineRule="auto"/>
        <w:jc w:val="both"/>
        <w:rPr>
          <w:rFonts w:ascii="Arial" w:hAnsi="Arial" w:cs="Arial"/>
          <w:sz w:val="24"/>
          <w:szCs w:val="24"/>
        </w:rPr>
      </w:pPr>
    </w:p>
    <w:p w14:paraId="3ADE5112" w14:textId="7DD8E585" w:rsidR="00864EC7" w:rsidRDefault="00864EC7" w:rsidP="00864EC7">
      <w:pPr>
        <w:spacing w:line="360" w:lineRule="auto"/>
        <w:jc w:val="both"/>
        <w:rPr>
          <w:rFonts w:ascii="Arial" w:hAnsi="Arial" w:cs="Arial"/>
          <w:sz w:val="24"/>
          <w:szCs w:val="24"/>
        </w:rPr>
      </w:pPr>
    </w:p>
    <w:p w14:paraId="04EA122F" w14:textId="22C85A16" w:rsidR="00864EC7" w:rsidRDefault="00864EC7" w:rsidP="00864EC7">
      <w:pPr>
        <w:spacing w:line="360" w:lineRule="auto"/>
        <w:jc w:val="both"/>
        <w:rPr>
          <w:rFonts w:ascii="Arial" w:hAnsi="Arial" w:cs="Arial"/>
          <w:sz w:val="24"/>
          <w:szCs w:val="24"/>
        </w:rPr>
      </w:pPr>
    </w:p>
    <w:p w14:paraId="7B34BCA1" w14:textId="313566FF" w:rsidR="00864EC7" w:rsidRDefault="00864EC7" w:rsidP="00864EC7">
      <w:pPr>
        <w:spacing w:line="360" w:lineRule="auto"/>
        <w:jc w:val="both"/>
        <w:rPr>
          <w:rFonts w:ascii="Arial" w:hAnsi="Arial" w:cs="Arial"/>
          <w:sz w:val="24"/>
          <w:szCs w:val="24"/>
        </w:rPr>
      </w:pPr>
    </w:p>
    <w:p w14:paraId="68BD1DE0" w14:textId="3A300107" w:rsidR="00864EC7" w:rsidRDefault="00864EC7" w:rsidP="00864EC7">
      <w:pPr>
        <w:spacing w:line="360" w:lineRule="auto"/>
        <w:jc w:val="both"/>
        <w:rPr>
          <w:rFonts w:ascii="Arial" w:hAnsi="Arial" w:cs="Arial"/>
          <w:sz w:val="24"/>
          <w:szCs w:val="24"/>
        </w:rPr>
      </w:pPr>
    </w:p>
    <w:p w14:paraId="43CA20ED" w14:textId="3C5DF788" w:rsidR="00864EC7" w:rsidRDefault="00864EC7" w:rsidP="00864EC7">
      <w:pPr>
        <w:spacing w:line="360" w:lineRule="auto"/>
        <w:jc w:val="both"/>
        <w:rPr>
          <w:rFonts w:ascii="Arial" w:hAnsi="Arial" w:cs="Arial"/>
          <w:sz w:val="24"/>
          <w:szCs w:val="24"/>
        </w:rPr>
      </w:pPr>
    </w:p>
    <w:p w14:paraId="6E16B314" w14:textId="2EBD5226" w:rsidR="00864EC7" w:rsidRDefault="00864EC7" w:rsidP="00864EC7">
      <w:pPr>
        <w:pStyle w:val="Heading1"/>
        <w:spacing w:line="360" w:lineRule="auto"/>
        <w:rPr>
          <w:rFonts w:ascii="Arial" w:hAnsi="Arial" w:cs="Arial"/>
          <w:b/>
          <w:bCs/>
          <w:color w:val="000000" w:themeColor="text1"/>
          <w:sz w:val="24"/>
          <w:szCs w:val="24"/>
        </w:rPr>
      </w:pPr>
      <w:bookmarkStart w:id="2" w:name="_Toc229774324"/>
      <w:r>
        <w:rPr>
          <w:rFonts w:ascii="Arial" w:hAnsi="Arial" w:cs="Arial"/>
          <w:b/>
          <w:bCs/>
          <w:color w:val="000000" w:themeColor="text1"/>
          <w:sz w:val="24"/>
          <w:szCs w:val="24"/>
        </w:rPr>
        <w:lastRenderedPageBreak/>
        <w:t>Abstract</w:t>
      </w:r>
      <w:bookmarkEnd w:id="2"/>
    </w:p>
    <w:p w14:paraId="10952814" w14:textId="4729B661"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In recent years, the retail marketing world has undergone a significant transformation from traditional, contract-based brand ambassador programs to user-generated influencer content (UGIC) in the wake of the rise of social media platforms and the democratisation of content production. This dissertation critically analyses this shift in the light of multinational retail marketing, and its implications for brand equity, consumer engagement and strategic governance. The research questions are focused on four strategic drivers of this shift, the role of UGIC on brand credibility and consumer engagement, the risks and opportunities that multinational retail brands face, and the strategic adaptations needed to meet this changing landscape.</w:t>
      </w:r>
    </w:p>
    <w:p w14:paraId="3FF5FC4F" w14:textId="727CC1EB"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The methodology was qualitative systematic literature review, which included eleven sources, including three seminal theoretical and eight recent peer reviewed articles from 2022 to 2025. Thematic analysis, following the six-phase approach of Braun and Clarke (2006), resulted in four major thematic clusters: strategic drivers of the transition to UGIC; authenticity, source credibility, and consumer involvement; brand equity implications, risks and governance issues; and strategic adaptation and hybrid marketing strategies.</w:t>
      </w:r>
    </w:p>
    <w:p w14:paraId="30055545" w14:textId="5ADD2FB9" w:rsidR="00864EC7" w:rsidRPr="00864EC7" w:rsidRDefault="00864EC7" w:rsidP="00864EC7">
      <w:pPr>
        <w:spacing w:line="360" w:lineRule="auto"/>
        <w:jc w:val="both"/>
        <w:rPr>
          <w:rFonts w:ascii="Arial" w:hAnsi="Arial" w:cs="Arial"/>
          <w:sz w:val="24"/>
          <w:szCs w:val="24"/>
        </w:rPr>
      </w:pPr>
      <w:r w:rsidRPr="00864EC7">
        <w:rPr>
          <w:rFonts w:ascii="Arial" w:hAnsi="Arial" w:cs="Arial"/>
          <w:sz w:val="24"/>
          <w:szCs w:val="24"/>
        </w:rPr>
        <w:t>The findings suggest that the UGIC approach is cost effective, perceived as more authentic and has the potential to engage more at community level than traditional ambassador arrangements. But as the brand message is decentralised, there are governance challenges such as inconsistent messaging, and regulatory non-compliance in multiple jurisdictions. The study finds that the combination of the reach and the narrative control of high-profile ambassador arrangements and the authenticity and scalability of UGIC is the most strategically sound marketing mix for multinational retailers. The research adds to the literature by using an integrated theoretical framework, which integrates Source Credibility Theory, Brand Equity Theory and Relationship Marketing theory, on a dimension that has not yet been explored in the context of global retail marketing in a strategic manner.</w:t>
      </w:r>
    </w:p>
    <w:p w14:paraId="7BEDECE0" w14:textId="266B474C" w:rsidR="00864EC7" w:rsidRPr="00864EC7" w:rsidRDefault="00864EC7" w:rsidP="00864EC7">
      <w:pPr>
        <w:spacing w:line="360" w:lineRule="auto"/>
        <w:jc w:val="both"/>
        <w:rPr>
          <w:rFonts w:ascii="Arial" w:hAnsi="Arial" w:cs="Arial"/>
          <w:sz w:val="24"/>
          <w:szCs w:val="24"/>
        </w:rPr>
      </w:pPr>
      <w:r>
        <w:rPr>
          <w:rFonts w:ascii="Arial" w:hAnsi="Arial" w:cs="Arial"/>
          <w:sz w:val="24"/>
          <w:szCs w:val="24"/>
        </w:rPr>
        <w:t xml:space="preserve">Keywords: </w:t>
      </w:r>
      <w:r w:rsidRPr="00864EC7">
        <w:rPr>
          <w:rFonts w:ascii="Arial" w:hAnsi="Arial" w:cs="Arial"/>
          <w:sz w:val="24"/>
          <w:szCs w:val="24"/>
        </w:rPr>
        <w:t>user-generated influencer content, brand ambassador, brand equity, source credibility, influencer marketing, global retail, hybrid marketing strategy, Relationship Marketing</w:t>
      </w:r>
    </w:p>
    <w:p w14:paraId="5004A07C" w14:textId="77777777" w:rsidR="00753527" w:rsidRDefault="00753527" w:rsidP="00864EC7"/>
    <w:sdt>
      <w:sdtPr>
        <w:rPr>
          <w:rFonts w:asciiTheme="minorHAnsi" w:eastAsiaTheme="minorHAnsi" w:hAnsiTheme="minorHAnsi" w:cstheme="minorBidi"/>
          <w:color w:val="auto"/>
          <w:sz w:val="22"/>
          <w:szCs w:val="22"/>
          <w:lang w:val="en-GB"/>
        </w:rPr>
        <w:id w:val="304439167"/>
        <w:docPartObj>
          <w:docPartGallery w:val="Table of Contents"/>
          <w:docPartUnique/>
        </w:docPartObj>
      </w:sdtPr>
      <w:sdtEndPr>
        <w:rPr>
          <w:b/>
          <w:bCs/>
          <w:noProof/>
        </w:rPr>
      </w:sdtEndPr>
      <w:sdtContent>
        <w:p w14:paraId="109E6B80" w14:textId="04DA7E64" w:rsidR="00003F69" w:rsidRPr="004E37AE" w:rsidRDefault="00003F69" w:rsidP="004E37AE">
          <w:pPr>
            <w:pStyle w:val="TOCHeading"/>
            <w:spacing w:line="360" w:lineRule="auto"/>
            <w:jc w:val="center"/>
            <w:rPr>
              <w:rFonts w:ascii="Arial" w:hAnsi="Arial" w:cs="Arial"/>
              <w:b/>
              <w:bCs/>
              <w:color w:val="000000" w:themeColor="text1"/>
              <w:sz w:val="24"/>
              <w:szCs w:val="24"/>
            </w:rPr>
          </w:pPr>
          <w:r w:rsidRPr="004E37AE">
            <w:rPr>
              <w:rFonts w:ascii="Arial" w:hAnsi="Arial" w:cs="Arial"/>
              <w:b/>
              <w:bCs/>
              <w:color w:val="000000" w:themeColor="text1"/>
              <w:sz w:val="24"/>
              <w:szCs w:val="24"/>
            </w:rPr>
            <w:t>Table of Contents</w:t>
          </w:r>
        </w:p>
        <w:p w14:paraId="12BB755C" w14:textId="1FCDC80A" w:rsidR="00EF61B3" w:rsidRPr="00EF61B3" w:rsidRDefault="00003F69" w:rsidP="00EF61B3">
          <w:pPr>
            <w:pStyle w:val="TOC1"/>
            <w:tabs>
              <w:tab w:val="right" w:leader="dot" w:pos="9016"/>
            </w:tabs>
            <w:spacing w:line="360" w:lineRule="auto"/>
            <w:rPr>
              <w:rFonts w:ascii="Arial" w:eastAsiaTheme="minorEastAsia" w:hAnsi="Arial" w:cs="Arial"/>
              <w:noProof/>
              <w:lang w:val="en-IN" w:eastAsia="en-IN" w:bidi="ml-IN"/>
            </w:rPr>
          </w:pPr>
          <w:r w:rsidRPr="00EF61B3">
            <w:rPr>
              <w:rFonts w:ascii="Arial" w:hAnsi="Arial" w:cs="Arial"/>
            </w:rPr>
            <w:fldChar w:fldCharType="begin"/>
          </w:r>
          <w:r w:rsidRPr="00EF61B3">
            <w:rPr>
              <w:rFonts w:ascii="Arial" w:hAnsi="Arial" w:cs="Arial"/>
            </w:rPr>
            <w:instrText xml:space="preserve"> TOC \o "1-3" \h \z \u </w:instrText>
          </w:r>
          <w:r w:rsidRPr="00EF61B3">
            <w:rPr>
              <w:rFonts w:ascii="Arial" w:hAnsi="Arial" w:cs="Arial"/>
            </w:rPr>
            <w:fldChar w:fldCharType="separate"/>
          </w:r>
          <w:hyperlink w:anchor="_Toc229774322" w:history="1">
            <w:r w:rsidR="00EF61B3" w:rsidRPr="00EF61B3">
              <w:rPr>
                <w:rStyle w:val="Hyperlink"/>
                <w:rFonts w:ascii="Arial" w:hAnsi="Arial" w:cs="Arial"/>
                <w:noProof/>
              </w:rPr>
              <w:t>Declaration</w:t>
            </w:r>
            <w:r w:rsidR="00EF61B3" w:rsidRPr="00EF61B3">
              <w:rPr>
                <w:rFonts w:ascii="Arial" w:hAnsi="Arial" w:cs="Arial"/>
                <w:noProof/>
                <w:webHidden/>
              </w:rPr>
              <w:tab/>
            </w:r>
            <w:r w:rsidR="00EF61B3" w:rsidRPr="00EF61B3">
              <w:rPr>
                <w:rFonts w:ascii="Arial" w:hAnsi="Arial" w:cs="Arial"/>
                <w:noProof/>
                <w:webHidden/>
              </w:rPr>
              <w:fldChar w:fldCharType="begin"/>
            </w:r>
            <w:r w:rsidR="00EF61B3" w:rsidRPr="00EF61B3">
              <w:rPr>
                <w:rFonts w:ascii="Arial" w:hAnsi="Arial" w:cs="Arial"/>
                <w:noProof/>
                <w:webHidden/>
              </w:rPr>
              <w:instrText xml:space="preserve"> PAGEREF _Toc229774322 \h </w:instrText>
            </w:r>
            <w:r w:rsidR="00EF61B3" w:rsidRPr="00EF61B3">
              <w:rPr>
                <w:rFonts w:ascii="Arial" w:hAnsi="Arial" w:cs="Arial"/>
                <w:noProof/>
                <w:webHidden/>
              </w:rPr>
            </w:r>
            <w:r w:rsidR="00EF61B3" w:rsidRPr="00EF61B3">
              <w:rPr>
                <w:rFonts w:ascii="Arial" w:hAnsi="Arial" w:cs="Arial"/>
                <w:noProof/>
                <w:webHidden/>
              </w:rPr>
              <w:fldChar w:fldCharType="separate"/>
            </w:r>
            <w:r w:rsidR="00914EF0">
              <w:rPr>
                <w:rFonts w:ascii="Arial" w:hAnsi="Arial" w:cs="Arial"/>
                <w:noProof/>
                <w:webHidden/>
              </w:rPr>
              <w:t>2</w:t>
            </w:r>
            <w:r w:rsidR="00EF61B3" w:rsidRPr="00EF61B3">
              <w:rPr>
                <w:rFonts w:ascii="Arial" w:hAnsi="Arial" w:cs="Arial"/>
                <w:noProof/>
                <w:webHidden/>
              </w:rPr>
              <w:fldChar w:fldCharType="end"/>
            </w:r>
          </w:hyperlink>
        </w:p>
        <w:p w14:paraId="3C91F4D5" w14:textId="2B7DCAE2"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23" w:history="1">
            <w:r w:rsidRPr="00EF61B3">
              <w:rPr>
                <w:rStyle w:val="Hyperlink"/>
                <w:rFonts w:ascii="Arial" w:hAnsi="Arial" w:cs="Arial"/>
                <w:noProof/>
              </w:rPr>
              <w:t>Acknowledgements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w:t>
            </w:r>
            <w:r w:rsidRPr="00EF61B3">
              <w:rPr>
                <w:rFonts w:ascii="Arial" w:hAnsi="Arial" w:cs="Arial"/>
                <w:noProof/>
                <w:webHidden/>
              </w:rPr>
              <w:fldChar w:fldCharType="end"/>
            </w:r>
          </w:hyperlink>
        </w:p>
        <w:p w14:paraId="466A61E0" w14:textId="230B31CE"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24" w:history="1">
            <w:r w:rsidRPr="00EF61B3">
              <w:rPr>
                <w:rStyle w:val="Hyperlink"/>
                <w:rFonts w:ascii="Arial" w:hAnsi="Arial" w:cs="Arial"/>
                <w:noProof/>
              </w:rPr>
              <w:t>Abstract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w:t>
            </w:r>
            <w:r w:rsidRPr="00EF61B3">
              <w:rPr>
                <w:rFonts w:ascii="Arial" w:hAnsi="Arial" w:cs="Arial"/>
                <w:noProof/>
                <w:webHidden/>
              </w:rPr>
              <w:fldChar w:fldCharType="end"/>
            </w:r>
          </w:hyperlink>
        </w:p>
        <w:p w14:paraId="7A39A7B0" w14:textId="49192004"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25" w:history="1">
            <w:r w:rsidRPr="00EF61B3">
              <w:rPr>
                <w:rStyle w:val="Hyperlink"/>
                <w:rFonts w:ascii="Arial" w:hAnsi="Arial" w:cs="Arial"/>
                <w:noProof/>
              </w:rPr>
              <w:t>List of Abbreviations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8</w:t>
            </w:r>
            <w:r w:rsidRPr="00EF61B3">
              <w:rPr>
                <w:rFonts w:ascii="Arial" w:hAnsi="Arial" w:cs="Arial"/>
                <w:noProof/>
                <w:webHidden/>
              </w:rPr>
              <w:fldChar w:fldCharType="end"/>
            </w:r>
          </w:hyperlink>
        </w:p>
        <w:p w14:paraId="10E2F890" w14:textId="40F963D0"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26" w:history="1">
            <w:r w:rsidRPr="00EF61B3">
              <w:rPr>
                <w:rStyle w:val="Hyperlink"/>
                <w:rFonts w:ascii="Arial" w:hAnsi="Arial" w:cs="Arial"/>
                <w:noProof/>
              </w:rPr>
              <w:t>Glossary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9</w:t>
            </w:r>
            <w:r w:rsidRPr="00EF61B3">
              <w:rPr>
                <w:rFonts w:ascii="Arial" w:hAnsi="Arial" w:cs="Arial"/>
                <w:noProof/>
                <w:webHidden/>
              </w:rPr>
              <w:fldChar w:fldCharType="end"/>
            </w:r>
          </w:hyperlink>
        </w:p>
        <w:p w14:paraId="6E6655E5" w14:textId="01731075"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27" w:history="1">
            <w:r w:rsidRPr="00EF61B3">
              <w:rPr>
                <w:rStyle w:val="Hyperlink"/>
                <w:rFonts w:ascii="Arial" w:hAnsi="Arial" w:cs="Arial"/>
                <w:noProof/>
              </w:rPr>
              <w:t>Chapter 1: Introduction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11</w:t>
            </w:r>
            <w:r w:rsidRPr="00EF61B3">
              <w:rPr>
                <w:rFonts w:ascii="Arial" w:hAnsi="Arial" w:cs="Arial"/>
                <w:noProof/>
                <w:webHidden/>
              </w:rPr>
              <w:fldChar w:fldCharType="end"/>
            </w:r>
          </w:hyperlink>
        </w:p>
        <w:p w14:paraId="66FA2B20" w14:textId="76D57C57"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28" w:history="1">
            <w:r w:rsidRPr="00EF61B3">
              <w:rPr>
                <w:rStyle w:val="Hyperlink"/>
                <w:rFonts w:ascii="Arial" w:hAnsi="Arial" w:cs="Arial"/>
                <w:noProof/>
              </w:rPr>
              <w:t>1.1 Background and Context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11</w:t>
            </w:r>
            <w:r w:rsidRPr="00EF61B3">
              <w:rPr>
                <w:rFonts w:ascii="Arial" w:hAnsi="Arial" w:cs="Arial"/>
                <w:noProof/>
                <w:webHidden/>
              </w:rPr>
              <w:fldChar w:fldCharType="end"/>
            </w:r>
          </w:hyperlink>
        </w:p>
        <w:p w14:paraId="26554B0F" w14:textId="3B36452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29" w:history="1">
            <w:r w:rsidRPr="00EF61B3">
              <w:rPr>
                <w:rStyle w:val="Hyperlink"/>
                <w:rFonts w:ascii="Arial" w:hAnsi="Arial" w:cs="Arial"/>
                <w:noProof/>
              </w:rPr>
              <w:t>1.2 Research Problem</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_Toc229774329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11</w:t>
            </w:r>
            <w:r w:rsidRPr="00EF61B3">
              <w:rPr>
                <w:rFonts w:ascii="Arial" w:hAnsi="Arial" w:cs="Arial"/>
                <w:noProof/>
                <w:webHidden/>
              </w:rPr>
              <w:fldChar w:fldCharType="end"/>
            </w:r>
          </w:hyperlink>
        </w:p>
        <w:p w14:paraId="312D4F86" w14:textId="45AABD8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0" w:history="1">
            <w:r w:rsidRPr="00EF61B3">
              <w:rPr>
                <w:rStyle w:val="Hyperlink"/>
                <w:rFonts w:ascii="Arial" w:hAnsi="Arial" w:cs="Arial"/>
                <w:noProof/>
              </w:rPr>
              <w:t>1.3 Research Aim and Objectives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12</w:t>
            </w:r>
            <w:r w:rsidRPr="00EF61B3">
              <w:rPr>
                <w:rFonts w:ascii="Arial" w:hAnsi="Arial" w:cs="Arial"/>
                <w:noProof/>
                <w:webHidden/>
              </w:rPr>
              <w:fldChar w:fldCharType="end"/>
            </w:r>
          </w:hyperlink>
        </w:p>
        <w:p w14:paraId="32508FB0" w14:textId="261AF23C"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1" w:history="1">
            <w:r w:rsidRPr="00EF61B3">
              <w:rPr>
                <w:rStyle w:val="Hyperlink"/>
                <w:rFonts w:ascii="Arial" w:hAnsi="Arial" w:cs="Arial"/>
                <w:noProof/>
              </w:rPr>
              <w:t>1.4 Research Questions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13</w:t>
            </w:r>
            <w:r w:rsidRPr="00EF61B3">
              <w:rPr>
                <w:rFonts w:ascii="Arial" w:hAnsi="Arial" w:cs="Arial"/>
                <w:noProof/>
                <w:webHidden/>
              </w:rPr>
              <w:fldChar w:fldCharType="end"/>
            </w:r>
          </w:hyperlink>
        </w:p>
        <w:p w14:paraId="57A51BC4" w14:textId="0DADDD71"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2" w:history="1">
            <w:r w:rsidRPr="00EF61B3">
              <w:rPr>
                <w:rStyle w:val="Hyperlink"/>
                <w:rFonts w:ascii="Arial" w:hAnsi="Arial" w:cs="Arial"/>
                <w:noProof/>
              </w:rPr>
              <w:t>1.5 Significance and Rationale of the Study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13</w:t>
            </w:r>
            <w:r w:rsidRPr="00EF61B3">
              <w:rPr>
                <w:rFonts w:ascii="Arial" w:hAnsi="Arial" w:cs="Arial"/>
                <w:noProof/>
                <w:webHidden/>
              </w:rPr>
              <w:fldChar w:fldCharType="end"/>
            </w:r>
          </w:hyperlink>
        </w:p>
        <w:p w14:paraId="74271D52" w14:textId="593A5917"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3" w:history="1">
            <w:r w:rsidRPr="00EF61B3">
              <w:rPr>
                <w:rStyle w:val="Hyperlink"/>
                <w:rFonts w:ascii="Arial" w:hAnsi="Arial" w:cs="Arial"/>
                <w:noProof/>
              </w:rPr>
              <w:t>1.6 Theoretical Framework</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14</w:t>
            </w:r>
            <w:r w:rsidRPr="00EF61B3">
              <w:rPr>
                <w:rFonts w:ascii="Arial" w:hAnsi="Arial" w:cs="Arial"/>
                <w:noProof/>
                <w:webHidden/>
              </w:rPr>
              <w:fldChar w:fldCharType="end"/>
            </w:r>
          </w:hyperlink>
        </w:p>
        <w:p w14:paraId="1B9CBAF1" w14:textId="67C96A6F"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4" w:history="1">
            <w:r w:rsidRPr="00EF61B3">
              <w:rPr>
                <w:rStyle w:val="Hyperlink"/>
                <w:rFonts w:ascii="Arial" w:hAnsi="Arial" w:cs="Arial"/>
                <w:noProof/>
              </w:rPr>
              <w:t>1.7 Overview of Dissertation Structure</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15</w:t>
            </w:r>
            <w:r w:rsidRPr="00EF61B3">
              <w:rPr>
                <w:rFonts w:ascii="Arial" w:hAnsi="Arial" w:cs="Arial"/>
                <w:noProof/>
                <w:webHidden/>
              </w:rPr>
              <w:fldChar w:fldCharType="end"/>
            </w:r>
          </w:hyperlink>
        </w:p>
        <w:p w14:paraId="66BC759B" w14:textId="1DF8C784"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35" w:history="1">
            <w:r w:rsidRPr="00EF61B3">
              <w:rPr>
                <w:rStyle w:val="Hyperlink"/>
                <w:rFonts w:ascii="Arial" w:hAnsi="Arial" w:cs="Arial"/>
                <w:noProof/>
              </w:rPr>
              <w:t>Chapter 2: Literature Review</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16</w:t>
            </w:r>
            <w:r w:rsidRPr="00EF61B3">
              <w:rPr>
                <w:rFonts w:ascii="Arial" w:hAnsi="Arial" w:cs="Arial"/>
                <w:noProof/>
                <w:webHidden/>
              </w:rPr>
              <w:fldChar w:fldCharType="end"/>
            </w:r>
          </w:hyperlink>
        </w:p>
        <w:p w14:paraId="66F8B524" w14:textId="75A76D67"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6" w:history="1">
            <w:r w:rsidRPr="00EF61B3">
              <w:rPr>
                <w:rStyle w:val="Hyperlink"/>
                <w:rFonts w:ascii="Arial" w:hAnsi="Arial" w:cs="Arial"/>
                <w:noProof/>
              </w:rPr>
              <w:t>2.1 Introduction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16</w:t>
            </w:r>
            <w:r w:rsidRPr="00EF61B3">
              <w:rPr>
                <w:rFonts w:ascii="Arial" w:hAnsi="Arial" w:cs="Arial"/>
                <w:noProof/>
                <w:webHidden/>
              </w:rPr>
              <w:fldChar w:fldCharType="end"/>
            </w:r>
          </w:hyperlink>
        </w:p>
        <w:p w14:paraId="6E4A0D40" w14:textId="7CDD8220"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7" w:history="1">
            <w:r w:rsidRPr="00EF61B3">
              <w:rPr>
                <w:rStyle w:val="Hyperlink"/>
                <w:rFonts w:ascii="Arial" w:hAnsi="Arial" w:cs="Arial"/>
                <w:noProof/>
              </w:rPr>
              <w:t>2.2 Traditional Brand Ambassador Models in Global Retail Marketing</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16</w:t>
            </w:r>
            <w:r w:rsidRPr="00EF61B3">
              <w:rPr>
                <w:rFonts w:ascii="Arial" w:hAnsi="Arial" w:cs="Arial"/>
                <w:noProof/>
                <w:webHidden/>
              </w:rPr>
              <w:fldChar w:fldCharType="end"/>
            </w:r>
          </w:hyperlink>
        </w:p>
        <w:p w14:paraId="29EB5506" w14:textId="24099A97"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8" w:history="1">
            <w:r w:rsidRPr="00EF61B3">
              <w:rPr>
                <w:rStyle w:val="Hyperlink"/>
                <w:rFonts w:ascii="Arial" w:hAnsi="Arial" w:cs="Arial"/>
                <w:noProof/>
              </w:rPr>
              <w:t>2.3 The Emergence and Growth of User-Generated Influencer Content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19</w:t>
            </w:r>
            <w:r w:rsidRPr="00EF61B3">
              <w:rPr>
                <w:rFonts w:ascii="Arial" w:hAnsi="Arial" w:cs="Arial"/>
                <w:noProof/>
                <w:webHidden/>
              </w:rPr>
              <w:fldChar w:fldCharType="end"/>
            </w:r>
          </w:hyperlink>
        </w:p>
        <w:p w14:paraId="44299BEC" w14:textId="02F85F20"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39" w:history="1">
            <w:r w:rsidRPr="00EF61B3">
              <w:rPr>
                <w:rStyle w:val="Hyperlink"/>
                <w:rFonts w:ascii="Arial" w:hAnsi="Arial" w:cs="Arial"/>
                <w:noProof/>
              </w:rPr>
              <w:t>2.4 Comparative Strategic Analysis: Advantages and Limitations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_Toc229774339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22</w:t>
            </w:r>
            <w:r w:rsidRPr="00EF61B3">
              <w:rPr>
                <w:rFonts w:ascii="Arial" w:hAnsi="Arial" w:cs="Arial"/>
                <w:noProof/>
                <w:webHidden/>
              </w:rPr>
              <w:fldChar w:fldCharType="end"/>
            </w:r>
          </w:hyperlink>
        </w:p>
        <w:p w14:paraId="0B4F9749" w14:textId="1D34D394"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0" w:history="1">
            <w:r w:rsidRPr="00EF61B3">
              <w:rPr>
                <w:rStyle w:val="Hyperlink"/>
                <w:rFonts w:ascii="Arial" w:hAnsi="Arial" w:cs="Arial"/>
                <w:noProof/>
              </w:rPr>
              <w:t>2.5 Impact on Brand Equity and Consumer Trust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24</w:t>
            </w:r>
            <w:r w:rsidRPr="00EF61B3">
              <w:rPr>
                <w:rFonts w:ascii="Arial" w:hAnsi="Arial" w:cs="Arial"/>
                <w:noProof/>
                <w:webHidden/>
              </w:rPr>
              <w:fldChar w:fldCharType="end"/>
            </w:r>
          </w:hyperlink>
        </w:p>
        <w:p w14:paraId="076B8A3D" w14:textId="03061A8E"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1" w:history="1">
            <w:r w:rsidRPr="00EF61B3">
              <w:rPr>
                <w:rStyle w:val="Hyperlink"/>
                <w:rFonts w:ascii="Arial" w:hAnsi="Arial" w:cs="Arial"/>
                <w:noProof/>
              </w:rPr>
              <w:t>2.6 Strategic Implications for Multinational Retail Firms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26</w:t>
            </w:r>
            <w:r w:rsidRPr="00EF61B3">
              <w:rPr>
                <w:rFonts w:ascii="Arial" w:hAnsi="Arial" w:cs="Arial"/>
                <w:noProof/>
                <w:webHidden/>
              </w:rPr>
              <w:fldChar w:fldCharType="end"/>
            </w:r>
          </w:hyperlink>
        </w:p>
        <w:p w14:paraId="43A2FAE9" w14:textId="4AF0361B"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2" w:history="1">
            <w:r w:rsidRPr="00EF61B3">
              <w:rPr>
                <w:rStyle w:val="Hyperlink"/>
                <w:rFonts w:ascii="Arial" w:hAnsi="Arial" w:cs="Arial"/>
                <w:noProof/>
              </w:rPr>
              <w:t>2.7 Research Gap</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29</w:t>
            </w:r>
            <w:r w:rsidRPr="00EF61B3">
              <w:rPr>
                <w:rFonts w:ascii="Arial" w:hAnsi="Arial" w:cs="Arial"/>
                <w:noProof/>
                <w:webHidden/>
              </w:rPr>
              <w:fldChar w:fldCharType="end"/>
            </w:r>
          </w:hyperlink>
        </w:p>
        <w:p w14:paraId="5E8091B0" w14:textId="68DF3E92"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3" w:history="1">
            <w:r w:rsidRPr="00EF61B3">
              <w:rPr>
                <w:rStyle w:val="Hyperlink"/>
                <w:rFonts w:ascii="Arial" w:hAnsi="Arial" w:cs="Arial"/>
                <w:noProof/>
              </w:rPr>
              <w:t>2.8 Conceptual Framework</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31</w:t>
            </w:r>
            <w:r w:rsidRPr="00EF61B3">
              <w:rPr>
                <w:rFonts w:ascii="Arial" w:hAnsi="Arial" w:cs="Arial"/>
                <w:noProof/>
                <w:webHidden/>
              </w:rPr>
              <w:fldChar w:fldCharType="end"/>
            </w:r>
          </w:hyperlink>
        </w:p>
        <w:p w14:paraId="0561ED00" w14:textId="0DCE0BDB"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4" w:history="1">
            <w:r w:rsidRPr="00EF61B3">
              <w:rPr>
                <w:rStyle w:val="Hyperlink"/>
                <w:rFonts w:ascii="Arial" w:hAnsi="Arial" w:cs="Arial"/>
                <w:noProof/>
              </w:rPr>
              <w:t>2.9 Chapter Summary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33</w:t>
            </w:r>
            <w:r w:rsidRPr="00EF61B3">
              <w:rPr>
                <w:rFonts w:ascii="Arial" w:hAnsi="Arial" w:cs="Arial"/>
                <w:noProof/>
                <w:webHidden/>
              </w:rPr>
              <w:fldChar w:fldCharType="end"/>
            </w:r>
          </w:hyperlink>
        </w:p>
        <w:p w14:paraId="18CDC73C" w14:textId="65666882"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45" w:history="1">
            <w:r w:rsidRPr="00EF61B3">
              <w:rPr>
                <w:rStyle w:val="Hyperlink"/>
                <w:rFonts w:ascii="Arial" w:hAnsi="Arial" w:cs="Arial"/>
                <w:noProof/>
              </w:rPr>
              <w:t>Chapter 3: Research Methodology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35</w:t>
            </w:r>
            <w:r w:rsidRPr="00EF61B3">
              <w:rPr>
                <w:rFonts w:ascii="Arial" w:hAnsi="Arial" w:cs="Arial"/>
                <w:noProof/>
                <w:webHidden/>
              </w:rPr>
              <w:fldChar w:fldCharType="end"/>
            </w:r>
          </w:hyperlink>
        </w:p>
        <w:p w14:paraId="2960FF0C" w14:textId="17FFA8C6"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6" w:history="1">
            <w:r w:rsidRPr="00EF61B3">
              <w:rPr>
                <w:rStyle w:val="Hyperlink"/>
                <w:rFonts w:ascii="Arial" w:hAnsi="Arial" w:cs="Arial"/>
                <w:noProof/>
              </w:rPr>
              <w:t>3.1 Introduction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35</w:t>
            </w:r>
            <w:r w:rsidRPr="00EF61B3">
              <w:rPr>
                <w:rFonts w:ascii="Arial" w:hAnsi="Arial" w:cs="Arial"/>
                <w:noProof/>
                <w:webHidden/>
              </w:rPr>
              <w:fldChar w:fldCharType="end"/>
            </w:r>
          </w:hyperlink>
        </w:p>
        <w:p w14:paraId="09253652" w14:textId="34D07643"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7" w:history="1">
            <w:r w:rsidRPr="00EF61B3">
              <w:rPr>
                <w:rStyle w:val="Hyperlink"/>
                <w:rFonts w:ascii="Arial" w:hAnsi="Arial" w:cs="Arial"/>
                <w:noProof/>
              </w:rPr>
              <w:t>3.2 Research Philosophy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35</w:t>
            </w:r>
            <w:r w:rsidRPr="00EF61B3">
              <w:rPr>
                <w:rFonts w:ascii="Arial" w:hAnsi="Arial" w:cs="Arial"/>
                <w:noProof/>
                <w:webHidden/>
              </w:rPr>
              <w:fldChar w:fldCharType="end"/>
            </w:r>
          </w:hyperlink>
        </w:p>
        <w:p w14:paraId="73A19BC9" w14:textId="3E8ECCD6"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8" w:history="1">
            <w:r w:rsidRPr="00EF61B3">
              <w:rPr>
                <w:rStyle w:val="Hyperlink"/>
                <w:rFonts w:ascii="Arial" w:hAnsi="Arial" w:cs="Arial"/>
                <w:noProof/>
              </w:rPr>
              <w:t>3.3 Research Approach</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36</w:t>
            </w:r>
            <w:r w:rsidRPr="00EF61B3">
              <w:rPr>
                <w:rFonts w:ascii="Arial" w:hAnsi="Arial" w:cs="Arial"/>
                <w:noProof/>
                <w:webHidden/>
              </w:rPr>
              <w:fldChar w:fldCharType="end"/>
            </w:r>
          </w:hyperlink>
        </w:p>
        <w:p w14:paraId="19E27079" w14:textId="61E309E3"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49" w:history="1">
            <w:r w:rsidRPr="00EF61B3">
              <w:rPr>
                <w:rStyle w:val="Hyperlink"/>
                <w:rFonts w:ascii="Arial" w:hAnsi="Arial" w:cs="Arial"/>
                <w:noProof/>
              </w:rPr>
              <w:t>3.4 Research Strategy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_Toc229774349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36</w:t>
            </w:r>
            <w:r w:rsidRPr="00EF61B3">
              <w:rPr>
                <w:rFonts w:ascii="Arial" w:hAnsi="Arial" w:cs="Arial"/>
                <w:noProof/>
                <w:webHidden/>
              </w:rPr>
              <w:fldChar w:fldCharType="end"/>
            </w:r>
          </w:hyperlink>
        </w:p>
        <w:p w14:paraId="1F018E94" w14:textId="24BD022D"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0" w:history="1">
            <w:r w:rsidRPr="00EF61B3">
              <w:rPr>
                <w:rStyle w:val="Hyperlink"/>
                <w:rFonts w:ascii="Arial" w:hAnsi="Arial" w:cs="Arial"/>
                <w:noProof/>
              </w:rPr>
              <w:t>3.5 Sampling Strategy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36</w:t>
            </w:r>
            <w:r w:rsidRPr="00EF61B3">
              <w:rPr>
                <w:rFonts w:ascii="Arial" w:hAnsi="Arial" w:cs="Arial"/>
                <w:noProof/>
                <w:webHidden/>
              </w:rPr>
              <w:fldChar w:fldCharType="end"/>
            </w:r>
          </w:hyperlink>
        </w:p>
        <w:p w14:paraId="19C77539" w14:textId="376CB219"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1" w:history="1">
            <w:r w:rsidRPr="00EF61B3">
              <w:rPr>
                <w:rStyle w:val="Hyperlink"/>
                <w:rFonts w:ascii="Arial" w:hAnsi="Arial" w:cs="Arial"/>
                <w:noProof/>
              </w:rPr>
              <w:t>3.6 Inclusion and Exclusion Criteria</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36</w:t>
            </w:r>
            <w:r w:rsidRPr="00EF61B3">
              <w:rPr>
                <w:rFonts w:ascii="Arial" w:hAnsi="Arial" w:cs="Arial"/>
                <w:noProof/>
                <w:webHidden/>
              </w:rPr>
              <w:fldChar w:fldCharType="end"/>
            </w:r>
          </w:hyperlink>
        </w:p>
        <w:p w14:paraId="13E8BAB1" w14:textId="76DFD38C"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2" w:history="1">
            <w:r w:rsidRPr="00EF61B3">
              <w:rPr>
                <w:rStyle w:val="Hyperlink"/>
                <w:rFonts w:ascii="Arial" w:hAnsi="Arial" w:cs="Arial"/>
                <w:noProof/>
              </w:rPr>
              <w:t>3.7 Search Strategy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37</w:t>
            </w:r>
            <w:r w:rsidRPr="00EF61B3">
              <w:rPr>
                <w:rFonts w:ascii="Arial" w:hAnsi="Arial" w:cs="Arial"/>
                <w:noProof/>
                <w:webHidden/>
              </w:rPr>
              <w:fldChar w:fldCharType="end"/>
            </w:r>
          </w:hyperlink>
        </w:p>
        <w:p w14:paraId="624EC781" w14:textId="012A88A3"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3" w:history="1">
            <w:r w:rsidRPr="00EF61B3">
              <w:rPr>
                <w:rStyle w:val="Hyperlink"/>
                <w:rFonts w:ascii="Arial" w:hAnsi="Arial" w:cs="Arial"/>
                <w:noProof/>
              </w:rPr>
              <w:t>3.8 Quality Appraisal</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38</w:t>
            </w:r>
            <w:r w:rsidRPr="00EF61B3">
              <w:rPr>
                <w:rFonts w:ascii="Arial" w:hAnsi="Arial" w:cs="Arial"/>
                <w:noProof/>
                <w:webHidden/>
              </w:rPr>
              <w:fldChar w:fldCharType="end"/>
            </w:r>
          </w:hyperlink>
        </w:p>
        <w:p w14:paraId="03488A57" w14:textId="446FD19E"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4" w:history="1">
            <w:r w:rsidRPr="00EF61B3">
              <w:rPr>
                <w:rStyle w:val="Hyperlink"/>
                <w:rFonts w:ascii="Arial" w:hAnsi="Arial" w:cs="Arial"/>
                <w:noProof/>
              </w:rPr>
              <w:t>3.9 Data Extraction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39</w:t>
            </w:r>
            <w:r w:rsidRPr="00EF61B3">
              <w:rPr>
                <w:rFonts w:ascii="Arial" w:hAnsi="Arial" w:cs="Arial"/>
                <w:noProof/>
                <w:webHidden/>
              </w:rPr>
              <w:fldChar w:fldCharType="end"/>
            </w:r>
          </w:hyperlink>
        </w:p>
        <w:p w14:paraId="10EFE35B" w14:textId="1D93C1C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5" w:history="1">
            <w:r w:rsidRPr="00EF61B3">
              <w:rPr>
                <w:rStyle w:val="Hyperlink"/>
                <w:rFonts w:ascii="Arial" w:hAnsi="Arial" w:cs="Arial"/>
                <w:noProof/>
              </w:rPr>
              <w:t>3.10 Data Analysis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39</w:t>
            </w:r>
            <w:r w:rsidRPr="00EF61B3">
              <w:rPr>
                <w:rFonts w:ascii="Arial" w:hAnsi="Arial" w:cs="Arial"/>
                <w:noProof/>
                <w:webHidden/>
              </w:rPr>
              <w:fldChar w:fldCharType="end"/>
            </w:r>
          </w:hyperlink>
        </w:p>
        <w:p w14:paraId="5DF1D2EE" w14:textId="1CA56E82"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6" w:history="1">
            <w:r w:rsidRPr="00EF61B3">
              <w:rPr>
                <w:rStyle w:val="Hyperlink"/>
                <w:rFonts w:ascii="Arial" w:hAnsi="Arial" w:cs="Arial"/>
                <w:noProof/>
              </w:rPr>
              <w:t>3.11 Ethical Considerations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39</w:t>
            </w:r>
            <w:r w:rsidRPr="00EF61B3">
              <w:rPr>
                <w:rFonts w:ascii="Arial" w:hAnsi="Arial" w:cs="Arial"/>
                <w:noProof/>
                <w:webHidden/>
              </w:rPr>
              <w:fldChar w:fldCharType="end"/>
            </w:r>
          </w:hyperlink>
        </w:p>
        <w:p w14:paraId="2135E023" w14:textId="71FBFA13"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7" w:history="1">
            <w:r w:rsidRPr="00EF61B3">
              <w:rPr>
                <w:rStyle w:val="Hyperlink"/>
                <w:rFonts w:ascii="Arial" w:hAnsi="Arial" w:cs="Arial"/>
                <w:noProof/>
              </w:rPr>
              <w:t>3.12 Limitations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39</w:t>
            </w:r>
            <w:r w:rsidRPr="00EF61B3">
              <w:rPr>
                <w:rFonts w:ascii="Arial" w:hAnsi="Arial" w:cs="Arial"/>
                <w:noProof/>
                <w:webHidden/>
              </w:rPr>
              <w:fldChar w:fldCharType="end"/>
            </w:r>
          </w:hyperlink>
        </w:p>
        <w:p w14:paraId="2AE452DE" w14:textId="52392D2E"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58" w:history="1">
            <w:r w:rsidRPr="00EF61B3">
              <w:rPr>
                <w:rStyle w:val="Hyperlink"/>
                <w:rFonts w:ascii="Arial" w:hAnsi="Arial" w:cs="Arial"/>
                <w:noProof/>
              </w:rPr>
              <w:t>3.13 Chapter Summary</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40</w:t>
            </w:r>
            <w:r w:rsidRPr="00EF61B3">
              <w:rPr>
                <w:rFonts w:ascii="Arial" w:hAnsi="Arial" w:cs="Arial"/>
                <w:noProof/>
                <w:webHidden/>
              </w:rPr>
              <w:fldChar w:fldCharType="end"/>
            </w:r>
          </w:hyperlink>
        </w:p>
        <w:p w14:paraId="144BD250" w14:textId="3AD848C7"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59" w:history="1">
            <w:r w:rsidRPr="00EF61B3">
              <w:rPr>
                <w:rStyle w:val="Hyperlink"/>
                <w:rFonts w:ascii="Arial" w:eastAsiaTheme="majorEastAsia" w:hAnsi="Arial" w:cs="Arial"/>
                <w:noProof/>
              </w:rPr>
              <w:t>Chapter 4: Data Analysis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_Toc229774359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41</w:t>
            </w:r>
            <w:r w:rsidRPr="00EF61B3">
              <w:rPr>
                <w:rFonts w:ascii="Arial" w:hAnsi="Arial" w:cs="Arial"/>
                <w:noProof/>
                <w:webHidden/>
              </w:rPr>
              <w:fldChar w:fldCharType="end"/>
            </w:r>
          </w:hyperlink>
        </w:p>
        <w:p w14:paraId="3BCFFB5D" w14:textId="68FEA36B"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0" w:history="1">
            <w:r w:rsidRPr="00EF61B3">
              <w:rPr>
                <w:rStyle w:val="Hyperlink"/>
                <w:rFonts w:ascii="Arial" w:eastAsiaTheme="majorEastAsia" w:hAnsi="Arial" w:cs="Arial"/>
                <w:noProof/>
              </w:rPr>
              <w:t>4.1 Introduction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41</w:t>
            </w:r>
            <w:r w:rsidRPr="00EF61B3">
              <w:rPr>
                <w:rFonts w:ascii="Arial" w:hAnsi="Arial" w:cs="Arial"/>
                <w:noProof/>
                <w:webHidden/>
              </w:rPr>
              <w:fldChar w:fldCharType="end"/>
            </w:r>
          </w:hyperlink>
        </w:p>
        <w:p w14:paraId="34EAF062" w14:textId="4A7FA0E4"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1" w:history="1">
            <w:r w:rsidRPr="00EF61B3">
              <w:rPr>
                <w:rStyle w:val="Hyperlink"/>
                <w:rFonts w:ascii="Arial" w:eastAsiaTheme="majorEastAsia" w:hAnsi="Arial" w:cs="Arial"/>
                <w:noProof/>
              </w:rPr>
              <w:t>4.2 Theme 1: Strategic Drivers of the Shift from Traditional Brand Ambassadors to UGIC</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41</w:t>
            </w:r>
            <w:r w:rsidRPr="00EF61B3">
              <w:rPr>
                <w:rFonts w:ascii="Arial" w:hAnsi="Arial" w:cs="Arial"/>
                <w:noProof/>
                <w:webHidden/>
              </w:rPr>
              <w:fldChar w:fldCharType="end"/>
            </w:r>
          </w:hyperlink>
        </w:p>
        <w:p w14:paraId="3414B206" w14:textId="0DC2BED0"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2" w:history="1">
            <w:r w:rsidRPr="00EF61B3">
              <w:rPr>
                <w:rStyle w:val="Hyperlink"/>
                <w:rFonts w:ascii="Arial" w:eastAsiaTheme="majorEastAsia" w:hAnsi="Arial" w:cs="Arial"/>
                <w:noProof/>
              </w:rPr>
              <w:t>4.3 Theme 2: Authenticity, Source Credibility, and Consumer Engagement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42</w:t>
            </w:r>
            <w:r w:rsidRPr="00EF61B3">
              <w:rPr>
                <w:rFonts w:ascii="Arial" w:hAnsi="Arial" w:cs="Arial"/>
                <w:noProof/>
                <w:webHidden/>
              </w:rPr>
              <w:fldChar w:fldCharType="end"/>
            </w:r>
          </w:hyperlink>
        </w:p>
        <w:p w14:paraId="18FE6287" w14:textId="545975E3"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3" w:history="1">
            <w:r w:rsidRPr="00EF61B3">
              <w:rPr>
                <w:rStyle w:val="Hyperlink"/>
                <w:rFonts w:ascii="Arial" w:eastAsiaTheme="majorEastAsia" w:hAnsi="Arial" w:cs="Arial"/>
                <w:noProof/>
              </w:rPr>
              <w:t>4.4 Theme 3: Brand Equity Implications, Risks, and Governance Challenges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44</w:t>
            </w:r>
            <w:r w:rsidRPr="00EF61B3">
              <w:rPr>
                <w:rFonts w:ascii="Arial" w:hAnsi="Arial" w:cs="Arial"/>
                <w:noProof/>
                <w:webHidden/>
              </w:rPr>
              <w:fldChar w:fldCharType="end"/>
            </w:r>
          </w:hyperlink>
        </w:p>
        <w:p w14:paraId="7216A06B" w14:textId="0493AF45"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4" w:history="1">
            <w:r w:rsidRPr="00EF61B3">
              <w:rPr>
                <w:rStyle w:val="Hyperlink"/>
                <w:rFonts w:ascii="Arial" w:eastAsiaTheme="majorEastAsia" w:hAnsi="Arial" w:cs="Arial"/>
                <w:noProof/>
              </w:rPr>
              <w:t>4.5 Theme 4: Strategic Adaptation and Hybrid Marketing Approaches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45</w:t>
            </w:r>
            <w:r w:rsidRPr="00EF61B3">
              <w:rPr>
                <w:rFonts w:ascii="Arial" w:hAnsi="Arial" w:cs="Arial"/>
                <w:noProof/>
                <w:webHidden/>
              </w:rPr>
              <w:fldChar w:fldCharType="end"/>
            </w:r>
          </w:hyperlink>
        </w:p>
        <w:p w14:paraId="69151EBB" w14:textId="0CBF6AB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5" w:history="1">
            <w:r w:rsidRPr="00EF61B3">
              <w:rPr>
                <w:rStyle w:val="Hyperlink"/>
                <w:rFonts w:ascii="Arial" w:eastAsiaTheme="majorEastAsia" w:hAnsi="Arial" w:cs="Arial"/>
                <w:noProof/>
              </w:rPr>
              <w:t>4.6 Summary of Thematic Findings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46</w:t>
            </w:r>
            <w:r w:rsidRPr="00EF61B3">
              <w:rPr>
                <w:rFonts w:ascii="Arial" w:hAnsi="Arial" w:cs="Arial"/>
                <w:noProof/>
                <w:webHidden/>
              </w:rPr>
              <w:fldChar w:fldCharType="end"/>
            </w:r>
          </w:hyperlink>
        </w:p>
        <w:p w14:paraId="6A48E17E" w14:textId="5BEA2C20"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66" w:history="1">
            <w:r w:rsidRPr="00EF61B3">
              <w:rPr>
                <w:rStyle w:val="Hyperlink"/>
                <w:rFonts w:ascii="Arial" w:eastAsiaTheme="majorEastAsia" w:hAnsi="Arial" w:cs="Arial"/>
                <w:noProof/>
              </w:rPr>
              <w:t>Chapter 5: Discussion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47</w:t>
            </w:r>
            <w:r w:rsidRPr="00EF61B3">
              <w:rPr>
                <w:rFonts w:ascii="Arial" w:hAnsi="Arial" w:cs="Arial"/>
                <w:noProof/>
                <w:webHidden/>
              </w:rPr>
              <w:fldChar w:fldCharType="end"/>
            </w:r>
          </w:hyperlink>
        </w:p>
        <w:p w14:paraId="08FF9EC1" w14:textId="716F379D"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7" w:history="1">
            <w:r w:rsidRPr="00EF61B3">
              <w:rPr>
                <w:rStyle w:val="Hyperlink"/>
                <w:rFonts w:ascii="Arial" w:eastAsiaTheme="majorEastAsia" w:hAnsi="Arial" w:cs="Arial"/>
                <w:noProof/>
              </w:rPr>
              <w:t>5.1 Introduction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47</w:t>
            </w:r>
            <w:r w:rsidRPr="00EF61B3">
              <w:rPr>
                <w:rFonts w:ascii="Arial" w:hAnsi="Arial" w:cs="Arial"/>
                <w:noProof/>
                <w:webHidden/>
              </w:rPr>
              <w:fldChar w:fldCharType="end"/>
            </w:r>
          </w:hyperlink>
        </w:p>
        <w:p w14:paraId="517A0EE1" w14:textId="17131E31"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8" w:history="1">
            <w:r w:rsidRPr="00EF61B3">
              <w:rPr>
                <w:rStyle w:val="Hyperlink"/>
                <w:rFonts w:ascii="Arial" w:eastAsiaTheme="majorEastAsia" w:hAnsi="Arial" w:cs="Arial"/>
                <w:noProof/>
              </w:rPr>
              <w:t>5.2 Interpreting the Strategic Drivers of the Shift to UGIC (RQ1)</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47</w:t>
            </w:r>
            <w:r w:rsidRPr="00EF61B3">
              <w:rPr>
                <w:rFonts w:ascii="Arial" w:hAnsi="Arial" w:cs="Arial"/>
                <w:noProof/>
                <w:webHidden/>
              </w:rPr>
              <w:fldChar w:fldCharType="end"/>
            </w:r>
          </w:hyperlink>
        </w:p>
        <w:p w14:paraId="5299B37D" w14:textId="07A8A84A"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69" w:history="1">
            <w:r w:rsidRPr="00EF61B3">
              <w:rPr>
                <w:rStyle w:val="Hyperlink"/>
                <w:rFonts w:ascii="Arial" w:eastAsiaTheme="majorEastAsia" w:hAnsi="Arial" w:cs="Arial"/>
                <w:noProof/>
              </w:rPr>
              <w:t>5.3 Authenticity, Source Credibility, and Consumer Engagement (RQ2)</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_Toc229774369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48</w:t>
            </w:r>
            <w:r w:rsidRPr="00EF61B3">
              <w:rPr>
                <w:rFonts w:ascii="Arial" w:hAnsi="Arial" w:cs="Arial"/>
                <w:noProof/>
                <w:webHidden/>
              </w:rPr>
              <w:fldChar w:fldCharType="end"/>
            </w:r>
          </w:hyperlink>
        </w:p>
        <w:p w14:paraId="6D87B5DF" w14:textId="592950DC"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0" w:history="1">
            <w:r w:rsidRPr="00EF61B3">
              <w:rPr>
                <w:rStyle w:val="Hyperlink"/>
                <w:rFonts w:ascii="Arial" w:eastAsiaTheme="majorEastAsia" w:hAnsi="Arial" w:cs="Arial"/>
                <w:noProof/>
              </w:rPr>
              <w:t>5.4 Brand Equity Implications, Risks, and Governance Challenges (RQ3)</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49</w:t>
            </w:r>
            <w:r w:rsidRPr="00EF61B3">
              <w:rPr>
                <w:rFonts w:ascii="Arial" w:hAnsi="Arial" w:cs="Arial"/>
                <w:noProof/>
                <w:webHidden/>
              </w:rPr>
              <w:fldChar w:fldCharType="end"/>
            </w:r>
          </w:hyperlink>
        </w:p>
        <w:p w14:paraId="0A5928B2" w14:textId="7DBB94D0"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1" w:history="1">
            <w:r w:rsidRPr="00EF61B3">
              <w:rPr>
                <w:rStyle w:val="Hyperlink"/>
                <w:rFonts w:ascii="Arial" w:eastAsiaTheme="majorEastAsia" w:hAnsi="Arial" w:cs="Arial"/>
                <w:noProof/>
              </w:rPr>
              <w:t>5.5 Strategic Adaptation and Hybrid Approaches (RQ4)</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50</w:t>
            </w:r>
            <w:r w:rsidRPr="00EF61B3">
              <w:rPr>
                <w:rFonts w:ascii="Arial" w:hAnsi="Arial" w:cs="Arial"/>
                <w:noProof/>
                <w:webHidden/>
              </w:rPr>
              <w:fldChar w:fldCharType="end"/>
            </w:r>
          </w:hyperlink>
        </w:p>
        <w:p w14:paraId="197AF1BC" w14:textId="2870CBF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2" w:history="1">
            <w:r w:rsidRPr="00EF61B3">
              <w:rPr>
                <w:rStyle w:val="Hyperlink"/>
                <w:rFonts w:ascii="Arial" w:eastAsiaTheme="majorEastAsia" w:hAnsi="Arial" w:cs="Arial"/>
                <w:noProof/>
              </w:rPr>
              <w:t>5.6 Addressing the Literature Gap and Research Contribution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51</w:t>
            </w:r>
            <w:r w:rsidRPr="00EF61B3">
              <w:rPr>
                <w:rFonts w:ascii="Arial" w:hAnsi="Arial" w:cs="Arial"/>
                <w:noProof/>
                <w:webHidden/>
              </w:rPr>
              <w:fldChar w:fldCharType="end"/>
            </w:r>
          </w:hyperlink>
        </w:p>
        <w:p w14:paraId="1C986E33" w14:textId="634207BF"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73" w:history="1">
            <w:r w:rsidRPr="00EF61B3">
              <w:rPr>
                <w:rStyle w:val="Hyperlink"/>
                <w:rFonts w:ascii="Arial" w:eastAsiaTheme="majorEastAsia" w:hAnsi="Arial" w:cs="Arial"/>
                <w:noProof/>
              </w:rPr>
              <w:t>Chapter 6: Conclusion</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52</w:t>
            </w:r>
            <w:r w:rsidRPr="00EF61B3">
              <w:rPr>
                <w:rFonts w:ascii="Arial" w:hAnsi="Arial" w:cs="Arial"/>
                <w:noProof/>
                <w:webHidden/>
              </w:rPr>
              <w:fldChar w:fldCharType="end"/>
            </w:r>
          </w:hyperlink>
        </w:p>
        <w:p w14:paraId="1EC85726" w14:textId="0A0A80A2"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4" w:history="1">
            <w:r w:rsidRPr="00EF61B3">
              <w:rPr>
                <w:rStyle w:val="Hyperlink"/>
                <w:rFonts w:ascii="Arial" w:eastAsiaTheme="majorEastAsia" w:hAnsi="Arial" w:cs="Arial"/>
                <w:noProof/>
              </w:rPr>
              <w:t>6.1 Revisiting the Research Aim and Questions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52</w:t>
            </w:r>
            <w:r w:rsidRPr="00EF61B3">
              <w:rPr>
                <w:rFonts w:ascii="Arial" w:hAnsi="Arial" w:cs="Arial"/>
                <w:noProof/>
                <w:webHidden/>
              </w:rPr>
              <w:fldChar w:fldCharType="end"/>
            </w:r>
          </w:hyperlink>
        </w:p>
        <w:p w14:paraId="06C3FE43" w14:textId="15351348"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5" w:history="1">
            <w:r w:rsidRPr="00EF61B3">
              <w:rPr>
                <w:rStyle w:val="Hyperlink"/>
                <w:rFonts w:ascii="Arial" w:eastAsiaTheme="majorEastAsia" w:hAnsi="Arial" w:cs="Arial"/>
                <w:noProof/>
              </w:rPr>
              <w:t>6.2 Summary of Key Findings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52</w:t>
            </w:r>
            <w:r w:rsidRPr="00EF61B3">
              <w:rPr>
                <w:rFonts w:ascii="Arial" w:hAnsi="Arial" w:cs="Arial"/>
                <w:noProof/>
                <w:webHidden/>
              </w:rPr>
              <w:fldChar w:fldCharType="end"/>
            </w:r>
          </w:hyperlink>
        </w:p>
        <w:p w14:paraId="27FDFF52" w14:textId="70F177E7"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6" w:history="1">
            <w:r w:rsidRPr="00EF61B3">
              <w:rPr>
                <w:rStyle w:val="Hyperlink"/>
                <w:rFonts w:ascii="Arial" w:eastAsiaTheme="majorEastAsia" w:hAnsi="Arial" w:cs="Arial"/>
                <w:noProof/>
              </w:rPr>
              <w:t>6.3 Addressing the Research Questions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_Toc229774376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52</w:t>
            </w:r>
            <w:r w:rsidRPr="00EF61B3">
              <w:rPr>
                <w:rFonts w:ascii="Arial" w:hAnsi="Arial" w:cs="Arial"/>
                <w:noProof/>
                <w:webHidden/>
              </w:rPr>
              <w:fldChar w:fldCharType="end"/>
            </w:r>
          </w:hyperlink>
        </w:p>
        <w:p w14:paraId="5638C25B" w14:textId="450D30FF"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7" w:history="1">
            <w:r w:rsidRPr="00EF61B3">
              <w:rPr>
                <w:rStyle w:val="Hyperlink"/>
                <w:rFonts w:ascii="Arial" w:eastAsiaTheme="majorEastAsia" w:hAnsi="Arial" w:cs="Arial"/>
                <w:noProof/>
              </w:rPr>
              <w:t>6.4 Addressing the Literature Gap and Research Contributions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_Toc229774377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53</w:t>
            </w:r>
            <w:r w:rsidRPr="00EF61B3">
              <w:rPr>
                <w:rFonts w:ascii="Arial" w:hAnsi="Arial" w:cs="Arial"/>
                <w:noProof/>
                <w:webHidden/>
              </w:rPr>
              <w:fldChar w:fldCharType="end"/>
            </w:r>
          </w:hyperlink>
        </w:p>
        <w:p w14:paraId="5A850788" w14:textId="543B60FA"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8" w:history="1">
            <w:r w:rsidRPr="00EF61B3">
              <w:rPr>
                <w:rStyle w:val="Hyperlink"/>
                <w:rFonts w:ascii="Arial" w:eastAsiaTheme="majorEastAsia" w:hAnsi="Arial" w:cs="Arial"/>
                <w:noProof/>
              </w:rPr>
              <w:t>6.5 Limitations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_Toc229774378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53</w:t>
            </w:r>
            <w:r w:rsidRPr="00EF61B3">
              <w:rPr>
                <w:rFonts w:ascii="Arial" w:hAnsi="Arial" w:cs="Arial"/>
                <w:noProof/>
                <w:webHidden/>
              </w:rPr>
              <w:fldChar w:fldCharType="end"/>
            </w:r>
          </w:hyperlink>
        </w:p>
        <w:p w14:paraId="3C7ECA84" w14:textId="0B952309"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79" w:history="1">
            <w:r w:rsidRPr="00EF61B3">
              <w:rPr>
                <w:rStyle w:val="Hyperlink"/>
                <w:rFonts w:ascii="Arial" w:eastAsiaTheme="majorEastAsia" w:hAnsi="Arial" w:cs="Arial"/>
                <w:noProof/>
              </w:rPr>
              <w:t>6.6 Recommendations for Future Research</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_Toc229774379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54</w:t>
            </w:r>
            <w:r w:rsidRPr="00EF61B3">
              <w:rPr>
                <w:rFonts w:ascii="Arial" w:hAnsi="Arial" w:cs="Arial"/>
                <w:noProof/>
                <w:webHidden/>
              </w:rPr>
              <w:fldChar w:fldCharType="end"/>
            </w:r>
          </w:hyperlink>
        </w:p>
        <w:p w14:paraId="672C092F" w14:textId="585F6100" w:rsidR="00EF61B3" w:rsidRPr="00EF61B3" w:rsidRDefault="00EF61B3" w:rsidP="00EF61B3">
          <w:pPr>
            <w:pStyle w:val="TOC2"/>
            <w:tabs>
              <w:tab w:val="right" w:leader="dot" w:pos="9016"/>
            </w:tabs>
            <w:spacing w:line="360" w:lineRule="auto"/>
            <w:rPr>
              <w:rFonts w:ascii="Arial" w:eastAsiaTheme="minorEastAsia" w:hAnsi="Arial" w:cs="Arial"/>
              <w:noProof/>
              <w:lang w:val="en-IN" w:eastAsia="en-IN" w:bidi="ml-IN"/>
            </w:rPr>
          </w:pPr>
          <w:hyperlink w:anchor="_Toc229774380" w:history="1">
            <w:r w:rsidRPr="00EF61B3">
              <w:rPr>
                <w:rStyle w:val="Hyperlink"/>
                <w:rFonts w:ascii="Arial" w:eastAsiaTheme="majorEastAsia" w:hAnsi="Arial" w:cs="Arial"/>
                <w:noProof/>
              </w:rPr>
              <w:t>6.7 Concluding Statement</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_Toc229774380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54</w:t>
            </w:r>
            <w:r w:rsidRPr="00EF61B3">
              <w:rPr>
                <w:rFonts w:ascii="Arial" w:hAnsi="Arial" w:cs="Arial"/>
                <w:noProof/>
                <w:webHidden/>
              </w:rPr>
              <w:fldChar w:fldCharType="end"/>
            </w:r>
          </w:hyperlink>
        </w:p>
        <w:p w14:paraId="1F694B1C" w14:textId="06B2E392"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81" w:history="1">
            <w:r w:rsidRPr="00EF61B3">
              <w:rPr>
                <w:rStyle w:val="Hyperlink"/>
                <w:rFonts w:ascii="Arial" w:hAnsi="Arial" w:cs="Arial"/>
                <w:noProof/>
              </w:rPr>
              <w:t>References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_Toc229774381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55</w:t>
            </w:r>
            <w:r w:rsidRPr="00EF61B3">
              <w:rPr>
                <w:rFonts w:ascii="Arial" w:hAnsi="Arial" w:cs="Arial"/>
                <w:noProof/>
                <w:webHidden/>
              </w:rPr>
              <w:fldChar w:fldCharType="end"/>
            </w:r>
          </w:hyperlink>
        </w:p>
        <w:p w14:paraId="25732E64" w14:textId="492F5E93"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82" w:history="1">
            <w:r w:rsidRPr="00EF61B3">
              <w:rPr>
                <w:rStyle w:val="Hyperlink"/>
                <w:rFonts w:ascii="Arial" w:hAnsi="Arial" w:cs="Arial"/>
                <w:noProof/>
              </w:rPr>
              <w:t>Appendix</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_Toc229774382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64</w:t>
            </w:r>
            <w:r w:rsidRPr="00EF61B3">
              <w:rPr>
                <w:rFonts w:ascii="Arial" w:hAnsi="Arial" w:cs="Arial"/>
                <w:noProof/>
                <w:webHidden/>
              </w:rPr>
              <w:fldChar w:fldCharType="end"/>
            </w:r>
          </w:hyperlink>
        </w:p>
        <w:p w14:paraId="4EC7752A" w14:textId="34572BDA"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83" w:history="1">
            <w:r w:rsidRPr="00EF61B3">
              <w:rPr>
                <w:rStyle w:val="Hyperlink"/>
                <w:rFonts w:ascii="Arial" w:eastAsia="Times New Roman" w:hAnsi="Arial" w:cs="Arial"/>
                <w:noProof/>
                <w:lang w:val="en-IN" w:eastAsia="en-IN"/>
              </w:rPr>
              <w:t>Appendix 1: Data Extraction Table</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_Toc229774383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64</w:t>
            </w:r>
            <w:r w:rsidRPr="00EF61B3">
              <w:rPr>
                <w:rFonts w:ascii="Arial" w:hAnsi="Arial" w:cs="Arial"/>
                <w:noProof/>
                <w:webHidden/>
              </w:rPr>
              <w:fldChar w:fldCharType="end"/>
            </w:r>
          </w:hyperlink>
        </w:p>
        <w:p w14:paraId="54E6A6FF" w14:textId="43B08883"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84" w:history="1">
            <w:r w:rsidRPr="00EF61B3">
              <w:rPr>
                <w:rStyle w:val="Hyperlink"/>
                <w:rFonts w:ascii="Arial" w:eastAsia="Times New Roman" w:hAnsi="Arial" w:cs="Arial"/>
                <w:noProof/>
                <w:lang w:val="en-IN" w:eastAsia="en-IN"/>
              </w:rPr>
              <w:t>Appendix 2: Critical Appraisal Checklist (CASP)</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_Toc229774384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65</w:t>
            </w:r>
            <w:r w:rsidRPr="00EF61B3">
              <w:rPr>
                <w:rFonts w:ascii="Arial" w:hAnsi="Arial" w:cs="Arial"/>
                <w:noProof/>
                <w:webHidden/>
              </w:rPr>
              <w:fldChar w:fldCharType="end"/>
            </w:r>
          </w:hyperlink>
        </w:p>
        <w:p w14:paraId="2FA15D34" w14:textId="39D2C8C6" w:rsidR="00EF61B3" w:rsidRPr="00EF61B3" w:rsidRDefault="00EF61B3" w:rsidP="00EF61B3">
          <w:pPr>
            <w:pStyle w:val="TOC1"/>
            <w:tabs>
              <w:tab w:val="right" w:leader="dot" w:pos="9016"/>
            </w:tabs>
            <w:spacing w:line="360" w:lineRule="auto"/>
            <w:rPr>
              <w:rFonts w:ascii="Arial" w:eastAsiaTheme="minorEastAsia" w:hAnsi="Arial" w:cs="Arial"/>
              <w:noProof/>
              <w:lang w:val="en-IN" w:eastAsia="en-IN" w:bidi="ml-IN"/>
            </w:rPr>
          </w:pPr>
          <w:hyperlink w:anchor="_Toc229774385" w:history="1">
            <w:r w:rsidRPr="00EF61B3">
              <w:rPr>
                <w:rStyle w:val="Hyperlink"/>
                <w:rFonts w:ascii="Arial" w:eastAsia="Times New Roman" w:hAnsi="Arial" w:cs="Arial"/>
                <w:noProof/>
                <w:lang w:val="en-IN" w:eastAsia="en-IN"/>
              </w:rPr>
              <w:t>Appendix 3: Thematic Analysis Process Tables</w:t>
            </w:r>
            <w:r w:rsidRPr="00EF61B3">
              <w:rPr>
                <w:rFonts w:ascii="Arial" w:hAnsi="Arial" w:cs="Arial"/>
                <w:noProof/>
                <w:webHidden/>
              </w:rPr>
              <w:tab/>
            </w:r>
            <w:r w:rsidRPr="00EF61B3">
              <w:rPr>
                <w:rFonts w:ascii="Arial" w:hAnsi="Arial" w:cs="Arial"/>
                <w:noProof/>
                <w:webHidden/>
              </w:rPr>
              <w:fldChar w:fldCharType="begin"/>
            </w:r>
            <w:r w:rsidRPr="00EF61B3">
              <w:rPr>
                <w:rFonts w:ascii="Arial" w:hAnsi="Arial" w:cs="Arial"/>
                <w:noProof/>
                <w:webHidden/>
              </w:rPr>
              <w:instrText xml:space="preserve"> PAGEREF _Toc229774385 \h </w:instrText>
            </w:r>
            <w:r w:rsidRPr="00EF61B3">
              <w:rPr>
                <w:rFonts w:ascii="Arial" w:hAnsi="Arial" w:cs="Arial"/>
                <w:noProof/>
                <w:webHidden/>
              </w:rPr>
            </w:r>
            <w:r w:rsidRPr="00EF61B3">
              <w:rPr>
                <w:rFonts w:ascii="Arial" w:hAnsi="Arial" w:cs="Arial"/>
                <w:noProof/>
                <w:webHidden/>
              </w:rPr>
              <w:fldChar w:fldCharType="separate"/>
            </w:r>
            <w:r w:rsidR="00914EF0">
              <w:rPr>
                <w:rFonts w:ascii="Arial" w:hAnsi="Arial" w:cs="Arial"/>
                <w:noProof/>
                <w:webHidden/>
              </w:rPr>
              <w:t>65</w:t>
            </w:r>
            <w:r w:rsidRPr="00EF61B3">
              <w:rPr>
                <w:rFonts w:ascii="Arial" w:hAnsi="Arial" w:cs="Arial"/>
                <w:noProof/>
                <w:webHidden/>
              </w:rPr>
              <w:fldChar w:fldCharType="end"/>
            </w:r>
          </w:hyperlink>
        </w:p>
        <w:p w14:paraId="288ED98E" w14:textId="7B021EE7" w:rsidR="00003F69" w:rsidRDefault="00003F69" w:rsidP="00EF61B3">
          <w:pPr>
            <w:spacing w:line="360" w:lineRule="auto"/>
          </w:pPr>
          <w:r w:rsidRPr="00EF61B3">
            <w:rPr>
              <w:rFonts w:ascii="Arial" w:hAnsi="Arial" w:cs="Arial"/>
              <w:noProof/>
            </w:rPr>
            <w:fldChar w:fldCharType="end"/>
          </w:r>
        </w:p>
      </w:sdtContent>
    </w:sdt>
    <w:p w14:paraId="4E03AE3F" w14:textId="7E407688" w:rsidR="00003F69" w:rsidRDefault="00003F69" w:rsidP="00003F69">
      <w:pPr>
        <w:jc w:val="center"/>
      </w:pPr>
    </w:p>
    <w:p w14:paraId="0A1042D6" w14:textId="2CE0AFEF" w:rsidR="00003F69" w:rsidRDefault="00003F69" w:rsidP="00361B11">
      <w:pPr>
        <w:jc w:val="center"/>
      </w:pPr>
    </w:p>
    <w:p w14:paraId="42CA3366" w14:textId="6222A625" w:rsidR="00003F69" w:rsidRDefault="00003F69" w:rsidP="00361B11">
      <w:pPr>
        <w:jc w:val="center"/>
      </w:pPr>
    </w:p>
    <w:p w14:paraId="664CCE54" w14:textId="2B945425" w:rsidR="00003F69" w:rsidRDefault="00003F69" w:rsidP="00361B11">
      <w:pPr>
        <w:jc w:val="center"/>
      </w:pPr>
    </w:p>
    <w:p w14:paraId="746CCAEE" w14:textId="0CB21535" w:rsidR="00003F69" w:rsidRDefault="00003F69" w:rsidP="00361B11">
      <w:pPr>
        <w:jc w:val="center"/>
      </w:pPr>
    </w:p>
    <w:p w14:paraId="26E458C3" w14:textId="212E07C2" w:rsidR="00003F69" w:rsidRDefault="00003F69" w:rsidP="00361B11">
      <w:pPr>
        <w:jc w:val="center"/>
      </w:pPr>
    </w:p>
    <w:p w14:paraId="7DEC6BEC" w14:textId="71F543C1" w:rsidR="00003F69" w:rsidRDefault="00003F69" w:rsidP="00361B11">
      <w:pPr>
        <w:jc w:val="center"/>
      </w:pPr>
    </w:p>
    <w:p w14:paraId="6935293D" w14:textId="377BF92E" w:rsidR="00003F69" w:rsidRDefault="00003F69" w:rsidP="00361B11">
      <w:pPr>
        <w:jc w:val="center"/>
      </w:pPr>
    </w:p>
    <w:p w14:paraId="2A132265" w14:textId="3B1B3783" w:rsidR="00003F69" w:rsidRDefault="00003F69" w:rsidP="00361B11">
      <w:pPr>
        <w:jc w:val="center"/>
      </w:pPr>
    </w:p>
    <w:p w14:paraId="1E2D669F" w14:textId="4EC6A6EC" w:rsidR="00003F69" w:rsidRDefault="00003F69" w:rsidP="00361B11">
      <w:pPr>
        <w:jc w:val="center"/>
      </w:pPr>
    </w:p>
    <w:p w14:paraId="35FE7850" w14:textId="7E5A60F6" w:rsidR="00003F69" w:rsidRDefault="00003F69" w:rsidP="00361B11">
      <w:pPr>
        <w:jc w:val="center"/>
      </w:pPr>
    </w:p>
    <w:p w14:paraId="6C46BDA4" w14:textId="70E63B94" w:rsidR="00003F69" w:rsidRDefault="00003F69" w:rsidP="00361B11">
      <w:pPr>
        <w:jc w:val="center"/>
      </w:pPr>
    </w:p>
    <w:p w14:paraId="4B889879" w14:textId="524E2F99" w:rsidR="00003F69" w:rsidRDefault="00003F69" w:rsidP="00361B11">
      <w:pPr>
        <w:jc w:val="center"/>
      </w:pPr>
    </w:p>
    <w:p w14:paraId="1C84F207" w14:textId="3345AA2B" w:rsidR="00003F69" w:rsidRDefault="00003F69" w:rsidP="00361B11">
      <w:pPr>
        <w:jc w:val="center"/>
      </w:pPr>
    </w:p>
    <w:p w14:paraId="129E133C" w14:textId="55548F94" w:rsidR="00003F69" w:rsidRDefault="00003F69" w:rsidP="00361B11">
      <w:pPr>
        <w:jc w:val="center"/>
      </w:pPr>
    </w:p>
    <w:p w14:paraId="2815161B" w14:textId="4BFDCE84" w:rsidR="00003F69" w:rsidRDefault="00003F69" w:rsidP="00361B11">
      <w:pPr>
        <w:jc w:val="center"/>
      </w:pPr>
    </w:p>
    <w:p w14:paraId="62E88D72" w14:textId="0E87330C" w:rsidR="00003F69" w:rsidRDefault="00003F69" w:rsidP="00361B11">
      <w:pPr>
        <w:jc w:val="center"/>
      </w:pPr>
    </w:p>
    <w:p w14:paraId="73BE04A9" w14:textId="5BC5B52A" w:rsidR="00003F69" w:rsidRDefault="00003F69" w:rsidP="00361B11">
      <w:pPr>
        <w:jc w:val="center"/>
      </w:pPr>
    </w:p>
    <w:p w14:paraId="4AC3EA25" w14:textId="58FA57C5" w:rsidR="00003F69" w:rsidRDefault="00003F69" w:rsidP="00361B11">
      <w:pPr>
        <w:jc w:val="center"/>
      </w:pPr>
    </w:p>
    <w:p w14:paraId="627B89A9" w14:textId="533E7629" w:rsidR="00864EC7" w:rsidRDefault="00864EC7" w:rsidP="00003F69"/>
    <w:p w14:paraId="3919C948" w14:textId="2D50AAAA" w:rsidR="00864EC7" w:rsidRDefault="00864EC7" w:rsidP="00864EC7">
      <w:pPr>
        <w:pStyle w:val="Heading1"/>
        <w:spacing w:line="360" w:lineRule="auto"/>
        <w:rPr>
          <w:rFonts w:ascii="Arial" w:hAnsi="Arial" w:cs="Arial"/>
          <w:b/>
          <w:bCs/>
          <w:color w:val="000000" w:themeColor="text1"/>
          <w:sz w:val="24"/>
          <w:szCs w:val="24"/>
        </w:rPr>
      </w:pPr>
      <w:bookmarkStart w:id="3" w:name="_Toc229774325"/>
      <w:r>
        <w:rPr>
          <w:rFonts w:ascii="Arial" w:hAnsi="Arial" w:cs="Arial"/>
          <w:b/>
          <w:bCs/>
          <w:color w:val="000000" w:themeColor="text1"/>
          <w:sz w:val="24"/>
          <w:szCs w:val="24"/>
        </w:rPr>
        <w:lastRenderedPageBreak/>
        <w:t>List of Abbreviations</w:t>
      </w:r>
      <w:bookmarkEnd w:id="3"/>
    </w:p>
    <w:tbl>
      <w:tblPr>
        <w:tblStyle w:val="TableGrid"/>
        <w:tblW w:w="9085" w:type="dxa"/>
        <w:tblLook w:val="04A0" w:firstRow="1" w:lastRow="0" w:firstColumn="1" w:lastColumn="0" w:noHBand="0" w:noVBand="1"/>
      </w:tblPr>
      <w:tblGrid>
        <w:gridCol w:w="2605"/>
        <w:gridCol w:w="6480"/>
      </w:tblGrid>
      <w:tr w:rsidR="00864EC7" w14:paraId="3523BFA7" w14:textId="77777777" w:rsidTr="00864EC7">
        <w:tc>
          <w:tcPr>
            <w:tcW w:w="2605" w:type="dxa"/>
          </w:tcPr>
          <w:p w14:paraId="0D49B04D" w14:textId="01671E1F" w:rsidR="00864EC7" w:rsidRPr="00864EC7" w:rsidRDefault="00864EC7" w:rsidP="00864EC7">
            <w:pPr>
              <w:rPr>
                <w:rFonts w:ascii="Arial" w:hAnsi="Arial" w:cs="Arial"/>
                <w:b/>
                <w:bCs/>
                <w:sz w:val="24"/>
                <w:szCs w:val="24"/>
              </w:rPr>
            </w:pPr>
            <w:r w:rsidRPr="00864EC7">
              <w:rPr>
                <w:rFonts w:ascii="Arial" w:hAnsi="Arial" w:cs="Arial"/>
                <w:b/>
                <w:bCs/>
                <w:sz w:val="24"/>
                <w:szCs w:val="24"/>
              </w:rPr>
              <w:t>Abbreviation</w:t>
            </w:r>
          </w:p>
        </w:tc>
        <w:tc>
          <w:tcPr>
            <w:tcW w:w="6480" w:type="dxa"/>
          </w:tcPr>
          <w:p w14:paraId="5EFD43ED" w14:textId="38D81033" w:rsidR="00864EC7" w:rsidRPr="00864EC7" w:rsidRDefault="00864EC7" w:rsidP="00864EC7">
            <w:pPr>
              <w:rPr>
                <w:rFonts w:ascii="Arial" w:hAnsi="Arial" w:cs="Arial"/>
                <w:b/>
                <w:bCs/>
                <w:sz w:val="24"/>
                <w:szCs w:val="24"/>
              </w:rPr>
            </w:pPr>
            <w:r w:rsidRPr="00864EC7">
              <w:rPr>
                <w:rFonts w:ascii="Arial" w:hAnsi="Arial" w:cs="Arial"/>
                <w:b/>
                <w:bCs/>
                <w:sz w:val="24"/>
                <w:szCs w:val="24"/>
              </w:rPr>
              <w:t>Full Term</w:t>
            </w:r>
          </w:p>
        </w:tc>
      </w:tr>
      <w:tr w:rsidR="00864EC7" w14:paraId="7EAC1148" w14:textId="77777777" w:rsidTr="00864EC7">
        <w:tc>
          <w:tcPr>
            <w:tcW w:w="2605" w:type="dxa"/>
          </w:tcPr>
          <w:p w14:paraId="377C3A5E" w14:textId="26E88F1C" w:rsidR="00864EC7" w:rsidRPr="00864EC7" w:rsidRDefault="00864EC7" w:rsidP="00864EC7">
            <w:pPr>
              <w:rPr>
                <w:rFonts w:ascii="Arial" w:hAnsi="Arial" w:cs="Arial"/>
                <w:sz w:val="24"/>
                <w:szCs w:val="24"/>
              </w:rPr>
            </w:pPr>
            <w:r w:rsidRPr="00864EC7">
              <w:rPr>
                <w:rFonts w:ascii="Arial" w:hAnsi="Arial" w:cs="Arial"/>
                <w:sz w:val="24"/>
                <w:szCs w:val="24"/>
              </w:rPr>
              <w:t>ASA</w:t>
            </w:r>
          </w:p>
        </w:tc>
        <w:tc>
          <w:tcPr>
            <w:tcW w:w="6480" w:type="dxa"/>
          </w:tcPr>
          <w:p w14:paraId="33D7F3AD" w14:textId="084B13BE" w:rsidR="00864EC7" w:rsidRPr="00BC1D55" w:rsidRDefault="00BC1D55" w:rsidP="00864EC7">
            <w:pPr>
              <w:rPr>
                <w:rFonts w:ascii="Arial" w:hAnsi="Arial" w:cs="Arial"/>
                <w:sz w:val="24"/>
                <w:szCs w:val="24"/>
              </w:rPr>
            </w:pPr>
            <w:r w:rsidRPr="00BC1D55">
              <w:rPr>
                <w:rFonts w:ascii="Arial" w:hAnsi="Arial" w:cs="Arial"/>
                <w:sz w:val="24"/>
                <w:szCs w:val="24"/>
              </w:rPr>
              <w:t>Advertising Standards Authority</w:t>
            </w:r>
          </w:p>
        </w:tc>
      </w:tr>
      <w:tr w:rsidR="00864EC7" w14:paraId="609FC983" w14:textId="77777777" w:rsidTr="00864EC7">
        <w:tc>
          <w:tcPr>
            <w:tcW w:w="2605" w:type="dxa"/>
          </w:tcPr>
          <w:p w14:paraId="2A1FE467" w14:textId="703145FB" w:rsidR="00864EC7" w:rsidRPr="003E208F" w:rsidRDefault="00BC1D55" w:rsidP="00864EC7">
            <w:pPr>
              <w:rPr>
                <w:rFonts w:ascii="Arial" w:hAnsi="Arial" w:cs="Arial"/>
                <w:sz w:val="24"/>
                <w:szCs w:val="24"/>
              </w:rPr>
            </w:pPr>
            <w:r w:rsidRPr="003E208F">
              <w:rPr>
                <w:rFonts w:ascii="Arial" w:hAnsi="Arial" w:cs="Arial"/>
                <w:sz w:val="24"/>
                <w:szCs w:val="24"/>
              </w:rPr>
              <w:t>CBBE</w:t>
            </w:r>
          </w:p>
        </w:tc>
        <w:tc>
          <w:tcPr>
            <w:tcW w:w="6480" w:type="dxa"/>
          </w:tcPr>
          <w:p w14:paraId="248A16F7" w14:textId="497E3E55" w:rsidR="00864EC7" w:rsidRPr="003E208F" w:rsidRDefault="00BC1D55" w:rsidP="00864EC7">
            <w:pPr>
              <w:rPr>
                <w:rFonts w:ascii="Arial" w:hAnsi="Arial" w:cs="Arial"/>
                <w:sz w:val="24"/>
                <w:szCs w:val="24"/>
              </w:rPr>
            </w:pPr>
            <w:r w:rsidRPr="003E208F">
              <w:rPr>
                <w:rFonts w:ascii="Arial" w:hAnsi="Arial" w:cs="Arial"/>
                <w:sz w:val="24"/>
                <w:szCs w:val="24"/>
              </w:rPr>
              <w:t>Consumer-Based Brand Equity</w:t>
            </w:r>
          </w:p>
        </w:tc>
      </w:tr>
      <w:tr w:rsidR="00864EC7" w14:paraId="53551496" w14:textId="77777777" w:rsidTr="00864EC7">
        <w:tc>
          <w:tcPr>
            <w:tcW w:w="2605" w:type="dxa"/>
          </w:tcPr>
          <w:p w14:paraId="6D0280E0" w14:textId="26A2A65F" w:rsidR="00864EC7" w:rsidRPr="003E208F" w:rsidRDefault="00BC1D55" w:rsidP="00864EC7">
            <w:pPr>
              <w:rPr>
                <w:rFonts w:ascii="Arial" w:hAnsi="Arial" w:cs="Arial"/>
                <w:sz w:val="24"/>
                <w:szCs w:val="24"/>
              </w:rPr>
            </w:pPr>
            <w:r w:rsidRPr="003E208F">
              <w:rPr>
                <w:rFonts w:ascii="Arial" w:hAnsi="Arial" w:cs="Arial"/>
                <w:sz w:val="24"/>
                <w:szCs w:val="24"/>
              </w:rPr>
              <w:t>EU</w:t>
            </w:r>
          </w:p>
        </w:tc>
        <w:tc>
          <w:tcPr>
            <w:tcW w:w="6480" w:type="dxa"/>
          </w:tcPr>
          <w:p w14:paraId="14170CDC" w14:textId="76121027" w:rsidR="00864EC7" w:rsidRPr="003E208F" w:rsidRDefault="003E208F" w:rsidP="00864EC7">
            <w:pPr>
              <w:rPr>
                <w:rFonts w:ascii="Arial" w:hAnsi="Arial" w:cs="Arial"/>
                <w:sz w:val="24"/>
                <w:szCs w:val="24"/>
              </w:rPr>
            </w:pPr>
            <w:r w:rsidRPr="003E208F">
              <w:rPr>
                <w:rFonts w:ascii="Arial" w:hAnsi="Arial" w:cs="Arial"/>
                <w:sz w:val="24"/>
                <w:szCs w:val="24"/>
              </w:rPr>
              <w:t>European Union</w:t>
            </w:r>
          </w:p>
        </w:tc>
      </w:tr>
      <w:tr w:rsidR="00864EC7" w14:paraId="0A273449" w14:textId="77777777" w:rsidTr="00864EC7">
        <w:tc>
          <w:tcPr>
            <w:tcW w:w="2605" w:type="dxa"/>
          </w:tcPr>
          <w:p w14:paraId="02038EF8" w14:textId="54A7C9E4" w:rsidR="00864EC7" w:rsidRPr="003E208F" w:rsidRDefault="003E208F" w:rsidP="00864EC7">
            <w:pPr>
              <w:rPr>
                <w:rFonts w:ascii="Arial" w:hAnsi="Arial" w:cs="Arial"/>
                <w:sz w:val="24"/>
                <w:szCs w:val="24"/>
              </w:rPr>
            </w:pPr>
            <w:r w:rsidRPr="003E208F">
              <w:rPr>
                <w:rFonts w:ascii="Arial" w:hAnsi="Arial" w:cs="Arial"/>
                <w:sz w:val="24"/>
                <w:szCs w:val="24"/>
              </w:rPr>
              <w:t>FTC</w:t>
            </w:r>
          </w:p>
        </w:tc>
        <w:tc>
          <w:tcPr>
            <w:tcW w:w="6480" w:type="dxa"/>
          </w:tcPr>
          <w:p w14:paraId="5D9076B7" w14:textId="7A427920" w:rsidR="00864EC7" w:rsidRPr="003E208F" w:rsidRDefault="003E208F" w:rsidP="00864EC7">
            <w:pPr>
              <w:rPr>
                <w:rFonts w:ascii="Arial" w:hAnsi="Arial" w:cs="Arial"/>
                <w:sz w:val="24"/>
                <w:szCs w:val="24"/>
              </w:rPr>
            </w:pPr>
            <w:r w:rsidRPr="003E208F">
              <w:rPr>
                <w:rFonts w:ascii="Arial" w:hAnsi="Arial" w:cs="Arial"/>
                <w:sz w:val="24"/>
                <w:szCs w:val="24"/>
              </w:rPr>
              <w:t>Federal Trade Commission</w:t>
            </w:r>
          </w:p>
        </w:tc>
      </w:tr>
      <w:tr w:rsidR="00864EC7" w14:paraId="61D6B8D3" w14:textId="77777777" w:rsidTr="00864EC7">
        <w:tc>
          <w:tcPr>
            <w:tcW w:w="2605" w:type="dxa"/>
          </w:tcPr>
          <w:p w14:paraId="1D0D8AEC" w14:textId="4C1AFCB3" w:rsidR="00864EC7" w:rsidRPr="003E208F" w:rsidRDefault="003E208F" w:rsidP="00864EC7">
            <w:pPr>
              <w:rPr>
                <w:rFonts w:ascii="Arial" w:hAnsi="Arial" w:cs="Arial"/>
                <w:sz w:val="24"/>
                <w:szCs w:val="24"/>
              </w:rPr>
            </w:pPr>
            <w:r w:rsidRPr="003E208F">
              <w:rPr>
                <w:rFonts w:ascii="Arial" w:hAnsi="Arial" w:cs="Arial"/>
                <w:sz w:val="24"/>
                <w:szCs w:val="24"/>
              </w:rPr>
              <w:t>PRISMA</w:t>
            </w:r>
          </w:p>
        </w:tc>
        <w:tc>
          <w:tcPr>
            <w:tcW w:w="6480" w:type="dxa"/>
          </w:tcPr>
          <w:p w14:paraId="2B972E44" w14:textId="3EE3BF29" w:rsidR="00864EC7" w:rsidRPr="003E208F" w:rsidRDefault="003E208F" w:rsidP="00864EC7">
            <w:pPr>
              <w:rPr>
                <w:rFonts w:ascii="Arial" w:hAnsi="Arial" w:cs="Arial"/>
                <w:sz w:val="24"/>
                <w:szCs w:val="24"/>
              </w:rPr>
            </w:pPr>
            <w:r w:rsidRPr="003E208F">
              <w:rPr>
                <w:rFonts w:ascii="Arial" w:hAnsi="Arial" w:cs="Arial"/>
                <w:sz w:val="24"/>
                <w:szCs w:val="24"/>
              </w:rPr>
              <w:t>Preferred Reporting Items for Systematic Reviews and Meta-Analyses</w:t>
            </w:r>
          </w:p>
        </w:tc>
      </w:tr>
      <w:tr w:rsidR="00864EC7" w14:paraId="68A8516E" w14:textId="77777777" w:rsidTr="00864EC7">
        <w:tc>
          <w:tcPr>
            <w:tcW w:w="2605" w:type="dxa"/>
          </w:tcPr>
          <w:p w14:paraId="057D537E" w14:textId="018055DF" w:rsidR="00864EC7" w:rsidRPr="003E208F" w:rsidRDefault="003E208F" w:rsidP="00864EC7">
            <w:pPr>
              <w:rPr>
                <w:rFonts w:ascii="Arial" w:hAnsi="Arial" w:cs="Arial"/>
                <w:sz w:val="24"/>
                <w:szCs w:val="24"/>
              </w:rPr>
            </w:pPr>
            <w:r w:rsidRPr="003E208F">
              <w:rPr>
                <w:rFonts w:ascii="Arial" w:hAnsi="Arial" w:cs="Arial"/>
                <w:sz w:val="24"/>
                <w:szCs w:val="24"/>
              </w:rPr>
              <w:t>RQ</w:t>
            </w:r>
          </w:p>
        </w:tc>
        <w:tc>
          <w:tcPr>
            <w:tcW w:w="6480" w:type="dxa"/>
          </w:tcPr>
          <w:p w14:paraId="33F8BE46" w14:textId="2D4F2B49" w:rsidR="00864EC7" w:rsidRPr="003E208F" w:rsidRDefault="003E208F" w:rsidP="00864EC7">
            <w:pPr>
              <w:rPr>
                <w:rFonts w:ascii="Arial" w:hAnsi="Arial" w:cs="Arial"/>
                <w:sz w:val="24"/>
                <w:szCs w:val="24"/>
              </w:rPr>
            </w:pPr>
            <w:r w:rsidRPr="003E208F">
              <w:rPr>
                <w:rFonts w:ascii="Arial" w:hAnsi="Arial" w:cs="Arial"/>
                <w:sz w:val="24"/>
                <w:szCs w:val="24"/>
              </w:rPr>
              <w:t>Research Question</w:t>
            </w:r>
          </w:p>
        </w:tc>
      </w:tr>
      <w:tr w:rsidR="00864EC7" w14:paraId="7D1A75E8" w14:textId="77777777" w:rsidTr="00864EC7">
        <w:tc>
          <w:tcPr>
            <w:tcW w:w="2605" w:type="dxa"/>
          </w:tcPr>
          <w:p w14:paraId="1C48C62D" w14:textId="598C303D" w:rsidR="00864EC7" w:rsidRPr="003E208F" w:rsidRDefault="003E208F" w:rsidP="00864EC7">
            <w:pPr>
              <w:rPr>
                <w:rFonts w:ascii="Arial" w:hAnsi="Arial" w:cs="Arial"/>
                <w:sz w:val="24"/>
                <w:szCs w:val="24"/>
              </w:rPr>
            </w:pPr>
            <w:r w:rsidRPr="003E208F">
              <w:rPr>
                <w:rFonts w:ascii="Arial" w:hAnsi="Arial" w:cs="Arial"/>
                <w:sz w:val="24"/>
                <w:szCs w:val="24"/>
              </w:rPr>
              <w:t>SDL</w:t>
            </w:r>
          </w:p>
        </w:tc>
        <w:tc>
          <w:tcPr>
            <w:tcW w:w="6480" w:type="dxa"/>
          </w:tcPr>
          <w:p w14:paraId="2EE75E54" w14:textId="474B4FA1" w:rsidR="00864EC7" w:rsidRPr="003E208F" w:rsidRDefault="003E208F" w:rsidP="00864EC7">
            <w:pPr>
              <w:rPr>
                <w:rFonts w:ascii="Arial" w:hAnsi="Arial" w:cs="Arial"/>
                <w:sz w:val="24"/>
                <w:szCs w:val="24"/>
              </w:rPr>
            </w:pPr>
            <w:r w:rsidRPr="003E208F">
              <w:rPr>
                <w:rFonts w:ascii="Arial" w:hAnsi="Arial" w:cs="Arial"/>
                <w:sz w:val="24"/>
                <w:szCs w:val="24"/>
              </w:rPr>
              <w:t>Service-Dominant Logic</w:t>
            </w:r>
          </w:p>
        </w:tc>
      </w:tr>
      <w:tr w:rsidR="00864EC7" w14:paraId="2A197B87" w14:textId="77777777" w:rsidTr="00864EC7">
        <w:tc>
          <w:tcPr>
            <w:tcW w:w="2605" w:type="dxa"/>
          </w:tcPr>
          <w:p w14:paraId="7B2A4ABA" w14:textId="4D3CE82F" w:rsidR="00864EC7" w:rsidRPr="003E208F" w:rsidRDefault="003E208F" w:rsidP="00864EC7">
            <w:pPr>
              <w:rPr>
                <w:rFonts w:ascii="Arial" w:hAnsi="Arial" w:cs="Arial"/>
                <w:sz w:val="24"/>
                <w:szCs w:val="24"/>
              </w:rPr>
            </w:pPr>
            <w:r w:rsidRPr="003E208F">
              <w:rPr>
                <w:rFonts w:ascii="Arial" w:hAnsi="Arial" w:cs="Arial"/>
                <w:sz w:val="24"/>
                <w:szCs w:val="24"/>
              </w:rPr>
              <w:t>SLR</w:t>
            </w:r>
          </w:p>
        </w:tc>
        <w:tc>
          <w:tcPr>
            <w:tcW w:w="6480" w:type="dxa"/>
          </w:tcPr>
          <w:p w14:paraId="2081AEBE" w14:textId="63BDC652" w:rsidR="00864EC7" w:rsidRPr="003E208F" w:rsidRDefault="003E208F" w:rsidP="00864EC7">
            <w:pPr>
              <w:rPr>
                <w:rFonts w:ascii="Arial" w:hAnsi="Arial" w:cs="Arial"/>
                <w:sz w:val="24"/>
                <w:szCs w:val="24"/>
              </w:rPr>
            </w:pPr>
            <w:r w:rsidRPr="003E208F">
              <w:rPr>
                <w:rFonts w:ascii="Arial" w:hAnsi="Arial" w:cs="Arial"/>
                <w:sz w:val="24"/>
                <w:szCs w:val="24"/>
              </w:rPr>
              <w:t>Systematic Literature Review</w:t>
            </w:r>
          </w:p>
        </w:tc>
      </w:tr>
      <w:tr w:rsidR="00864EC7" w14:paraId="7AB0CBD2" w14:textId="77777777" w:rsidTr="00864EC7">
        <w:tc>
          <w:tcPr>
            <w:tcW w:w="2605" w:type="dxa"/>
          </w:tcPr>
          <w:p w14:paraId="2EA4AEFA" w14:textId="380F7624" w:rsidR="00864EC7" w:rsidRPr="003E208F" w:rsidRDefault="003E208F" w:rsidP="00864EC7">
            <w:pPr>
              <w:rPr>
                <w:rFonts w:ascii="Arial" w:hAnsi="Arial" w:cs="Arial"/>
                <w:sz w:val="24"/>
                <w:szCs w:val="24"/>
              </w:rPr>
            </w:pPr>
            <w:r w:rsidRPr="003E208F">
              <w:rPr>
                <w:rFonts w:ascii="Arial" w:hAnsi="Arial" w:cs="Arial"/>
                <w:sz w:val="24"/>
                <w:szCs w:val="24"/>
              </w:rPr>
              <w:t>UGC</w:t>
            </w:r>
          </w:p>
        </w:tc>
        <w:tc>
          <w:tcPr>
            <w:tcW w:w="6480" w:type="dxa"/>
          </w:tcPr>
          <w:p w14:paraId="7ED98ADA" w14:textId="08E645FC" w:rsidR="00864EC7" w:rsidRPr="003E208F" w:rsidRDefault="003E208F" w:rsidP="00864EC7">
            <w:pPr>
              <w:rPr>
                <w:rFonts w:ascii="Arial" w:hAnsi="Arial" w:cs="Arial"/>
                <w:sz w:val="24"/>
                <w:szCs w:val="24"/>
              </w:rPr>
            </w:pPr>
            <w:r w:rsidRPr="003E208F">
              <w:rPr>
                <w:rFonts w:ascii="Arial" w:hAnsi="Arial" w:cs="Arial"/>
                <w:sz w:val="24"/>
                <w:szCs w:val="24"/>
              </w:rPr>
              <w:t>User-Generated Content</w:t>
            </w:r>
          </w:p>
        </w:tc>
      </w:tr>
      <w:tr w:rsidR="00864EC7" w14:paraId="06780E11" w14:textId="77777777" w:rsidTr="00864EC7">
        <w:tc>
          <w:tcPr>
            <w:tcW w:w="2605" w:type="dxa"/>
          </w:tcPr>
          <w:p w14:paraId="6B883697" w14:textId="69CB8930" w:rsidR="00864EC7" w:rsidRPr="003E208F" w:rsidRDefault="003E208F" w:rsidP="00864EC7">
            <w:pPr>
              <w:rPr>
                <w:rFonts w:ascii="Arial" w:hAnsi="Arial" w:cs="Arial"/>
                <w:sz w:val="24"/>
                <w:szCs w:val="24"/>
              </w:rPr>
            </w:pPr>
            <w:r w:rsidRPr="003E208F">
              <w:rPr>
                <w:rFonts w:ascii="Arial" w:hAnsi="Arial" w:cs="Arial"/>
                <w:sz w:val="24"/>
                <w:szCs w:val="24"/>
              </w:rPr>
              <w:t>UGIC</w:t>
            </w:r>
          </w:p>
        </w:tc>
        <w:tc>
          <w:tcPr>
            <w:tcW w:w="6480" w:type="dxa"/>
          </w:tcPr>
          <w:p w14:paraId="63A33012" w14:textId="070D7E0F" w:rsidR="00864EC7" w:rsidRPr="003E208F" w:rsidRDefault="003E208F" w:rsidP="00864EC7">
            <w:pPr>
              <w:rPr>
                <w:rFonts w:ascii="Arial" w:hAnsi="Arial" w:cs="Arial"/>
                <w:sz w:val="24"/>
                <w:szCs w:val="24"/>
              </w:rPr>
            </w:pPr>
            <w:r w:rsidRPr="003E208F">
              <w:rPr>
                <w:rFonts w:ascii="Arial" w:hAnsi="Arial" w:cs="Arial"/>
                <w:sz w:val="24"/>
                <w:szCs w:val="24"/>
              </w:rPr>
              <w:t>User-Generated Influencer Content</w:t>
            </w:r>
          </w:p>
        </w:tc>
      </w:tr>
      <w:tr w:rsidR="00864EC7" w14:paraId="4DFDE159" w14:textId="77777777" w:rsidTr="00864EC7">
        <w:tc>
          <w:tcPr>
            <w:tcW w:w="2605" w:type="dxa"/>
          </w:tcPr>
          <w:p w14:paraId="46C04864" w14:textId="44C0DB3B" w:rsidR="00864EC7" w:rsidRPr="003E208F" w:rsidRDefault="003E208F" w:rsidP="00864EC7">
            <w:pPr>
              <w:rPr>
                <w:rFonts w:ascii="Arial" w:hAnsi="Arial" w:cs="Arial"/>
                <w:sz w:val="24"/>
                <w:szCs w:val="24"/>
              </w:rPr>
            </w:pPr>
            <w:r w:rsidRPr="003E208F">
              <w:rPr>
                <w:rFonts w:ascii="Arial" w:hAnsi="Arial" w:cs="Arial"/>
                <w:sz w:val="24"/>
                <w:szCs w:val="24"/>
              </w:rPr>
              <w:t>UK</w:t>
            </w:r>
          </w:p>
        </w:tc>
        <w:tc>
          <w:tcPr>
            <w:tcW w:w="6480" w:type="dxa"/>
          </w:tcPr>
          <w:p w14:paraId="59A5F03B" w14:textId="736DFB4B" w:rsidR="00864EC7" w:rsidRPr="003E208F" w:rsidRDefault="003E208F" w:rsidP="00864EC7">
            <w:pPr>
              <w:rPr>
                <w:rFonts w:ascii="Arial" w:hAnsi="Arial" w:cs="Arial"/>
                <w:sz w:val="24"/>
                <w:szCs w:val="24"/>
              </w:rPr>
            </w:pPr>
            <w:r w:rsidRPr="003E208F">
              <w:rPr>
                <w:rFonts w:ascii="Arial" w:hAnsi="Arial" w:cs="Arial"/>
                <w:sz w:val="24"/>
                <w:szCs w:val="24"/>
              </w:rPr>
              <w:t>United Kingdom</w:t>
            </w:r>
          </w:p>
        </w:tc>
      </w:tr>
      <w:tr w:rsidR="00864EC7" w14:paraId="2C1FA22C" w14:textId="77777777" w:rsidTr="00864EC7">
        <w:tc>
          <w:tcPr>
            <w:tcW w:w="2605" w:type="dxa"/>
          </w:tcPr>
          <w:p w14:paraId="1FBAEBF9" w14:textId="4EB97961" w:rsidR="00864EC7" w:rsidRPr="003E208F" w:rsidRDefault="003E208F" w:rsidP="00864EC7">
            <w:pPr>
              <w:rPr>
                <w:rFonts w:ascii="Arial" w:hAnsi="Arial" w:cs="Arial"/>
                <w:sz w:val="24"/>
                <w:szCs w:val="24"/>
              </w:rPr>
            </w:pPr>
            <w:r w:rsidRPr="003E208F">
              <w:rPr>
                <w:rFonts w:ascii="Arial" w:hAnsi="Arial" w:cs="Arial"/>
                <w:sz w:val="24"/>
                <w:szCs w:val="24"/>
              </w:rPr>
              <w:t>WFA</w:t>
            </w:r>
          </w:p>
        </w:tc>
        <w:tc>
          <w:tcPr>
            <w:tcW w:w="6480" w:type="dxa"/>
          </w:tcPr>
          <w:p w14:paraId="60FB84B9" w14:textId="7EC1BBE0" w:rsidR="00864EC7" w:rsidRPr="003E208F" w:rsidRDefault="003E208F" w:rsidP="00864EC7">
            <w:pPr>
              <w:keepNext/>
              <w:rPr>
                <w:rFonts w:ascii="Arial" w:hAnsi="Arial" w:cs="Arial"/>
                <w:sz w:val="24"/>
                <w:szCs w:val="24"/>
              </w:rPr>
            </w:pPr>
            <w:r w:rsidRPr="003E208F">
              <w:rPr>
                <w:rFonts w:ascii="Arial" w:hAnsi="Arial" w:cs="Arial"/>
                <w:sz w:val="24"/>
                <w:szCs w:val="24"/>
              </w:rPr>
              <w:t>World Federation of Advertisers</w:t>
            </w:r>
          </w:p>
        </w:tc>
      </w:tr>
    </w:tbl>
    <w:p w14:paraId="196C2598" w14:textId="64EAED1E" w:rsidR="00864EC7" w:rsidRDefault="00864EC7" w:rsidP="00864EC7"/>
    <w:p w14:paraId="23977AE1" w14:textId="0551E18F" w:rsidR="00864EC7" w:rsidRDefault="00864EC7" w:rsidP="00864EC7"/>
    <w:p w14:paraId="3146D9EE" w14:textId="06235508" w:rsidR="00864EC7" w:rsidRDefault="00864EC7" w:rsidP="00864EC7"/>
    <w:p w14:paraId="1481D805" w14:textId="5448EF90" w:rsidR="00864EC7" w:rsidRDefault="00864EC7" w:rsidP="00864EC7"/>
    <w:p w14:paraId="0D1B468D" w14:textId="6A6E3D87" w:rsidR="00864EC7" w:rsidRDefault="00864EC7" w:rsidP="00864EC7"/>
    <w:p w14:paraId="223B47A0" w14:textId="573787F6" w:rsidR="00864EC7" w:rsidRDefault="00864EC7" w:rsidP="00864EC7"/>
    <w:p w14:paraId="0867C31C" w14:textId="0FB4BB61" w:rsidR="00864EC7" w:rsidRDefault="00864EC7" w:rsidP="00864EC7"/>
    <w:p w14:paraId="2385202D" w14:textId="45303112" w:rsidR="00864EC7" w:rsidRDefault="00864EC7" w:rsidP="00864EC7"/>
    <w:p w14:paraId="64D74765" w14:textId="31DACEF3" w:rsidR="00864EC7" w:rsidRDefault="00864EC7" w:rsidP="00864EC7"/>
    <w:p w14:paraId="32421147" w14:textId="2B9D91D5" w:rsidR="00864EC7" w:rsidRDefault="00864EC7" w:rsidP="00864EC7"/>
    <w:p w14:paraId="56F06554" w14:textId="5F6C3642" w:rsidR="00864EC7" w:rsidRDefault="00864EC7" w:rsidP="00864EC7"/>
    <w:p w14:paraId="556A6DA6" w14:textId="6EFD53D1" w:rsidR="00864EC7" w:rsidRDefault="00864EC7" w:rsidP="00864EC7"/>
    <w:p w14:paraId="078562F4" w14:textId="2331DF05" w:rsidR="00864EC7" w:rsidRDefault="00864EC7" w:rsidP="00864EC7"/>
    <w:p w14:paraId="4B457505" w14:textId="42A70F1E" w:rsidR="00864EC7" w:rsidRDefault="00864EC7" w:rsidP="00864EC7"/>
    <w:p w14:paraId="1DFBC49F" w14:textId="5EB2CF9E" w:rsidR="00864EC7" w:rsidRDefault="00864EC7" w:rsidP="00864EC7"/>
    <w:p w14:paraId="0CD3C1A9" w14:textId="32B91B08" w:rsidR="00864EC7" w:rsidRDefault="00864EC7" w:rsidP="00864EC7"/>
    <w:p w14:paraId="024EC2F3" w14:textId="22998ADE" w:rsidR="00864EC7" w:rsidRDefault="00864EC7" w:rsidP="00864EC7"/>
    <w:p w14:paraId="77712F07" w14:textId="4C262238" w:rsidR="00864EC7" w:rsidRDefault="00864EC7" w:rsidP="00864EC7"/>
    <w:p w14:paraId="6DFB8FCA" w14:textId="66C8233B" w:rsidR="00864EC7" w:rsidRDefault="00864EC7" w:rsidP="00864EC7"/>
    <w:p w14:paraId="26FC692C" w14:textId="3C5B958D" w:rsidR="00864EC7" w:rsidRDefault="00864EC7" w:rsidP="00864EC7"/>
    <w:p w14:paraId="20851086" w14:textId="2BD7B767" w:rsidR="00864EC7" w:rsidRDefault="00864EC7" w:rsidP="00864EC7"/>
    <w:p w14:paraId="4D2E0750" w14:textId="45A6A943" w:rsidR="003E208F" w:rsidRDefault="003E208F" w:rsidP="003E208F">
      <w:pPr>
        <w:pStyle w:val="Heading1"/>
        <w:spacing w:line="360" w:lineRule="auto"/>
        <w:rPr>
          <w:rFonts w:ascii="Arial" w:hAnsi="Arial" w:cs="Arial"/>
          <w:b/>
          <w:bCs/>
          <w:color w:val="000000" w:themeColor="text1"/>
          <w:sz w:val="24"/>
          <w:szCs w:val="24"/>
        </w:rPr>
      </w:pPr>
      <w:bookmarkStart w:id="4" w:name="_Toc229774326"/>
      <w:r>
        <w:rPr>
          <w:rFonts w:ascii="Arial" w:hAnsi="Arial" w:cs="Arial"/>
          <w:b/>
          <w:bCs/>
          <w:color w:val="000000" w:themeColor="text1"/>
          <w:sz w:val="24"/>
          <w:szCs w:val="24"/>
        </w:rPr>
        <w:lastRenderedPageBreak/>
        <w:t>Glossary</w:t>
      </w:r>
      <w:bookmarkEnd w:id="4"/>
    </w:p>
    <w:p w14:paraId="0DA3B247" w14:textId="6D32FCF5" w:rsidR="00864EC7" w:rsidRDefault="003E208F" w:rsidP="003E208F">
      <w:pPr>
        <w:spacing w:line="276" w:lineRule="auto"/>
        <w:jc w:val="both"/>
        <w:rPr>
          <w:rFonts w:ascii="Arial" w:hAnsi="Arial" w:cs="Arial"/>
          <w:sz w:val="24"/>
          <w:szCs w:val="24"/>
        </w:rPr>
      </w:pPr>
      <w:r w:rsidRPr="003E208F">
        <w:rPr>
          <w:rFonts w:ascii="Arial" w:hAnsi="Arial" w:cs="Arial"/>
          <w:b/>
          <w:bCs/>
          <w:sz w:val="24"/>
          <w:szCs w:val="24"/>
        </w:rPr>
        <w:t>Brand Ambassador</w:t>
      </w:r>
      <w:r>
        <w:rPr>
          <w:rFonts w:ascii="Arial" w:hAnsi="Arial" w:cs="Arial"/>
          <w:b/>
          <w:bCs/>
          <w:sz w:val="24"/>
          <w:szCs w:val="24"/>
        </w:rPr>
        <w:t xml:space="preserve">: </w:t>
      </w:r>
      <w:r w:rsidRPr="003E208F">
        <w:rPr>
          <w:rFonts w:ascii="Arial" w:hAnsi="Arial" w:cs="Arial"/>
          <w:sz w:val="24"/>
          <w:szCs w:val="24"/>
        </w:rPr>
        <w:t>A person, celebrity or hired person who has a contract with a brand to represent and promote its products or services in mass media. A traditional brand ambassador relationship is contractual and offers a degree of control to the brand in terms of the story.</w:t>
      </w:r>
    </w:p>
    <w:p w14:paraId="581F21F0" w14:textId="03A3715F" w:rsidR="003E208F" w:rsidRPr="003E208F" w:rsidRDefault="003E208F" w:rsidP="003E208F">
      <w:pPr>
        <w:spacing w:line="276" w:lineRule="auto"/>
        <w:jc w:val="both"/>
        <w:rPr>
          <w:rFonts w:ascii="Arial" w:hAnsi="Arial" w:cs="Arial"/>
          <w:b/>
          <w:bCs/>
          <w:sz w:val="24"/>
          <w:szCs w:val="24"/>
        </w:rPr>
      </w:pPr>
      <w:r>
        <w:rPr>
          <w:rFonts w:ascii="Arial" w:hAnsi="Arial" w:cs="Arial"/>
          <w:b/>
          <w:bCs/>
          <w:sz w:val="24"/>
          <w:szCs w:val="24"/>
        </w:rPr>
        <w:t xml:space="preserve">Brand Equity: </w:t>
      </w:r>
      <w:r w:rsidRPr="003E208F">
        <w:rPr>
          <w:rFonts w:ascii="Arial" w:hAnsi="Arial" w:cs="Arial"/>
          <w:sz w:val="24"/>
          <w:szCs w:val="24"/>
        </w:rPr>
        <w:t>The value of a brand that is perceived by the consumer, and is not related to the product or service. This dissertation defines brand equity using the concepts of Aaker (1991), who defines four dimensions (brand awareness, perceived quality, brand associations, and brand loyalty), and Keller (1993), who defines a consumer-based model which states that brand equity lies in the knowledge structures and associations that consumers develop about the brand.</w:t>
      </w:r>
    </w:p>
    <w:p w14:paraId="488918EF" w14:textId="3F4442FA" w:rsidR="00864EC7" w:rsidRDefault="003E208F" w:rsidP="00EF61B3">
      <w:pPr>
        <w:jc w:val="both"/>
        <w:rPr>
          <w:rFonts w:ascii="Arial" w:hAnsi="Arial" w:cs="Arial"/>
          <w:sz w:val="24"/>
          <w:szCs w:val="24"/>
        </w:rPr>
      </w:pPr>
      <w:r w:rsidRPr="003E208F">
        <w:rPr>
          <w:rFonts w:ascii="Arial" w:hAnsi="Arial" w:cs="Arial"/>
          <w:b/>
          <w:bCs/>
          <w:sz w:val="24"/>
          <w:szCs w:val="24"/>
        </w:rPr>
        <w:t>Consumer-Based Brand Equity (CBBE)</w:t>
      </w:r>
      <w:r>
        <w:rPr>
          <w:rFonts w:ascii="Arial" w:hAnsi="Arial" w:cs="Arial"/>
          <w:b/>
          <w:bCs/>
          <w:sz w:val="24"/>
          <w:szCs w:val="24"/>
        </w:rPr>
        <w:t xml:space="preserve">: </w:t>
      </w:r>
      <w:r w:rsidR="00EF61B3" w:rsidRPr="00EF61B3">
        <w:rPr>
          <w:rFonts w:ascii="Arial" w:hAnsi="Arial" w:cs="Arial"/>
          <w:sz w:val="24"/>
          <w:szCs w:val="24"/>
        </w:rPr>
        <w:t>A consumer-based brand equity model developed by Keller (1993), which focuses on the cognitive and affective brand associations that people build over time, and considers them as the most important source of brand value.</w:t>
      </w:r>
    </w:p>
    <w:p w14:paraId="38CA4F3B" w14:textId="1E8CD242" w:rsidR="00EF61B3" w:rsidRDefault="00EF61B3" w:rsidP="00EF61B3">
      <w:pPr>
        <w:jc w:val="both"/>
        <w:rPr>
          <w:rFonts w:ascii="Arial" w:hAnsi="Arial" w:cs="Arial"/>
          <w:sz w:val="24"/>
          <w:szCs w:val="24"/>
        </w:rPr>
      </w:pPr>
      <w:r w:rsidRPr="00EF61B3">
        <w:rPr>
          <w:rFonts w:ascii="Arial" w:hAnsi="Arial" w:cs="Arial"/>
          <w:b/>
          <w:bCs/>
          <w:sz w:val="24"/>
          <w:szCs w:val="24"/>
        </w:rPr>
        <w:t>Influencer Marketing</w:t>
      </w:r>
      <w:r>
        <w:rPr>
          <w:rFonts w:ascii="Arial" w:hAnsi="Arial" w:cs="Arial"/>
          <w:b/>
          <w:bCs/>
          <w:sz w:val="24"/>
          <w:szCs w:val="24"/>
        </w:rPr>
        <w:t xml:space="preserve">: </w:t>
      </w:r>
      <w:r w:rsidRPr="00EF61B3">
        <w:rPr>
          <w:rFonts w:ascii="Arial" w:hAnsi="Arial" w:cs="Arial"/>
          <w:sz w:val="24"/>
          <w:szCs w:val="24"/>
        </w:rPr>
        <w:t>Marketing that involves having people with a large following on social media platforms work for a brand. Influencer marketing is a range of creator types, ranging from mega-influencers to nano-influencers, with the main distinction between them being the size and nature of their audiences.</w:t>
      </w:r>
    </w:p>
    <w:p w14:paraId="1B6AFF91" w14:textId="44AEB0B3" w:rsidR="00EF61B3" w:rsidRDefault="00EF61B3" w:rsidP="00EF61B3">
      <w:pPr>
        <w:jc w:val="both"/>
        <w:rPr>
          <w:rFonts w:ascii="Arial" w:hAnsi="Arial" w:cs="Arial"/>
          <w:sz w:val="24"/>
          <w:szCs w:val="24"/>
        </w:rPr>
      </w:pPr>
      <w:r w:rsidRPr="00EF61B3">
        <w:rPr>
          <w:rFonts w:ascii="Arial" w:hAnsi="Arial" w:cs="Arial"/>
          <w:b/>
          <w:bCs/>
          <w:sz w:val="24"/>
          <w:szCs w:val="24"/>
        </w:rPr>
        <w:t>Macro-Influencer</w:t>
      </w:r>
      <w:r>
        <w:rPr>
          <w:rFonts w:ascii="Arial" w:hAnsi="Arial" w:cs="Arial"/>
          <w:b/>
          <w:bCs/>
          <w:sz w:val="24"/>
          <w:szCs w:val="24"/>
        </w:rPr>
        <w:t xml:space="preserve">: </w:t>
      </w:r>
      <w:r w:rsidRPr="00EF61B3">
        <w:rPr>
          <w:rFonts w:ascii="Arial" w:hAnsi="Arial" w:cs="Arial"/>
          <w:sz w:val="24"/>
          <w:szCs w:val="24"/>
        </w:rPr>
        <w:t>A content creator who has about 100,000 to one million users on their social media. Macro-influencers usually have a higher reach than micro-influencers, but lower engagement rates.</w:t>
      </w:r>
    </w:p>
    <w:p w14:paraId="7CBDAF25" w14:textId="2468BD00" w:rsidR="00EF61B3" w:rsidRDefault="00EF61B3" w:rsidP="00EF61B3">
      <w:pPr>
        <w:jc w:val="both"/>
        <w:rPr>
          <w:rFonts w:ascii="Arial" w:hAnsi="Arial" w:cs="Arial"/>
          <w:sz w:val="24"/>
          <w:szCs w:val="24"/>
        </w:rPr>
      </w:pPr>
      <w:r w:rsidRPr="00EF61B3">
        <w:rPr>
          <w:rFonts w:ascii="Arial" w:hAnsi="Arial" w:cs="Arial"/>
          <w:b/>
          <w:bCs/>
          <w:sz w:val="24"/>
          <w:szCs w:val="24"/>
        </w:rPr>
        <w:t>Micro-Influencer:</w:t>
      </w:r>
      <w:r>
        <w:rPr>
          <w:rFonts w:ascii="Arial" w:hAnsi="Arial" w:cs="Arial"/>
          <w:b/>
          <w:bCs/>
          <w:sz w:val="24"/>
          <w:szCs w:val="24"/>
        </w:rPr>
        <w:t xml:space="preserve"> </w:t>
      </w:r>
      <w:r w:rsidRPr="00EF61B3">
        <w:rPr>
          <w:rFonts w:ascii="Arial" w:hAnsi="Arial" w:cs="Arial"/>
          <w:sz w:val="24"/>
          <w:szCs w:val="24"/>
        </w:rPr>
        <w:t>Content creator with a social media audience of about 10,000 to 100,000 people. Micro-influencers are appreciated for their higher engagement rates, relatability, and parasocial connection with their audience compared to higher-level influencers.</w:t>
      </w:r>
    </w:p>
    <w:p w14:paraId="56003F4B" w14:textId="53D85634"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Parasocial Relationship</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psychological one-way relationship in which an audience member feels familiar, intimate or connected to a media person without having had any face-to-face interpersonal relationship with them. Parasocial relationships are seen as an important mediator of consumer engagement and purchase intention in the context of influencer marketing.</w:t>
      </w:r>
    </w:p>
    <w:p w14:paraId="6288F344" w14:textId="1080846E"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Relationship Marketing</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brand-consumer relationship that focuses on establishing and maintaining a long-term mutually beneficial relationship rather than on making a single transaction. The dissertation investigates the concept of Relationship Marketing from the perspective of the Service-Dominant Logic framework of Vargo and Lusch (2004) that views consumers as active brand value co-creators.</w:t>
      </w:r>
    </w:p>
    <w:p w14:paraId="3AE95B6F" w14:textId="171F7279"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Service-Dominant Logic (SDL)</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theory developed by Vargo and Lusch (2004) which reframes marketing exchanges as service-for-service exchanges in which value is co-created in a collaborative way involving multiple actors, including the consumer. The conceptual framework of this dissertation is based on the dimension of Relationship Marketing, which is supported by SDL.</w:t>
      </w:r>
    </w:p>
    <w:p w14:paraId="25658219" w14:textId="088D3605"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lastRenderedPageBreak/>
        <w:t>Source Credibility Theory</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theory, first developed by Hovland and Weiss (1951), which suggests that the credibility of the communicator is a key determinant in the persuasive effects of a message. There are three main dimensions of credibility: trustworthiness, expertise, and attractiveness.</w:t>
      </w:r>
    </w:p>
    <w:p w14:paraId="423CCB94" w14:textId="53F32ED5"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Systematic Literature Review (SLR)</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systematic, repeatable research process that includes the systematic identification, screening and critical appraisal of all published research relevant to a specific research question or set of research questions. For this dissertation, the SLR approach is based on the protocol created by Tranfield, Denyer and Smart (2003) and modified by Snyder (2019).</w:t>
      </w:r>
    </w:p>
    <w:p w14:paraId="315AC615" w14:textId="61D51283"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Thematic Analysis</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qualitative data analysis technique used to identify, analyse and report patterns or themes in a data set. Thematic analysis is carried out using the six-phase process suggested by Braun and Clarke (2006): familiarisation, code generation, theme development, theme review, theme definition, and write-up.</w:t>
      </w:r>
    </w:p>
    <w:p w14:paraId="026DDAE4" w14:textId="47658269"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User-Generated Content (UGC)</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Any information generated and shared by people who are not employees of the brand or the product/service itself. UGC includes reviews, photos, videos, and social media posts, and has been found to be more authentic than brand-generated content.</w:t>
      </w:r>
    </w:p>
    <w:p w14:paraId="4B730657" w14:textId="3ED83EC0" w:rsidR="00EF61B3" w:rsidRPr="00EF61B3" w:rsidRDefault="00EF61B3" w:rsidP="00EF61B3">
      <w:pPr>
        <w:jc w:val="both"/>
        <w:rPr>
          <w:rFonts w:ascii="Arial" w:hAnsi="Arial" w:cs="Arial"/>
          <w:b/>
          <w:bCs/>
          <w:sz w:val="24"/>
          <w:szCs w:val="24"/>
          <w:lang w:val="en-IN"/>
        </w:rPr>
      </w:pPr>
      <w:r w:rsidRPr="00EF61B3">
        <w:rPr>
          <w:rFonts w:ascii="Arial" w:hAnsi="Arial" w:cs="Arial"/>
          <w:b/>
          <w:bCs/>
          <w:sz w:val="24"/>
          <w:szCs w:val="24"/>
          <w:lang w:val="en-IN"/>
        </w:rPr>
        <w:t>User-Generated Influencer Content (UGIC)</w:t>
      </w:r>
      <w:r>
        <w:rPr>
          <w:rFonts w:ascii="Arial" w:hAnsi="Arial" w:cs="Arial"/>
          <w:b/>
          <w:bCs/>
          <w:sz w:val="24"/>
          <w:szCs w:val="24"/>
          <w:lang w:val="en-IN"/>
        </w:rPr>
        <w:t>:</w:t>
      </w:r>
      <w:r w:rsidRPr="00EF61B3">
        <w:rPr>
          <w:rFonts w:ascii="Arial" w:hAnsi="Arial" w:cs="Arial"/>
          <w:b/>
          <w:bCs/>
          <w:sz w:val="24"/>
          <w:szCs w:val="24"/>
          <w:lang w:val="en-IN"/>
        </w:rPr>
        <w:t xml:space="preserve"> </w:t>
      </w:r>
      <w:r w:rsidRPr="00EF61B3">
        <w:rPr>
          <w:rFonts w:ascii="Arial" w:hAnsi="Arial" w:cs="Arial"/>
          <w:sz w:val="24"/>
          <w:szCs w:val="24"/>
          <w:lang w:val="en-IN"/>
        </w:rPr>
        <w:t>A type of user-generated content created and shared by a social media personality or content creator to their existing audience, usually in an organic or minimally organized commercial arrangement, that is relevant to the brand. What sets UGIC apart from traditional brand ambassador content is that it's informal, it's perceived as authentic, and it can be amplified by algorithms.</w:t>
      </w:r>
    </w:p>
    <w:p w14:paraId="6D66171B" w14:textId="77777777" w:rsidR="00EF61B3" w:rsidRPr="00EF61B3" w:rsidRDefault="00EF61B3" w:rsidP="00EF61B3">
      <w:pPr>
        <w:jc w:val="both"/>
        <w:rPr>
          <w:rFonts w:ascii="Arial" w:hAnsi="Arial" w:cs="Arial"/>
          <w:b/>
          <w:bCs/>
          <w:sz w:val="24"/>
          <w:szCs w:val="24"/>
        </w:rPr>
      </w:pPr>
    </w:p>
    <w:p w14:paraId="32BF7462" w14:textId="77777777" w:rsidR="00EF61B3" w:rsidRPr="003E208F" w:rsidRDefault="00EF61B3" w:rsidP="00EF61B3">
      <w:pPr>
        <w:jc w:val="both"/>
        <w:rPr>
          <w:rFonts w:ascii="Arial" w:hAnsi="Arial" w:cs="Arial"/>
          <w:b/>
          <w:bCs/>
          <w:sz w:val="24"/>
          <w:szCs w:val="24"/>
        </w:rPr>
      </w:pPr>
    </w:p>
    <w:p w14:paraId="49742E05" w14:textId="09166490" w:rsidR="00864EC7" w:rsidRDefault="00864EC7" w:rsidP="00864EC7"/>
    <w:p w14:paraId="3B1CAD9F" w14:textId="1F2067AB" w:rsidR="00864EC7" w:rsidRDefault="00864EC7" w:rsidP="00864EC7"/>
    <w:p w14:paraId="3935C93D" w14:textId="5F75F2E3" w:rsidR="003E208F" w:rsidRDefault="003E208F" w:rsidP="00864EC7"/>
    <w:p w14:paraId="4AF3E47A" w14:textId="0990F963" w:rsidR="003E208F" w:rsidRDefault="003E208F" w:rsidP="00864EC7"/>
    <w:p w14:paraId="19BBEF02" w14:textId="59CCE15D" w:rsidR="003E208F" w:rsidRDefault="003E208F" w:rsidP="00864EC7"/>
    <w:p w14:paraId="23EE8B1F" w14:textId="115BF20A" w:rsidR="003E208F" w:rsidRDefault="003E208F" w:rsidP="00864EC7"/>
    <w:p w14:paraId="0F6131F1" w14:textId="1EC5A8E5" w:rsidR="003E208F" w:rsidRDefault="003E208F" w:rsidP="00864EC7"/>
    <w:p w14:paraId="1FED1177" w14:textId="64C3C584" w:rsidR="003E208F" w:rsidRDefault="003E208F" w:rsidP="00864EC7"/>
    <w:p w14:paraId="457D3723" w14:textId="6FB91FEA" w:rsidR="003E208F" w:rsidRDefault="003E208F" w:rsidP="00864EC7"/>
    <w:p w14:paraId="2C0A4AEC" w14:textId="21E8FD67" w:rsidR="003E208F" w:rsidRDefault="003E208F" w:rsidP="00864EC7"/>
    <w:p w14:paraId="1E47E7D3" w14:textId="77777777" w:rsidR="00864EC7" w:rsidRDefault="00864EC7" w:rsidP="00003F69"/>
    <w:p w14:paraId="3318EA58" w14:textId="77777777" w:rsidR="00353CA2" w:rsidRPr="00003F69" w:rsidRDefault="00353CA2" w:rsidP="00003F69">
      <w:pPr>
        <w:pStyle w:val="Heading1"/>
        <w:spacing w:line="360" w:lineRule="auto"/>
        <w:rPr>
          <w:rFonts w:ascii="Arial" w:hAnsi="Arial" w:cs="Arial"/>
          <w:b/>
          <w:bCs/>
          <w:color w:val="000000" w:themeColor="text1"/>
          <w:sz w:val="24"/>
          <w:szCs w:val="24"/>
        </w:rPr>
      </w:pPr>
      <w:bookmarkStart w:id="5" w:name="_Toc229774327"/>
      <w:r w:rsidRPr="00003F69">
        <w:rPr>
          <w:rFonts w:ascii="Arial" w:hAnsi="Arial" w:cs="Arial"/>
          <w:b/>
          <w:bCs/>
          <w:color w:val="000000" w:themeColor="text1"/>
          <w:sz w:val="24"/>
          <w:szCs w:val="24"/>
        </w:rPr>
        <w:lastRenderedPageBreak/>
        <w:t>Chapter 1: Introduction</w:t>
      </w:r>
      <w:bookmarkEnd w:id="5"/>
    </w:p>
    <w:p w14:paraId="5DE30058"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6" w:name="_Toc229774328"/>
      <w:r w:rsidRPr="00003F69">
        <w:rPr>
          <w:rFonts w:ascii="Arial" w:hAnsi="Arial" w:cs="Arial"/>
          <w:b/>
          <w:bCs/>
          <w:color w:val="000000" w:themeColor="text1"/>
          <w:sz w:val="24"/>
          <w:szCs w:val="24"/>
        </w:rPr>
        <w:t>1.1 Background and Context</w:t>
      </w:r>
      <w:bookmarkEnd w:id="6"/>
    </w:p>
    <w:p w14:paraId="1DB3B7D0" w14:textId="76C6AB3E" w:rsidR="0005585B" w:rsidRPr="0005585B" w:rsidRDefault="00733052" w:rsidP="0005585B">
      <w:pPr>
        <w:spacing w:line="360" w:lineRule="auto"/>
        <w:jc w:val="both"/>
        <w:rPr>
          <w:rFonts w:ascii="Arial" w:hAnsi="Arial" w:cs="Arial"/>
          <w:sz w:val="24"/>
          <w:szCs w:val="24"/>
        </w:rPr>
      </w:pPr>
      <w:r w:rsidRPr="00733052">
        <w:rPr>
          <w:rFonts w:ascii="Arial" w:hAnsi="Arial" w:cs="Arial"/>
          <w:sz w:val="24"/>
          <w:szCs w:val="24"/>
        </w:rPr>
        <w:t xml:space="preserve">The global retail marketing landscape has seen a paradigm shift due to the rise of digital platforms and content creation democratization. </w:t>
      </w:r>
      <w:r w:rsidR="005854E7" w:rsidRPr="005854E7">
        <w:rPr>
          <w:rFonts w:ascii="Arial" w:hAnsi="Arial" w:cs="Arial"/>
          <w:sz w:val="24"/>
          <w:szCs w:val="24"/>
        </w:rPr>
        <w:t>Traditionally, multinational brands have used brand ambassadors, celebrities, and influencers, paid to promote their values, spread their messages, and secure brand loyalty through various mass media, such as TV, print, and outdoor ads (Lee et al., 2024). These classic endorsement scenarios have traditionally played out within contractual parameters, relying mostly on Source Credibility Theory, which holds that the persuasiveness of a marketing message is greatly influenced by how credible and competent the message’s source is perceived to be (van Reijmersdal, Walet, &amp; Gudmundsdottir, 2024)</w:t>
      </w:r>
      <w:r w:rsidRPr="00733052">
        <w:rPr>
          <w:rFonts w:ascii="Arial" w:hAnsi="Arial" w:cs="Arial"/>
          <w:sz w:val="24"/>
          <w:szCs w:val="24"/>
        </w:rPr>
        <w:t>, wherein the endorser’s prestige is considered sufficient to transfer associations to the brand to encourage consumer purchase (Chiu and Ho, 2023).</w:t>
      </w:r>
    </w:p>
    <w:p w14:paraId="5A3CD670" w14:textId="77777777" w:rsidR="000A54BF" w:rsidRDefault="005854E7" w:rsidP="0005585B">
      <w:pPr>
        <w:spacing w:line="360" w:lineRule="auto"/>
        <w:jc w:val="both"/>
        <w:rPr>
          <w:rFonts w:ascii="Arial" w:hAnsi="Arial" w:cs="Arial"/>
          <w:sz w:val="24"/>
          <w:szCs w:val="24"/>
        </w:rPr>
      </w:pPr>
      <w:r w:rsidRPr="005854E7">
        <w:rPr>
          <w:rFonts w:ascii="Arial" w:hAnsi="Arial" w:cs="Arial"/>
          <w:sz w:val="24"/>
          <w:szCs w:val="24"/>
        </w:rPr>
        <w:t xml:space="preserve">A fundamental disruption in the marketing field has occurred with the emergence of user-generated influencer content (UGIC), in which consumers and social media personalities create content that promotes a brand through organic means of digital marketing (Gupta and Verma, 2025). In fact, more than 60 percent of Generation Z consumers follow at least one social media influencer, and the trust in peer-generated content is much higher than the trust in brand-generated content (Statista, 2024). The global influencer marketing market is expected to reach a value of 32.55 billion US dollars by 2025 (Influencer Marketing Hub, 2026). </w:t>
      </w:r>
    </w:p>
    <w:p w14:paraId="42E3FF6A" w14:textId="047A4981" w:rsidR="000A54BF" w:rsidRPr="00353CA2" w:rsidRDefault="00BB4EDA" w:rsidP="0005585B">
      <w:pPr>
        <w:spacing w:line="360" w:lineRule="auto"/>
        <w:jc w:val="both"/>
        <w:rPr>
          <w:rFonts w:ascii="Arial" w:hAnsi="Arial" w:cs="Arial"/>
          <w:sz w:val="24"/>
          <w:szCs w:val="24"/>
        </w:rPr>
      </w:pPr>
      <w:r w:rsidRPr="00BB4EDA">
        <w:rPr>
          <w:rFonts w:ascii="Arial" w:hAnsi="Arial" w:cs="Arial"/>
          <w:sz w:val="24"/>
          <w:szCs w:val="24"/>
        </w:rPr>
        <w:t>This is not just a shift in terms of how we communicate a message; scholars have argued that UGIC fundamentally alters the relationship between a brand, consumer, and how we understand meaning creation. When we examine this through a Relationship Marketing paradigm, we can see this as a shift in value co-creation; consumers are no longer passive recipients but co-create a brand’s identity and brand equity (Bell, Bryman, &amp; Harley, 2019; Kumar &amp; Jibril, 2025). For multinational retail organizations operating in a variety of markets, this creates managerial complexities.</w:t>
      </w:r>
    </w:p>
    <w:p w14:paraId="73B0843C"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7" w:name="_Toc229774329"/>
      <w:r w:rsidRPr="00003F69">
        <w:rPr>
          <w:rFonts w:ascii="Arial" w:hAnsi="Arial" w:cs="Arial"/>
          <w:b/>
          <w:bCs/>
          <w:color w:val="000000" w:themeColor="text1"/>
          <w:sz w:val="24"/>
          <w:szCs w:val="24"/>
        </w:rPr>
        <w:t>1.2 Research Problem</w:t>
      </w:r>
      <w:bookmarkEnd w:id="7"/>
    </w:p>
    <w:p w14:paraId="0427A2E8" w14:textId="07C16FB1" w:rsidR="0005585B" w:rsidRPr="0005585B" w:rsidRDefault="00BB4EDA" w:rsidP="0005585B">
      <w:pPr>
        <w:spacing w:line="360" w:lineRule="auto"/>
        <w:jc w:val="both"/>
        <w:rPr>
          <w:rFonts w:ascii="Arial" w:hAnsi="Arial" w:cs="Arial"/>
          <w:sz w:val="24"/>
          <w:szCs w:val="24"/>
        </w:rPr>
      </w:pPr>
      <w:r w:rsidRPr="00BB4EDA">
        <w:rPr>
          <w:rFonts w:ascii="Arial" w:hAnsi="Arial" w:cs="Arial"/>
          <w:sz w:val="24"/>
          <w:szCs w:val="24"/>
        </w:rPr>
        <w:t xml:space="preserve">However, the academic debate on the strategic implications of UGIC’s rapid market development still lingers behind the curve. Most studies on the topic focus on consumer behavior, while there is a lack of comparative studies on the traditional </w:t>
      </w:r>
      <w:r w:rsidRPr="00BB4EDA">
        <w:rPr>
          <w:rFonts w:ascii="Arial" w:hAnsi="Arial" w:cs="Arial"/>
          <w:sz w:val="24"/>
          <w:szCs w:val="24"/>
        </w:rPr>
        <w:lastRenderedPageBreak/>
        <w:t>ambassador role compared with the role of UGIC in the international retail industry (Jain, 2024).</w:t>
      </w:r>
      <w:r w:rsidR="005854E7" w:rsidRPr="005854E7">
        <w:rPr>
          <w:rFonts w:ascii="Arial" w:hAnsi="Arial" w:cs="Arial"/>
          <w:sz w:val="24"/>
          <w:szCs w:val="24"/>
        </w:rPr>
        <w:t xml:space="preserve"> Established models such as Brand Equity Theory by Keller (1993) and Aaker (1991), and Source Credibility Theory have yet to be leveraged to explain the implications for brand equity dimensions in relation to the migration towards UGIC (Han and Balabanis, 2024).</w:t>
      </w:r>
    </w:p>
    <w:p w14:paraId="50598D06" w14:textId="12D3F85C" w:rsidR="00353CA2" w:rsidRDefault="000A54BF" w:rsidP="0005585B">
      <w:pPr>
        <w:spacing w:line="360" w:lineRule="auto"/>
        <w:jc w:val="both"/>
        <w:rPr>
          <w:rFonts w:ascii="Arial" w:hAnsi="Arial" w:cs="Arial"/>
          <w:sz w:val="24"/>
          <w:szCs w:val="24"/>
        </w:rPr>
      </w:pPr>
      <w:r w:rsidRPr="000A54BF">
        <w:rPr>
          <w:rFonts w:ascii="Arial" w:hAnsi="Arial" w:cs="Arial"/>
          <w:sz w:val="24"/>
          <w:szCs w:val="24"/>
        </w:rPr>
        <w:t>Another level of danger is apparent with the decentralized pattern of content development. With more brands passing the message over to a wide group of influencers, the potential for conflicting stories, regulatory blunders, and reputational issues increases (Petkovska, 2025). Also, the increasing skepticism of consumers toward undisclosed paid partnerships is a significant problem for the industry. For instance, research has demonstrated that the factor of transparency in sponsorship has a significant impact on the perceived believability of the content promoted by an influencer and, in turn, the way the consumer feels about the brand being promoted (Lee et al., 2024). This is a significant problem for global retailers because the brand equity of the retailer is an important financial and strategic asset.</w:t>
      </w:r>
    </w:p>
    <w:p w14:paraId="79EA5E2B" w14:textId="75CA1AEF" w:rsidR="000A54BF" w:rsidRPr="00353CA2" w:rsidRDefault="000A54BF" w:rsidP="0005585B">
      <w:pPr>
        <w:spacing w:line="360" w:lineRule="auto"/>
        <w:jc w:val="both"/>
        <w:rPr>
          <w:rFonts w:ascii="Arial" w:hAnsi="Arial" w:cs="Arial"/>
          <w:sz w:val="24"/>
          <w:szCs w:val="24"/>
        </w:rPr>
      </w:pPr>
      <w:r w:rsidRPr="000A54BF">
        <w:rPr>
          <w:rFonts w:ascii="Arial" w:hAnsi="Arial" w:cs="Arial"/>
          <w:sz w:val="24"/>
          <w:szCs w:val="24"/>
        </w:rPr>
        <w:t xml:space="preserve">The major strategic issue is whether multinational brand retails should adopt UGIC in its entirety or stick to traditional ambassador programs or adopt a hybrid approach combining elements of both. This important aspect is not adequately investigated in the existing literature (Gupta </w:t>
      </w:r>
      <w:r>
        <w:rPr>
          <w:rFonts w:ascii="Arial" w:hAnsi="Arial" w:cs="Arial"/>
          <w:sz w:val="24"/>
          <w:szCs w:val="24"/>
        </w:rPr>
        <w:t>and</w:t>
      </w:r>
      <w:r w:rsidRPr="000A54BF">
        <w:rPr>
          <w:rFonts w:ascii="Arial" w:hAnsi="Arial" w:cs="Arial"/>
          <w:sz w:val="24"/>
          <w:szCs w:val="24"/>
        </w:rPr>
        <w:t xml:space="preserve"> Verma, 2025). This current study attempts to bridge this knowledge gap by critically examining the transition of brand retails from traditional brand ambassadors to UGIC in global brand marketing strategy.</w:t>
      </w:r>
    </w:p>
    <w:p w14:paraId="1683EC6F"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8" w:name="_Toc229774330"/>
      <w:r w:rsidRPr="00003F69">
        <w:rPr>
          <w:rFonts w:ascii="Arial" w:hAnsi="Arial" w:cs="Arial"/>
          <w:b/>
          <w:bCs/>
          <w:color w:val="000000" w:themeColor="text1"/>
          <w:sz w:val="24"/>
          <w:szCs w:val="24"/>
        </w:rPr>
        <w:t>1.3 Research Aim and Objectives</w:t>
      </w:r>
      <w:bookmarkEnd w:id="8"/>
    </w:p>
    <w:p w14:paraId="5E121C37" w14:textId="711E841B" w:rsidR="00353CA2" w:rsidRPr="00353CA2" w:rsidRDefault="00BB4EDA" w:rsidP="00353CA2">
      <w:pPr>
        <w:spacing w:line="360" w:lineRule="auto"/>
        <w:jc w:val="both"/>
        <w:rPr>
          <w:rFonts w:ascii="Arial" w:hAnsi="Arial" w:cs="Arial"/>
          <w:sz w:val="24"/>
          <w:szCs w:val="24"/>
        </w:rPr>
      </w:pPr>
      <w:r w:rsidRPr="00BB4EDA">
        <w:rPr>
          <w:rFonts w:ascii="Arial" w:hAnsi="Arial" w:cs="Arial"/>
          <w:sz w:val="24"/>
          <w:szCs w:val="24"/>
        </w:rPr>
        <w:t>This study aims to explore one of the turning points in global retail marketing, specifically, how there is a shift away from brand ambassadors towards content created by users, termed influencers, and what this means for brand equity, customer relationships, and brand positioning in a competitive market</w:t>
      </w:r>
      <w:r w:rsidR="005854E7" w:rsidRPr="005854E7">
        <w:rPr>
          <w:rFonts w:ascii="Arial" w:hAnsi="Arial" w:cs="Arial"/>
          <w:sz w:val="24"/>
          <w:szCs w:val="24"/>
        </w:rPr>
        <w:t>.</w:t>
      </w:r>
    </w:p>
    <w:p w14:paraId="32575EA2" w14:textId="686A5C80" w:rsidR="00353CA2" w:rsidRPr="00353CA2" w:rsidRDefault="00353CA2" w:rsidP="00353CA2">
      <w:pPr>
        <w:spacing w:line="360" w:lineRule="auto"/>
        <w:jc w:val="both"/>
        <w:rPr>
          <w:rFonts w:ascii="Arial" w:hAnsi="Arial" w:cs="Arial"/>
          <w:sz w:val="24"/>
          <w:szCs w:val="24"/>
        </w:rPr>
      </w:pPr>
      <w:r w:rsidRPr="00353CA2">
        <w:rPr>
          <w:rFonts w:ascii="Arial" w:hAnsi="Arial" w:cs="Arial"/>
          <w:sz w:val="24"/>
          <w:szCs w:val="24"/>
        </w:rPr>
        <w:t>In pursuit of this aim, the study is guided by the following objectives:</w:t>
      </w:r>
    </w:p>
    <w:p w14:paraId="5CD648CA" w14:textId="77777777" w:rsidR="00353CA2" w:rsidRPr="0005585B" w:rsidRDefault="00353CA2" w:rsidP="0005585B">
      <w:pPr>
        <w:pStyle w:val="ListParagraph"/>
        <w:numPr>
          <w:ilvl w:val="0"/>
          <w:numId w:val="1"/>
        </w:numPr>
        <w:spacing w:line="360" w:lineRule="auto"/>
        <w:jc w:val="both"/>
        <w:rPr>
          <w:rFonts w:ascii="Arial" w:hAnsi="Arial" w:cs="Arial"/>
          <w:sz w:val="24"/>
          <w:szCs w:val="24"/>
        </w:rPr>
      </w:pPr>
      <w:r w:rsidRPr="0005585B">
        <w:rPr>
          <w:rFonts w:ascii="Arial" w:hAnsi="Arial" w:cs="Arial"/>
          <w:sz w:val="24"/>
          <w:szCs w:val="24"/>
        </w:rPr>
        <w:t>To explore the characteristics of traditional brand ambassador strategies in global retail marketing.</w:t>
      </w:r>
    </w:p>
    <w:p w14:paraId="23B3425B" w14:textId="77777777" w:rsidR="00353CA2" w:rsidRPr="0005585B" w:rsidRDefault="00353CA2" w:rsidP="0005585B">
      <w:pPr>
        <w:pStyle w:val="ListParagraph"/>
        <w:numPr>
          <w:ilvl w:val="0"/>
          <w:numId w:val="1"/>
        </w:numPr>
        <w:spacing w:line="360" w:lineRule="auto"/>
        <w:jc w:val="both"/>
        <w:rPr>
          <w:rFonts w:ascii="Arial" w:hAnsi="Arial" w:cs="Arial"/>
          <w:sz w:val="24"/>
          <w:szCs w:val="24"/>
        </w:rPr>
      </w:pPr>
      <w:r w:rsidRPr="0005585B">
        <w:rPr>
          <w:rFonts w:ascii="Arial" w:hAnsi="Arial" w:cs="Arial"/>
          <w:sz w:val="24"/>
          <w:szCs w:val="24"/>
        </w:rPr>
        <w:t>To analyse the emergence and growth of user-generated influencer content in international markets.</w:t>
      </w:r>
    </w:p>
    <w:p w14:paraId="2F054FC9" w14:textId="77777777" w:rsidR="00353CA2" w:rsidRPr="0005585B" w:rsidRDefault="00353CA2" w:rsidP="0005585B">
      <w:pPr>
        <w:pStyle w:val="ListParagraph"/>
        <w:numPr>
          <w:ilvl w:val="0"/>
          <w:numId w:val="1"/>
        </w:numPr>
        <w:spacing w:line="360" w:lineRule="auto"/>
        <w:jc w:val="both"/>
        <w:rPr>
          <w:rFonts w:ascii="Arial" w:hAnsi="Arial" w:cs="Arial"/>
          <w:sz w:val="24"/>
          <w:szCs w:val="24"/>
        </w:rPr>
      </w:pPr>
      <w:r w:rsidRPr="0005585B">
        <w:rPr>
          <w:rFonts w:ascii="Arial" w:hAnsi="Arial" w:cs="Arial"/>
          <w:sz w:val="24"/>
          <w:szCs w:val="24"/>
        </w:rPr>
        <w:t>To compare the strategic advantages and limitations of both approaches.</w:t>
      </w:r>
    </w:p>
    <w:p w14:paraId="79D2AABB" w14:textId="77777777" w:rsidR="00353CA2" w:rsidRPr="0005585B" w:rsidRDefault="00353CA2" w:rsidP="0005585B">
      <w:pPr>
        <w:pStyle w:val="ListParagraph"/>
        <w:numPr>
          <w:ilvl w:val="0"/>
          <w:numId w:val="1"/>
        </w:numPr>
        <w:spacing w:line="360" w:lineRule="auto"/>
        <w:jc w:val="both"/>
        <w:rPr>
          <w:rFonts w:ascii="Arial" w:hAnsi="Arial" w:cs="Arial"/>
          <w:sz w:val="24"/>
          <w:szCs w:val="24"/>
        </w:rPr>
      </w:pPr>
      <w:r w:rsidRPr="0005585B">
        <w:rPr>
          <w:rFonts w:ascii="Arial" w:hAnsi="Arial" w:cs="Arial"/>
          <w:sz w:val="24"/>
          <w:szCs w:val="24"/>
        </w:rPr>
        <w:lastRenderedPageBreak/>
        <w:t>To examine the impact of this shift on brand equity and consumer trust.</w:t>
      </w:r>
    </w:p>
    <w:p w14:paraId="1422B454" w14:textId="3D69F041" w:rsidR="00353CA2" w:rsidRPr="0005585B" w:rsidRDefault="00353CA2" w:rsidP="00353CA2">
      <w:pPr>
        <w:pStyle w:val="ListParagraph"/>
        <w:numPr>
          <w:ilvl w:val="0"/>
          <w:numId w:val="1"/>
        </w:numPr>
        <w:spacing w:line="360" w:lineRule="auto"/>
        <w:jc w:val="both"/>
        <w:rPr>
          <w:rFonts w:ascii="Arial" w:hAnsi="Arial" w:cs="Arial"/>
          <w:sz w:val="24"/>
          <w:szCs w:val="24"/>
        </w:rPr>
      </w:pPr>
      <w:r w:rsidRPr="0005585B">
        <w:rPr>
          <w:rFonts w:ascii="Arial" w:hAnsi="Arial" w:cs="Arial"/>
          <w:sz w:val="24"/>
          <w:szCs w:val="24"/>
        </w:rPr>
        <w:t>To evaluate the implications of this transformation for multinational retail firms.</w:t>
      </w:r>
    </w:p>
    <w:p w14:paraId="126CA3BB"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9" w:name="_Toc229774331"/>
      <w:r w:rsidRPr="00003F69">
        <w:rPr>
          <w:rFonts w:ascii="Arial" w:hAnsi="Arial" w:cs="Arial"/>
          <w:b/>
          <w:bCs/>
          <w:color w:val="000000" w:themeColor="text1"/>
          <w:sz w:val="24"/>
          <w:szCs w:val="24"/>
        </w:rPr>
        <w:t>1.4 Research Questions</w:t>
      </w:r>
      <w:bookmarkEnd w:id="9"/>
    </w:p>
    <w:p w14:paraId="4C710448" w14:textId="2432CC53" w:rsidR="00353CA2" w:rsidRPr="00353CA2" w:rsidRDefault="00353CA2" w:rsidP="00353CA2">
      <w:pPr>
        <w:spacing w:line="360" w:lineRule="auto"/>
        <w:jc w:val="both"/>
        <w:rPr>
          <w:rFonts w:ascii="Arial" w:hAnsi="Arial" w:cs="Arial"/>
          <w:sz w:val="24"/>
          <w:szCs w:val="24"/>
        </w:rPr>
      </w:pPr>
      <w:r w:rsidRPr="00353CA2">
        <w:rPr>
          <w:rFonts w:ascii="Arial" w:hAnsi="Arial" w:cs="Arial"/>
          <w:sz w:val="24"/>
          <w:szCs w:val="24"/>
        </w:rPr>
        <w:t>The study is structured around four principal research questions:</w:t>
      </w:r>
    </w:p>
    <w:p w14:paraId="26BE25C9" w14:textId="77777777" w:rsidR="00353CA2" w:rsidRPr="0005585B" w:rsidRDefault="00353CA2" w:rsidP="0005585B">
      <w:pPr>
        <w:pStyle w:val="ListParagraph"/>
        <w:numPr>
          <w:ilvl w:val="0"/>
          <w:numId w:val="2"/>
        </w:numPr>
        <w:spacing w:line="360" w:lineRule="auto"/>
        <w:jc w:val="both"/>
        <w:rPr>
          <w:rFonts w:ascii="Arial" w:hAnsi="Arial" w:cs="Arial"/>
          <w:sz w:val="24"/>
          <w:szCs w:val="24"/>
        </w:rPr>
      </w:pPr>
      <w:r w:rsidRPr="0005585B">
        <w:rPr>
          <w:rFonts w:ascii="Arial" w:hAnsi="Arial" w:cs="Arial"/>
          <w:sz w:val="24"/>
          <w:szCs w:val="24"/>
        </w:rPr>
        <w:t>What strategic factors have driven the shift from traditional brand ambassadors to user-generated influencer content in global retail marketing?</w:t>
      </w:r>
    </w:p>
    <w:p w14:paraId="67BC4B83" w14:textId="77777777" w:rsidR="00353CA2" w:rsidRPr="0005585B" w:rsidRDefault="00353CA2" w:rsidP="0005585B">
      <w:pPr>
        <w:pStyle w:val="ListParagraph"/>
        <w:numPr>
          <w:ilvl w:val="0"/>
          <w:numId w:val="2"/>
        </w:numPr>
        <w:spacing w:line="360" w:lineRule="auto"/>
        <w:jc w:val="both"/>
        <w:rPr>
          <w:rFonts w:ascii="Arial" w:hAnsi="Arial" w:cs="Arial"/>
          <w:sz w:val="24"/>
          <w:szCs w:val="24"/>
        </w:rPr>
      </w:pPr>
      <w:r w:rsidRPr="0005585B">
        <w:rPr>
          <w:rFonts w:ascii="Arial" w:hAnsi="Arial" w:cs="Arial"/>
          <w:sz w:val="24"/>
          <w:szCs w:val="24"/>
        </w:rPr>
        <w:t>How does user-generated influencer content influence brand credibility and consumer engagement compared to traditional endorsements?</w:t>
      </w:r>
    </w:p>
    <w:p w14:paraId="3DA9C2F9" w14:textId="77777777" w:rsidR="00353CA2" w:rsidRPr="0005585B" w:rsidRDefault="00353CA2" w:rsidP="0005585B">
      <w:pPr>
        <w:pStyle w:val="ListParagraph"/>
        <w:numPr>
          <w:ilvl w:val="0"/>
          <w:numId w:val="2"/>
        </w:numPr>
        <w:spacing w:line="360" w:lineRule="auto"/>
        <w:jc w:val="both"/>
        <w:rPr>
          <w:rFonts w:ascii="Arial" w:hAnsi="Arial" w:cs="Arial"/>
          <w:sz w:val="24"/>
          <w:szCs w:val="24"/>
        </w:rPr>
      </w:pPr>
      <w:r w:rsidRPr="0005585B">
        <w:rPr>
          <w:rFonts w:ascii="Arial" w:hAnsi="Arial" w:cs="Arial"/>
          <w:sz w:val="24"/>
          <w:szCs w:val="24"/>
        </w:rPr>
        <w:t>What are the risks and opportunities associated with this transition for multinational retail brands?</w:t>
      </w:r>
    </w:p>
    <w:p w14:paraId="68284AC6" w14:textId="6C7495E7" w:rsidR="00353CA2" w:rsidRPr="0005585B" w:rsidRDefault="00353CA2" w:rsidP="00353CA2">
      <w:pPr>
        <w:pStyle w:val="ListParagraph"/>
        <w:numPr>
          <w:ilvl w:val="0"/>
          <w:numId w:val="2"/>
        </w:numPr>
        <w:spacing w:line="360" w:lineRule="auto"/>
        <w:jc w:val="both"/>
        <w:rPr>
          <w:rFonts w:ascii="Arial" w:hAnsi="Arial" w:cs="Arial"/>
          <w:sz w:val="24"/>
          <w:szCs w:val="24"/>
        </w:rPr>
      </w:pPr>
      <w:r w:rsidRPr="0005585B">
        <w:rPr>
          <w:rFonts w:ascii="Arial" w:hAnsi="Arial" w:cs="Arial"/>
          <w:sz w:val="24"/>
          <w:szCs w:val="24"/>
        </w:rPr>
        <w:t>How should global retail firms strategically adapt to this evolving marketing landscape?</w:t>
      </w:r>
    </w:p>
    <w:p w14:paraId="6CC986DD"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10" w:name="_Toc229774332"/>
      <w:r w:rsidRPr="00003F69">
        <w:rPr>
          <w:rFonts w:ascii="Arial" w:hAnsi="Arial" w:cs="Arial"/>
          <w:b/>
          <w:bCs/>
          <w:color w:val="000000" w:themeColor="text1"/>
          <w:sz w:val="24"/>
          <w:szCs w:val="24"/>
        </w:rPr>
        <w:t>1.5 Significance and Rationale of the Study</w:t>
      </w:r>
      <w:bookmarkEnd w:id="10"/>
    </w:p>
    <w:p w14:paraId="6331A85F" w14:textId="63A47B2C" w:rsidR="0005585B" w:rsidRPr="0005585B" w:rsidRDefault="00BB4EDA" w:rsidP="0005585B">
      <w:pPr>
        <w:spacing w:line="360" w:lineRule="auto"/>
        <w:jc w:val="both"/>
        <w:rPr>
          <w:rFonts w:ascii="Arial" w:hAnsi="Arial" w:cs="Arial"/>
          <w:sz w:val="24"/>
          <w:szCs w:val="24"/>
        </w:rPr>
      </w:pPr>
      <w:r w:rsidRPr="00BB4EDA">
        <w:rPr>
          <w:rFonts w:ascii="Arial" w:hAnsi="Arial" w:cs="Arial"/>
          <w:sz w:val="24"/>
          <w:szCs w:val="24"/>
        </w:rPr>
        <w:t>The importance of this research is that it connects theory with practice. From a theoretical perspective, this research is at a fascinating juncture in brand management, strategic marketing, and digital communication. This research revisits old ground in theory to examine an important but relatively unexplored trend in brand management. Brand Equity Theory, as conceptualized by Keller (1993) and Aaker (1991), forms the basis for analyzing the impact of alterations in marketing strategy on brand equity. Keller’s conceptualization of customer-based brand equity is that the equity of a brand resides in the minds of customers and is constructed through the relationships and associations that customers develop with the brand. The emergence of UGIC adds complex layers to brand associations and perceptions that need to be examined in relation to existing brand positioning.</w:t>
      </w:r>
    </w:p>
    <w:p w14:paraId="6B460E77" w14:textId="3EF4DA4F" w:rsidR="00353CA2" w:rsidRDefault="00BB4EDA" w:rsidP="0005585B">
      <w:pPr>
        <w:spacing w:line="360" w:lineRule="auto"/>
        <w:jc w:val="both"/>
        <w:rPr>
          <w:rFonts w:ascii="Arial" w:hAnsi="Arial" w:cs="Arial"/>
          <w:sz w:val="24"/>
          <w:szCs w:val="24"/>
        </w:rPr>
      </w:pPr>
      <w:r w:rsidRPr="00BB4EDA">
        <w:rPr>
          <w:rFonts w:ascii="Arial" w:hAnsi="Arial" w:cs="Arial"/>
          <w:sz w:val="24"/>
          <w:szCs w:val="24"/>
        </w:rPr>
        <w:t xml:space="preserve">Indeed, there is also significant empirical support for the commercial logic informing this research. For instance, the meta-analytic study by Han and Balabanis (2024) included 53 studies and 250 effect sizes. The authors’ findings highlighted the importance of influencers’ credibility, the authenticity of the content they contribute, and the product’s congruence as the primary antecedents of consumers’ engagement and purchase intention. Another extensive meta-analytic study by Lee et al. (2024) included an assessment of 13,766 participants and 39 experimental studies. Their findings suggested that social media influencers are comparable to celebrity endorsers </w:t>
      </w:r>
      <w:r w:rsidRPr="00BB4EDA">
        <w:rPr>
          <w:rFonts w:ascii="Arial" w:hAnsi="Arial" w:cs="Arial"/>
          <w:sz w:val="24"/>
          <w:szCs w:val="24"/>
        </w:rPr>
        <w:lastRenderedPageBreak/>
        <w:t>in advertising effectiveness but are more effective than brand messages alone. Overall, the above findings suggest that the strategic move toward UGIC represents a substantively supported reorientation in marketing modalities rather than a fleeting trend. Moreover, the effectiveness of influencers is substantially enhanced by high levels of perceived credibility – an issue with direct implications for the effective management of influencers by global retail brands.</w:t>
      </w:r>
    </w:p>
    <w:p w14:paraId="48FB7F9A" w14:textId="73BFE59F" w:rsidR="000A54BF" w:rsidRPr="00353CA2" w:rsidRDefault="00BB4EDA" w:rsidP="0005585B">
      <w:pPr>
        <w:spacing w:line="360" w:lineRule="auto"/>
        <w:jc w:val="both"/>
        <w:rPr>
          <w:rFonts w:ascii="Arial" w:hAnsi="Arial" w:cs="Arial"/>
          <w:sz w:val="24"/>
          <w:szCs w:val="24"/>
        </w:rPr>
      </w:pPr>
      <w:r w:rsidRPr="00BB4EDA">
        <w:rPr>
          <w:rFonts w:ascii="Arial" w:hAnsi="Arial" w:cs="Arial"/>
          <w:sz w:val="24"/>
          <w:szCs w:val="24"/>
        </w:rPr>
        <w:t>From a practical perspective, the study has direct implications for marketing managers and executives of multinational retail organizations. From the changing landscape of customer-brand engagement with the advent of the digital transformation, marketing practices that do not evolve with the changing landscape may lose significance and impact the competitive advantage of the firm (Paul, 2024). Customer-generated contents have been identified as an important driver for building trust for brands in the digital environment. Brands that are effective in leveraging this trend are ahead of the curve compared with traditional advertising approaches (Hochstein, Harmeling and Perko, 2023). The implications of the study are relevant and applicable for practitioners seeking to navigate the transition from ambassador-based marketing approaches to influencer-based marketing approaches.</w:t>
      </w:r>
    </w:p>
    <w:p w14:paraId="79A5D58D"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11" w:name="_Toc229774333"/>
      <w:r w:rsidRPr="00003F69">
        <w:rPr>
          <w:rFonts w:ascii="Arial" w:hAnsi="Arial" w:cs="Arial"/>
          <w:b/>
          <w:bCs/>
          <w:color w:val="000000" w:themeColor="text1"/>
          <w:sz w:val="24"/>
          <w:szCs w:val="24"/>
        </w:rPr>
        <w:t>1.6 Theoretical Framework</w:t>
      </w:r>
      <w:bookmarkEnd w:id="11"/>
    </w:p>
    <w:p w14:paraId="223190EE" w14:textId="7CB592E5" w:rsidR="000A54BF" w:rsidRDefault="00BB4EDA" w:rsidP="00353CA2">
      <w:pPr>
        <w:spacing w:line="360" w:lineRule="auto"/>
        <w:jc w:val="both"/>
        <w:rPr>
          <w:rFonts w:ascii="Arial" w:hAnsi="Arial" w:cs="Arial"/>
          <w:sz w:val="24"/>
          <w:szCs w:val="24"/>
        </w:rPr>
      </w:pPr>
      <w:r w:rsidRPr="00BB4EDA">
        <w:rPr>
          <w:rFonts w:ascii="Arial" w:hAnsi="Arial" w:cs="Arial"/>
          <w:sz w:val="24"/>
          <w:szCs w:val="24"/>
        </w:rPr>
        <w:t>This study is informed by three interrelated theories. First, there is the Source Credibility Theory, which indicates that what drives a person is the credibility and attractiveness of a source. This particular theory enables a researcher to investigate how a traditional celebrity brand ambassador compares to a user-generated influencer brand ambassador, as it pertains to consumer perception, as well as brand attitude and purchase likelihood. A study has shown that an influencer who is considered knowledgeable, relatable, and transparent is considered more credible, which results in a more positive brand attitude (van Reijmersdal, Walet, and Gudmundsdottir, 2024).</w:t>
      </w:r>
    </w:p>
    <w:p w14:paraId="0AFE3406" w14:textId="1A4F33AD" w:rsidR="000A54BF" w:rsidRDefault="005854E7" w:rsidP="00353CA2">
      <w:pPr>
        <w:spacing w:line="360" w:lineRule="auto"/>
        <w:jc w:val="both"/>
        <w:rPr>
          <w:rFonts w:ascii="Arial" w:hAnsi="Arial" w:cs="Arial"/>
          <w:sz w:val="24"/>
          <w:szCs w:val="24"/>
        </w:rPr>
      </w:pPr>
      <w:r w:rsidRPr="005854E7">
        <w:rPr>
          <w:rFonts w:ascii="Arial" w:hAnsi="Arial" w:cs="Arial"/>
          <w:sz w:val="24"/>
          <w:szCs w:val="24"/>
        </w:rPr>
        <w:t xml:space="preserve">The second is the Brand Equity Theory, which </w:t>
      </w:r>
      <w:r w:rsidR="0004565A" w:rsidRPr="0004565A">
        <w:rPr>
          <w:rFonts w:ascii="Arial" w:hAnsi="Arial" w:cs="Arial"/>
          <w:sz w:val="24"/>
          <w:szCs w:val="24"/>
        </w:rPr>
        <w:t xml:space="preserve">provides a strategic framework to evaluate how marketing efforts impact brand value. Aaker defines brand equity as a multi-dimensional construct including brand awareness, perceived quality, brand associations, and brand loyalty that can be enhanced or diminished through a company’s communications efforts. Keller expands upon this concept by focusing on the cognitive and affective connections people make with a brand, ultimately defining </w:t>
      </w:r>
      <w:r w:rsidR="0004565A" w:rsidRPr="0004565A">
        <w:rPr>
          <w:rFonts w:ascii="Arial" w:hAnsi="Arial" w:cs="Arial"/>
          <w:sz w:val="24"/>
          <w:szCs w:val="24"/>
        </w:rPr>
        <w:lastRenderedPageBreak/>
        <w:t>brand equity as a function of customers. To transition from a more traditional ambassador program to a user-generated influencer content (UGIC) strategy has obvious implications on brand associations and brand quality, which are increasingly being informed by influencer content narratives (Kumar and Jibril, 2025).</w:t>
      </w:r>
      <w:r w:rsidRPr="005854E7">
        <w:rPr>
          <w:rFonts w:ascii="Arial" w:hAnsi="Arial" w:cs="Arial"/>
          <w:sz w:val="24"/>
          <w:szCs w:val="24"/>
        </w:rPr>
        <w:t xml:space="preserve"> </w:t>
      </w:r>
    </w:p>
    <w:p w14:paraId="22003FAB" w14:textId="75934802" w:rsidR="00353CA2" w:rsidRPr="00353CA2" w:rsidRDefault="005854E7" w:rsidP="00353CA2">
      <w:pPr>
        <w:spacing w:line="360" w:lineRule="auto"/>
        <w:jc w:val="both"/>
        <w:rPr>
          <w:rFonts w:ascii="Arial" w:hAnsi="Arial" w:cs="Arial"/>
          <w:sz w:val="24"/>
          <w:szCs w:val="24"/>
        </w:rPr>
      </w:pPr>
      <w:r w:rsidRPr="005854E7">
        <w:rPr>
          <w:rFonts w:ascii="Arial" w:hAnsi="Arial" w:cs="Arial"/>
          <w:sz w:val="24"/>
          <w:szCs w:val="24"/>
        </w:rPr>
        <w:t xml:space="preserve">The final lens is the Relationship Marketing theory, which views the role of UGIC in terms of the co-creation of brand value with the consumer. </w:t>
      </w:r>
      <w:r w:rsidR="000A54BF" w:rsidRPr="000A54BF">
        <w:rPr>
          <w:rFonts w:ascii="Arial" w:hAnsi="Arial" w:cs="Arial"/>
          <w:sz w:val="24"/>
          <w:szCs w:val="24"/>
        </w:rPr>
        <w:t>This also explains the essence of UGIC and its capacity for generating interest among consumers beyond the normal scope of advertising campaigns (Impression Digital, 2025)</w:t>
      </w:r>
      <w:r w:rsidR="0005585B" w:rsidRPr="0005585B">
        <w:rPr>
          <w:rFonts w:ascii="Arial" w:hAnsi="Arial" w:cs="Arial"/>
          <w:sz w:val="24"/>
          <w:szCs w:val="24"/>
        </w:rPr>
        <w:t xml:space="preserve">. </w:t>
      </w:r>
      <w:r w:rsidRPr="005854E7">
        <w:rPr>
          <w:rFonts w:ascii="Arial" w:hAnsi="Arial" w:cs="Arial"/>
          <w:sz w:val="24"/>
          <w:szCs w:val="24"/>
        </w:rPr>
        <w:t>These frameworks collectively provide a unified theory base for this area of study.</w:t>
      </w:r>
    </w:p>
    <w:p w14:paraId="7E9745A7" w14:textId="77777777" w:rsidR="00353CA2" w:rsidRPr="00003F69" w:rsidRDefault="00353CA2" w:rsidP="00003F69">
      <w:pPr>
        <w:pStyle w:val="Heading2"/>
        <w:spacing w:line="360" w:lineRule="auto"/>
        <w:rPr>
          <w:rFonts w:ascii="Arial" w:hAnsi="Arial" w:cs="Arial"/>
          <w:b/>
          <w:bCs/>
          <w:color w:val="000000" w:themeColor="text1"/>
          <w:sz w:val="24"/>
          <w:szCs w:val="24"/>
        </w:rPr>
      </w:pPr>
      <w:bookmarkStart w:id="12" w:name="_Toc229774334"/>
      <w:r w:rsidRPr="00003F69">
        <w:rPr>
          <w:rFonts w:ascii="Arial" w:hAnsi="Arial" w:cs="Arial"/>
          <w:b/>
          <w:bCs/>
          <w:color w:val="000000" w:themeColor="text1"/>
          <w:sz w:val="24"/>
          <w:szCs w:val="24"/>
        </w:rPr>
        <w:t>1.7 Overview of Dissertation Structure</w:t>
      </w:r>
      <w:bookmarkEnd w:id="12"/>
    </w:p>
    <w:p w14:paraId="0062A89F" w14:textId="30E0A886" w:rsidR="001A1653" w:rsidRDefault="00415E44" w:rsidP="00353CA2">
      <w:pPr>
        <w:spacing w:line="360" w:lineRule="auto"/>
        <w:jc w:val="both"/>
        <w:rPr>
          <w:rFonts w:ascii="Arial" w:hAnsi="Arial" w:cs="Arial"/>
          <w:sz w:val="24"/>
          <w:szCs w:val="24"/>
        </w:rPr>
      </w:pPr>
      <w:r w:rsidRPr="00415E44">
        <w:rPr>
          <w:rFonts w:ascii="Arial" w:hAnsi="Arial" w:cs="Arial"/>
          <w:sz w:val="24"/>
          <w:szCs w:val="24"/>
        </w:rPr>
        <w:t>This dissertation is divided into six chapters. After this introduction, Chapter Two discusses the literature review of traditional brand ambassador concepts, the concept of UGIC, and theoretical perspectives. In the next chapter, Chapter Three, there is a discussion of the methodology of conducting qualitative secondary research. In Chapter Four, there is a discussion of the findings of conducting qualitative secondary research, while Chapter Five interprets these findings against the research questions and theoretical perspectives. Finally, there is a conclusion drawn in Chapter Six, which includes a summary of contributions, limitations, and future research directions.</w:t>
      </w:r>
    </w:p>
    <w:p w14:paraId="35ADE91C" w14:textId="6BD49523" w:rsidR="00A861CB" w:rsidRDefault="00A861CB" w:rsidP="00353CA2">
      <w:pPr>
        <w:spacing w:line="360" w:lineRule="auto"/>
        <w:jc w:val="both"/>
        <w:rPr>
          <w:rFonts w:ascii="Arial" w:hAnsi="Arial" w:cs="Arial"/>
          <w:sz w:val="24"/>
          <w:szCs w:val="24"/>
        </w:rPr>
      </w:pPr>
    </w:p>
    <w:p w14:paraId="556A41DF" w14:textId="686DE00D" w:rsidR="00A861CB" w:rsidRDefault="00A861CB" w:rsidP="00353CA2">
      <w:pPr>
        <w:spacing w:line="360" w:lineRule="auto"/>
        <w:jc w:val="both"/>
        <w:rPr>
          <w:rFonts w:ascii="Arial" w:hAnsi="Arial" w:cs="Arial"/>
          <w:sz w:val="24"/>
          <w:szCs w:val="24"/>
        </w:rPr>
      </w:pPr>
    </w:p>
    <w:p w14:paraId="5A393CF8" w14:textId="60E4E5A9" w:rsidR="00A861CB" w:rsidRDefault="00A861CB" w:rsidP="00353CA2">
      <w:pPr>
        <w:spacing w:line="360" w:lineRule="auto"/>
        <w:jc w:val="both"/>
        <w:rPr>
          <w:rFonts w:ascii="Arial" w:hAnsi="Arial" w:cs="Arial"/>
          <w:sz w:val="24"/>
          <w:szCs w:val="24"/>
        </w:rPr>
      </w:pPr>
    </w:p>
    <w:p w14:paraId="484B6FFE" w14:textId="111436D2" w:rsidR="00A861CB" w:rsidRDefault="00A861CB" w:rsidP="00353CA2">
      <w:pPr>
        <w:spacing w:line="360" w:lineRule="auto"/>
        <w:jc w:val="both"/>
        <w:rPr>
          <w:rFonts w:ascii="Arial" w:hAnsi="Arial" w:cs="Arial"/>
          <w:sz w:val="24"/>
          <w:szCs w:val="24"/>
        </w:rPr>
      </w:pPr>
    </w:p>
    <w:p w14:paraId="4F87DE12" w14:textId="2A5F32D4" w:rsidR="00A861CB" w:rsidRDefault="00A861CB" w:rsidP="00353CA2">
      <w:pPr>
        <w:spacing w:line="360" w:lineRule="auto"/>
        <w:jc w:val="both"/>
        <w:rPr>
          <w:rFonts w:ascii="Arial" w:hAnsi="Arial" w:cs="Arial"/>
          <w:sz w:val="24"/>
          <w:szCs w:val="24"/>
        </w:rPr>
      </w:pPr>
    </w:p>
    <w:p w14:paraId="212DC423" w14:textId="0D977CDA" w:rsidR="00A861CB" w:rsidRDefault="00A861CB" w:rsidP="00353CA2">
      <w:pPr>
        <w:spacing w:line="360" w:lineRule="auto"/>
        <w:jc w:val="both"/>
        <w:rPr>
          <w:rFonts w:ascii="Arial" w:hAnsi="Arial" w:cs="Arial"/>
          <w:sz w:val="24"/>
          <w:szCs w:val="24"/>
        </w:rPr>
      </w:pPr>
    </w:p>
    <w:p w14:paraId="079D63DB" w14:textId="3C0C85ED" w:rsidR="00003F69" w:rsidRDefault="00003F69" w:rsidP="00353CA2">
      <w:pPr>
        <w:spacing w:line="360" w:lineRule="auto"/>
        <w:jc w:val="both"/>
        <w:rPr>
          <w:rFonts w:ascii="Arial" w:hAnsi="Arial" w:cs="Arial"/>
          <w:sz w:val="24"/>
          <w:szCs w:val="24"/>
        </w:rPr>
      </w:pPr>
    </w:p>
    <w:p w14:paraId="477AA5DF" w14:textId="473A2E82" w:rsidR="00003F69" w:rsidRDefault="00003F69" w:rsidP="00353CA2">
      <w:pPr>
        <w:spacing w:line="360" w:lineRule="auto"/>
        <w:jc w:val="both"/>
        <w:rPr>
          <w:rFonts w:ascii="Arial" w:hAnsi="Arial" w:cs="Arial"/>
          <w:sz w:val="24"/>
          <w:szCs w:val="24"/>
        </w:rPr>
      </w:pPr>
    </w:p>
    <w:p w14:paraId="1E170A8B" w14:textId="74FC3DC0" w:rsidR="00003F69" w:rsidRDefault="00003F69" w:rsidP="00353CA2">
      <w:pPr>
        <w:spacing w:line="360" w:lineRule="auto"/>
        <w:jc w:val="both"/>
        <w:rPr>
          <w:rFonts w:ascii="Arial" w:hAnsi="Arial" w:cs="Arial"/>
          <w:sz w:val="24"/>
          <w:szCs w:val="24"/>
        </w:rPr>
      </w:pPr>
    </w:p>
    <w:p w14:paraId="0BD9E4FE" w14:textId="77777777" w:rsidR="00003F69" w:rsidRDefault="00003F69" w:rsidP="00353CA2">
      <w:pPr>
        <w:spacing w:line="360" w:lineRule="auto"/>
        <w:jc w:val="both"/>
        <w:rPr>
          <w:rFonts w:ascii="Arial" w:hAnsi="Arial" w:cs="Arial"/>
          <w:sz w:val="24"/>
          <w:szCs w:val="24"/>
        </w:rPr>
      </w:pPr>
    </w:p>
    <w:p w14:paraId="2F21E0B6" w14:textId="41B68341" w:rsidR="00A861CB" w:rsidRDefault="00A861CB" w:rsidP="00353CA2">
      <w:pPr>
        <w:spacing w:line="360" w:lineRule="auto"/>
        <w:jc w:val="both"/>
        <w:rPr>
          <w:rFonts w:ascii="Arial" w:hAnsi="Arial" w:cs="Arial"/>
          <w:sz w:val="24"/>
          <w:szCs w:val="24"/>
        </w:rPr>
      </w:pPr>
    </w:p>
    <w:p w14:paraId="3BBE7F7D" w14:textId="77777777" w:rsidR="00A861CB" w:rsidRPr="00003F69" w:rsidRDefault="00A861CB" w:rsidP="00003F69">
      <w:pPr>
        <w:pStyle w:val="Heading1"/>
        <w:spacing w:line="360" w:lineRule="auto"/>
        <w:rPr>
          <w:rFonts w:ascii="Arial" w:hAnsi="Arial" w:cs="Arial"/>
          <w:b/>
          <w:bCs/>
          <w:color w:val="000000" w:themeColor="text1"/>
          <w:sz w:val="24"/>
          <w:szCs w:val="24"/>
        </w:rPr>
      </w:pPr>
      <w:bookmarkStart w:id="13" w:name="_Toc229774335"/>
      <w:r w:rsidRPr="00003F69">
        <w:rPr>
          <w:rFonts w:ascii="Arial" w:hAnsi="Arial" w:cs="Arial"/>
          <w:b/>
          <w:bCs/>
          <w:color w:val="000000" w:themeColor="text1"/>
          <w:sz w:val="24"/>
          <w:szCs w:val="24"/>
        </w:rPr>
        <w:lastRenderedPageBreak/>
        <w:t>Chapter 2: Literature Review</w:t>
      </w:r>
      <w:bookmarkEnd w:id="13"/>
    </w:p>
    <w:p w14:paraId="162DAB97"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4" w:name="_Toc229774336"/>
      <w:r w:rsidRPr="00003F69">
        <w:rPr>
          <w:rFonts w:ascii="Arial" w:hAnsi="Arial" w:cs="Arial"/>
          <w:b/>
          <w:bCs/>
          <w:color w:val="000000" w:themeColor="text1"/>
          <w:sz w:val="24"/>
          <w:szCs w:val="24"/>
        </w:rPr>
        <w:t>2.1 Introduction</w:t>
      </w:r>
      <w:bookmarkEnd w:id="14"/>
    </w:p>
    <w:p w14:paraId="711C76C6" w14:textId="77777777" w:rsidR="00A861CB" w:rsidRPr="00E923B5" w:rsidRDefault="00A861CB" w:rsidP="00A861CB">
      <w:pPr>
        <w:spacing w:line="360" w:lineRule="auto"/>
        <w:jc w:val="both"/>
        <w:rPr>
          <w:rFonts w:ascii="Arial" w:hAnsi="Arial" w:cs="Arial"/>
          <w:sz w:val="24"/>
          <w:szCs w:val="24"/>
          <w:lang w:val="en-IN"/>
        </w:rPr>
      </w:pPr>
      <w:r w:rsidRPr="00E923B5">
        <w:rPr>
          <w:rFonts w:ascii="Arial" w:hAnsi="Arial" w:cs="Arial"/>
          <w:sz w:val="24"/>
          <w:szCs w:val="24"/>
          <w:lang w:val="en-IN"/>
        </w:rPr>
        <w:t>This chapter reviews existing literature relevant to the strategic shift from traditional brand ambassador models towards user-generated influencer content (UGIC) in global retail marketing. The review is significant because the commercial landscape in which multinational retail firms operate has changed considerably over the past decade, and the academic literature has not always kept pace with the strategic realities facing practitioners. The influencer marketing sector was valued at 21.1 billion US dollars in 2023, growing to around 24 billion US dollars in 2024, and projections suggest it will reach 32.55 billion US dollars by 2025 (Influencer Marketing Hub, 2026). These figures alone justify a serious examination of what this growth means for brands that have traditionally relied on contractual ambassador arrangements.</w:t>
      </w:r>
    </w:p>
    <w:p w14:paraId="6C058F99" w14:textId="77777777" w:rsidR="00A861CB" w:rsidRPr="00E923B5" w:rsidRDefault="00A861CB" w:rsidP="00A861CB">
      <w:pPr>
        <w:spacing w:line="360" w:lineRule="auto"/>
        <w:jc w:val="both"/>
        <w:rPr>
          <w:rFonts w:ascii="Arial" w:hAnsi="Arial" w:cs="Arial"/>
          <w:sz w:val="24"/>
          <w:szCs w:val="24"/>
          <w:lang w:val="en-IN"/>
        </w:rPr>
      </w:pPr>
      <w:r w:rsidRPr="00675A79">
        <w:rPr>
          <w:rFonts w:ascii="Arial" w:hAnsi="Arial" w:cs="Arial"/>
          <w:sz w:val="24"/>
          <w:szCs w:val="24"/>
          <w:lang w:val="en-IN"/>
        </w:rPr>
        <w:t>The significance of this review is that it is necessary to know whether the transition to UGIC is a really new strategic direction or just a continuation of old endorsement logic. It would not be possible to determine what is already known, where the evidence is still limited and how this study can contribute something of value without reference to existing scholarship. The review will focus on three key areas, including the theoretical and practical foundation of conventional brand ambassador strategies, the nature, development, and theoretical foundation of UGIC, and the strategic implications of brand equity, consumer trust, and multinational retail governance as compared to each other. The review is thematically structured, starting with the traditional models and then proceeding to UGIC, followed by a comparative analysis, brand equity impacts, strategic implications to multinational firms and finally the research gap and conceptual framework. The chapter is designed in a way that it directly answers the research aims and questions as stated in Chapter 1.</w:t>
      </w:r>
    </w:p>
    <w:p w14:paraId="2C62E296"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5" w:name="_Toc229774337"/>
      <w:r w:rsidRPr="00003F69">
        <w:rPr>
          <w:rFonts w:ascii="Arial" w:hAnsi="Arial" w:cs="Arial"/>
          <w:b/>
          <w:bCs/>
          <w:color w:val="000000" w:themeColor="text1"/>
          <w:sz w:val="24"/>
          <w:szCs w:val="24"/>
        </w:rPr>
        <w:t>2.2 Traditional Brand Ambassador Models in Global Retail Marketing</w:t>
      </w:r>
      <w:bookmarkEnd w:id="15"/>
    </w:p>
    <w:p w14:paraId="689B4DA9" w14:textId="77777777" w:rsidR="00A861CB" w:rsidRPr="00C216F5" w:rsidRDefault="00A861CB" w:rsidP="00A861CB">
      <w:pPr>
        <w:spacing w:line="360" w:lineRule="auto"/>
        <w:jc w:val="both"/>
        <w:rPr>
          <w:rFonts w:ascii="Arial" w:hAnsi="Arial" w:cs="Arial"/>
          <w:sz w:val="24"/>
          <w:szCs w:val="24"/>
        </w:rPr>
      </w:pPr>
      <w:r w:rsidRPr="00C216F5">
        <w:rPr>
          <w:rFonts w:ascii="Arial" w:hAnsi="Arial" w:cs="Arial"/>
          <w:sz w:val="24"/>
          <w:szCs w:val="24"/>
        </w:rPr>
        <w:t xml:space="preserve">The concept of brand ambassador has been a key aspect of multinational retail marketing over decades. The overall reasoning is simple: when a well-known and respected person is linked to a brand, the company tries to transfer the positive connotations of this person to the product or service that they are promoting (Chiu and Ho, 2023). These agreements have traditionally been structured on the basis of formal contracts and tend to feature celebrities, athletes, or other high-profile personalities </w:t>
      </w:r>
      <w:r w:rsidRPr="00C216F5">
        <w:rPr>
          <w:rFonts w:ascii="Arial" w:hAnsi="Arial" w:cs="Arial"/>
          <w:sz w:val="24"/>
          <w:szCs w:val="24"/>
        </w:rPr>
        <w:lastRenderedPageBreak/>
        <w:t>who are active in mass-market media outlets including television, print, and outdoor advertising (Lee et al., 2024).</w:t>
      </w:r>
    </w:p>
    <w:p w14:paraId="28FF3CF0" w14:textId="77777777" w:rsidR="00A861CB" w:rsidRDefault="00A861CB" w:rsidP="00A861CB">
      <w:pPr>
        <w:spacing w:line="360" w:lineRule="auto"/>
        <w:jc w:val="both"/>
        <w:rPr>
          <w:rFonts w:ascii="Arial" w:hAnsi="Arial" w:cs="Arial"/>
          <w:sz w:val="24"/>
          <w:szCs w:val="24"/>
        </w:rPr>
      </w:pPr>
      <w:r w:rsidRPr="00C216F5">
        <w:rPr>
          <w:rFonts w:ascii="Arial" w:hAnsi="Arial" w:cs="Arial"/>
          <w:sz w:val="24"/>
          <w:szCs w:val="24"/>
        </w:rPr>
        <w:t>The most common theoretical explanation of why these arrangements are effective is Source Credibility Theory that was initially formalised by Hovland and Weiss (1951). The theory suggests that the persuasive power of any communication largely depends on the way the audience perceives the source, especially whether or not the source is perceived to be trustworthy, expert and attractive. This has been applied in the marketing context to suggest that a credible celebrity endorser is an effective way to lend their social status and perceived authority to the brand, which is more likely to make consumers positively respond to the message of the brand (van Reijmersdal, Walet and Gudmundsdottir, 2024). The Source Credibility Theory has gained popularity in the endorsement literature and is one of the most commonly used theories in this field (Knoll and Matthes, 2017).</w:t>
      </w:r>
      <w:r>
        <w:rPr>
          <w:rFonts w:ascii="Arial" w:hAnsi="Arial" w:cs="Arial"/>
          <w:sz w:val="24"/>
          <w:szCs w:val="24"/>
        </w:rPr>
        <w:t xml:space="preserve"> </w:t>
      </w:r>
    </w:p>
    <w:p w14:paraId="62D19648" w14:textId="77777777" w:rsidR="00A861CB" w:rsidRDefault="00A861CB" w:rsidP="00A861CB">
      <w:pPr>
        <w:spacing w:line="360" w:lineRule="auto"/>
        <w:jc w:val="both"/>
        <w:rPr>
          <w:rFonts w:ascii="Arial" w:hAnsi="Arial" w:cs="Arial"/>
          <w:sz w:val="24"/>
          <w:szCs w:val="24"/>
        </w:rPr>
      </w:pPr>
      <w:r w:rsidRPr="00C216F5">
        <w:rPr>
          <w:rFonts w:ascii="Arial" w:hAnsi="Arial" w:cs="Arial"/>
          <w:sz w:val="24"/>
          <w:szCs w:val="24"/>
        </w:rPr>
        <w:t>The frameworks that are commonly used to assess the brand equity aspect of the traditional ambassador arrangements are the ones that were created by Keller (1993) and Aaker (1991). The model of customer-based brand equity by Keller (1993) revolves around the notion that the value of a brand lies more in the minds of customers, that is, in the knowledge, associations and feelings that customers have towards the brand. Aaker (1991) also theorised brand equity as a multidimensional construct that includes brand awareness, perceived quality, brand associations and brand loyalty, which can be enhanced or diminished by marketing communications. The general body of research indicates that endorsements by celebrities, when the identity of the endorser and the positioning of the brand are highly congruent, can have a positive impact on multiple of these dimensions at the same time (Han and Balabanis, 2024). The meta-analytic study by Knoll and Matthes (2017) that examined 46 studies with more than 10,000 participants proved that celebrity endorsements have the potential to produce positive attitudinal effects, but the magnitude and direction of these effects are strongly contingent on moderating factors, including the type of endorser, gender, and product fit.</w:t>
      </w:r>
    </w:p>
    <w:p w14:paraId="1D7F32DB" w14:textId="77777777" w:rsidR="00A861CB" w:rsidRDefault="00A861CB" w:rsidP="00A861CB">
      <w:pPr>
        <w:spacing w:line="360" w:lineRule="auto"/>
        <w:jc w:val="both"/>
        <w:rPr>
          <w:rFonts w:ascii="Arial" w:hAnsi="Arial" w:cs="Arial"/>
          <w:sz w:val="24"/>
          <w:szCs w:val="24"/>
        </w:rPr>
      </w:pPr>
      <w:r w:rsidRPr="00C216F5">
        <w:rPr>
          <w:rFonts w:ascii="Arial" w:hAnsi="Arial" w:cs="Arial"/>
          <w:sz w:val="24"/>
          <w:szCs w:val="24"/>
        </w:rPr>
        <w:t xml:space="preserve">Although theoretically justified, classical models of ambassadors have important structural disadvantages. To begin with, these endorsements are expensive; deals with high-profile personalities can cost tens of millions of US dollars a year, which can </w:t>
      </w:r>
      <w:r w:rsidRPr="00C216F5">
        <w:rPr>
          <w:rFonts w:ascii="Arial" w:hAnsi="Arial" w:cs="Arial"/>
          <w:sz w:val="24"/>
          <w:szCs w:val="24"/>
        </w:rPr>
        <w:lastRenderedPageBreak/>
        <w:t>be a significant financial burden that is hard to justify unless it can provide tangible returns in brand equity (Lee et al., 2024; Cheah, Koay and Lim, 2024). Second, these agreements are usually rigid, trapping brands into multi-year exclusivity agreements that limit their responsiveness to market or consumer preferences changes (Gupta and Verma, 2025). Third, the effectiveness of any conventional ambassador strategy is directly related to the long-term reputation of the person endorser, i.e., a personal scandal or reputation crisis can hurt the brand in a short period of time and significantly (van Reijmersdal, Walet and Gudmundsdottir, 2024). The latter has been demonstrated in several high-profile cases over the years, but the exact magnitude of such effects is hard to generalise across various contexts.</w:t>
      </w:r>
    </w:p>
    <w:p w14:paraId="33CEC836" w14:textId="77777777" w:rsidR="00A861CB" w:rsidRDefault="00A861CB" w:rsidP="00A861CB">
      <w:pPr>
        <w:spacing w:line="360" w:lineRule="auto"/>
        <w:jc w:val="both"/>
        <w:rPr>
          <w:rFonts w:ascii="Arial" w:hAnsi="Arial" w:cs="Arial"/>
          <w:sz w:val="24"/>
          <w:szCs w:val="24"/>
        </w:rPr>
      </w:pPr>
      <w:r w:rsidRPr="009772E9">
        <w:rPr>
          <w:rFonts w:ascii="Arial" w:hAnsi="Arial" w:cs="Arial"/>
          <w:sz w:val="24"/>
          <w:szCs w:val="24"/>
        </w:rPr>
        <w:t xml:space="preserve">The cultural variability of the effectiveness of celebrity endorsement has also been studied recently. As an example, </w:t>
      </w:r>
      <w:r>
        <w:rPr>
          <w:rFonts w:ascii="Arial" w:hAnsi="Arial" w:cs="Arial"/>
          <w:sz w:val="24"/>
          <w:szCs w:val="24"/>
        </w:rPr>
        <w:t>Ni-Ying et al.</w:t>
      </w:r>
      <w:r w:rsidRPr="009772E9">
        <w:rPr>
          <w:rFonts w:ascii="Arial" w:hAnsi="Arial" w:cs="Arial"/>
          <w:sz w:val="24"/>
          <w:szCs w:val="24"/>
        </w:rPr>
        <w:t xml:space="preserve"> (202</w:t>
      </w:r>
      <w:r>
        <w:rPr>
          <w:rFonts w:ascii="Arial" w:hAnsi="Arial" w:cs="Arial"/>
          <w:sz w:val="24"/>
          <w:szCs w:val="24"/>
        </w:rPr>
        <w:t>5</w:t>
      </w:r>
      <w:r w:rsidRPr="009772E9">
        <w:rPr>
          <w:rFonts w:ascii="Arial" w:hAnsi="Arial" w:cs="Arial"/>
          <w:sz w:val="24"/>
          <w:szCs w:val="24"/>
        </w:rPr>
        <w:t xml:space="preserve">) posit that the credibility of a celebrity is extremely dependent on the collectivist or individualist cultural orientations, in which collectivist societies will prioritize more on the perceived moral uprightness of the endorsers. Likewise, </w:t>
      </w:r>
      <w:r w:rsidRPr="00896CC4">
        <w:rPr>
          <w:rFonts w:ascii="Arial" w:hAnsi="Arial" w:cs="Arial"/>
          <w:sz w:val="24"/>
          <w:szCs w:val="24"/>
        </w:rPr>
        <w:t xml:space="preserve">Patel, Arroyo-Cañada and Gil-Lafuente </w:t>
      </w:r>
      <w:r>
        <w:rPr>
          <w:rFonts w:ascii="Arial" w:hAnsi="Arial" w:cs="Arial"/>
          <w:sz w:val="24"/>
          <w:szCs w:val="24"/>
        </w:rPr>
        <w:t>(</w:t>
      </w:r>
      <w:r w:rsidRPr="00896CC4">
        <w:rPr>
          <w:rFonts w:ascii="Arial" w:hAnsi="Arial" w:cs="Arial"/>
          <w:sz w:val="24"/>
          <w:szCs w:val="24"/>
        </w:rPr>
        <w:t>2023)</w:t>
      </w:r>
      <w:r w:rsidRPr="009772E9">
        <w:rPr>
          <w:rFonts w:ascii="Arial" w:hAnsi="Arial" w:cs="Arial"/>
          <w:sz w:val="24"/>
          <w:szCs w:val="24"/>
        </w:rPr>
        <w:t xml:space="preserve"> emphasize that cross-cultural campaigns tend to fail when the personas of the celebrities do not resonate with the local cultural stories and, therefore, they do not resonate.</w:t>
      </w:r>
      <w:r w:rsidRPr="007C6BEF">
        <w:t xml:space="preserve"> </w:t>
      </w:r>
      <w:r w:rsidRPr="007C6BEF">
        <w:rPr>
          <w:rFonts w:ascii="Arial" w:hAnsi="Arial" w:cs="Arial"/>
          <w:sz w:val="24"/>
          <w:szCs w:val="24"/>
        </w:rPr>
        <w:t>The more sceptical consumers in saturated markets are towards traditional mass-media advertising, the more effective are influencer strategies based on credibility (De Araujo et al., 2025), which indirectly diminishes the relative strategic value of expensive celebrity contracts</w:t>
      </w:r>
      <w:r w:rsidRPr="009772E9">
        <w:rPr>
          <w:rFonts w:ascii="Arial" w:hAnsi="Arial" w:cs="Arial"/>
          <w:sz w:val="24"/>
          <w:szCs w:val="24"/>
        </w:rPr>
        <w:t xml:space="preserve">. Furthermore, reputational risks have been increased in the digital age, with scandals going viral on social media, increasing the negative spill-over effects on related brands </w:t>
      </w:r>
      <w:r w:rsidRPr="005B1B74">
        <w:rPr>
          <w:rFonts w:ascii="Arial" w:hAnsi="Arial" w:cs="Arial"/>
          <w:sz w:val="24"/>
          <w:szCs w:val="24"/>
        </w:rPr>
        <w:t>(Yao, Liu and Guo, 2025)</w:t>
      </w:r>
      <w:r w:rsidRPr="009772E9">
        <w:rPr>
          <w:rFonts w:ascii="Arial" w:hAnsi="Arial" w:cs="Arial"/>
          <w:sz w:val="24"/>
          <w:szCs w:val="24"/>
        </w:rPr>
        <w:t>. These findings are indicative of the fact that traditional ambassador models still have symbolic importance, but the strategic usefulness of the models is becoming more limited due to cultural, financial, and reputational contingencies.</w:t>
      </w:r>
    </w:p>
    <w:p w14:paraId="1EE3927D" w14:textId="77777777" w:rsidR="00A861CB" w:rsidRPr="00353CA2" w:rsidRDefault="00A861CB" w:rsidP="00A861CB">
      <w:pPr>
        <w:spacing w:line="360" w:lineRule="auto"/>
        <w:jc w:val="both"/>
        <w:rPr>
          <w:rFonts w:ascii="Arial" w:hAnsi="Arial" w:cs="Arial"/>
          <w:sz w:val="24"/>
          <w:szCs w:val="24"/>
        </w:rPr>
      </w:pPr>
      <w:r w:rsidRPr="00C216F5">
        <w:rPr>
          <w:rFonts w:ascii="Arial" w:hAnsi="Arial" w:cs="Arial"/>
          <w:sz w:val="24"/>
          <w:szCs w:val="24"/>
        </w:rPr>
        <w:t xml:space="preserve">Moreover, the attitude of consumers towards the endorsement of celebrities seems to have changed over the last few years, especially among younger generations. According to the statistics provided by Influencer Marketing Hub (2026), in 2023 approximately 11 per cent of consumers preferred celebrity endorsers, which implies that the credibility that was traditionally related to the status of a celebrity is losing its grip on large portions of the retail market. Van Reijmersdal, Walet and Gudmundsdottir (2024) discovered that endorser self-presentation, especially the degree to which an </w:t>
      </w:r>
      <w:r w:rsidRPr="00C216F5">
        <w:rPr>
          <w:rFonts w:ascii="Arial" w:hAnsi="Arial" w:cs="Arial"/>
          <w:sz w:val="24"/>
          <w:szCs w:val="24"/>
        </w:rPr>
        <w:lastRenderedPageBreak/>
        <w:t>endorser conveys transparency and relatability is a significant moderator of brand attitude formation, and this is an aspect that celebrity-led campaigns have traditionally struggled to optimise. In a study that relies on 39 studies and 13,766 participants, Lee et al. (2024) discovered that, although traditional endorsers continue to have an advantage in terms of legacy and mass-market, social media influencers exhibit similar or even greater effectiveness in most advertising outcomes.</w:t>
      </w:r>
    </w:p>
    <w:p w14:paraId="1B779B35"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6" w:name="_Toc229774338"/>
      <w:r w:rsidRPr="00003F69">
        <w:rPr>
          <w:rFonts w:ascii="Arial" w:hAnsi="Arial" w:cs="Arial"/>
          <w:b/>
          <w:bCs/>
          <w:color w:val="000000" w:themeColor="text1"/>
          <w:sz w:val="24"/>
          <w:szCs w:val="24"/>
        </w:rPr>
        <w:t>2.3 The Emergence and Growth of User-Generated Influencer Content</w:t>
      </w:r>
      <w:bookmarkEnd w:id="16"/>
    </w:p>
    <w:p w14:paraId="5689F2E8" w14:textId="77777777" w:rsidR="00A861CB" w:rsidRDefault="00A861CB" w:rsidP="00A861CB">
      <w:pPr>
        <w:spacing w:line="360" w:lineRule="auto"/>
        <w:jc w:val="both"/>
        <w:rPr>
          <w:rFonts w:ascii="Arial" w:hAnsi="Arial" w:cs="Arial"/>
          <w:sz w:val="24"/>
          <w:szCs w:val="24"/>
        </w:rPr>
      </w:pPr>
      <w:r w:rsidRPr="002E6EFC">
        <w:rPr>
          <w:rFonts w:ascii="Arial" w:hAnsi="Arial" w:cs="Arial"/>
          <w:sz w:val="24"/>
          <w:szCs w:val="24"/>
        </w:rPr>
        <w:t>The introduction of UGIC as a specific and strategically significant form of marketing is indicative of a more general shift in the digital communications world (Ren et al., 2022). The social media platforms Instagram, Tik Tok, and YouTube, among others, have changed the situation when marketing content is produced, distributed, and consumed radically, as ordinary consumers, micro-celebrities, and content creators in niche areas can build a following and largely influence the purchasing decision (Gupta and Verma, 2025). This has been characterised as a democratisation of influence, a transition to a model where a small group of institutional actors had marketing power to one where it is distributed among a large and diverse network of individuals (Jain, 2024).</w:t>
      </w:r>
    </w:p>
    <w:p w14:paraId="05388008" w14:textId="77777777" w:rsidR="00A861CB" w:rsidRPr="00FB3B32" w:rsidRDefault="00A861CB" w:rsidP="00A861CB">
      <w:pPr>
        <w:spacing w:line="360" w:lineRule="auto"/>
        <w:jc w:val="both"/>
        <w:rPr>
          <w:rFonts w:ascii="Arial" w:hAnsi="Arial" w:cs="Arial"/>
          <w:sz w:val="24"/>
          <w:szCs w:val="24"/>
        </w:rPr>
      </w:pPr>
      <w:r w:rsidRPr="009772E9">
        <w:rPr>
          <w:rFonts w:ascii="Arial" w:hAnsi="Arial" w:cs="Arial"/>
          <w:sz w:val="24"/>
          <w:szCs w:val="24"/>
        </w:rPr>
        <w:t xml:space="preserve">Subsequent studies have highlighted the depth of relationships of UGIC over conventional advertising. </w:t>
      </w:r>
      <w:r w:rsidRPr="00674305">
        <w:rPr>
          <w:rFonts w:ascii="Arial" w:hAnsi="Arial" w:cs="Arial"/>
          <w:sz w:val="24"/>
          <w:szCs w:val="24"/>
        </w:rPr>
        <w:t xml:space="preserve">Mardon, Cocker and Daunt </w:t>
      </w:r>
      <w:r>
        <w:rPr>
          <w:rFonts w:ascii="Arial" w:hAnsi="Arial" w:cs="Arial"/>
          <w:sz w:val="24"/>
          <w:szCs w:val="24"/>
        </w:rPr>
        <w:t>(</w:t>
      </w:r>
      <w:r w:rsidRPr="00674305">
        <w:rPr>
          <w:rFonts w:ascii="Arial" w:hAnsi="Arial" w:cs="Arial"/>
          <w:sz w:val="24"/>
          <w:szCs w:val="24"/>
        </w:rPr>
        <w:t>2023)</w:t>
      </w:r>
      <w:r w:rsidRPr="009772E9">
        <w:rPr>
          <w:rFonts w:ascii="Arial" w:hAnsi="Arial" w:cs="Arial"/>
          <w:sz w:val="24"/>
          <w:szCs w:val="24"/>
        </w:rPr>
        <w:t xml:space="preserve"> states that influencers tend to form communities of practice where consumption is part of a collective identity creation, enhancing brand attachment. The authenticity heuristic is another relational dynamic that supports this dynamic, as consumers view peer-created endorsements as more trustworthy in nature than corporate messages </w:t>
      </w:r>
      <w:r w:rsidRPr="00AA3B9C">
        <w:rPr>
          <w:rFonts w:ascii="Arial" w:hAnsi="Arial" w:cs="Arial"/>
          <w:sz w:val="24"/>
          <w:szCs w:val="24"/>
        </w:rPr>
        <w:t>(Javed, Rashidin and Jian, 2024)</w:t>
      </w:r>
      <w:r w:rsidRPr="009772E9">
        <w:rPr>
          <w:rFonts w:ascii="Arial" w:hAnsi="Arial" w:cs="Arial"/>
          <w:sz w:val="24"/>
          <w:szCs w:val="24"/>
        </w:rPr>
        <w:t xml:space="preserve">. Moreover, empirical research by </w:t>
      </w:r>
      <w:r>
        <w:rPr>
          <w:rFonts w:ascii="Arial" w:hAnsi="Arial" w:cs="Arial"/>
          <w:sz w:val="24"/>
          <w:szCs w:val="24"/>
        </w:rPr>
        <w:t>Wang et al.</w:t>
      </w:r>
      <w:r w:rsidRPr="009772E9">
        <w:rPr>
          <w:rFonts w:ascii="Arial" w:hAnsi="Arial" w:cs="Arial"/>
          <w:sz w:val="24"/>
          <w:szCs w:val="24"/>
        </w:rPr>
        <w:t xml:space="preserve"> (2025) indicates that UGIC campaigns are more effective than traditional advertising in emotional resonance, especially with Generation Z audiences who do not consider aspirational distance as a key factor in relatability. Scalability of UGIC has also been mentioned, where brands use algorithmic targeting to increase the micro-influencer reach to a variety of demographic niches </w:t>
      </w:r>
      <w:r w:rsidRPr="00C9661C">
        <w:rPr>
          <w:rFonts w:ascii="Arial" w:hAnsi="Arial" w:cs="Arial"/>
          <w:sz w:val="24"/>
          <w:szCs w:val="24"/>
        </w:rPr>
        <w:t>(Migkos, Giannakopoulos and Sakas, 2025)</w:t>
      </w:r>
      <w:r w:rsidRPr="009772E9">
        <w:rPr>
          <w:rFonts w:ascii="Arial" w:hAnsi="Arial" w:cs="Arial"/>
          <w:sz w:val="24"/>
          <w:szCs w:val="24"/>
        </w:rPr>
        <w:t xml:space="preserve">. Notably, the logic of co-creation that UGIC is based on is consistent with current service-dominant marketing paradigms, where consumers are not only seen as passive consumers but also as co-creators of brand meaning </w:t>
      </w:r>
      <w:r w:rsidRPr="00D15E38">
        <w:rPr>
          <w:rFonts w:ascii="Arial" w:hAnsi="Arial" w:cs="Arial"/>
          <w:sz w:val="24"/>
          <w:szCs w:val="24"/>
        </w:rPr>
        <w:t>(Kilumile, John and Mtebe, 2025)</w:t>
      </w:r>
      <w:r w:rsidRPr="009772E9">
        <w:rPr>
          <w:rFonts w:ascii="Arial" w:hAnsi="Arial" w:cs="Arial"/>
          <w:sz w:val="24"/>
          <w:szCs w:val="24"/>
        </w:rPr>
        <w:t xml:space="preserve">. This </w:t>
      </w:r>
      <w:r w:rsidRPr="009772E9">
        <w:rPr>
          <w:rFonts w:ascii="Arial" w:hAnsi="Arial" w:cs="Arial"/>
          <w:sz w:val="24"/>
          <w:szCs w:val="24"/>
        </w:rPr>
        <w:lastRenderedPageBreak/>
        <w:t>reorganisation of power underlines UGIC as a tactical innovation, but a paradigm shift in the organisation and legitimisation of marketing ecosystems.</w:t>
      </w:r>
    </w:p>
    <w:p w14:paraId="63946CE6" w14:textId="77777777" w:rsidR="00A861CB" w:rsidRPr="00753813" w:rsidRDefault="00A861CB" w:rsidP="00A861CB">
      <w:pPr>
        <w:spacing w:line="360" w:lineRule="auto"/>
        <w:jc w:val="both"/>
        <w:rPr>
          <w:rFonts w:ascii="Arial" w:hAnsi="Arial" w:cs="Arial"/>
          <w:sz w:val="24"/>
          <w:szCs w:val="24"/>
        </w:rPr>
      </w:pPr>
      <w:r w:rsidRPr="00FB3B32">
        <w:rPr>
          <w:rFonts w:ascii="Arial" w:hAnsi="Arial" w:cs="Arial"/>
          <w:sz w:val="24"/>
          <w:szCs w:val="24"/>
        </w:rPr>
        <w:t>The academic literature has come up with a moderately developed typology of influencers, which primarily depends on the number of followers and the type of engagement with the audience (Migkos, Giannakopoulos and Sakas, 2025). The most influential are mega-influencers, who generally have more than one million followers and act in a manner that is generally similar to conventional celebrities. Macro-influencers are those with an audience of about 100,000 to one million and tend to be cheaper to hire. Brands are increasingly preferring micro-influencers, who have between 10,000 and 100,000 followers, due to their greater engagement and more communal and personal nature of their audiences (Conde and Casais, 2023). Other studies consider nano-influencers as a specific category of the lowest end of the follower spectrum, but the delimiting boundaries between categories differ across the literature.</w:t>
      </w:r>
    </w:p>
    <w:p w14:paraId="5022A405" w14:textId="77777777" w:rsidR="00A861CB" w:rsidRDefault="00A861CB" w:rsidP="00A861CB">
      <w:pPr>
        <w:spacing w:line="360" w:lineRule="auto"/>
        <w:jc w:val="both"/>
        <w:rPr>
          <w:rFonts w:ascii="Arial" w:hAnsi="Arial" w:cs="Arial"/>
          <w:sz w:val="24"/>
          <w:szCs w:val="24"/>
        </w:rPr>
      </w:pPr>
      <w:r w:rsidRPr="00C9291F">
        <w:rPr>
          <w:rFonts w:ascii="Arial" w:hAnsi="Arial" w:cs="Arial"/>
          <w:sz w:val="24"/>
          <w:szCs w:val="24"/>
        </w:rPr>
        <w:t>One of the most common reasons why micro-influencer campaigns are increasingly being invested in is engagement rates. According to Kumar and Jibril (2025), micro-influencers usually drive higher engagement rates than macro-influencers or celebrities, with some studies indicating that micro-influencers have engagement rates of between 7 and 20 per cent as opposed to about 5 per cent or less in macro-influencers. According to Hsiao and Lin (2025), the strength of the parasocial bond between micro-influencers and their followers, the feeling of a one-sided yet emotionally significant relationship is one of the main factors that contribute to these high levels of engagement. This dynamic makes micro</w:t>
      </w:r>
      <w:r w:rsidRPr="00C9291F">
        <w:rPr>
          <w:rFonts w:ascii="Cambria Math" w:hAnsi="Cambria Math" w:cs="Cambria Math"/>
          <w:sz w:val="24"/>
          <w:szCs w:val="24"/>
        </w:rPr>
        <w:t>‑</w:t>
      </w:r>
      <w:r w:rsidRPr="00C9291F">
        <w:rPr>
          <w:rFonts w:ascii="Arial" w:hAnsi="Arial" w:cs="Arial"/>
          <w:sz w:val="24"/>
          <w:szCs w:val="24"/>
        </w:rPr>
        <w:t>influencer campaigns particularly effective, enabling more targeted consumer engagement and yielding higher conversion rates.</w:t>
      </w:r>
      <w:r>
        <w:rPr>
          <w:rFonts w:ascii="Arial" w:hAnsi="Arial" w:cs="Arial"/>
          <w:sz w:val="24"/>
          <w:szCs w:val="24"/>
        </w:rPr>
        <w:t xml:space="preserve"> </w:t>
      </w:r>
    </w:p>
    <w:p w14:paraId="5BFB464E" w14:textId="77777777" w:rsidR="00A861CB" w:rsidRDefault="00A861CB" w:rsidP="00A861CB">
      <w:pPr>
        <w:spacing w:line="360" w:lineRule="auto"/>
        <w:jc w:val="both"/>
        <w:rPr>
          <w:rFonts w:ascii="Arial" w:hAnsi="Arial" w:cs="Arial"/>
          <w:sz w:val="24"/>
          <w:szCs w:val="24"/>
        </w:rPr>
      </w:pPr>
      <w:r w:rsidRPr="00C9291F">
        <w:rPr>
          <w:rFonts w:ascii="Arial" w:hAnsi="Arial" w:cs="Arial"/>
          <w:sz w:val="24"/>
          <w:szCs w:val="24"/>
        </w:rPr>
        <w:t xml:space="preserve">The UGIC industry has expanded significantly in commercial size. In 2023, the influencer marketing industry was estimated to be worth about 21.1 billion US dollars, and that is a 29 per cent increase over the 2022 figure of 16.4 billion US dollars, and is set to grow to 32.55 billion US dollars by 2025 (Influencer Marketing Hub, 2026). These numbers indicate that big brands are not using UGIC as a one-time experiment, but as a long-term strategy. It is notable that such industry benchmark reports are created by organisations that have a commercial interest in the development of the </w:t>
      </w:r>
      <w:r w:rsidRPr="00C9291F">
        <w:rPr>
          <w:rFonts w:ascii="Arial" w:hAnsi="Arial" w:cs="Arial"/>
          <w:sz w:val="24"/>
          <w:szCs w:val="24"/>
        </w:rPr>
        <w:lastRenderedPageBreak/>
        <w:t>sector and their forecasts should be interpreted with some understanding of this situation. However, the overall growth trend is validated by various independent sources and conforms to the obvious increase in brand investment in creator partnerships in large retail industries.</w:t>
      </w:r>
    </w:p>
    <w:p w14:paraId="51C50D27" w14:textId="77777777" w:rsidR="00A861CB" w:rsidRDefault="00A861CB" w:rsidP="00A861CB">
      <w:pPr>
        <w:spacing w:line="360" w:lineRule="auto"/>
        <w:jc w:val="both"/>
        <w:rPr>
          <w:rFonts w:ascii="Arial" w:hAnsi="Arial" w:cs="Arial"/>
          <w:sz w:val="24"/>
          <w:szCs w:val="24"/>
        </w:rPr>
      </w:pPr>
      <w:r w:rsidRPr="00C9291F">
        <w:rPr>
          <w:rFonts w:ascii="Arial" w:hAnsi="Arial" w:cs="Arial"/>
          <w:sz w:val="24"/>
          <w:szCs w:val="24"/>
        </w:rPr>
        <w:t>Theoretically, the development of UGIC has been explicated on the basis of various frameworks. The Social Proof Theory, which was firstly related to Cialdini (1984), is a theory that states that individuals are more likely to seek the behaviour and judgments of other people when they are making decisions, especially in uncertain situations. Social proof is one of six fundamental principles of persuasion that Cialdini (1984) has identified and argues that when people assume that the behaviour of others in uncertain situations is correct or appropriate, it becomes a dynamic that UGIC triggers by the process of peer-generated product recommendations. UGIC contextualizes these suggestions in the framework of lived experience, which promotes peer-validation cues, which institutional advertising struggles to imitate (Jain, 2024). According to a systematic bibliometric review by Kumar and Jibril (2025), the Social Proof Theory is one of the main theoretical frameworks of the literature on influencer marketing, along with Relationship Marketing theory.</w:t>
      </w:r>
    </w:p>
    <w:p w14:paraId="1C4B7298" w14:textId="2EDA04B2" w:rsidR="00A861CB" w:rsidRPr="00753813" w:rsidRDefault="00A861CB" w:rsidP="00A861CB">
      <w:pPr>
        <w:spacing w:line="360" w:lineRule="auto"/>
        <w:jc w:val="both"/>
        <w:rPr>
          <w:rFonts w:ascii="Arial" w:hAnsi="Arial" w:cs="Arial"/>
          <w:sz w:val="24"/>
          <w:szCs w:val="24"/>
        </w:rPr>
      </w:pPr>
      <w:r w:rsidRPr="00C9291F">
        <w:rPr>
          <w:rFonts w:ascii="Arial" w:hAnsi="Arial" w:cs="Arial"/>
          <w:sz w:val="24"/>
          <w:szCs w:val="24"/>
        </w:rPr>
        <w:t xml:space="preserve">The theory of Relationship Marketing, which has been developed by scholars such as those in the Service-Dominant Logic framework of Vargo and Lusch (2004), conceptualises UGIC as a value co-creation mechanism. In their original contribution to the discipline, Vargo and Lusch (2004) suggested that marketing exchanges are essentially service-for-service in nature, and that value is never provided by the firm alone, but rather co-created by the interaction of a number of actors, the consumer being an important one. In this view, consumers are not passive receivers of brand communication, but are active participants in the process of creating brand meaning and identity (Bell, Bryman and Harley, 2019).  Simmons and Durkin (2023) apply this reasoning to the social media branding environment in particular, where the brand value in the digital era is more and more created through the collaborative relations between brands and consumer communities, which UGIC facilitates and exemplifies. Such a redefinition of the consumer as a co-creator of value is a structural shift of the unidirectional logic of conventional ambassador communications and can be used to understand the qualitatively distinct kinds of loyalty and engagement that UGIC-based strategies can generate </w:t>
      </w:r>
      <w:r w:rsidRPr="00896CC4">
        <w:rPr>
          <w:rFonts w:ascii="Arial" w:hAnsi="Arial" w:cs="Arial"/>
          <w:sz w:val="24"/>
          <w:szCs w:val="24"/>
        </w:rPr>
        <w:t>(Hasan, Zahid and Qayyum, 2024)</w:t>
      </w:r>
      <w:r w:rsidRPr="00C9291F">
        <w:rPr>
          <w:rFonts w:ascii="Arial" w:hAnsi="Arial" w:cs="Arial"/>
          <w:sz w:val="24"/>
          <w:szCs w:val="24"/>
        </w:rPr>
        <w:t>.</w:t>
      </w:r>
    </w:p>
    <w:p w14:paraId="1577F542"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7" w:name="_Toc229774339"/>
      <w:r w:rsidRPr="00003F69">
        <w:rPr>
          <w:rFonts w:ascii="Arial" w:hAnsi="Arial" w:cs="Arial"/>
          <w:b/>
          <w:bCs/>
          <w:color w:val="000000" w:themeColor="text1"/>
          <w:sz w:val="24"/>
          <w:szCs w:val="24"/>
        </w:rPr>
        <w:lastRenderedPageBreak/>
        <w:t>2.4 Comparative Strategic Analysis: Advantages and Limitations</w:t>
      </w:r>
      <w:bookmarkEnd w:id="17"/>
    </w:p>
    <w:p w14:paraId="360895C1" w14:textId="77777777" w:rsidR="00A861CB" w:rsidRDefault="00A861CB" w:rsidP="00A861CB">
      <w:pPr>
        <w:spacing w:line="360" w:lineRule="auto"/>
        <w:jc w:val="both"/>
        <w:rPr>
          <w:rFonts w:ascii="Arial" w:hAnsi="Arial" w:cs="Arial"/>
          <w:sz w:val="24"/>
          <w:szCs w:val="24"/>
        </w:rPr>
      </w:pPr>
      <w:r w:rsidRPr="00C9291F">
        <w:rPr>
          <w:rFonts w:ascii="Arial" w:hAnsi="Arial" w:cs="Arial"/>
          <w:sz w:val="24"/>
          <w:szCs w:val="24"/>
        </w:rPr>
        <w:t>In a comparison of the two approaches, evidence suggests that there is a complex and context-dependent set of trade-offs and not a hierarchy. Both methods are not equally better, and the most tactically adequate decision will probably be dependent on the specific goals of a brand, its market position, and target audience.</w:t>
      </w:r>
    </w:p>
    <w:p w14:paraId="0265F079" w14:textId="77777777" w:rsidR="00A861CB" w:rsidRDefault="00A861CB" w:rsidP="00A861CB">
      <w:pPr>
        <w:spacing w:line="360" w:lineRule="auto"/>
        <w:jc w:val="both"/>
        <w:rPr>
          <w:rFonts w:ascii="Arial" w:hAnsi="Arial" w:cs="Arial"/>
          <w:sz w:val="24"/>
          <w:szCs w:val="24"/>
        </w:rPr>
      </w:pPr>
      <w:r w:rsidRPr="001763AB">
        <w:rPr>
          <w:rFonts w:ascii="Arial" w:hAnsi="Arial" w:cs="Arial"/>
          <w:sz w:val="24"/>
          <w:szCs w:val="24"/>
        </w:rPr>
        <w:t>Cost effectiveness is perhaps the most common benefit mentioned in regards to the strategic benefits of UGIC. The cost of micro-influencers is significantly less than the contracts of celebrity endorsement, and the brands can collaborate with more creators in various demographic and geographic groups and spread their marketing risk and avoid the risk of being dependent on a single ambassador (Gupta and Verma, 2025). It has been proposed that user-generated content has an engagement rate that is about 28 per cent greater than brand-generated content (Impression Digital, 2025), and a meta-analytic review of 53 studies and 250 effect sizes by Han and Balabanis (2024) found influencer credibility, content authenticity, and product congruence to be the most significant antecedents of positive consumer In an equally broad meta-analytic survey, Pan et al. (2024) affirmed that these antecedents are similar across product categories and cultural settings, which adds additional support to the perception that authenticity and perceived credibility are the fundamental drivers of UGIC success and not a given platform or format.  In a two-experiment study, Schouten, Janssen and Verspaget (2020) established that consumers associated more with social media influencers than with traditional celebrities, they perceived them as more similar to themselves, and trusted them more, which resulted in more purchase intentions of influencer-endorsed products.</w:t>
      </w:r>
    </w:p>
    <w:p w14:paraId="1BC6FFE4" w14:textId="77777777" w:rsidR="00A861CB" w:rsidRDefault="00A861CB" w:rsidP="00A861CB">
      <w:pPr>
        <w:spacing w:line="360" w:lineRule="auto"/>
        <w:jc w:val="both"/>
        <w:rPr>
          <w:rFonts w:ascii="Arial" w:hAnsi="Arial" w:cs="Arial"/>
          <w:sz w:val="24"/>
          <w:szCs w:val="24"/>
        </w:rPr>
      </w:pPr>
      <w:r w:rsidRPr="00246534">
        <w:rPr>
          <w:rFonts w:ascii="Arial" w:hAnsi="Arial" w:cs="Arial"/>
          <w:sz w:val="24"/>
          <w:szCs w:val="24"/>
        </w:rPr>
        <w:t xml:space="preserve">One such theme that is especially relevant to the UGIC literature is authenticity. Niu (2025) discovered that user-generated content is more authentic and believable to consumers than promotional content created by the brand, mainly because it is based on real-life experiences with products. This feeling of authenticity acts as an indicator of trust, reducing consumer scepticism and boosting purchase intentions (Khalfallah and Keller, 2025). Studies dedicated to the direct-to-consumer retail environment prove that consumers tend to believe and stick to the brands that present the real-life user experience rather than the ones that use refined corporate messages (Ahmad et al., 2024). The importance of authenticity as a cross-cultural source of consumer trust is also observed in a number of studies, indicating that it can be applied to any market </w:t>
      </w:r>
      <w:r w:rsidRPr="00246534">
        <w:rPr>
          <w:rFonts w:ascii="Arial" w:hAnsi="Arial" w:cs="Arial"/>
          <w:sz w:val="24"/>
          <w:szCs w:val="24"/>
        </w:rPr>
        <w:lastRenderedPageBreak/>
        <w:t>or cultural setting (Jain, 2024). Shamim and Azam (2024) also reported an unmistakable connection between the activity of social media influencers and impulse buying behaviour, which suggests that the persuasive power of UGIC may be applied in other contexts beyond considered purchasing behaviour.</w:t>
      </w:r>
    </w:p>
    <w:p w14:paraId="3C538E92" w14:textId="77777777" w:rsidR="00A861CB" w:rsidRDefault="00A861CB" w:rsidP="00A861CB">
      <w:pPr>
        <w:spacing w:line="360" w:lineRule="auto"/>
        <w:jc w:val="both"/>
        <w:rPr>
          <w:rFonts w:ascii="Arial" w:hAnsi="Arial" w:cs="Arial"/>
          <w:sz w:val="24"/>
          <w:szCs w:val="24"/>
        </w:rPr>
      </w:pPr>
      <w:r w:rsidRPr="009772E9">
        <w:rPr>
          <w:rFonts w:ascii="Arial" w:hAnsi="Arial" w:cs="Arial"/>
          <w:sz w:val="24"/>
          <w:szCs w:val="24"/>
        </w:rPr>
        <w:t xml:space="preserve">Recent comparative studies have highlighted the hybrid nature of integrating UGIC with the conventional ambassador approaches. Indicatively, </w:t>
      </w:r>
      <w:r w:rsidRPr="001D3BFC">
        <w:rPr>
          <w:rFonts w:ascii="Arial" w:hAnsi="Arial" w:cs="Arial"/>
          <w:sz w:val="24"/>
          <w:szCs w:val="24"/>
        </w:rPr>
        <w:t xml:space="preserve">Lee et al. </w:t>
      </w:r>
      <w:r>
        <w:rPr>
          <w:rFonts w:ascii="Arial" w:hAnsi="Arial" w:cs="Arial"/>
          <w:sz w:val="24"/>
          <w:szCs w:val="24"/>
        </w:rPr>
        <w:t>(</w:t>
      </w:r>
      <w:r w:rsidRPr="001D3BFC">
        <w:rPr>
          <w:rFonts w:ascii="Arial" w:hAnsi="Arial" w:cs="Arial"/>
          <w:sz w:val="24"/>
          <w:szCs w:val="24"/>
        </w:rPr>
        <w:t>2024)</w:t>
      </w:r>
      <w:r w:rsidRPr="009772E9">
        <w:rPr>
          <w:rFonts w:ascii="Arial" w:hAnsi="Arial" w:cs="Arial"/>
          <w:sz w:val="24"/>
          <w:szCs w:val="24"/>
        </w:rPr>
        <w:t xml:space="preserve"> reveal that campaigns that combine celebrity presence with influencer credibility will have better results in terms of awareness and conversion rates. Likewise, </w:t>
      </w:r>
      <w:r w:rsidRPr="00AC35CD">
        <w:rPr>
          <w:rFonts w:ascii="Arial" w:hAnsi="Arial" w:cs="Arial"/>
          <w:sz w:val="24"/>
          <w:szCs w:val="24"/>
        </w:rPr>
        <w:t xml:space="preserve">Peggiani and Lamberti </w:t>
      </w:r>
      <w:r>
        <w:rPr>
          <w:rFonts w:ascii="Arial" w:hAnsi="Arial" w:cs="Arial"/>
          <w:sz w:val="24"/>
          <w:szCs w:val="24"/>
        </w:rPr>
        <w:t>(</w:t>
      </w:r>
      <w:r w:rsidRPr="00AC35CD">
        <w:rPr>
          <w:rFonts w:ascii="Arial" w:hAnsi="Arial" w:cs="Arial"/>
          <w:sz w:val="24"/>
          <w:szCs w:val="24"/>
        </w:rPr>
        <w:t>2026)</w:t>
      </w:r>
      <w:r w:rsidRPr="009772E9">
        <w:rPr>
          <w:rFonts w:ascii="Arial" w:hAnsi="Arial" w:cs="Arial"/>
          <w:sz w:val="24"/>
          <w:szCs w:val="24"/>
        </w:rPr>
        <w:t xml:space="preserve"> point to empirical data that hybrid approaches help to reduce the threat of over-dependence on either of the modalities, balancing the narrative control and the grassroots engagement. Nevertheless, the issues of governance are burning because the decentralised UGIC networks do not necessarily have the quality assurance mechanisms that celebrity contracts entail </w:t>
      </w:r>
      <w:r w:rsidRPr="00E30F4C">
        <w:rPr>
          <w:rFonts w:ascii="Arial" w:hAnsi="Arial" w:cs="Arial"/>
          <w:sz w:val="24"/>
          <w:szCs w:val="24"/>
        </w:rPr>
        <w:t>(Anselmo, Mannaioli and Sardo, 2025)</w:t>
      </w:r>
      <w:r w:rsidRPr="009772E9">
        <w:rPr>
          <w:rFonts w:ascii="Arial" w:hAnsi="Arial" w:cs="Arial"/>
          <w:sz w:val="24"/>
          <w:szCs w:val="24"/>
        </w:rPr>
        <w:t xml:space="preserve">. The regulatory focus on disclosure of sponsorship also makes it harder to compare the results, as transparent UGIC campaigns will have better results in terms of consumer trust compared to opaque celebrity endorsements </w:t>
      </w:r>
      <w:r w:rsidRPr="00C9661C">
        <w:rPr>
          <w:rFonts w:ascii="Arial" w:hAnsi="Arial" w:cs="Arial"/>
          <w:sz w:val="24"/>
          <w:szCs w:val="24"/>
        </w:rPr>
        <w:t>(Jia, Fu and Dai, 2023)</w:t>
      </w:r>
      <w:r w:rsidRPr="009772E9">
        <w:rPr>
          <w:rFonts w:ascii="Arial" w:hAnsi="Arial" w:cs="Arial"/>
          <w:sz w:val="24"/>
          <w:szCs w:val="24"/>
        </w:rPr>
        <w:t>. Taken together, these results indicate that the strategic value of either model over the other does not hold, but instead, integrated frameworks that capitalize on the complementary advantages of each should be designed.</w:t>
      </w:r>
    </w:p>
    <w:p w14:paraId="6C913F1E" w14:textId="77777777" w:rsidR="00A861CB" w:rsidRDefault="00A861CB" w:rsidP="00A861CB">
      <w:pPr>
        <w:spacing w:line="360" w:lineRule="auto"/>
        <w:jc w:val="both"/>
        <w:rPr>
          <w:rFonts w:ascii="Arial" w:hAnsi="Arial" w:cs="Arial"/>
          <w:sz w:val="24"/>
          <w:szCs w:val="24"/>
        </w:rPr>
      </w:pPr>
      <w:r w:rsidRPr="00246534">
        <w:rPr>
          <w:rFonts w:ascii="Arial" w:hAnsi="Arial" w:cs="Arial"/>
          <w:sz w:val="24"/>
          <w:szCs w:val="24"/>
        </w:rPr>
        <w:t>In spite of these strengths, UGIC has its own significant limitations. The decentralised influencer-led content creation inevitably implies a certain loss of brand narrative control, a huge and geographically distributed network of creators, which guarantees the consistency of messaging, the proper representation of the brand, and the correspondence of all content to brand values (Petkovska, 2025; Kumar, 2024). The structural risk to UGIC strategies is also the consumer scepticism of the previously unknown commercial relationships (Hu, Kim and Kang, 2025). In 2023, the Federal Trade Commission updated the regulatory guidance to make the disclosure of sponsorship relationships conspicuous and mandatory to all digital marketing, and the equivalent requirements of the United Kingdom and the European Union further complicated the situation of the brands that operate in many jurisdictions (FTC, 2023). Research confirms that the disclosure of sponsorship affects the perceived credibility of the influencer content, and nondisclosure may cause a significant decrease in consumer trust in the influencer and the brand (Petkovska, 2025).</w:t>
      </w:r>
    </w:p>
    <w:p w14:paraId="1B2F5810" w14:textId="77777777" w:rsidR="00A861CB" w:rsidRPr="00353CA2" w:rsidRDefault="00A861CB" w:rsidP="00A861CB">
      <w:pPr>
        <w:spacing w:line="360" w:lineRule="auto"/>
        <w:jc w:val="both"/>
        <w:rPr>
          <w:rFonts w:ascii="Arial" w:hAnsi="Arial" w:cs="Arial"/>
          <w:sz w:val="24"/>
          <w:szCs w:val="24"/>
        </w:rPr>
      </w:pPr>
      <w:r w:rsidRPr="00246534">
        <w:rPr>
          <w:rFonts w:ascii="Arial" w:hAnsi="Arial" w:cs="Arial"/>
          <w:sz w:val="24"/>
          <w:szCs w:val="24"/>
        </w:rPr>
        <w:lastRenderedPageBreak/>
        <w:t>The traditional ambassador models still have certain strategic benefits that UGIC can find more difficult to scale. The high-profile celebrity endorsers attract a focused cultural attention, which is especially efficient in large-scale awareness campaigns and product launches that aim to reach large heterogeneous audiences (Lee et al., 2024). Brands also have a much greater influence over the uniformity of the brand story with celebrity-led campaigns, which is strategically relevant to global retail organisations aiming to ensure a consistent brand story across markets and consumer touchpoints (van Reijmersdal, Walet and Gudmundsdottir, 2024). Knoll and Matthes (2017) discovered that the attitudinal effects of celebrity endorsements can be very strong when the endorser type and product fit are strategically matched, especially in those situations when brand prestige and aspirational associations are strategically significant. France, Davcik and Kazandjian (2025) also observe that the user-generated content may be increasingly shaping the digital brand equity, but the anchoring effect that high-profile endorsers may offer remains beneficial, especially to brands that need to build credibility in new markets.</w:t>
      </w:r>
      <w:r>
        <w:rPr>
          <w:rFonts w:ascii="Arial" w:hAnsi="Arial" w:cs="Arial"/>
          <w:sz w:val="24"/>
          <w:szCs w:val="24"/>
        </w:rPr>
        <w:t xml:space="preserve"> </w:t>
      </w:r>
    </w:p>
    <w:p w14:paraId="02522287"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8" w:name="_Toc229774340"/>
      <w:r w:rsidRPr="00003F69">
        <w:rPr>
          <w:rFonts w:ascii="Arial" w:hAnsi="Arial" w:cs="Arial"/>
          <w:b/>
          <w:bCs/>
          <w:color w:val="000000" w:themeColor="text1"/>
          <w:sz w:val="24"/>
          <w:szCs w:val="24"/>
        </w:rPr>
        <w:t>2.5 Impact on Brand Equity and Consumer Trust</w:t>
      </w:r>
      <w:bookmarkEnd w:id="18"/>
    </w:p>
    <w:p w14:paraId="240337D0" w14:textId="77777777" w:rsidR="00A861CB" w:rsidRDefault="00A861CB" w:rsidP="00A861CB">
      <w:pPr>
        <w:spacing w:line="360" w:lineRule="auto"/>
        <w:jc w:val="both"/>
        <w:rPr>
          <w:rFonts w:ascii="Arial" w:hAnsi="Arial" w:cs="Arial"/>
          <w:sz w:val="24"/>
          <w:szCs w:val="24"/>
        </w:rPr>
      </w:pPr>
      <w:r w:rsidRPr="00B74AA0">
        <w:rPr>
          <w:rFonts w:ascii="Arial" w:hAnsi="Arial" w:cs="Arial"/>
          <w:sz w:val="24"/>
          <w:szCs w:val="24"/>
        </w:rPr>
        <w:t>The conceptualisation of brand equity by Aaker (1991) and Keller (1993) offers the most common analytical framework of assessing the long term strategic implications of marketing communications decisions. According to Aaker, the model recognizes brand awareness, perceived quality, brand associations and brand loyalty as the most important dimensions of brand equity that can be enhanced or reduced through marketing efforts. The customer-based model of Keller focuses on the fact that brand equity is eventually found in the knowledge structures of consumers and is influenced by the aggregate impact of all the communications related to the brand. As the marketing mix shifts towards UGIC, researchers are beginning to map the consequences of this change across each of these dimensions (France, Davcik and Kazandjian, 2025).</w:t>
      </w:r>
    </w:p>
    <w:p w14:paraId="2A80E4D5" w14:textId="77777777" w:rsidR="00A861CB" w:rsidRDefault="00A861CB" w:rsidP="00A861CB">
      <w:pPr>
        <w:spacing w:line="360" w:lineRule="auto"/>
        <w:jc w:val="both"/>
        <w:rPr>
          <w:rFonts w:ascii="Arial" w:hAnsi="Arial" w:cs="Arial"/>
          <w:sz w:val="24"/>
          <w:szCs w:val="24"/>
        </w:rPr>
      </w:pPr>
      <w:r w:rsidRPr="00B74AA0">
        <w:rPr>
          <w:rFonts w:ascii="Arial" w:hAnsi="Arial" w:cs="Arial"/>
          <w:sz w:val="24"/>
          <w:szCs w:val="24"/>
        </w:rPr>
        <w:t xml:space="preserve">Regarding brand awareness, UGIC campaigns based on branded hashtags, challenge formats, and consumer participation programmes have proven to be able to create organic, scalable awareness that can be supplementary or in some instances surpass the reach that could be achieved by paid celebrity endorsement alone (Krowinska and Dineva, 2025). A well-known example of how a systematic UGIC strategy can be used to maintain brand recognition in a demographically diverse group </w:t>
      </w:r>
      <w:r w:rsidRPr="00B74AA0">
        <w:rPr>
          <w:rFonts w:ascii="Arial" w:hAnsi="Arial" w:cs="Arial"/>
          <w:sz w:val="24"/>
          <w:szCs w:val="24"/>
        </w:rPr>
        <w:lastRenderedPageBreak/>
        <w:t>of consumers without relying on one high-profile endorser is the application of the hashtag JustDoIt by Nike to trigger user interaction and the creation of consumer-generated content on social media platforms (Sargent, 2025). The same can be learned by looking at the example of ASOS, which runs an Insiders programme, where it organizes a hierarchy of micro-influencers and content creators associated with the brand, and its wider approach to curating and showcasing customer-generated content on its own digital surfaces (Sheridan, 2024). These case studies can be helpful as examples, but it is important to note that it is necessary to be somewhat cautious when applying the conclusions made about the strategies of a particular company to the overall strategic conclusions.</w:t>
      </w:r>
    </w:p>
    <w:p w14:paraId="2DD787B0" w14:textId="77777777" w:rsidR="00A861CB" w:rsidRDefault="00A861CB" w:rsidP="00A861CB">
      <w:pPr>
        <w:spacing w:line="360" w:lineRule="auto"/>
        <w:jc w:val="both"/>
        <w:rPr>
          <w:rFonts w:ascii="Arial" w:hAnsi="Arial" w:cs="Arial"/>
          <w:sz w:val="24"/>
          <w:szCs w:val="24"/>
        </w:rPr>
      </w:pPr>
      <w:r w:rsidRPr="00B74AA0">
        <w:rPr>
          <w:rFonts w:ascii="Arial" w:hAnsi="Arial" w:cs="Arial"/>
          <w:sz w:val="24"/>
          <w:szCs w:val="24"/>
        </w:rPr>
        <w:t>In terms of perceived quality and brand associations, there is an emerging body of evidence, that UGIC is able to communicate product quality in a register that consumers perceive as more credible and persuasive than traditional brand communications. Hochstein, Harmeling and Perko (2023) conducted a meta-analytic study that revealed that user-generated content is an important factor in the development of brand trustworthiness in online retail settings, which can be partially attributed to the social proof mechanism that supports peer-generated recommendations (Kumar and Jibril, 2025). Shetty et al. (2024) propose that a significant percentage of consumers tend to trust the brands that encourage user-generated content more and view them as more sincere than the brands that use corporate-created content as the primary source of information. Brand associations that are formed as a result of authentic influencer stories are also more emotionally long-lasting compared to those formed by traditional advertising, in part due to their integration into familiar personal situations that allow consumers to connect to the brand more easily (Jain, 2024).</w:t>
      </w:r>
    </w:p>
    <w:p w14:paraId="407D2947" w14:textId="77777777" w:rsidR="00A861CB" w:rsidRDefault="00A861CB" w:rsidP="00A861CB">
      <w:pPr>
        <w:spacing w:line="360" w:lineRule="auto"/>
        <w:jc w:val="both"/>
        <w:rPr>
          <w:rFonts w:ascii="Arial" w:hAnsi="Arial" w:cs="Arial"/>
          <w:sz w:val="24"/>
          <w:szCs w:val="24"/>
        </w:rPr>
      </w:pPr>
      <w:r w:rsidRPr="00B74AA0">
        <w:rPr>
          <w:rFonts w:ascii="Arial" w:hAnsi="Arial" w:cs="Arial"/>
          <w:sz w:val="24"/>
          <w:szCs w:val="24"/>
        </w:rPr>
        <w:t xml:space="preserve">On the brand loyalty dimension, the data indicates that micro-influencer campaigns yield greater parasocial connections between content creators and their audiences than celebrity endorsements do on average, and that the connections have more enduring brand loyalty impacts (Conde and Casais, 2023). The notion of parasocial relationships, the perception of a personal, intimate relationship between a media personality and their audience, has long been a topic of research in the wider media literature, but has been a growing area of research in recent years in the context of influencer marketing. The perceived proximity and identification between an influencer </w:t>
      </w:r>
      <w:r w:rsidRPr="00B74AA0">
        <w:rPr>
          <w:rFonts w:ascii="Arial" w:hAnsi="Arial" w:cs="Arial"/>
          <w:sz w:val="24"/>
          <w:szCs w:val="24"/>
        </w:rPr>
        <w:lastRenderedPageBreak/>
        <w:t>and his or her followers, as discovered by Rialti et al. (2024), can be considered an influential mediator between influencer endorsement and consumer purchase intention, and the quality of the relationship between UGIC-based communication and brand performance metrics can be directly affected.</w:t>
      </w:r>
    </w:p>
    <w:p w14:paraId="1CA5676E" w14:textId="77777777" w:rsidR="00A861CB" w:rsidRDefault="00A861CB" w:rsidP="00A861CB">
      <w:pPr>
        <w:spacing w:line="360" w:lineRule="auto"/>
        <w:jc w:val="both"/>
        <w:rPr>
          <w:rFonts w:ascii="Arial" w:hAnsi="Arial" w:cs="Arial"/>
          <w:sz w:val="24"/>
          <w:szCs w:val="24"/>
        </w:rPr>
      </w:pPr>
      <w:r w:rsidRPr="009772E9">
        <w:rPr>
          <w:rFonts w:ascii="Arial" w:hAnsi="Arial" w:cs="Arial"/>
          <w:sz w:val="24"/>
          <w:szCs w:val="24"/>
        </w:rPr>
        <w:t xml:space="preserve">The mediating role of influencer credibility in influencing the results of brand equity has also been noted in recent research. </w:t>
      </w:r>
      <w:r w:rsidRPr="00520277">
        <w:rPr>
          <w:rFonts w:ascii="Arial" w:hAnsi="Arial" w:cs="Arial"/>
          <w:sz w:val="24"/>
          <w:szCs w:val="24"/>
        </w:rPr>
        <w:t xml:space="preserve">Pan et al. </w:t>
      </w:r>
      <w:r>
        <w:rPr>
          <w:rFonts w:ascii="Arial" w:hAnsi="Arial" w:cs="Arial"/>
          <w:sz w:val="24"/>
          <w:szCs w:val="24"/>
        </w:rPr>
        <w:t>(</w:t>
      </w:r>
      <w:r w:rsidRPr="00520277">
        <w:rPr>
          <w:rFonts w:ascii="Arial" w:hAnsi="Arial" w:cs="Arial"/>
          <w:sz w:val="24"/>
          <w:szCs w:val="24"/>
        </w:rPr>
        <w:t>202</w:t>
      </w:r>
      <w:r>
        <w:rPr>
          <w:rFonts w:ascii="Arial" w:hAnsi="Arial" w:cs="Arial"/>
          <w:sz w:val="24"/>
          <w:szCs w:val="24"/>
        </w:rPr>
        <w:t>5</w:t>
      </w:r>
      <w:r w:rsidRPr="00520277">
        <w:rPr>
          <w:rFonts w:ascii="Arial" w:hAnsi="Arial" w:cs="Arial"/>
          <w:sz w:val="24"/>
          <w:szCs w:val="24"/>
        </w:rPr>
        <w:t>)</w:t>
      </w:r>
      <w:r w:rsidRPr="009772E9">
        <w:rPr>
          <w:rFonts w:ascii="Arial" w:hAnsi="Arial" w:cs="Arial"/>
          <w:sz w:val="24"/>
          <w:szCs w:val="24"/>
        </w:rPr>
        <w:t xml:space="preserve"> confirm that perceived expertise and authenticity of influencers can greatly promote brand associations, especially in online retail scenarios. Moreover, </w:t>
      </w:r>
      <w:r w:rsidRPr="00AC35CD">
        <w:rPr>
          <w:rFonts w:ascii="Arial" w:hAnsi="Arial" w:cs="Arial"/>
          <w:sz w:val="24"/>
          <w:szCs w:val="24"/>
        </w:rPr>
        <w:t xml:space="preserve">Rajput and Gandhi </w:t>
      </w:r>
      <w:r>
        <w:rPr>
          <w:rFonts w:ascii="Arial" w:hAnsi="Arial" w:cs="Arial"/>
          <w:sz w:val="24"/>
          <w:szCs w:val="24"/>
        </w:rPr>
        <w:t>(</w:t>
      </w:r>
      <w:r w:rsidRPr="00AC35CD">
        <w:rPr>
          <w:rFonts w:ascii="Arial" w:hAnsi="Arial" w:cs="Arial"/>
          <w:sz w:val="24"/>
          <w:szCs w:val="24"/>
        </w:rPr>
        <w:t>2024)</w:t>
      </w:r>
      <w:r w:rsidRPr="009772E9">
        <w:rPr>
          <w:rFonts w:ascii="Arial" w:hAnsi="Arial" w:cs="Arial"/>
          <w:sz w:val="24"/>
          <w:szCs w:val="24"/>
        </w:rPr>
        <w:t xml:space="preserve"> have discovered that UGIC campaigns contribute to better emotional connections with consumers, which are converted into increased indices of loyalty in relation to traditional advertising. These findings support the proposition that UGIC not only serves to help in short-term engagement, but also in long-term brand equity building.</w:t>
      </w:r>
    </w:p>
    <w:p w14:paraId="0B7EDA93" w14:textId="3955072F" w:rsidR="00A861CB" w:rsidRDefault="00A861CB" w:rsidP="00A861CB">
      <w:pPr>
        <w:spacing w:line="360" w:lineRule="auto"/>
        <w:jc w:val="both"/>
        <w:rPr>
          <w:rFonts w:ascii="Arial" w:hAnsi="Arial" w:cs="Arial"/>
          <w:sz w:val="24"/>
          <w:szCs w:val="24"/>
        </w:rPr>
      </w:pPr>
      <w:r w:rsidRPr="00B74AA0">
        <w:rPr>
          <w:rFonts w:ascii="Arial" w:hAnsi="Arial" w:cs="Arial"/>
          <w:sz w:val="24"/>
          <w:szCs w:val="24"/>
        </w:rPr>
        <w:t>These effects have also a generational aspect that is worth consideration. It seems that younger consumers and, especially, Generation Z consumers seem to value peer-generated content significantly more than institutional advertising. According to Statista (2024), the levels of trust in peer-generated content among younger consumers have risen by an average of 61 per cent in 2023 compared to about 51 per cent in 2019, which is a significant change in a comparatively short span of time, indicating that there is a structural change in the way this group of consumers attributes credibility to various sources of brand communication. Over 60 per cent of Generation Z consumers subscribe to at least one social media influencer (Statista, 2024) and studies have consistently indicated that this cohort of consumers uses a peer validation frame to evaluate influencer content, as opposed to the aspirational or authority frame that is commonly used to assess celebrity endorsement. When this pattern of generation is further evolved, it has long term implications on how global retail brands should invest their marketing resources in the two modalities.</w:t>
      </w:r>
    </w:p>
    <w:p w14:paraId="1C93F6FF"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19" w:name="_Toc229774341"/>
      <w:r w:rsidRPr="00003F69">
        <w:rPr>
          <w:rFonts w:ascii="Arial" w:hAnsi="Arial" w:cs="Arial"/>
          <w:b/>
          <w:bCs/>
          <w:color w:val="000000" w:themeColor="text1"/>
          <w:sz w:val="24"/>
          <w:szCs w:val="24"/>
        </w:rPr>
        <w:t>2.6 Strategic Implications for Multinational Retail Firms</w:t>
      </w:r>
      <w:bookmarkEnd w:id="19"/>
    </w:p>
    <w:p w14:paraId="737753F3" w14:textId="77777777" w:rsidR="00A861CB" w:rsidRPr="00192191" w:rsidRDefault="00A861CB" w:rsidP="00A861CB">
      <w:pPr>
        <w:spacing w:line="360" w:lineRule="auto"/>
        <w:jc w:val="both"/>
        <w:rPr>
          <w:rFonts w:ascii="Arial" w:hAnsi="Arial" w:cs="Arial"/>
          <w:sz w:val="24"/>
          <w:szCs w:val="24"/>
        </w:rPr>
      </w:pPr>
      <w:r w:rsidRPr="00D05C65">
        <w:rPr>
          <w:rFonts w:ascii="Arial" w:hAnsi="Arial" w:cs="Arial"/>
          <w:sz w:val="24"/>
          <w:szCs w:val="24"/>
        </w:rPr>
        <w:t>The transition of traditional ambassador models to UGIC leaves multinational retail firms with a unique range of strategic opportunities and challenges, some of which are especially acute in an international environment.</w:t>
      </w:r>
    </w:p>
    <w:p w14:paraId="43DC7DC6" w14:textId="77777777" w:rsidR="00A861CB" w:rsidRDefault="00A861CB" w:rsidP="00A861CB">
      <w:pPr>
        <w:spacing w:line="360" w:lineRule="auto"/>
        <w:jc w:val="both"/>
        <w:rPr>
          <w:rFonts w:ascii="Arial" w:hAnsi="Arial" w:cs="Arial"/>
          <w:sz w:val="24"/>
          <w:szCs w:val="24"/>
        </w:rPr>
      </w:pPr>
      <w:r w:rsidRPr="00192191">
        <w:rPr>
          <w:rFonts w:ascii="Arial" w:hAnsi="Arial" w:cs="Arial"/>
          <w:sz w:val="24"/>
          <w:szCs w:val="24"/>
        </w:rPr>
        <w:t xml:space="preserve">The ability to localise the market is the most frequently mentioned strategic benefit of UGIC when it comes to multinational retailers. Instead of trying to create custom </w:t>
      </w:r>
      <w:r w:rsidRPr="00192191">
        <w:rPr>
          <w:rFonts w:ascii="Arial" w:hAnsi="Arial" w:cs="Arial"/>
          <w:sz w:val="24"/>
          <w:szCs w:val="24"/>
        </w:rPr>
        <w:lastRenderedPageBreak/>
        <w:t>celebrity ambassador programs in each local market, which is an expensive and logistically challenging task, brands can tap into influencers who are already embedded in the local market, whose content is naturally aligned with the values, aesthetic tastes, and cultural expectations of the local markets (Gupta and Verma, 2025). This is a valuable structural benefit of retailers that are present in highly heterogeneous consumer markets in which a single global ambassador might not be culturally relevant or locally credible to produce effective outcomes. The wider significance of influencer localisation strategies in brands that aim to establish a social network presence in relation to a new product launch is observed by Benevento et al. (2024), and it is specifically applicable to the multinational retail context.</w:t>
      </w:r>
      <w:r>
        <w:rPr>
          <w:rFonts w:ascii="Arial" w:hAnsi="Arial" w:cs="Arial"/>
          <w:sz w:val="24"/>
          <w:szCs w:val="24"/>
        </w:rPr>
        <w:t xml:space="preserve"> </w:t>
      </w:r>
    </w:p>
    <w:p w14:paraId="7CD1EF5D" w14:textId="77777777" w:rsidR="00A861CB" w:rsidRDefault="00A861CB" w:rsidP="00A861CB">
      <w:pPr>
        <w:spacing w:line="360" w:lineRule="auto"/>
        <w:jc w:val="both"/>
        <w:rPr>
          <w:rFonts w:ascii="Arial" w:hAnsi="Arial" w:cs="Arial"/>
          <w:sz w:val="24"/>
          <w:szCs w:val="24"/>
        </w:rPr>
      </w:pPr>
      <w:r w:rsidRPr="00192191">
        <w:rPr>
          <w:rFonts w:ascii="Arial" w:hAnsi="Arial" w:cs="Arial"/>
          <w:sz w:val="24"/>
          <w:szCs w:val="24"/>
        </w:rPr>
        <w:t>The examples of Nike, ASOS, and L’Oréal that can be found throughout the literature demonstrate that an increasing number of large retail brands in the world are turning to hybrid marketing strategies that integrate the reach and narrative control of high-profile ambassador deals with the authenticity and engagement promise of micro-influencer and consumer UGC programmes (Sheridan, 2024; Sargent, 2025). The strategy of Nike, such as that of contracted athlete endorsers, as well as a comprehensive community-based content ecosystem, is designed to create both mass-market awareness and community-level engagement at the same time. The tiered Insiders programme of ASOS has a more or less similar role, as it fills the gap between formal brand ambassadorship and unpaid content creation by consumers. These hybrid models imply that the strategic issue of multinational retailers is not whether to use UGIC rather than the traditional ambassadors but how to design an integrated strategy that elicits the best-possible performance of each modality in various markets and brand equity dimensions.</w:t>
      </w:r>
    </w:p>
    <w:p w14:paraId="1CD8CC35" w14:textId="77777777" w:rsidR="00A861CB" w:rsidRDefault="00A861CB" w:rsidP="00A861CB">
      <w:pPr>
        <w:spacing w:line="360" w:lineRule="auto"/>
        <w:jc w:val="both"/>
        <w:rPr>
          <w:rFonts w:ascii="Arial" w:hAnsi="Arial" w:cs="Arial"/>
          <w:sz w:val="24"/>
          <w:szCs w:val="24"/>
        </w:rPr>
      </w:pPr>
      <w:r w:rsidRPr="00192191">
        <w:rPr>
          <w:rFonts w:ascii="Arial" w:hAnsi="Arial" w:cs="Arial"/>
          <w:sz w:val="24"/>
          <w:szCs w:val="24"/>
        </w:rPr>
        <w:t xml:space="preserve">The third strategic implication to multinational retailers is associated with governance. The scalability of UGIC, which is one of its main commercial appeals, poses governance challenges that are not equally apparent in the traditional ambassador programmes. Once a brand has hundreds or even thousands of individual content creators in various markets, brand consistency, regulatory compliance and the reputation of the brand being at risk due to influencer malpractice or insufficient disclosure becomes a complicated operational issue (Petkovska, 2025). Reputational risk of influencer misbehaviour or unreported sponsorship relationships is particularly important to global retail brands, where brand equity is a significant strategic and </w:t>
      </w:r>
      <w:r w:rsidRPr="00192191">
        <w:rPr>
          <w:rFonts w:ascii="Arial" w:hAnsi="Arial" w:cs="Arial"/>
          <w:sz w:val="24"/>
          <w:szCs w:val="24"/>
        </w:rPr>
        <w:lastRenderedPageBreak/>
        <w:t>financial resource. Vrontis et al. (2021) contend that to realise the commercial advantages of UGIC on scale, brands must invest in formalised governance infrastructure, such as explicit contractual standards, content licensing schemes, and performance measurement schemes, that would turn the influencer network into an ad hoc external resource into a managed strategic asset. Their systematic review revealed that the most effective influencer programmes are those that are typified by long-term brand-influencer relationships as opposed to transactional, campaign-by-campaign engagements, which have direct implications on how global retailers ought to organize their creator programmes. Dwivedi et al. (2021) also demand more rigorous strategic frameworks of influencer relationship management, stating that the lack of such frameworks is one of the main sources of inefficiency and risk in the existing industry practice and that the area would gain significantly in terms of integration between marketing strategy and digital communications research.</w:t>
      </w:r>
    </w:p>
    <w:p w14:paraId="441EC5D3" w14:textId="77777777" w:rsidR="00A861CB" w:rsidRDefault="00A861CB" w:rsidP="00A861CB">
      <w:pPr>
        <w:spacing w:line="360" w:lineRule="auto"/>
        <w:jc w:val="both"/>
        <w:rPr>
          <w:rFonts w:ascii="Arial" w:hAnsi="Arial" w:cs="Arial"/>
          <w:sz w:val="24"/>
          <w:szCs w:val="24"/>
        </w:rPr>
      </w:pPr>
      <w:r w:rsidRPr="007E0319">
        <w:rPr>
          <w:rFonts w:ascii="Arial" w:hAnsi="Arial" w:cs="Arial"/>
          <w:sz w:val="24"/>
          <w:szCs w:val="24"/>
        </w:rPr>
        <w:t>The other factor is that the regulatory environment of influencer marketing has been becoming increasingly more complex in the last couple of years. The new disclosure policy of FTC (FTC, 2023), and similar policies in the UK and the EU imply that now multinational brands have a multi-jurisdictional compliance issue that they have to manage attentively. Lack of proper disclosure not only poses legal and regulatory risk, but also brand equity implications in case consumers feel that the brand has been involved in some commercial dealings that have not been disclosed.</w:t>
      </w:r>
    </w:p>
    <w:p w14:paraId="6B980ECF"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Lastly, the current evidence base on UGIC strategy is uneven both culturally and geographically, as there is an emerging literature on this topic. Most of the empirical studies on this topic have been done in North American and Western European contexts, and little has been done to understand the dynamics of influencer marketing in emerging markets with high growth rates like South Asia, Southeast Asia, Latin America, the Middle East, and Sub-Saharan Africa (Gupta and Verma, 2025). Since most of the fastest-growing retail markets in the world are found in these areas, and the attitudes of consumers towards authenticity, peer influence and digital trust differ meaningfully across cultural settings (Jain, 2024), this geographic asymmetry is a real constraint on the external validity of existing results to the entire set of markets in which multinational retailers are operating.</w:t>
      </w:r>
    </w:p>
    <w:p w14:paraId="437D0F43" w14:textId="77777777" w:rsidR="00A861CB" w:rsidRPr="00353CA2" w:rsidRDefault="00A861CB" w:rsidP="00A861CB">
      <w:pPr>
        <w:spacing w:line="360" w:lineRule="auto"/>
        <w:jc w:val="both"/>
        <w:rPr>
          <w:rFonts w:ascii="Arial" w:hAnsi="Arial" w:cs="Arial"/>
          <w:sz w:val="24"/>
          <w:szCs w:val="24"/>
        </w:rPr>
      </w:pPr>
      <w:r w:rsidRPr="009772E9">
        <w:rPr>
          <w:rFonts w:ascii="Arial" w:hAnsi="Arial" w:cs="Arial"/>
          <w:sz w:val="24"/>
          <w:szCs w:val="24"/>
        </w:rPr>
        <w:lastRenderedPageBreak/>
        <w:t xml:space="preserve">New research emphasizes the need of adaptive governance structures of multinational companies. According to </w:t>
      </w:r>
      <w:r w:rsidRPr="00AA3B9C">
        <w:rPr>
          <w:rFonts w:ascii="Arial" w:hAnsi="Arial" w:cs="Arial"/>
          <w:sz w:val="24"/>
          <w:szCs w:val="24"/>
        </w:rPr>
        <w:t xml:space="preserve">Theodorakopoulos, Theodoropoulou and Klavdianos </w:t>
      </w:r>
      <w:r>
        <w:rPr>
          <w:rFonts w:ascii="Arial" w:hAnsi="Arial" w:cs="Arial"/>
          <w:sz w:val="24"/>
          <w:szCs w:val="24"/>
        </w:rPr>
        <w:t>(</w:t>
      </w:r>
      <w:r w:rsidRPr="00AA3B9C">
        <w:rPr>
          <w:rFonts w:ascii="Arial" w:hAnsi="Arial" w:cs="Arial"/>
          <w:sz w:val="24"/>
          <w:szCs w:val="24"/>
        </w:rPr>
        <w:t>2025)</w:t>
      </w:r>
      <w:r w:rsidRPr="009772E9">
        <w:rPr>
          <w:rFonts w:ascii="Arial" w:hAnsi="Arial" w:cs="Arial"/>
          <w:sz w:val="24"/>
          <w:szCs w:val="24"/>
        </w:rPr>
        <w:t>, global retailers need to strike a balance between decentralised system of influencers and centralised systems of oversight in order to maintain consistency and compliance. This necessitates the need to invest in cross-jurisdictional monitoring systems and culturally appropriate influencer selection strategies, thus streamlining UGIC practices to the larger corporate governance requirements.</w:t>
      </w:r>
    </w:p>
    <w:p w14:paraId="2FBF651E"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20" w:name="_Toc229774342"/>
      <w:r w:rsidRPr="00003F69">
        <w:rPr>
          <w:rFonts w:ascii="Arial" w:hAnsi="Arial" w:cs="Arial"/>
          <w:b/>
          <w:bCs/>
          <w:color w:val="000000" w:themeColor="text1"/>
          <w:sz w:val="24"/>
          <w:szCs w:val="24"/>
        </w:rPr>
        <w:t>2.7 Research Gap</w:t>
      </w:r>
      <w:bookmarkEnd w:id="20"/>
    </w:p>
    <w:p w14:paraId="5C96F954"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The literature that was consulted in this chapter has grown significantly over the last decade, and a fairly well-established picture of the psychological processes by which UGIC affects individual consumer behaviour has now emerged. Nevertheless, there are still a number of critical gaps, which give the main reason to conduct the present study.</w:t>
      </w:r>
    </w:p>
    <w:p w14:paraId="26E7E5A8"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 xml:space="preserve">The most significant and, perhaps, the most crucial gap is the one in terms of analysis. Consumer-level results, mainly purchase intention, attitude formation, and engagement behaviour, are the most common dependent variables in the influencer marketing literature, and are considered the vast majority of empirical studies (Jain, 2024; Han and Balabanis, 2024). </w:t>
      </w:r>
      <w:r w:rsidRPr="009772E9">
        <w:rPr>
          <w:rFonts w:ascii="Arial" w:hAnsi="Arial" w:cs="Arial"/>
          <w:sz w:val="24"/>
          <w:szCs w:val="24"/>
        </w:rPr>
        <w:t xml:space="preserve">Nevertheless, little has been done to investigate the role of UGIC in organisational governance frameworks, and the formation of cross-cultural brand equity. Future studies, as </w:t>
      </w:r>
      <w:r w:rsidRPr="00E30F4C">
        <w:rPr>
          <w:rFonts w:ascii="Arial" w:hAnsi="Arial" w:cs="Arial"/>
          <w:sz w:val="24"/>
          <w:szCs w:val="24"/>
        </w:rPr>
        <w:t xml:space="preserve">Peggiani and Lamberti </w:t>
      </w:r>
      <w:r>
        <w:rPr>
          <w:rFonts w:ascii="Arial" w:hAnsi="Arial" w:cs="Arial"/>
          <w:sz w:val="24"/>
          <w:szCs w:val="24"/>
        </w:rPr>
        <w:t>(</w:t>
      </w:r>
      <w:r w:rsidRPr="00E30F4C">
        <w:rPr>
          <w:rFonts w:ascii="Arial" w:hAnsi="Arial" w:cs="Arial"/>
          <w:sz w:val="24"/>
          <w:szCs w:val="24"/>
        </w:rPr>
        <w:t>2026)</w:t>
      </w:r>
      <w:r w:rsidRPr="009772E9">
        <w:rPr>
          <w:rFonts w:ascii="Arial" w:hAnsi="Arial" w:cs="Arial"/>
          <w:sz w:val="24"/>
          <w:szCs w:val="24"/>
        </w:rPr>
        <w:t xml:space="preserve"> emphasise, need to find solutions to how multinational companies can balance the decentralised influencer ecosystem with centralised strategic control, especially in heterogeneous regulatory and cultural contexts.</w:t>
      </w:r>
    </w:p>
    <w:p w14:paraId="29622537"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 xml:space="preserve">Although the body of work has yielded some useful information on the psychological mechanisms by which the content of an influencer influences the decision-making process of individual consumers, it tells us relatively little about the strategic implications of the transition between one marketing modality and another at the firm level. The academic literature has not been able to look at the long-term impacts of the adoption of UGIC on brand equity structure, competition positioning, and marketing governance of organisations in a systematic manner (Gupta and Verma, 2025; Kumar and Jibril, 2025). This is a huge omission considering that the choices that brand </w:t>
      </w:r>
      <w:r w:rsidRPr="00151557">
        <w:rPr>
          <w:rFonts w:ascii="Arial" w:hAnsi="Arial" w:cs="Arial"/>
          <w:sz w:val="24"/>
          <w:szCs w:val="24"/>
        </w:rPr>
        <w:lastRenderedPageBreak/>
        <w:t>managers and top executives of multinational retail companies have to make are more strategic than individual-psychological.</w:t>
      </w:r>
    </w:p>
    <w:p w14:paraId="353A77E3"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Sectoral specificity is another of the gap. A lot of the available UGIC and influencer marketing studies are based on samples and case studies of fashion, beauty, consumer electronics, and food and beverage with relatively little research on global retail as a unique strategic setting (Gupta and Verma, 2025). Global retail is marked by a high degree of heterogeneity in terms of product categories, consumer groups, and competitive forces, and brand ambassador and UGIC application strategic logic might work very differently in this case as compared to the industries that are more reflected in the literature. This disconnect restricts the applicability of the current research to the managerial issues of retailers like Nike, ASOS, and L’Oréal that are present in a variety of international markets with their own unique consumer culture, regulatory frameworks, and digital media ecosystems (OECD, 2026)</w:t>
      </w:r>
      <w:r w:rsidRPr="00FF5A82">
        <w:rPr>
          <w:rFonts w:ascii="Arial" w:hAnsi="Arial" w:cs="Arial"/>
          <w:sz w:val="24"/>
          <w:szCs w:val="24"/>
        </w:rPr>
        <w:t>.</w:t>
      </w:r>
    </w:p>
    <w:p w14:paraId="1F160F31"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The third gap is a theoretical gap. The three theories that are the most applicable in this research, which are Source Credibility Theory, Brand Equity Theory, and Relationship Marketing, are not used in combination but are more likely to be applied separately (van Reijmersdal, Walet and Gudmundsdottir, 2024; Simmons and Durkin, 2023). The implication is that a large part of the existing research provides only a partial explanation of the phenomenon: either it is the study of the persuasion process on the individual level, or on the brand value implications on the organisational level, or on the relational and co-creative aspect of consumer engagement, but seldom all three. A combination of these frameworks into one analytical framework would give a more detailed and strategically consistent account of the transition that is currently being experienced in global retail marketing.</w:t>
      </w:r>
    </w:p>
    <w:p w14:paraId="2C518878"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 xml:space="preserve">The fourth gap is associated with the geographic and cultural areas of evidence. As mentioned in Section 2.6, the current empirical evidence is skewed towards Western market environments, especially the North America and Western Europe. Influencer trust, authenticity and peer validation dynamics may have different effects in more collectivist cultural settings or in markets where digital infrastructure and consumer media behaviors are much different than those in the West. This geographic imbalance is a significant constraint to the external validity of existing inferences, especially when </w:t>
      </w:r>
      <w:r w:rsidRPr="00151557">
        <w:rPr>
          <w:rFonts w:ascii="Arial" w:hAnsi="Arial" w:cs="Arial"/>
          <w:sz w:val="24"/>
          <w:szCs w:val="24"/>
        </w:rPr>
        <w:lastRenderedPageBreak/>
        <w:t>it comes to multinational retail companies with a high exposure to high-growth markets in Asia, Latin America, and Africa (Gupta and Verma, 2025).</w:t>
      </w:r>
    </w:p>
    <w:p w14:paraId="4EED29E0"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A fifth gap is due to the rate of change of the digital marketing environment itself. The influencer marketing environment is shifting at a very fast pace, with new formatting of platforms, algorithmic changes, and regulatory changes continually re-calibrating the strategic calculations of brands (FTC, 2023; Petkovska, 2025). Published studies always lag a little behind practitioner innovations and some of the seminal studies in this literature were carried out in a digital space that has evolved significantly since the time of data collection. To overcome this limitation, the study will focus on the sources published after 2020 and will include the latest industry benchmark data to make sure that the analysis is based on the current situation.</w:t>
      </w:r>
    </w:p>
    <w:p w14:paraId="7B6C5EBF"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21" w:name="_Toc229774343"/>
      <w:r w:rsidRPr="00003F69">
        <w:rPr>
          <w:rFonts w:ascii="Arial" w:hAnsi="Arial" w:cs="Arial"/>
          <w:b/>
          <w:bCs/>
          <w:color w:val="000000" w:themeColor="text1"/>
          <w:sz w:val="24"/>
          <w:szCs w:val="24"/>
        </w:rPr>
        <w:t>2.8 Conceptual Framework</w:t>
      </w:r>
      <w:bookmarkEnd w:id="21"/>
    </w:p>
    <w:p w14:paraId="077BC691" w14:textId="77777777" w:rsidR="00A861CB" w:rsidRDefault="00A861CB" w:rsidP="00A861CB">
      <w:pPr>
        <w:spacing w:line="360" w:lineRule="auto"/>
        <w:jc w:val="both"/>
        <w:rPr>
          <w:rFonts w:ascii="Arial" w:hAnsi="Arial" w:cs="Arial"/>
          <w:sz w:val="24"/>
          <w:szCs w:val="24"/>
        </w:rPr>
      </w:pPr>
      <w:r w:rsidRPr="00151557">
        <w:rPr>
          <w:rFonts w:ascii="Arial" w:hAnsi="Arial" w:cs="Arial"/>
          <w:sz w:val="24"/>
          <w:szCs w:val="24"/>
        </w:rPr>
        <w:t>The above identified gaps indicate a coherent analytical requirement: a framework that integrates the individual, organisational and relational aspects of the phenomenon under study into one coherent analytical method. The proposed conceptual framework directly addresses this need by incorporating three theoretical perspectives, which are complementary and cover three non-overlapping aspects of the research problem, including Source Credibility Theory, Brand Equity Theory, and Relationship Marketing theory.</w:t>
      </w:r>
    </w:p>
    <w:p w14:paraId="327D61D9" w14:textId="77777777" w:rsidR="00A861CB" w:rsidRPr="0014261B" w:rsidRDefault="00A861CB" w:rsidP="00A861CB">
      <w:pPr>
        <w:spacing w:line="360" w:lineRule="auto"/>
        <w:jc w:val="both"/>
        <w:rPr>
          <w:rFonts w:ascii="Arial" w:hAnsi="Arial" w:cs="Arial"/>
          <w:sz w:val="24"/>
          <w:szCs w:val="24"/>
        </w:rPr>
      </w:pPr>
      <w:r w:rsidRPr="0014261B">
        <w:rPr>
          <w:rFonts w:ascii="Arial" w:hAnsi="Arial" w:cs="Arial"/>
          <w:sz w:val="24"/>
          <w:szCs w:val="24"/>
        </w:rPr>
        <w:t>Research Question 2, which is how UGIC affects brand credibility and consumer engagement in comparison to traditional endorsements, is based on the analytical foundation of the Source Credibility Theory (Hovland and Weiss, 1951). The three dimensions of trustworthiness, expertise, and attractiveness are the main dimensions of the theory that are repeated in the literature as the main mechanisms that both traditional ambassador and UGIC-based communication create consumer effects. Nevertheless, the theory has typically been utilized individually to each modality instead of being used as an analytical comparison between the two (Knoll and Matthes, 2017; Schouten, Janssen and Verspaget, 2020). Applying the Source Credibility Theory as a consistent evaluative approach to the two forms of endorsement, one can determine the point at which the credibility gap between institutional endorsement and peer-generated content is the greatest, and in what circumstances each modality is most successful.</w:t>
      </w:r>
    </w:p>
    <w:p w14:paraId="0F1F8C04" w14:textId="77777777" w:rsidR="00A861CB" w:rsidRPr="0014261B" w:rsidRDefault="00A861CB" w:rsidP="00A861CB">
      <w:pPr>
        <w:spacing w:line="360" w:lineRule="auto"/>
        <w:jc w:val="both"/>
        <w:rPr>
          <w:rFonts w:ascii="Arial" w:hAnsi="Arial" w:cs="Arial"/>
          <w:sz w:val="24"/>
          <w:szCs w:val="24"/>
        </w:rPr>
      </w:pPr>
      <w:r w:rsidRPr="0014261B">
        <w:rPr>
          <w:rFonts w:ascii="Arial" w:hAnsi="Arial" w:cs="Arial"/>
          <w:sz w:val="24"/>
          <w:szCs w:val="24"/>
        </w:rPr>
        <w:lastRenderedPageBreak/>
        <w:t>Research Question 1 and 3, which focus on the strategic forces behind the shift and the risks and opportunities it presents to multinational retail brands, are evaluated using Brand Equity Theory (Aaker, 1991; Keller, 1993). As the evidence considered in Section 2.5 shows, UGIC has an impact on all four dimensions of brand equity as defined by Aaker, albeit in a different manner than the impact created by conventional ambassador campaigns. These impacts are yet to be systematically examined using the Aaker and Keller lenses in the particular context of global retail (France, Davcik and Kazandjian, 2025). The application of Brand Equity Theory as the assessment model will guarantee that the research results can be converted to strategically significant and operationally viable conclusions about the long-term brand value, as opposed to quantifying short-term involvement or attitudinal reaction.</w:t>
      </w:r>
    </w:p>
    <w:p w14:paraId="484B222F" w14:textId="77777777" w:rsidR="00A861CB" w:rsidRPr="0014261B" w:rsidRDefault="00A861CB" w:rsidP="00A861CB">
      <w:pPr>
        <w:spacing w:line="360" w:lineRule="auto"/>
        <w:jc w:val="both"/>
        <w:rPr>
          <w:rFonts w:ascii="Arial" w:hAnsi="Arial" w:cs="Arial"/>
          <w:sz w:val="24"/>
          <w:szCs w:val="24"/>
        </w:rPr>
      </w:pPr>
      <w:r w:rsidRPr="0014261B">
        <w:rPr>
          <w:rFonts w:ascii="Arial" w:hAnsi="Arial" w:cs="Arial"/>
          <w:sz w:val="24"/>
          <w:szCs w:val="24"/>
        </w:rPr>
        <w:t>Relationship Marketing theory, namely the value co-creation paradigm expressed in terms of the Service-Dominant Logic by Vargo and Lusch (2004), answers Research Question 4, which is how global retail companies should strategically respond to the changing marketing environment. As the evidence discussed in Sections 2.3 and 2.6 shows, UGIC is not merely a new avenue of conveying credibility signals or establishing brand associations but fundamentally reorganizes the relationship between brands and consumers by repositioning the latter as active co-creators of brand meaning (Bell, Bryman and Harley, 2019; Simmons and Durkin, 2023). The governance and organisational implications of this co-creative dynamic cannot be satisfactorily explained by either of the two theories, Source Credibility Theory and Brand Equity Theory, which describe communication as a fundamentally one-way process between brand and consumer. The Relational dimension that Relationship Marketing theory offers fills in the analytical picture by offering the conceptual vocabulary to deal with strategic adaptation, governance, and long-term management of brand-consumer relationships in a UGIC-intensive environment.</w:t>
      </w:r>
    </w:p>
    <w:p w14:paraId="056B4FC7" w14:textId="77777777" w:rsidR="00A861CB" w:rsidRDefault="00A861CB" w:rsidP="00A861CB">
      <w:pPr>
        <w:spacing w:line="360" w:lineRule="auto"/>
        <w:jc w:val="both"/>
        <w:rPr>
          <w:rFonts w:ascii="Arial" w:hAnsi="Arial" w:cs="Arial"/>
          <w:sz w:val="24"/>
          <w:szCs w:val="24"/>
        </w:rPr>
      </w:pPr>
      <w:r w:rsidRPr="00580CD3">
        <w:rPr>
          <w:rFonts w:ascii="Arial" w:hAnsi="Arial" w:cs="Arial"/>
          <w:sz w:val="24"/>
          <w:szCs w:val="24"/>
        </w:rPr>
        <w:t xml:space="preserve">The three frameworks do not provide similar explanations of the same phenomenon. They work on various levels of analysis and cover various aspects of the research problem. The Source Credibility Theory is based on the personal communication and persuasion. Brand Equity Theory is a brand and firm-level theory that transforms the individual consumer reactions into cumulative strategy evaluations of brand value. The theory of Relationship Marketing works at brand-consumer relationship level over time, and deals with structural conditions in which durable loyalty and co-created brand </w:t>
      </w:r>
      <w:r w:rsidRPr="00580CD3">
        <w:rPr>
          <w:rFonts w:ascii="Arial" w:hAnsi="Arial" w:cs="Arial"/>
          <w:sz w:val="24"/>
          <w:szCs w:val="24"/>
        </w:rPr>
        <w:lastRenderedPageBreak/>
        <w:t>meaning are generated. They add up to provide the analytical breadth to move to micro-level processes of persuasion, meso-level brand equity and macro-level strategic adjustment.</w:t>
      </w:r>
      <w:r w:rsidRPr="00580CD3">
        <w:t xml:space="preserve"> </w:t>
      </w:r>
      <w:r w:rsidRPr="00580CD3">
        <w:rPr>
          <w:rFonts w:ascii="Arial" w:hAnsi="Arial" w:cs="Arial"/>
          <w:sz w:val="24"/>
          <w:szCs w:val="24"/>
        </w:rPr>
        <w:t>This combined strategy has not been implemented in a systematic manner in the international retail setting, as observed in the gaps observed in Section 2.7.</w:t>
      </w:r>
    </w:p>
    <w:p w14:paraId="00E02B96" w14:textId="77777777" w:rsidR="00A861CB" w:rsidRDefault="00A861CB" w:rsidP="00A861CB">
      <w:pPr>
        <w:spacing w:line="360" w:lineRule="auto"/>
        <w:jc w:val="both"/>
        <w:rPr>
          <w:rFonts w:ascii="Arial" w:hAnsi="Arial" w:cs="Arial"/>
          <w:sz w:val="24"/>
          <w:szCs w:val="24"/>
        </w:rPr>
      </w:pPr>
      <w:r w:rsidRPr="00D606B6">
        <w:rPr>
          <w:rFonts w:ascii="Arial" w:hAnsi="Arial" w:cs="Arial"/>
          <w:sz w:val="24"/>
          <w:szCs w:val="24"/>
        </w:rPr>
        <w:t xml:space="preserve">There is emerging empirical evidence on the integration of the three theories. The study by </w:t>
      </w:r>
      <w:r>
        <w:rPr>
          <w:rFonts w:ascii="Arial" w:hAnsi="Arial" w:cs="Arial"/>
          <w:sz w:val="24"/>
          <w:szCs w:val="24"/>
        </w:rPr>
        <w:t>Pan et al. (2025)</w:t>
      </w:r>
      <w:r w:rsidRPr="00D606B6">
        <w:rPr>
          <w:rFonts w:ascii="Arial" w:hAnsi="Arial" w:cs="Arial"/>
          <w:sz w:val="24"/>
          <w:szCs w:val="24"/>
        </w:rPr>
        <w:t xml:space="preserve"> proves that the source credibility, brand equity dimensions, and value co-creation processes are dynamically interdependent in the context of influencers, which confirms the multi-level approach to the analysis proposed in this paper. Rosengren et al. (2025) demonstrate how relationship marketing principles form the basis of effective hybrid retail strategies, whereas </w:t>
      </w:r>
      <w:r w:rsidRPr="002F4FCF">
        <w:rPr>
          <w:rFonts w:ascii="Arial" w:hAnsi="Arial" w:cs="Arial"/>
          <w:sz w:val="24"/>
          <w:szCs w:val="24"/>
        </w:rPr>
        <w:t>Cheah, Koay and Lim</w:t>
      </w:r>
      <w:r w:rsidRPr="00D606B6">
        <w:rPr>
          <w:rFonts w:ascii="Arial" w:hAnsi="Arial" w:cs="Arial"/>
          <w:sz w:val="24"/>
          <w:szCs w:val="24"/>
        </w:rPr>
        <w:t xml:space="preserve"> (2024) demonstrate that the erosion of credibility in case of over-endorsement can be counteracted by product congruence and authenticity. The combination of the chosen frameworks best represents these mechanisms. Migkos</w:t>
      </w:r>
      <w:r w:rsidRPr="002F4FCF">
        <w:rPr>
          <w:rFonts w:ascii="Arial" w:hAnsi="Arial" w:cs="Arial"/>
          <w:sz w:val="24"/>
          <w:szCs w:val="24"/>
        </w:rPr>
        <w:t>, Giannakopoulos and Sakas</w:t>
      </w:r>
      <w:r w:rsidRPr="00D606B6">
        <w:rPr>
          <w:rFonts w:ascii="Arial" w:hAnsi="Arial" w:cs="Arial"/>
          <w:sz w:val="24"/>
          <w:szCs w:val="24"/>
        </w:rPr>
        <w:t xml:space="preserve"> (2025) also confirm that the presence of parasocial bonds and the co-created meaning positively influence the results of loyalty compared to the results of loyalty with the help of the traditional ambassador models. The framework thus provides a logical perspective through which the strategic shift in the international retail marketing can be analyzed.</w:t>
      </w:r>
    </w:p>
    <w:p w14:paraId="32F4C600" w14:textId="77777777" w:rsidR="00A861CB" w:rsidRDefault="00A861CB" w:rsidP="00A861CB">
      <w:pPr>
        <w:spacing w:line="360" w:lineRule="auto"/>
        <w:jc w:val="both"/>
        <w:rPr>
          <w:rFonts w:ascii="Arial" w:hAnsi="Arial" w:cs="Arial"/>
          <w:b/>
          <w:bCs/>
          <w:sz w:val="24"/>
          <w:szCs w:val="24"/>
        </w:rPr>
      </w:pPr>
      <w:r w:rsidRPr="002424CE">
        <w:rPr>
          <w:rFonts w:ascii="Arial" w:hAnsi="Arial" w:cs="Arial"/>
          <w:b/>
          <w:bCs/>
          <w:sz w:val="24"/>
          <w:szCs w:val="24"/>
        </w:rPr>
        <w:t>Identified Research Questions</w:t>
      </w:r>
    </w:p>
    <w:p w14:paraId="735CC3CB" w14:textId="77777777" w:rsidR="00A861CB" w:rsidRPr="002424CE" w:rsidRDefault="00A861CB" w:rsidP="00A861CB">
      <w:pPr>
        <w:pStyle w:val="ListParagraph"/>
        <w:numPr>
          <w:ilvl w:val="0"/>
          <w:numId w:val="4"/>
        </w:numPr>
        <w:spacing w:line="360" w:lineRule="auto"/>
        <w:jc w:val="both"/>
        <w:rPr>
          <w:rFonts w:ascii="Arial" w:hAnsi="Arial" w:cs="Arial"/>
          <w:sz w:val="24"/>
          <w:szCs w:val="24"/>
        </w:rPr>
      </w:pPr>
      <w:r w:rsidRPr="008A1D2C">
        <w:rPr>
          <w:rFonts w:ascii="Arial" w:hAnsi="Arial" w:cs="Arial"/>
          <w:sz w:val="24"/>
          <w:szCs w:val="24"/>
        </w:rPr>
        <w:t>How does user-generated influencer content influence brand credibility and consumer engagement compared to traditional endorsements?</w:t>
      </w:r>
    </w:p>
    <w:p w14:paraId="48D02743" w14:textId="77777777" w:rsidR="00A861CB" w:rsidRPr="008A1D2C" w:rsidRDefault="00A861CB" w:rsidP="00A861CB">
      <w:pPr>
        <w:pStyle w:val="ListParagraph"/>
        <w:numPr>
          <w:ilvl w:val="0"/>
          <w:numId w:val="4"/>
        </w:numPr>
        <w:spacing w:line="360" w:lineRule="auto"/>
        <w:jc w:val="both"/>
        <w:rPr>
          <w:rFonts w:ascii="Arial" w:hAnsi="Arial" w:cs="Arial"/>
          <w:sz w:val="24"/>
          <w:szCs w:val="24"/>
        </w:rPr>
      </w:pPr>
      <w:r w:rsidRPr="008A1D2C">
        <w:rPr>
          <w:rFonts w:ascii="Arial" w:hAnsi="Arial" w:cs="Arial"/>
          <w:sz w:val="24"/>
          <w:szCs w:val="24"/>
        </w:rPr>
        <w:t>What are the risks and opportunities associated with this transition for multinational retail brands?</w:t>
      </w:r>
    </w:p>
    <w:p w14:paraId="747F15C5" w14:textId="77777777" w:rsidR="00A861CB" w:rsidRPr="00003F69" w:rsidRDefault="00A861CB" w:rsidP="00003F69">
      <w:pPr>
        <w:pStyle w:val="Heading2"/>
        <w:spacing w:line="360" w:lineRule="auto"/>
        <w:rPr>
          <w:rFonts w:ascii="Arial" w:hAnsi="Arial" w:cs="Arial"/>
          <w:b/>
          <w:bCs/>
          <w:color w:val="000000" w:themeColor="text1"/>
          <w:sz w:val="24"/>
          <w:szCs w:val="24"/>
        </w:rPr>
      </w:pPr>
      <w:bookmarkStart w:id="22" w:name="_Toc229774344"/>
      <w:r w:rsidRPr="00003F69">
        <w:rPr>
          <w:rFonts w:ascii="Arial" w:hAnsi="Arial" w:cs="Arial"/>
          <w:b/>
          <w:bCs/>
          <w:color w:val="000000" w:themeColor="text1"/>
          <w:sz w:val="24"/>
          <w:szCs w:val="24"/>
        </w:rPr>
        <w:t>2.9 Chapter Summary</w:t>
      </w:r>
      <w:bookmarkEnd w:id="22"/>
    </w:p>
    <w:p w14:paraId="11D625FD" w14:textId="4A731E00" w:rsidR="00A861CB" w:rsidRDefault="00A861CB" w:rsidP="00A861CB">
      <w:pPr>
        <w:spacing w:line="360" w:lineRule="auto"/>
        <w:jc w:val="both"/>
        <w:rPr>
          <w:rFonts w:ascii="Arial" w:hAnsi="Arial" w:cs="Arial"/>
          <w:sz w:val="24"/>
          <w:szCs w:val="24"/>
        </w:rPr>
      </w:pPr>
      <w:r w:rsidRPr="007F2687">
        <w:rPr>
          <w:rFonts w:ascii="Arial" w:hAnsi="Arial" w:cs="Arial"/>
          <w:sz w:val="24"/>
          <w:szCs w:val="24"/>
        </w:rPr>
        <w:t xml:space="preserve">This chapter has examined how the traditional brand ambassador models have been changed to user-generated influencer content (UGIC) in international retail marketing. It discussed the theoretical basis of ambassador strategies, the development of UGIC, relative effects on brand equity and consumer trust, and governance issues of multinational companies. The major themes are the benefits of UGIC in terms of cost effectiveness, authenticity, consumer access and localisation, and the risks of inconsistent communication, regulatory compliance and reputational risk. The classic </w:t>
      </w:r>
      <w:r w:rsidRPr="007F2687">
        <w:rPr>
          <w:rFonts w:ascii="Arial" w:hAnsi="Arial" w:cs="Arial"/>
          <w:sz w:val="24"/>
          <w:szCs w:val="24"/>
        </w:rPr>
        <w:lastRenderedPageBreak/>
        <w:t>ambassador models are beneficial in terms of narrative control, credibility in the mass market, and reach, but their effectiveness with younger audiences is waning. Nike, ASOS, and L’Oréal case evidence indicates that hybrid strategies, which involve ambassador control and UGIC engagement offer the most robust long-term strategy to global retailers</w:t>
      </w:r>
      <w:r>
        <w:rPr>
          <w:rFonts w:ascii="Arial" w:hAnsi="Arial" w:cs="Arial"/>
          <w:sz w:val="24"/>
          <w:szCs w:val="24"/>
        </w:rPr>
        <w:t>.</w:t>
      </w:r>
      <w:r w:rsidRPr="00A0351B">
        <w:rPr>
          <w:rFonts w:ascii="Arial" w:hAnsi="Arial" w:cs="Arial"/>
          <w:sz w:val="24"/>
          <w:szCs w:val="24"/>
        </w:rPr>
        <w:t xml:space="preserve"> </w:t>
      </w:r>
      <w:r w:rsidRPr="00580CD3">
        <w:rPr>
          <w:rFonts w:ascii="Arial" w:hAnsi="Arial" w:cs="Arial"/>
          <w:sz w:val="24"/>
          <w:szCs w:val="24"/>
        </w:rPr>
        <w:t>Five gaps in the current literature have been suggested. Section 2.8 proposes a conceptual framework that incorporates the Source Credibility Theory, Brand Equity Theory, and Relationship Marketing, which has been developed to fill these gaps. This framework will guide the research methodology described in Chapter 3.</w:t>
      </w:r>
      <w:r w:rsidRPr="00735229">
        <w:rPr>
          <w:rFonts w:ascii="Arial" w:hAnsi="Arial" w:cs="Arial"/>
          <w:sz w:val="24"/>
          <w:szCs w:val="24"/>
        </w:rPr>
        <w:t xml:space="preserve"> </w:t>
      </w:r>
      <w:r w:rsidRPr="008A1D2C">
        <w:rPr>
          <w:rFonts w:ascii="Arial" w:hAnsi="Arial" w:cs="Arial"/>
          <w:sz w:val="24"/>
          <w:szCs w:val="24"/>
        </w:rPr>
        <w:t>This chapter's synthesised evidence results in two research questions that will guide the remainder of this dissertation. First, how does consumer-generated influencer content impact brand credibility and consumer engagement, relative to other forms of endorsement? This question is a direct outcome of the chapter's comparative treatment of Source Credibility Theory across both media, using meta-analytic evidence to assess the authenticity, engagement and trustworthiness of the two media. Second, what are the challenges and opportunities for multinational retail firms with this shift? This question is a result of the chapter's detailed analysis of governance issues, regulatory issues across different markets, and the strategic opportunities of cost efficiency and market localisation for multinational retail brands. These questions emerge from the thematic and theoretical analysis that has occurred in this chapter and are a culmination of the key tensions and challenges that have not been addressed in the literature.</w:t>
      </w:r>
    </w:p>
    <w:p w14:paraId="6C2B701C" w14:textId="6B7E2B84" w:rsidR="000A54BF" w:rsidRDefault="000A54BF" w:rsidP="00353CA2">
      <w:pPr>
        <w:spacing w:line="360" w:lineRule="auto"/>
        <w:jc w:val="both"/>
        <w:rPr>
          <w:rFonts w:ascii="Arial" w:hAnsi="Arial" w:cs="Arial"/>
          <w:sz w:val="24"/>
          <w:szCs w:val="24"/>
        </w:rPr>
      </w:pPr>
    </w:p>
    <w:p w14:paraId="62586595" w14:textId="743DDE11" w:rsidR="0004565A" w:rsidRDefault="0004565A" w:rsidP="00353CA2">
      <w:pPr>
        <w:spacing w:line="360" w:lineRule="auto"/>
        <w:jc w:val="both"/>
        <w:rPr>
          <w:rFonts w:ascii="Arial" w:hAnsi="Arial" w:cs="Arial"/>
          <w:sz w:val="24"/>
          <w:szCs w:val="24"/>
        </w:rPr>
      </w:pPr>
    </w:p>
    <w:p w14:paraId="047D2352" w14:textId="3BD452BE" w:rsidR="0004565A" w:rsidRDefault="0004565A" w:rsidP="00353CA2">
      <w:pPr>
        <w:spacing w:line="360" w:lineRule="auto"/>
        <w:jc w:val="both"/>
        <w:rPr>
          <w:rFonts w:ascii="Arial" w:hAnsi="Arial" w:cs="Arial"/>
          <w:sz w:val="24"/>
          <w:szCs w:val="24"/>
        </w:rPr>
      </w:pPr>
    </w:p>
    <w:p w14:paraId="7C03E978" w14:textId="4C00E8D4" w:rsidR="00415E44" w:rsidRDefault="00415E44" w:rsidP="00353CA2">
      <w:pPr>
        <w:spacing w:line="360" w:lineRule="auto"/>
        <w:jc w:val="both"/>
        <w:rPr>
          <w:rFonts w:ascii="Arial" w:hAnsi="Arial" w:cs="Arial"/>
          <w:sz w:val="24"/>
          <w:szCs w:val="24"/>
        </w:rPr>
      </w:pPr>
    </w:p>
    <w:p w14:paraId="59F0E1E8" w14:textId="091779C5" w:rsidR="00415E44" w:rsidRDefault="00415E44" w:rsidP="00353CA2">
      <w:pPr>
        <w:spacing w:line="360" w:lineRule="auto"/>
        <w:jc w:val="both"/>
        <w:rPr>
          <w:rFonts w:ascii="Arial" w:hAnsi="Arial" w:cs="Arial"/>
          <w:sz w:val="24"/>
          <w:szCs w:val="24"/>
        </w:rPr>
      </w:pPr>
    </w:p>
    <w:p w14:paraId="64A7310A" w14:textId="3619C54A" w:rsidR="00415E44" w:rsidRDefault="00415E44" w:rsidP="00353CA2">
      <w:pPr>
        <w:spacing w:line="360" w:lineRule="auto"/>
        <w:jc w:val="both"/>
        <w:rPr>
          <w:rFonts w:ascii="Arial" w:hAnsi="Arial" w:cs="Arial"/>
          <w:sz w:val="24"/>
          <w:szCs w:val="24"/>
        </w:rPr>
      </w:pPr>
    </w:p>
    <w:p w14:paraId="15B283AC" w14:textId="7C722483" w:rsidR="00003F69" w:rsidRDefault="00003F69" w:rsidP="00353CA2">
      <w:pPr>
        <w:spacing w:line="360" w:lineRule="auto"/>
        <w:jc w:val="both"/>
        <w:rPr>
          <w:rFonts w:ascii="Arial" w:hAnsi="Arial" w:cs="Arial"/>
          <w:sz w:val="24"/>
          <w:szCs w:val="24"/>
        </w:rPr>
      </w:pPr>
    </w:p>
    <w:p w14:paraId="41EFBD49" w14:textId="253D7190" w:rsidR="00003F69" w:rsidRDefault="00003F69" w:rsidP="00353CA2">
      <w:pPr>
        <w:spacing w:line="360" w:lineRule="auto"/>
        <w:jc w:val="both"/>
        <w:rPr>
          <w:rFonts w:ascii="Arial" w:hAnsi="Arial" w:cs="Arial"/>
          <w:sz w:val="24"/>
          <w:szCs w:val="24"/>
        </w:rPr>
      </w:pPr>
    </w:p>
    <w:p w14:paraId="413A6533" w14:textId="77777777" w:rsidR="00003F69" w:rsidRDefault="00003F69" w:rsidP="00353CA2">
      <w:pPr>
        <w:spacing w:line="360" w:lineRule="auto"/>
        <w:jc w:val="both"/>
        <w:rPr>
          <w:rFonts w:ascii="Arial" w:hAnsi="Arial" w:cs="Arial"/>
          <w:sz w:val="24"/>
          <w:szCs w:val="24"/>
        </w:rPr>
      </w:pPr>
    </w:p>
    <w:p w14:paraId="190B3886" w14:textId="77777777" w:rsidR="006E5DFB" w:rsidRPr="00003F69" w:rsidRDefault="006E5DFB" w:rsidP="00003F69">
      <w:pPr>
        <w:pStyle w:val="Heading1"/>
        <w:spacing w:line="360" w:lineRule="auto"/>
        <w:rPr>
          <w:rFonts w:ascii="Arial" w:hAnsi="Arial" w:cs="Arial"/>
          <w:b/>
          <w:bCs/>
          <w:sz w:val="24"/>
          <w:szCs w:val="24"/>
        </w:rPr>
      </w:pPr>
      <w:bookmarkStart w:id="23" w:name="_Toc229774345"/>
      <w:r w:rsidRPr="00003F69">
        <w:rPr>
          <w:rFonts w:ascii="Arial" w:hAnsi="Arial" w:cs="Arial"/>
          <w:b/>
          <w:bCs/>
          <w:color w:val="000000" w:themeColor="text1"/>
          <w:sz w:val="24"/>
          <w:szCs w:val="24"/>
        </w:rPr>
        <w:lastRenderedPageBreak/>
        <w:t>Chapter 3: Research Methodology</w:t>
      </w:r>
      <w:bookmarkEnd w:id="23"/>
    </w:p>
    <w:p w14:paraId="5E842F11"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4" w:name="_Toc229774346"/>
      <w:r w:rsidRPr="00003F69">
        <w:rPr>
          <w:rFonts w:ascii="Arial" w:hAnsi="Arial" w:cs="Arial"/>
          <w:b/>
          <w:bCs/>
          <w:color w:val="000000" w:themeColor="text1"/>
          <w:sz w:val="24"/>
          <w:szCs w:val="24"/>
        </w:rPr>
        <w:t>3.1 Introduction</w:t>
      </w:r>
      <w:bookmarkEnd w:id="24"/>
    </w:p>
    <w:p w14:paraId="100E7678" w14:textId="77777777" w:rsidR="006E5DFB" w:rsidRDefault="006E5DFB" w:rsidP="006E5DFB">
      <w:pPr>
        <w:spacing w:line="360" w:lineRule="auto"/>
        <w:jc w:val="both"/>
        <w:rPr>
          <w:rFonts w:ascii="Arial" w:hAnsi="Arial" w:cs="Arial"/>
          <w:sz w:val="24"/>
          <w:szCs w:val="24"/>
        </w:rPr>
      </w:pPr>
      <w:r w:rsidRPr="001228F8">
        <w:rPr>
          <w:rFonts w:ascii="Arial" w:hAnsi="Arial" w:cs="Arial"/>
          <w:sz w:val="24"/>
          <w:szCs w:val="24"/>
        </w:rPr>
        <w:t>This chapter outlines and explains the methodology of this study. It discusses research philosophy, approach, strategy, sampling, data collection, quality appraisal, data extraction, data analysis, ethics and limitations. All decisions are linked to the research objectives and aligned with the conceptual framework in Chapter 2. As Saunders, Lewis and Thornhill (2023) explain, all methodological choices need to be justified in relation to the objectives of the research.</w:t>
      </w:r>
    </w:p>
    <w:p w14:paraId="15E3A486" w14:textId="77777777" w:rsidR="006E5DFB" w:rsidRPr="00353CA2" w:rsidRDefault="006E5DFB" w:rsidP="006E5DFB">
      <w:pPr>
        <w:spacing w:line="360" w:lineRule="auto"/>
        <w:jc w:val="both"/>
        <w:rPr>
          <w:rFonts w:ascii="Arial" w:hAnsi="Arial" w:cs="Arial"/>
          <w:sz w:val="24"/>
          <w:szCs w:val="24"/>
        </w:rPr>
      </w:pPr>
      <w:r w:rsidRPr="00C40468">
        <w:rPr>
          <w:rFonts w:ascii="Arial" w:hAnsi="Arial" w:cs="Arial"/>
          <w:sz w:val="24"/>
          <w:szCs w:val="24"/>
        </w:rPr>
        <w:t>The overarching aim of this study is to critically examine the strategic shift from traditional brand ambassador models to user-generated influencer content (UGIC) in global retail marketing, and to analyse its implications for brand equity, consumer engagement, and competitive positioning. Four research questions guide the inquiry: first, what strategic factors have driven the shift from traditional brand ambassadors to UGIC? Second, how does UGIC influence brand credibility and consumer engagement compared to traditional endorsements? Third, what are the risks and opportunities associated with this transition for multinational retail brands? Fourth, how should global retail firms strategically adapt to this evolving marketing landscape? These questions directly inform every methodological decision in this chapter.</w:t>
      </w:r>
    </w:p>
    <w:p w14:paraId="592B74BB"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5" w:name="_Toc229774347"/>
      <w:r w:rsidRPr="00003F69">
        <w:rPr>
          <w:rFonts w:ascii="Arial" w:hAnsi="Arial" w:cs="Arial"/>
          <w:b/>
          <w:bCs/>
          <w:color w:val="000000" w:themeColor="text1"/>
          <w:sz w:val="24"/>
          <w:szCs w:val="24"/>
        </w:rPr>
        <w:t>3.2 Research Philosophy</w:t>
      </w:r>
      <w:bookmarkEnd w:id="25"/>
    </w:p>
    <w:p w14:paraId="732A11C8" w14:textId="77777777" w:rsidR="006E5DFB" w:rsidRPr="00353CA2" w:rsidRDefault="006E5DFB" w:rsidP="006E5DFB">
      <w:pPr>
        <w:spacing w:line="360" w:lineRule="auto"/>
        <w:jc w:val="both"/>
        <w:rPr>
          <w:rFonts w:ascii="Arial" w:hAnsi="Arial" w:cs="Arial"/>
          <w:sz w:val="24"/>
          <w:szCs w:val="24"/>
        </w:rPr>
      </w:pPr>
      <w:r w:rsidRPr="001228F8">
        <w:rPr>
          <w:rFonts w:ascii="Arial" w:hAnsi="Arial" w:cs="Arial"/>
          <w:sz w:val="24"/>
          <w:szCs w:val="24"/>
        </w:rPr>
        <w:t>In this study, an interpretivist philosophical position is taken. Interpretivism assumes that social reality is socially constructed, based on meanings and interpretations of human experiences, and that knowledge is relative rather than objective and universal (Saunders, Lewis and Thornhill, 2023). The questions are relational and strategic, and relate to meaning, governance and co-constructed brand value, rather than variables. Therefore, a positivist approach, which assumes the existence of an objective and observer-independent reality, would not be congruent with these goals (Bell, Bryman and Harley, 2019). Interpretivism is also consistent with the conceptual framework developed in Chapter 2 which draws on Source Credibility Theory (Hovland and Weiss, 1951), Brand Equity Theory (Keller, 1993; Aaker, 1991) and Relationship Marketing theory (Vargo and Lusch,</w:t>
      </w:r>
      <w:r>
        <w:rPr>
          <w:rFonts w:ascii="Arial" w:hAnsi="Arial" w:cs="Arial"/>
          <w:sz w:val="24"/>
          <w:szCs w:val="24"/>
        </w:rPr>
        <w:t xml:space="preserve"> </w:t>
      </w:r>
      <w:r w:rsidRPr="001228F8">
        <w:rPr>
          <w:rFonts w:ascii="Arial" w:hAnsi="Arial" w:cs="Arial"/>
          <w:sz w:val="24"/>
          <w:szCs w:val="24"/>
        </w:rPr>
        <w:t>2004), all of which are concerned with perceptions, meanings and relational processes, rather than causal measurement.</w:t>
      </w:r>
    </w:p>
    <w:p w14:paraId="2FF91C6B"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6" w:name="_Toc229774348"/>
      <w:r w:rsidRPr="00003F69">
        <w:rPr>
          <w:rFonts w:ascii="Arial" w:hAnsi="Arial" w:cs="Arial"/>
          <w:b/>
          <w:bCs/>
          <w:color w:val="000000" w:themeColor="text1"/>
          <w:sz w:val="24"/>
          <w:szCs w:val="24"/>
        </w:rPr>
        <w:lastRenderedPageBreak/>
        <w:t>3.3 Research Approach</w:t>
      </w:r>
      <w:bookmarkEnd w:id="26"/>
    </w:p>
    <w:p w14:paraId="02C40AF8" w14:textId="77777777" w:rsidR="006E5DFB" w:rsidRPr="00C40468" w:rsidRDefault="006E5DFB" w:rsidP="006E5DFB">
      <w:pPr>
        <w:spacing w:line="360" w:lineRule="auto"/>
        <w:jc w:val="both"/>
        <w:rPr>
          <w:rFonts w:ascii="Arial" w:hAnsi="Arial" w:cs="Arial"/>
          <w:sz w:val="24"/>
          <w:szCs w:val="24"/>
        </w:rPr>
      </w:pPr>
      <w:r w:rsidRPr="00B819D3">
        <w:rPr>
          <w:rFonts w:ascii="Arial" w:hAnsi="Arial" w:cs="Arial"/>
          <w:sz w:val="24"/>
          <w:szCs w:val="24"/>
        </w:rPr>
        <w:t>An inductive research orientation is taken, deriving analytical insights from patterns evident in the data rather than testing a pre-determined hypothesis (Saunders, Lewis and Thornhill, 2023). This approach is typical of qualitative secondary research in business and management studies, which seeks to develop rich interpretive insights (Bell, Bryman and Harley, 2019; Cheong et al., 2023).</w:t>
      </w:r>
    </w:p>
    <w:p w14:paraId="35E57442"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7" w:name="_Toc229774349"/>
      <w:r w:rsidRPr="00003F69">
        <w:rPr>
          <w:rFonts w:ascii="Arial" w:hAnsi="Arial" w:cs="Arial"/>
          <w:b/>
          <w:bCs/>
          <w:color w:val="000000" w:themeColor="text1"/>
          <w:sz w:val="24"/>
          <w:szCs w:val="24"/>
        </w:rPr>
        <w:t>3.4 Research Strategy</w:t>
      </w:r>
      <w:bookmarkEnd w:id="27"/>
    </w:p>
    <w:p w14:paraId="3EA9C93E" w14:textId="77777777" w:rsidR="006E5DFB" w:rsidRPr="00C40468" w:rsidRDefault="006E5DFB" w:rsidP="006E5DFB">
      <w:pPr>
        <w:spacing w:line="360" w:lineRule="auto"/>
        <w:jc w:val="both"/>
        <w:rPr>
          <w:rFonts w:ascii="Arial" w:hAnsi="Arial" w:cs="Arial"/>
          <w:sz w:val="24"/>
          <w:szCs w:val="24"/>
        </w:rPr>
      </w:pPr>
      <w:r w:rsidRPr="00B819D3">
        <w:rPr>
          <w:rFonts w:ascii="Arial" w:hAnsi="Arial" w:cs="Arial"/>
          <w:sz w:val="24"/>
          <w:szCs w:val="24"/>
        </w:rPr>
        <w:t>The research design is a qualitative systematic literature review (SLR). This was chosen for three reasons. First, the research questions are strategic and theoretical, and require evidence from multiple markets, which could not be obtained from a single-site primary study in the timeframe of this project (Saunders, Lewis and Thornhill, 2023). Second, secondary data analysis allows for robust theoretical analysis without the time and expense of primary data collection (Bell, Bryman and Harley, 2019). Third, the SLR approach developed by Tranfield, Denyer and Smart (2003) and modified by Snyder (2019) is a standardised, replicable approach for evidence-based management research. A qualitative, interpretive version is used here, with thematic synthesis as the analytical approach</w:t>
      </w:r>
      <w:r w:rsidRPr="00C40468">
        <w:rPr>
          <w:rFonts w:ascii="Arial" w:hAnsi="Arial" w:cs="Arial"/>
          <w:sz w:val="24"/>
          <w:szCs w:val="24"/>
        </w:rPr>
        <w:t>.</w:t>
      </w:r>
    </w:p>
    <w:p w14:paraId="129A2206"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8" w:name="_Toc229774350"/>
      <w:r w:rsidRPr="00003F69">
        <w:rPr>
          <w:rFonts w:ascii="Arial" w:hAnsi="Arial" w:cs="Arial"/>
          <w:b/>
          <w:bCs/>
          <w:color w:val="000000" w:themeColor="text1"/>
          <w:sz w:val="24"/>
          <w:szCs w:val="24"/>
        </w:rPr>
        <w:t>3.5 Sampling Strategy</w:t>
      </w:r>
      <w:bookmarkEnd w:id="28"/>
    </w:p>
    <w:p w14:paraId="3E17F322" w14:textId="77777777" w:rsidR="006E5DFB" w:rsidRPr="00353CA2" w:rsidRDefault="006E5DFB" w:rsidP="006E5DFB">
      <w:pPr>
        <w:spacing w:line="360" w:lineRule="auto"/>
        <w:jc w:val="both"/>
        <w:rPr>
          <w:rFonts w:ascii="Arial" w:hAnsi="Arial" w:cs="Arial"/>
          <w:sz w:val="24"/>
          <w:szCs w:val="24"/>
        </w:rPr>
      </w:pPr>
      <w:r w:rsidRPr="00B819D3">
        <w:rPr>
          <w:rFonts w:ascii="Arial" w:hAnsi="Arial" w:cs="Arial"/>
          <w:sz w:val="24"/>
          <w:szCs w:val="24"/>
        </w:rPr>
        <w:t>The literature was selected using purposive sampling. This involves the conscious selection of sources based on their relevance to the research questions and their potential to shed light on the phenomenon of interest (Saunders, Lewis and Thornhill, 2023). The sample was based on thematic saturation, where no new insights relevant to the research questions were found (Snyder, 2019).</w:t>
      </w:r>
    </w:p>
    <w:p w14:paraId="37D7269C"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29" w:name="_Toc229774351"/>
      <w:r w:rsidRPr="00003F69">
        <w:rPr>
          <w:rFonts w:ascii="Arial" w:hAnsi="Arial" w:cs="Arial"/>
          <w:b/>
          <w:bCs/>
          <w:color w:val="000000" w:themeColor="text1"/>
          <w:sz w:val="24"/>
          <w:szCs w:val="24"/>
        </w:rPr>
        <w:t>3.6 Inclusion and Exclusion Criteria</w:t>
      </w:r>
      <w:bookmarkEnd w:id="29"/>
    </w:p>
    <w:p w14:paraId="53F0FE8B" w14:textId="77777777" w:rsidR="006E5DFB" w:rsidRDefault="006E5DFB" w:rsidP="006E5DFB">
      <w:pPr>
        <w:spacing w:line="360" w:lineRule="auto"/>
        <w:jc w:val="both"/>
        <w:rPr>
          <w:rFonts w:ascii="Arial" w:hAnsi="Arial" w:cs="Arial"/>
          <w:sz w:val="24"/>
          <w:szCs w:val="24"/>
        </w:rPr>
      </w:pPr>
      <w:r w:rsidRPr="00B819D3">
        <w:rPr>
          <w:rFonts w:ascii="Arial" w:hAnsi="Arial" w:cs="Arial"/>
          <w:sz w:val="24"/>
          <w:szCs w:val="24"/>
        </w:rPr>
        <w:t>The corpus of sources was carefully selected according to criteria. The sources included were peer-reviewed journal articles, reputable books or reliable industry reports published since 2020, that were relevant to influencer marketing, UGIC, brand equity, brand ambassador strategy, social media marketing, or global retail, and were available in full text. Theoretical sources prior to 2020, such as Keller (1993), Aaker (1991), Vargo and Lusch (2004), and Hovland and Weiss (1951), were included as exceptions due to their theoretical value</w:t>
      </w:r>
      <w:r w:rsidRPr="00135C3A">
        <w:rPr>
          <w:rFonts w:ascii="Arial" w:hAnsi="Arial" w:cs="Arial"/>
          <w:sz w:val="24"/>
          <w:szCs w:val="24"/>
        </w:rPr>
        <w:t xml:space="preserve">. </w:t>
      </w:r>
    </w:p>
    <w:p w14:paraId="5F620C76" w14:textId="77777777" w:rsidR="006E5DFB" w:rsidRPr="00353CA2" w:rsidRDefault="006E5DFB" w:rsidP="006E5DFB">
      <w:pPr>
        <w:spacing w:line="360" w:lineRule="auto"/>
        <w:jc w:val="both"/>
        <w:rPr>
          <w:rFonts w:ascii="Arial" w:hAnsi="Arial" w:cs="Arial"/>
          <w:sz w:val="24"/>
          <w:szCs w:val="24"/>
        </w:rPr>
      </w:pPr>
      <w:r w:rsidRPr="00B819D3">
        <w:rPr>
          <w:rFonts w:ascii="Arial" w:hAnsi="Arial" w:cs="Arial"/>
          <w:sz w:val="24"/>
          <w:szCs w:val="24"/>
        </w:rPr>
        <w:lastRenderedPageBreak/>
        <w:t>Excluded were non-peer-reviewed opinion articles, published prior to 2020 without foundational theoretical importance, solely focused on non-retail industries with no relevant insights for retail, or not available in full text. Industry reports were only included if their findings were supported by academic literature, to minimise commercial bias (Jain, 2024)</w:t>
      </w:r>
      <w:r w:rsidRPr="00135C3A">
        <w:rPr>
          <w:rFonts w:ascii="Arial" w:hAnsi="Arial" w:cs="Arial"/>
          <w:sz w:val="24"/>
          <w:szCs w:val="24"/>
        </w:rPr>
        <w:t>.</w:t>
      </w:r>
    </w:p>
    <w:p w14:paraId="4F84EF45"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0" w:name="_Toc229774352"/>
      <w:r w:rsidRPr="00003F69">
        <w:rPr>
          <w:rFonts w:ascii="Arial" w:hAnsi="Arial" w:cs="Arial"/>
          <w:b/>
          <w:bCs/>
          <w:color w:val="000000" w:themeColor="text1"/>
          <w:sz w:val="24"/>
          <w:szCs w:val="24"/>
        </w:rPr>
        <w:t>3.7 Search Strategy</w:t>
      </w:r>
      <w:bookmarkEnd w:id="30"/>
    </w:p>
    <w:p w14:paraId="39DC1331" w14:textId="77777777" w:rsidR="006E5DFB" w:rsidRDefault="006E5DFB" w:rsidP="006E5DFB">
      <w:pPr>
        <w:spacing w:line="360" w:lineRule="auto"/>
        <w:jc w:val="both"/>
        <w:rPr>
          <w:rFonts w:ascii="Arial" w:hAnsi="Arial" w:cs="Arial"/>
          <w:sz w:val="24"/>
          <w:szCs w:val="24"/>
        </w:rPr>
      </w:pPr>
      <w:r w:rsidRPr="00B819D3">
        <w:rPr>
          <w:rFonts w:ascii="Arial" w:hAnsi="Arial" w:cs="Arial"/>
          <w:sz w:val="24"/>
          <w:szCs w:val="24"/>
        </w:rPr>
        <w:t>The literature search was performed using Scopus, Google Scholar, and UWTSD Library catalogue, chosen for their inclusion of business, management and marketing literature</w:t>
      </w:r>
      <w:r w:rsidRPr="00135C3A">
        <w:rPr>
          <w:rFonts w:ascii="Arial" w:hAnsi="Arial" w:cs="Arial"/>
          <w:sz w:val="24"/>
          <w:szCs w:val="24"/>
        </w:rPr>
        <w:t xml:space="preserve">. The following Boolean search strings were applied: ("influencer marketing" OR "user-generated content") AND ("brand equity" OR "brand ambassador"); ("UGIC" OR "micro-influencer") AND ("retail" OR "global marketing"); ("Source Credibility Theory" OR "Relationship Marketing") AND "influencer". A date filter of 2020 to 2026 was applied, with an exemption for foundational theoretical works. </w:t>
      </w:r>
      <w:r w:rsidRPr="00B819D3">
        <w:rPr>
          <w:rFonts w:ascii="Arial" w:hAnsi="Arial" w:cs="Arial"/>
          <w:sz w:val="24"/>
          <w:szCs w:val="24"/>
        </w:rPr>
        <w:t>Three rounds of screening were conducted: titles were screened in stage one; abstracts were screened for relevance in stage two; and full texts were read and quality evaluated in stage three. The final set of articles was de</w:t>
      </w:r>
      <w:r w:rsidRPr="00B819D3">
        <w:rPr>
          <w:rFonts w:ascii="Cambria Math" w:hAnsi="Cambria Math" w:cs="Cambria Math"/>
          <w:sz w:val="24"/>
          <w:szCs w:val="24"/>
        </w:rPr>
        <w:t>‑</w:t>
      </w:r>
      <w:r w:rsidRPr="00B819D3">
        <w:rPr>
          <w:rFonts w:ascii="Arial" w:hAnsi="Arial" w:cs="Arial"/>
          <w:sz w:val="24"/>
          <w:szCs w:val="24"/>
        </w:rPr>
        <w:t>duplicated. The lists of references of key articles that were retained (Kumar and Jibril, 2025; Han and Balabanis, 2024; Gupta and Verma, 2025) were searched for other sources using backward citation chaining.</w:t>
      </w:r>
    </w:p>
    <w:p w14:paraId="4AD91292" w14:textId="77777777" w:rsidR="006E5DFB" w:rsidRDefault="006E5DFB" w:rsidP="006E5DFB">
      <w:pPr>
        <w:spacing w:line="360" w:lineRule="auto"/>
        <w:jc w:val="both"/>
        <w:rPr>
          <w:rFonts w:ascii="Arial" w:hAnsi="Arial" w:cs="Arial"/>
          <w:sz w:val="24"/>
          <w:szCs w:val="24"/>
        </w:rPr>
      </w:pPr>
      <w:r w:rsidRPr="00B819D3">
        <w:rPr>
          <w:rFonts w:ascii="Arial" w:hAnsi="Arial" w:cs="Arial"/>
          <w:sz w:val="24"/>
          <w:szCs w:val="24"/>
        </w:rPr>
        <w:t>A total of 463 records were identified in databases (PubMed, Google Scholar, and journal</w:t>
      </w:r>
      <w:r w:rsidRPr="00B819D3">
        <w:rPr>
          <w:rFonts w:ascii="Cambria Math" w:hAnsi="Cambria Math" w:cs="Cambria Math"/>
          <w:sz w:val="24"/>
          <w:szCs w:val="24"/>
        </w:rPr>
        <w:t>‑</w:t>
      </w:r>
      <w:r w:rsidRPr="00B819D3">
        <w:rPr>
          <w:rFonts w:ascii="Arial" w:hAnsi="Arial" w:cs="Arial"/>
          <w:sz w:val="24"/>
          <w:szCs w:val="24"/>
        </w:rPr>
        <w:t>specific). Following the exclusion of 129 duplicates, 334 records were screened for title and abstract. After exclusion of 291 irrelevant reports, 43 were obtained in full text. After reviewing the full text, 32 reports were excluded due to wrong target population, study design or outcomes of interest. The final set of studies included 11 studies, three of which were seminal theoretical papers and eight were recent peer</w:t>
      </w:r>
      <w:r w:rsidRPr="00B819D3">
        <w:rPr>
          <w:rFonts w:ascii="Cambria Math" w:hAnsi="Cambria Math" w:cs="Cambria Math"/>
          <w:sz w:val="24"/>
          <w:szCs w:val="24"/>
        </w:rPr>
        <w:t>‑</w:t>
      </w:r>
      <w:r w:rsidRPr="00B819D3">
        <w:rPr>
          <w:rFonts w:ascii="Arial" w:hAnsi="Arial" w:cs="Arial"/>
          <w:sz w:val="24"/>
          <w:szCs w:val="24"/>
        </w:rPr>
        <w:t>reviewed articles. This is depicted in the PRISMA flowchart below.</w:t>
      </w:r>
    </w:p>
    <w:p w14:paraId="04AA47BB" w14:textId="77777777" w:rsidR="006E5DFB" w:rsidRDefault="006E5DFB" w:rsidP="006E5DFB">
      <w:pPr>
        <w:spacing w:line="360" w:lineRule="auto"/>
        <w:jc w:val="both"/>
        <w:rPr>
          <w:rFonts w:ascii="Arial" w:hAnsi="Arial" w:cs="Arial"/>
          <w:sz w:val="24"/>
          <w:szCs w:val="24"/>
        </w:rPr>
      </w:pPr>
    </w:p>
    <w:p w14:paraId="138E7880" w14:textId="77777777" w:rsidR="006E5DFB" w:rsidRDefault="006E5DFB" w:rsidP="006E5DFB">
      <w:pPr>
        <w:spacing w:line="360" w:lineRule="auto"/>
        <w:jc w:val="both"/>
        <w:rPr>
          <w:rFonts w:ascii="Arial" w:hAnsi="Arial" w:cs="Arial"/>
          <w:sz w:val="24"/>
          <w:szCs w:val="24"/>
        </w:rPr>
      </w:pPr>
    </w:p>
    <w:p w14:paraId="5BB17661" w14:textId="77777777" w:rsidR="006E5DFB" w:rsidRDefault="006E5DFB" w:rsidP="006E5DFB">
      <w:pPr>
        <w:spacing w:line="360" w:lineRule="auto"/>
        <w:jc w:val="both"/>
        <w:rPr>
          <w:rFonts w:ascii="Arial" w:hAnsi="Arial" w:cs="Arial"/>
          <w:sz w:val="24"/>
          <w:szCs w:val="24"/>
        </w:rPr>
      </w:pPr>
    </w:p>
    <w:p w14:paraId="421743B3" w14:textId="77777777" w:rsidR="006E5DFB" w:rsidRDefault="006E5DFB" w:rsidP="006E5DFB">
      <w:pPr>
        <w:spacing w:line="360" w:lineRule="auto"/>
        <w:jc w:val="both"/>
        <w:rPr>
          <w:rFonts w:ascii="Arial" w:hAnsi="Arial" w:cs="Arial"/>
          <w:sz w:val="24"/>
          <w:szCs w:val="24"/>
        </w:rPr>
      </w:pPr>
    </w:p>
    <w:p w14:paraId="118D096A" w14:textId="77777777" w:rsidR="006E5DFB" w:rsidRDefault="006E5DFB" w:rsidP="006E5DFB">
      <w:pPr>
        <w:spacing w:line="360" w:lineRule="auto"/>
        <w:jc w:val="both"/>
        <w:rPr>
          <w:rFonts w:ascii="Arial" w:hAnsi="Arial" w:cs="Arial"/>
          <w:sz w:val="24"/>
          <w:szCs w:val="24"/>
        </w:rPr>
      </w:pPr>
    </w:p>
    <w:p w14:paraId="6AAEE3BF" w14:textId="77777777" w:rsidR="006E5DFB" w:rsidRPr="002D2159" w:rsidRDefault="006E5DFB" w:rsidP="006E5DFB">
      <w:pPr>
        <w:spacing w:line="360" w:lineRule="auto"/>
        <w:jc w:val="both"/>
        <w:rPr>
          <w:rFonts w:ascii="Arial" w:eastAsia="Calibri" w:hAnsi="Arial" w:cs="Arial"/>
          <w:b/>
          <w:kern w:val="2"/>
          <w:sz w:val="24"/>
          <w:szCs w:val="24"/>
          <w14:ligatures w14:val="standardContextual"/>
        </w:rPr>
      </w:pPr>
      <w:r w:rsidRPr="002D2159">
        <w:rPr>
          <w:rFonts w:ascii="Arial" w:eastAsia="Calibri" w:hAnsi="Arial" w:cs="Arial"/>
          <w:b/>
          <w:kern w:val="2"/>
          <w:sz w:val="24"/>
          <w:szCs w:val="24"/>
          <w14:ligatures w14:val="standardContextual"/>
        </w:rPr>
        <w:lastRenderedPageBreak/>
        <w:t>PRISMA Flow Diagram</w:t>
      </w:r>
    </w:p>
    <w:p w14:paraId="52641816"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2576" behindDoc="0" locked="0" layoutInCell="1" allowOverlap="1" wp14:anchorId="33FCD4C6" wp14:editId="057B71DF">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12FE008A"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Identification of studies</w:t>
                            </w:r>
                            <w:r>
                              <w:rPr>
                                <w:rFonts w:ascii="Arial" w:hAnsi="Arial" w:cs="Arial"/>
                                <w:b/>
                                <w:color w:val="000000"/>
                                <w:sz w:val="18"/>
                                <w:szCs w:val="18"/>
                              </w:rPr>
                              <w:t xml:space="preserve"> via databases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CD4C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" fillcolor="#ffc000" strokecolor="#bc8c00" strokeweight="1pt">
                <v:textbox>
                  <w:txbxContent>
                    <w:p w14:paraId="12FE008A"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Identification of studies</w:t>
                      </w:r>
                      <w:r>
                        <w:rPr>
                          <w:rFonts w:ascii="Arial" w:hAnsi="Arial" w:cs="Arial"/>
                          <w:b/>
                          <w:color w:val="000000"/>
                          <w:sz w:val="18"/>
                          <w:szCs w:val="18"/>
                        </w:rPr>
                        <w:t xml:space="preserve"> via databases </w:t>
                      </w:r>
                    </w:p>
                  </w:txbxContent>
                </v:textbox>
              </v:shape>
            </w:pict>
          </mc:Fallback>
        </mc:AlternateContent>
      </w:r>
    </w:p>
    <w:p w14:paraId="64FCEDF0" w14:textId="77777777" w:rsidR="006E5DFB" w:rsidRPr="002D2159" w:rsidRDefault="006E5DFB" w:rsidP="006E5DFB">
      <w:pPr>
        <w:spacing w:after="0" w:line="240" w:lineRule="auto"/>
        <w:rPr>
          <w:rFonts w:ascii="Calibri" w:eastAsia="Calibri" w:hAnsi="Calibri" w:cs="Times New Roman"/>
          <w:lang w:val="en-AU"/>
        </w:rPr>
      </w:pPr>
    </w:p>
    <w:p w14:paraId="56410A3F"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0288" behindDoc="0" locked="0" layoutInCell="1" allowOverlap="1" wp14:anchorId="6BCC257E" wp14:editId="11C7366E">
                <wp:simplePos x="0" y="0"/>
                <wp:positionH relativeFrom="column">
                  <wp:posOffset>3040380</wp:posOffset>
                </wp:positionH>
                <wp:positionV relativeFrom="paragraph">
                  <wp:posOffset>79375</wp:posOffset>
                </wp:positionV>
                <wp:extent cx="1868170" cy="1295400"/>
                <wp:effectExtent l="0" t="0" r="17780" b="19050"/>
                <wp:wrapNone/>
                <wp:docPr id="69" name="Rectangle 69"/>
                <wp:cNvGraphicFramePr/>
                <a:graphic xmlns:a="http://schemas.openxmlformats.org/drawingml/2006/main">
                  <a:graphicData uri="http://schemas.microsoft.com/office/word/2010/wordprocessingShape">
                    <wps:wsp>
                      <wps:cNvSpPr/>
                      <wps:spPr>
                        <a:xfrm>
                          <a:off x="0" y="0"/>
                          <a:ext cx="1868170" cy="1295400"/>
                        </a:xfrm>
                        <a:prstGeom prst="rect">
                          <a:avLst/>
                        </a:prstGeom>
                        <a:noFill/>
                        <a:ln w="12700" cap="flat" cmpd="sng" algn="ctr">
                          <a:solidFill>
                            <a:sysClr val="windowText" lastClr="000000"/>
                          </a:solidFill>
                          <a:prstDash val="solid"/>
                          <a:miter lim="800000"/>
                        </a:ln>
                        <a:effectLst/>
                      </wps:spPr>
                      <wps:txbx>
                        <w:txbxContent>
                          <w:p w14:paraId="5D45EABE"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 xml:space="preserve">Records removed </w:t>
                            </w:r>
                            <w:r w:rsidRPr="00067D2A">
                              <w:rPr>
                                <w:rFonts w:ascii="Arial" w:hAnsi="Arial" w:cs="Arial"/>
                                <w:i/>
                                <w:iCs/>
                                <w:color w:val="000000"/>
                                <w:sz w:val="18"/>
                                <w:szCs w:val="20"/>
                              </w:rPr>
                              <w:t>before screening</w:t>
                            </w:r>
                            <w:r w:rsidRPr="00067D2A">
                              <w:rPr>
                                <w:rFonts w:ascii="Arial" w:hAnsi="Arial" w:cs="Arial"/>
                                <w:color w:val="000000"/>
                                <w:sz w:val="18"/>
                                <w:szCs w:val="20"/>
                              </w:rPr>
                              <w:t>:</w:t>
                            </w:r>
                          </w:p>
                          <w:p w14:paraId="5E4B6B6A" w14:textId="77777777" w:rsidR="00C52022" w:rsidRPr="00067D2A" w:rsidRDefault="00C52022" w:rsidP="006E5DFB">
                            <w:pPr>
                              <w:spacing w:after="0" w:line="240" w:lineRule="auto"/>
                              <w:ind w:left="90"/>
                              <w:rPr>
                                <w:rFonts w:ascii="Arial" w:hAnsi="Arial" w:cs="Arial"/>
                                <w:color w:val="000000"/>
                                <w:sz w:val="18"/>
                                <w:szCs w:val="20"/>
                              </w:rPr>
                            </w:pPr>
                            <w:r w:rsidRPr="00067D2A">
                              <w:rPr>
                                <w:rFonts w:ascii="Arial" w:hAnsi="Arial" w:cs="Arial"/>
                                <w:color w:val="000000"/>
                                <w:sz w:val="18"/>
                                <w:szCs w:val="20"/>
                              </w:rPr>
                              <w:t xml:space="preserve">Duplicate records removed </w:t>
                            </w:r>
                          </w:p>
                          <w:p w14:paraId="0E64AD09" w14:textId="77777777" w:rsidR="00C52022" w:rsidRDefault="00C52022" w:rsidP="006E5DFB">
                            <w:pPr>
                              <w:spacing w:after="0"/>
                              <w:ind w:left="90"/>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129</w:t>
                            </w:r>
                            <w:r w:rsidRPr="00067D2A">
                              <w:rPr>
                                <w:rFonts w:ascii="Arial" w:hAnsi="Arial" w:cs="Arial"/>
                                <w:color w:val="000000"/>
                                <w:sz w:val="18"/>
                                <w:szCs w:val="20"/>
                              </w:rPr>
                              <w:t>)</w:t>
                            </w:r>
                          </w:p>
                          <w:p w14:paraId="474ED87C" w14:textId="77777777" w:rsidR="00C52022" w:rsidRPr="00067D2A" w:rsidRDefault="00C52022" w:rsidP="006E5DFB">
                            <w:pPr>
                              <w:ind w:left="90"/>
                              <w:rPr>
                                <w:rFonts w:ascii="Arial" w:hAnsi="Arial" w:cs="Arial"/>
                                <w:color w:val="000000"/>
                                <w:sz w:val="18"/>
                                <w:szCs w:val="20"/>
                              </w:rPr>
                            </w:pPr>
                            <w:r w:rsidRPr="00701987">
                              <w:rPr>
                                <w:rFonts w:ascii="Arial" w:hAnsi="Arial" w:cs="Arial"/>
                                <w:color w:val="000000"/>
                                <w:sz w:val="18"/>
                                <w:szCs w:val="20"/>
                              </w:rPr>
                              <w:t>Records marked ineligible by automation tools: 0</w:t>
                            </w:r>
                            <w:r>
                              <w:rPr>
                                <w:rFonts w:ascii="Arial" w:hAnsi="Arial" w:cs="Arial"/>
                                <w:color w:val="000000"/>
                                <w:sz w:val="18"/>
                                <w:szCs w:val="20"/>
                              </w:rPr>
                              <w:br/>
                            </w:r>
                            <w:r w:rsidRPr="00701987">
                              <w:rPr>
                                <w:rFonts w:ascii="Arial" w:hAnsi="Arial" w:cs="Arial"/>
                                <w:color w:val="000000"/>
                                <w:sz w:val="18"/>
                                <w:szCs w:val="20"/>
                              </w:rPr>
                              <w:t>Records removed for other reasons: 0</w:t>
                            </w:r>
                          </w:p>
                          <w:p w14:paraId="36D3D8F3" w14:textId="77777777" w:rsidR="00C52022" w:rsidRPr="00067D2A" w:rsidRDefault="00C52022" w:rsidP="006E5DFB">
                            <w:pPr>
                              <w:ind w:left="284"/>
                              <w:rPr>
                                <w:rFonts w:ascii="Arial" w:hAnsi="Arial" w:cs="Arial"/>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C257E" id="Rectangle 69" o:spid="_x0000_s1027" style="position:absolute;margin-left:239.4pt;margin-top:6.25pt;width:147.1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" filled="f" strokecolor="windowText" strokeweight="1pt">
                <v:textbox>
                  <w:txbxContent>
                    <w:p w14:paraId="5D45EABE"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 xml:space="preserve">Records removed </w:t>
                      </w:r>
                      <w:r w:rsidRPr="00067D2A">
                        <w:rPr>
                          <w:rFonts w:ascii="Arial" w:hAnsi="Arial" w:cs="Arial"/>
                          <w:i/>
                          <w:iCs/>
                          <w:color w:val="000000"/>
                          <w:sz w:val="18"/>
                          <w:szCs w:val="20"/>
                        </w:rPr>
                        <w:t>before screening</w:t>
                      </w:r>
                      <w:r w:rsidRPr="00067D2A">
                        <w:rPr>
                          <w:rFonts w:ascii="Arial" w:hAnsi="Arial" w:cs="Arial"/>
                          <w:color w:val="000000"/>
                          <w:sz w:val="18"/>
                          <w:szCs w:val="20"/>
                        </w:rPr>
                        <w:t>:</w:t>
                      </w:r>
                    </w:p>
                    <w:p w14:paraId="5E4B6B6A" w14:textId="77777777" w:rsidR="00C52022" w:rsidRPr="00067D2A" w:rsidRDefault="00C52022" w:rsidP="006E5DFB">
                      <w:pPr>
                        <w:spacing w:after="0" w:line="240" w:lineRule="auto"/>
                        <w:ind w:left="90"/>
                        <w:rPr>
                          <w:rFonts w:ascii="Arial" w:hAnsi="Arial" w:cs="Arial"/>
                          <w:color w:val="000000"/>
                          <w:sz w:val="18"/>
                          <w:szCs w:val="20"/>
                        </w:rPr>
                      </w:pPr>
                      <w:r w:rsidRPr="00067D2A">
                        <w:rPr>
                          <w:rFonts w:ascii="Arial" w:hAnsi="Arial" w:cs="Arial"/>
                          <w:color w:val="000000"/>
                          <w:sz w:val="18"/>
                          <w:szCs w:val="20"/>
                        </w:rPr>
                        <w:t xml:space="preserve">Duplicate records removed </w:t>
                      </w:r>
                    </w:p>
                    <w:p w14:paraId="0E64AD09" w14:textId="77777777" w:rsidR="00C52022" w:rsidRDefault="00C52022" w:rsidP="006E5DFB">
                      <w:pPr>
                        <w:spacing w:after="0"/>
                        <w:ind w:left="90"/>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129</w:t>
                      </w:r>
                      <w:r w:rsidRPr="00067D2A">
                        <w:rPr>
                          <w:rFonts w:ascii="Arial" w:hAnsi="Arial" w:cs="Arial"/>
                          <w:color w:val="000000"/>
                          <w:sz w:val="18"/>
                          <w:szCs w:val="20"/>
                        </w:rPr>
                        <w:t>)</w:t>
                      </w:r>
                    </w:p>
                    <w:p w14:paraId="474ED87C" w14:textId="77777777" w:rsidR="00C52022" w:rsidRPr="00067D2A" w:rsidRDefault="00C52022" w:rsidP="006E5DFB">
                      <w:pPr>
                        <w:ind w:left="90"/>
                        <w:rPr>
                          <w:rFonts w:ascii="Arial" w:hAnsi="Arial" w:cs="Arial"/>
                          <w:color w:val="000000"/>
                          <w:sz w:val="18"/>
                          <w:szCs w:val="20"/>
                        </w:rPr>
                      </w:pPr>
                      <w:r w:rsidRPr="00701987">
                        <w:rPr>
                          <w:rFonts w:ascii="Arial" w:hAnsi="Arial" w:cs="Arial"/>
                          <w:color w:val="000000"/>
                          <w:sz w:val="18"/>
                          <w:szCs w:val="20"/>
                        </w:rPr>
                        <w:t>Records marked ineligible by automation tools: 0</w:t>
                      </w:r>
                      <w:r>
                        <w:rPr>
                          <w:rFonts w:ascii="Arial" w:hAnsi="Arial" w:cs="Arial"/>
                          <w:color w:val="000000"/>
                          <w:sz w:val="18"/>
                          <w:szCs w:val="20"/>
                        </w:rPr>
                        <w:br/>
                      </w:r>
                      <w:r w:rsidRPr="00701987">
                        <w:rPr>
                          <w:rFonts w:ascii="Arial" w:hAnsi="Arial" w:cs="Arial"/>
                          <w:color w:val="000000"/>
                          <w:sz w:val="18"/>
                          <w:szCs w:val="20"/>
                        </w:rPr>
                        <w:t>Records removed for other reasons: 0</w:t>
                      </w:r>
                    </w:p>
                    <w:p w14:paraId="36D3D8F3" w14:textId="77777777" w:rsidR="00C52022" w:rsidRPr="00067D2A" w:rsidRDefault="00C52022" w:rsidP="006E5DFB">
                      <w:pPr>
                        <w:ind w:left="284"/>
                        <w:rPr>
                          <w:rFonts w:ascii="Arial" w:hAnsi="Arial" w:cs="Arial"/>
                          <w:color w:val="000000"/>
                          <w:sz w:val="18"/>
                          <w:szCs w:val="20"/>
                        </w:rPr>
                      </w:pPr>
                    </w:p>
                  </w:txbxContent>
                </v:textbox>
              </v:rect>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59264" behindDoc="0" locked="0" layoutInCell="1" allowOverlap="1" wp14:anchorId="227FE3EB" wp14:editId="1F576C90">
                <wp:simplePos x="0" y="0"/>
                <wp:positionH relativeFrom="column">
                  <wp:posOffset>559613</wp:posOffset>
                </wp:positionH>
                <wp:positionV relativeFrom="paragraph">
                  <wp:posOffset>77064</wp:posOffset>
                </wp:positionV>
                <wp:extent cx="1887220" cy="1243584"/>
                <wp:effectExtent l="0" t="0" r="17780" b="13970"/>
                <wp:wrapNone/>
                <wp:docPr id="70" name="Rectangle 70"/>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66DE7C70"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Records identified from</w:t>
                            </w:r>
                            <w:r>
                              <w:rPr>
                                <w:rFonts w:ascii="Arial" w:hAnsi="Arial" w:cs="Arial"/>
                                <w:color w:val="000000"/>
                                <w:sz w:val="18"/>
                                <w:szCs w:val="20"/>
                              </w:rPr>
                              <w:t>:</w:t>
                            </w:r>
                          </w:p>
                          <w:p w14:paraId="0058D066" w14:textId="77777777" w:rsidR="00C52022" w:rsidRDefault="00C52022" w:rsidP="006E5DFB">
                            <w:pPr>
                              <w:spacing w:after="0"/>
                              <w:ind w:left="180"/>
                              <w:rPr>
                                <w:rFonts w:ascii="Arial" w:hAnsi="Arial" w:cs="Arial"/>
                                <w:color w:val="000000"/>
                                <w:sz w:val="18"/>
                                <w:szCs w:val="20"/>
                              </w:rPr>
                            </w:pPr>
                            <w:r w:rsidRPr="00067D2A">
                              <w:rPr>
                                <w:rFonts w:ascii="Arial" w:hAnsi="Arial" w:cs="Arial"/>
                                <w:color w:val="000000"/>
                                <w:sz w:val="18"/>
                                <w:szCs w:val="20"/>
                              </w:rPr>
                              <w:t xml:space="preserve">Databases (n = </w:t>
                            </w:r>
                            <w:r>
                              <w:rPr>
                                <w:rFonts w:ascii="Arial" w:hAnsi="Arial" w:cs="Arial"/>
                                <w:color w:val="000000"/>
                                <w:sz w:val="18"/>
                                <w:szCs w:val="20"/>
                              </w:rPr>
                              <w:t>463</w:t>
                            </w:r>
                            <w:r w:rsidRPr="00067D2A">
                              <w:rPr>
                                <w:rFonts w:ascii="Arial" w:hAnsi="Arial" w:cs="Arial"/>
                                <w:color w:val="000000"/>
                                <w:sz w:val="18"/>
                                <w:szCs w:val="20"/>
                              </w:rPr>
                              <w:t>)</w:t>
                            </w:r>
                          </w:p>
                          <w:p w14:paraId="6A3F8842"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PubMed: 341</w:t>
                            </w:r>
                          </w:p>
                          <w:p w14:paraId="225B3674"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Google Scholar: 87</w:t>
                            </w:r>
                          </w:p>
                          <w:p w14:paraId="2044C647"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Journal</w:t>
                            </w:r>
                            <w:r w:rsidRPr="00701987">
                              <w:rPr>
                                <w:rFonts w:ascii="Arial" w:hAnsi="Arial" w:cs="Arial"/>
                                <w:color w:val="000000"/>
                                <w:sz w:val="18"/>
                                <w:szCs w:val="20"/>
                                <w:lang w:val="en-IN"/>
                              </w:rPr>
                              <w:noBreakHyphen/>
                              <w:t>specific databases: 35</w:t>
                            </w:r>
                          </w:p>
                          <w:p w14:paraId="097745DF" w14:textId="77777777" w:rsidR="00C52022" w:rsidRPr="00067D2A" w:rsidRDefault="00C52022" w:rsidP="006E5DFB">
                            <w:pPr>
                              <w:ind w:left="284"/>
                              <w:rPr>
                                <w:rFonts w:ascii="Arial" w:hAnsi="Arial" w:cs="Arial"/>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FE3EB" id="Rectangle 70"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" filled="f" strokecolor="windowText" strokeweight="1pt">
                <v:textbox>
                  <w:txbxContent>
                    <w:p w14:paraId="66DE7C70"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Records identified from</w:t>
                      </w:r>
                      <w:r>
                        <w:rPr>
                          <w:rFonts w:ascii="Arial" w:hAnsi="Arial" w:cs="Arial"/>
                          <w:color w:val="000000"/>
                          <w:sz w:val="18"/>
                          <w:szCs w:val="20"/>
                        </w:rPr>
                        <w:t>:</w:t>
                      </w:r>
                    </w:p>
                    <w:p w14:paraId="0058D066" w14:textId="77777777" w:rsidR="00C52022" w:rsidRDefault="00C52022" w:rsidP="006E5DFB">
                      <w:pPr>
                        <w:spacing w:after="0"/>
                        <w:ind w:left="180"/>
                        <w:rPr>
                          <w:rFonts w:ascii="Arial" w:hAnsi="Arial" w:cs="Arial"/>
                          <w:color w:val="000000"/>
                          <w:sz w:val="18"/>
                          <w:szCs w:val="20"/>
                        </w:rPr>
                      </w:pPr>
                      <w:r w:rsidRPr="00067D2A">
                        <w:rPr>
                          <w:rFonts w:ascii="Arial" w:hAnsi="Arial" w:cs="Arial"/>
                          <w:color w:val="000000"/>
                          <w:sz w:val="18"/>
                          <w:szCs w:val="20"/>
                        </w:rPr>
                        <w:t xml:space="preserve">Databases (n = </w:t>
                      </w:r>
                      <w:r>
                        <w:rPr>
                          <w:rFonts w:ascii="Arial" w:hAnsi="Arial" w:cs="Arial"/>
                          <w:color w:val="000000"/>
                          <w:sz w:val="18"/>
                          <w:szCs w:val="20"/>
                        </w:rPr>
                        <w:t>463</w:t>
                      </w:r>
                      <w:r w:rsidRPr="00067D2A">
                        <w:rPr>
                          <w:rFonts w:ascii="Arial" w:hAnsi="Arial" w:cs="Arial"/>
                          <w:color w:val="000000"/>
                          <w:sz w:val="18"/>
                          <w:szCs w:val="20"/>
                        </w:rPr>
                        <w:t>)</w:t>
                      </w:r>
                    </w:p>
                    <w:p w14:paraId="6A3F8842"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PubMed: 341</w:t>
                      </w:r>
                    </w:p>
                    <w:p w14:paraId="225B3674"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Google Scholar: 87</w:t>
                      </w:r>
                    </w:p>
                    <w:p w14:paraId="2044C647" w14:textId="77777777" w:rsidR="00C52022" w:rsidRPr="00701987" w:rsidRDefault="00C52022" w:rsidP="006E5DFB">
                      <w:pPr>
                        <w:spacing w:after="0"/>
                        <w:ind w:left="180"/>
                        <w:rPr>
                          <w:rFonts w:ascii="Arial" w:hAnsi="Arial" w:cs="Arial"/>
                          <w:color w:val="000000"/>
                          <w:sz w:val="18"/>
                          <w:szCs w:val="20"/>
                          <w:lang w:val="en-IN"/>
                        </w:rPr>
                      </w:pPr>
                      <w:r w:rsidRPr="00701987">
                        <w:rPr>
                          <w:rFonts w:ascii="Arial" w:hAnsi="Arial" w:cs="Arial"/>
                          <w:color w:val="000000"/>
                          <w:sz w:val="18"/>
                          <w:szCs w:val="20"/>
                          <w:lang w:val="en-IN"/>
                        </w:rPr>
                        <w:t>Journal</w:t>
                      </w:r>
                      <w:r w:rsidRPr="00701987">
                        <w:rPr>
                          <w:rFonts w:ascii="Arial" w:hAnsi="Arial" w:cs="Arial"/>
                          <w:color w:val="000000"/>
                          <w:sz w:val="18"/>
                          <w:szCs w:val="20"/>
                          <w:lang w:val="en-IN"/>
                        </w:rPr>
                        <w:noBreakHyphen/>
                        <w:t>specific databases: 35</w:t>
                      </w:r>
                    </w:p>
                    <w:p w14:paraId="097745DF" w14:textId="77777777" w:rsidR="00C52022" w:rsidRPr="00067D2A" w:rsidRDefault="00C52022" w:rsidP="006E5DFB">
                      <w:pPr>
                        <w:ind w:left="284"/>
                        <w:rPr>
                          <w:rFonts w:ascii="Arial" w:hAnsi="Arial" w:cs="Arial"/>
                          <w:color w:val="000000"/>
                          <w:sz w:val="18"/>
                          <w:szCs w:val="20"/>
                        </w:rPr>
                      </w:pPr>
                    </w:p>
                  </w:txbxContent>
                </v:textbox>
              </v:rect>
            </w:pict>
          </mc:Fallback>
        </mc:AlternateContent>
      </w:r>
    </w:p>
    <w:p w14:paraId="1832E89C" w14:textId="77777777" w:rsidR="006E5DFB" w:rsidRPr="002D2159" w:rsidRDefault="006E5DFB" w:rsidP="006E5DFB">
      <w:pPr>
        <w:spacing w:after="0" w:line="240" w:lineRule="auto"/>
        <w:rPr>
          <w:rFonts w:ascii="Calibri" w:eastAsia="Calibri" w:hAnsi="Calibri" w:cs="Times New Roman"/>
          <w:lang w:val="en-AU"/>
        </w:rPr>
      </w:pPr>
    </w:p>
    <w:p w14:paraId="7412545A"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3600" behindDoc="0" locked="0" layoutInCell="1" allowOverlap="1" wp14:anchorId="77ECA102" wp14:editId="4BE9BB9E">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C4C302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CA102"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" fillcolor="#9dc3e6" strokecolor="windowText" strokeweight="1pt">
                <v:textbox>
                  <w:txbxContent>
                    <w:p w14:paraId="4C4C302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Identification</w:t>
                      </w:r>
                    </w:p>
                  </w:txbxContent>
                </v:textbox>
              </v:shape>
            </w:pict>
          </mc:Fallback>
        </mc:AlternateContent>
      </w:r>
    </w:p>
    <w:p w14:paraId="7E3AFCEC" w14:textId="77777777" w:rsidR="006E5DFB" w:rsidRPr="002D2159" w:rsidRDefault="006E5DFB" w:rsidP="006E5DFB">
      <w:pPr>
        <w:spacing w:after="0" w:line="240" w:lineRule="auto"/>
        <w:rPr>
          <w:rFonts w:ascii="Calibri" w:eastAsia="Calibri" w:hAnsi="Calibri" w:cs="Times New Roman"/>
          <w:lang w:val="en-AU"/>
        </w:rPr>
      </w:pPr>
    </w:p>
    <w:p w14:paraId="3805F03B"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8480" behindDoc="0" locked="0" layoutInCell="1" allowOverlap="1" wp14:anchorId="60CF79D5" wp14:editId="1281CDA1">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60C4649C"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" strokecolor="windowText" strokeweight=".5pt">
                <v:stroke endarrow="block" joinstyle="miter"/>
              </v:shape>
            </w:pict>
          </mc:Fallback>
        </mc:AlternateContent>
      </w:r>
    </w:p>
    <w:p w14:paraId="56DDE312" w14:textId="77777777" w:rsidR="006E5DFB" w:rsidRPr="002D2159" w:rsidRDefault="006E5DFB" w:rsidP="006E5DFB">
      <w:pPr>
        <w:spacing w:after="0" w:line="240" w:lineRule="auto"/>
        <w:rPr>
          <w:rFonts w:ascii="Calibri" w:eastAsia="Calibri" w:hAnsi="Calibri" w:cs="Times New Roman"/>
          <w:lang w:val="en-AU"/>
        </w:rPr>
      </w:pPr>
    </w:p>
    <w:p w14:paraId="195D0900" w14:textId="77777777" w:rsidR="006E5DFB" w:rsidRPr="002D2159" w:rsidRDefault="006E5DFB" w:rsidP="006E5DFB">
      <w:pPr>
        <w:spacing w:after="0" w:line="240" w:lineRule="auto"/>
        <w:rPr>
          <w:rFonts w:ascii="Calibri" w:eastAsia="Calibri" w:hAnsi="Calibri" w:cs="Times New Roman"/>
          <w:lang w:val="en-AU"/>
        </w:rPr>
      </w:pPr>
    </w:p>
    <w:p w14:paraId="212F0836"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6672" behindDoc="0" locked="0" layoutInCell="1" allowOverlap="1" wp14:anchorId="18BA4686" wp14:editId="3D303C86">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4F83167"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" strokecolor="windowText" strokeweight=".5pt">
                <v:stroke endarrow="block" joinstyle="miter"/>
              </v:shape>
            </w:pict>
          </mc:Fallback>
        </mc:AlternateContent>
      </w:r>
    </w:p>
    <w:p w14:paraId="245AD6D6" w14:textId="77777777" w:rsidR="006E5DFB" w:rsidRPr="002D2159" w:rsidRDefault="006E5DFB" w:rsidP="006E5DFB">
      <w:pPr>
        <w:spacing w:after="0" w:line="240" w:lineRule="auto"/>
        <w:rPr>
          <w:rFonts w:ascii="Calibri" w:eastAsia="Calibri" w:hAnsi="Calibri" w:cs="Times New Roman"/>
          <w:lang w:val="en-AU"/>
        </w:rPr>
      </w:pPr>
    </w:p>
    <w:p w14:paraId="4BF093B4"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9504" behindDoc="0" locked="0" layoutInCell="1" allowOverlap="1" wp14:anchorId="7E8EC335" wp14:editId="45E3C2FD">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6A05CFF"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" strokecolor="windowText" strokeweight=".5pt">
                <v:stroke endarrow="block" joinstyle="miter"/>
              </v:shape>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61312" behindDoc="0" locked="0" layoutInCell="1" allowOverlap="1" wp14:anchorId="4DBC2BC4" wp14:editId="46E7DF76">
                <wp:simplePos x="0" y="0"/>
                <wp:positionH relativeFrom="column">
                  <wp:posOffset>559435</wp:posOffset>
                </wp:positionH>
                <wp:positionV relativeFrom="paragraph">
                  <wp:posOffset>74930</wp:posOffset>
                </wp:positionV>
                <wp:extent cx="1887220" cy="526415"/>
                <wp:effectExtent l="0" t="0" r="17780" b="26035"/>
                <wp:wrapNone/>
                <wp:docPr id="71" name="Rectangle 71"/>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FB959FB"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Records screened</w:t>
                            </w:r>
                          </w:p>
                          <w:p w14:paraId="14BDD92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334</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C2BC4" id="Rectangle 71" o:spid="_x0000_s1030"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8Z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" filled="f" strokecolor="windowText" strokeweight="1pt">
                <v:textbox>
                  <w:txbxContent>
                    <w:p w14:paraId="4FB959FB"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Records screened</w:t>
                      </w:r>
                    </w:p>
                    <w:p w14:paraId="14BDD92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334</w:t>
                      </w:r>
                      <w:r w:rsidRPr="00067D2A">
                        <w:rPr>
                          <w:rFonts w:ascii="Arial" w:hAnsi="Arial" w:cs="Arial"/>
                          <w:color w:val="000000"/>
                          <w:sz w:val="18"/>
                          <w:szCs w:val="20"/>
                        </w:rPr>
                        <w:t>)</w:t>
                      </w:r>
                    </w:p>
                  </w:txbxContent>
                </v:textbox>
              </v:rect>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62336" behindDoc="0" locked="0" layoutInCell="1" allowOverlap="1" wp14:anchorId="487482DD" wp14:editId="38CD3FB0">
                <wp:simplePos x="0" y="0"/>
                <wp:positionH relativeFrom="column">
                  <wp:posOffset>3048000</wp:posOffset>
                </wp:positionH>
                <wp:positionV relativeFrom="paragraph">
                  <wp:posOffset>74930</wp:posOffset>
                </wp:positionV>
                <wp:extent cx="1887220" cy="526415"/>
                <wp:effectExtent l="0" t="0" r="17780" b="26035"/>
                <wp:wrapNone/>
                <wp:docPr id="72" name="Rectangle 72"/>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7168E7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Records excluded</w:t>
                            </w:r>
                          </w:p>
                          <w:p w14:paraId="3763BB34"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291</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482DD" id="Rectangle 72"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Q7d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" filled="f" strokecolor="windowText" strokeweight="1pt">
                <v:textbox>
                  <w:txbxContent>
                    <w:p w14:paraId="77168E7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Records excluded</w:t>
                      </w:r>
                    </w:p>
                    <w:p w14:paraId="3763BB34"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291</w:t>
                      </w:r>
                      <w:r w:rsidRPr="00067D2A">
                        <w:rPr>
                          <w:rFonts w:ascii="Arial" w:hAnsi="Arial" w:cs="Arial"/>
                          <w:color w:val="000000"/>
                          <w:sz w:val="18"/>
                          <w:szCs w:val="20"/>
                        </w:rPr>
                        <w:t>)</w:t>
                      </w:r>
                    </w:p>
                  </w:txbxContent>
                </v:textbox>
              </v:rect>
            </w:pict>
          </mc:Fallback>
        </mc:AlternateContent>
      </w:r>
    </w:p>
    <w:p w14:paraId="675F3090" w14:textId="77777777" w:rsidR="006E5DFB" w:rsidRPr="002D2159" w:rsidRDefault="006E5DFB" w:rsidP="006E5DFB">
      <w:pPr>
        <w:spacing w:after="0" w:line="240" w:lineRule="auto"/>
        <w:rPr>
          <w:rFonts w:ascii="Calibri" w:eastAsia="Calibri" w:hAnsi="Calibri" w:cs="Times New Roman"/>
          <w:lang w:val="en-AU"/>
        </w:rPr>
      </w:pPr>
    </w:p>
    <w:p w14:paraId="49D6EBCA" w14:textId="77777777" w:rsidR="006E5DFB" w:rsidRPr="002D2159" w:rsidRDefault="006E5DFB" w:rsidP="006E5DFB">
      <w:pPr>
        <w:spacing w:after="0" w:line="240" w:lineRule="auto"/>
        <w:rPr>
          <w:rFonts w:ascii="Calibri" w:eastAsia="Calibri" w:hAnsi="Calibri" w:cs="Times New Roman"/>
          <w:lang w:val="en-AU"/>
        </w:rPr>
      </w:pPr>
    </w:p>
    <w:p w14:paraId="5520784D"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7696" behindDoc="0" locked="0" layoutInCell="1" allowOverlap="1" wp14:anchorId="35110FE4" wp14:editId="6A9B6635">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DD5B93D"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" strokecolor="windowText" strokeweight=".5pt">
                <v:stroke endarrow="block" joinstyle="miter"/>
              </v:shape>
            </w:pict>
          </mc:Fallback>
        </mc:AlternateContent>
      </w:r>
    </w:p>
    <w:p w14:paraId="59B40C98" w14:textId="77777777" w:rsidR="006E5DFB" w:rsidRPr="002D2159" w:rsidRDefault="006E5DFB" w:rsidP="006E5DFB">
      <w:pPr>
        <w:spacing w:after="0" w:line="240" w:lineRule="auto"/>
        <w:rPr>
          <w:rFonts w:ascii="Calibri" w:eastAsia="Calibri" w:hAnsi="Calibri" w:cs="Times New Roman"/>
          <w:lang w:val="en-AU"/>
        </w:rPr>
      </w:pPr>
    </w:p>
    <w:p w14:paraId="6B540F43"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3360" behindDoc="0" locked="0" layoutInCell="1" allowOverlap="1" wp14:anchorId="66ACEAEC" wp14:editId="12BD609D">
                <wp:simplePos x="0" y="0"/>
                <wp:positionH relativeFrom="column">
                  <wp:posOffset>560705</wp:posOffset>
                </wp:positionH>
                <wp:positionV relativeFrom="paragraph">
                  <wp:posOffset>47625</wp:posOffset>
                </wp:positionV>
                <wp:extent cx="1887220" cy="526415"/>
                <wp:effectExtent l="0" t="0" r="17780" b="26035"/>
                <wp:wrapNone/>
                <wp:docPr id="73" name="Rectangle 7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2E4DB0F"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sought for retrieval</w:t>
                            </w:r>
                          </w:p>
                          <w:p w14:paraId="40B499C1"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43</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CEAEC" id="Rectangle 73"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e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" filled="f" strokecolor="windowText" strokeweight="1pt">
                <v:textbox>
                  <w:txbxContent>
                    <w:p w14:paraId="22E4DB0F"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sought for retrieval</w:t>
                      </w:r>
                    </w:p>
                    <w:p w14:paraId="40B499C1"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43</w:t>
                      </w:r>
                      <w:r w:rsidRPr="00067D2A">
                        <w:rPr>
                          <w:rFonts w:ascii="Arial" w:hAnsi="Arial" w:cs="Arial"/>
                          <w:color w:val="000000"/>
                          <w:sz w:val="18"/>
                          <w:szCs w:val="20"/>
                        </w:rPr>
                        <w:t>)</w:t>
                      </w:r>
                    </w:p>
                  </w:txbxContent>
                </v:textbox>
              </v:rect>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70528" behindDoc="0" locked="0" layoutInCell="1" allowOverlap="1" wp14:anchorId="06302AB3" wp14:editId="00E2C955">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7898A34"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" strokecolor="windowText" strokeweight=".5pt">
                <v:stroke endarrow="block" joinstyle="miter"/>
              </v:shape>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64384" behindDoc="0" locked="0" layoutInCell="1" allowOverlap="1" wp14:anchorId="17526D1E" wp14:editId="5030C3F5">
                <wp:simplePos x="0" y="0"/>
                <wp:positionH relativeFrom="column">
                  <wp:posOffset>3049270</wp:posOffset>
                </wp:positionH>
                <wp:positionV relativeFrom="paragraph">
                  <wp:posOffset>66675</wp:posOffset>
                </wp:positionV>
                <wp:extent cx="1887220" cy="526415"/>
                <wp:effectExtent l="0" t="0" r="17780" b="26035"/>
                <wp:wrapNone/>
                <wp:docPr id="74" name="Rectangle 7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3C5122F"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not retrieved</w:t>
                            </w:r>
                          </w:p>
                          <w:p w14:paraId="6A578DC8"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0</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26D1E" id="Rectangle 74"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" filled="f" strokecolor="windowText" strokeweight="1pt">
                <v:textbox>
                  <w:txbxContent>
                    <w:p w14:paraId="73C5122F"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not retrieved</w:t>
                      </w:r>
                    </w:p>
                    <w:p w14:paraId="6A578DC8"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0</w:t>
                      </w:r>
                      <w:r w:rsidRPr="00067D2A">
                        <w:rPr>
                          <w:rFonts w:ascii="Arial" w:hAnsi="Arial" w:cs="Arial"/>
                          <w:color w:val="000000"/>
                          <w:sz w:val="18"/>
                          <w:szCs w:val="20"/>
                        </w:rPr>
                        <w:t>)</w:t>
                      </w:r>
                    </w:p>
                  </w:txbxContent>
                </v:textbox>
              </v:rect>
            </w:pict>
          </mc:Fallback>
        </mc:AlternateContent>
      </w:r>
    </w:p>
    <w:p w14:paraId="12DA7AB3" w14:textId="77777777" w:rsidR="006E5DFB" w:rsidRPr="002D2159" w:rsidRDefault="006E5DFB" w:rsidP="006E5DFB">
      <w:pPr>
        <w:spacing w:after="0" w:line="240" w:lineRule="auto"/>
        <w:rPr>
          <w:rFonts w:ascii="Calibri" w:eastAsia="Calibri" w:hAnsi="Calibri" w:cs="Times New Roman"/>
          <w:lang w:val="en-AU"/>
        </w:rPr>
      </w:pPr>
    </w:p>
    <w:p w14:paraId="62A1D428"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4624" behindDoc="0" locked="0" layoutInCell="1" allowOverlap="1" wp14:anchorId="79DA6BD9" wp14:editId="4B686442">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2D48AF6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Screening</w:t>
                            </w:r>
                          </w:p>
                          <w:p w14:paraId="587EB39A" w14:textId="77777777" w:rsidR="00C52022" w:rsidRPr="00067D2A" w:rsidRDefault="00C52022" w:rsidP="006E5DFB">
                            <w:pPr>
                              <w:rPr>
                                <w:rFonts w:ascii="Arial" w:hAnsi="Arial" w:cs="Arial"/>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A6BD9" id="Flowchart: Alternate Process 32" o:spid="_x0000_s1034"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" fillcolor="#9dc3e6" strokecolor="windowText" strokeweight="1pt">
                <v:textbox>
                  <w:txbxContent>
                    <w:p w14:paraId="2D48AF6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Screening</w:t>
                      </w:r>
                    </w:p>
                    <w:p w14:paraId="587EB39A" w14:textId="77777777" w:rsidR="00C52022" w:rsidRPr="00067D2A" w:rsidRDefault="00C52022" w:rsidP="006E5DFB">
                      <w:pPr>
                        <w:rPr>
                          <w:rFonts w:ascii="Arial" w:hAnsi="Arial" w:cs="Arial"/>
                          <w:b/>
                          <w:color w:val="000000"/>
                          <w:sz w:val="18"/>
                          <w:szCs w:val="18"/>
                        </w:rPr>
                      </w:pPr>
                    </w:p>
                  </w:txbxContent>
                </v:textbox>
              </v:shape>
            </w:pict>
          </mc:Fallback>
        </mc:AlternateContent>
      </w:r>
    </w:p>
    <w:p w14:paraId="7554E608"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8720" behindDoc="0" locked="0" layoutInCell="1" allowOverlap="1" wp14:anchorId="7EDB1EB3" wp14:editId="3735BA5B">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891327A"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" strokecolor="windowText" strokeweight=".5pt">
                <v:stroke endarrow="block" joinstyle="miter"/>
              </v:shape>
            </w:pict>
          </mc:Fallback>
        </mc:AlternateContent>
      </w:r>
    </w:p>
    <w:p w14:paraId="5509C980"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6432" behindDoc="0" locked="0" layoutInCell="1" allowOverlap="1" wp14:anchorId="233AFC51" wp14:editId="28EE7F4D">
                <wp:simplePos x="0" y="0"/>
                <wp:positionH relativeFrom="column">
                  <wp:posOffset>3055620</wp:posOffset>
                </wp:positionH>
                <wp:positionV relativeFrom="paragraph">
                  <wp:posOffset>50165</wp:posOffset>
                </wp:positionV>
                <wp:extent cx="1887220" cy="1424940"/>
                <wp:effectExtent l="0" t="0" r="17780" b="22860"/>
                <wp:wrapNone/>
                <wp:docPr id="76" name="Rectangle 76"/>
                <wp:cNvGraphicFramePr/>
                <a:graphic xmlns:a="http://schemas.openxmlformats.org/drawingml/2006/main">
                  <a:graphicData uri="http://schemas.microsoft.com/office/word/2010/wordprocessingShape">
                    <wps:wsp>
                      <wps:cNvSpPr/>
                      <wps:spPr>
                        <a:xfrm>
                          <a:off x="0" y="0"/>
                          <a:ext cx="1887220" cy="1424940"/>
                        </a:xfrm>
                        <a:prstGeom prst="rect">
                          <a:avLst/>
                        </a:prstGeom>
                        <a:noFill/>
                        <a:ln w="12700" cap="flat" cmpd="sng" algn="ctr">
                          <a:solidFill>
                            <a:sysClr val="windowText" lastClr="000000"/>
                          </a:solidFill>
                          <a:prstDash val="solid"/>
                          <a:miter lim="800000"/>
                        </a:ln>
                        <a:effectLst/>
                      </wps:spPr>
                      <wps:txbx>
                        <w:txbxContent>
                          <w:p w14:paraId="5E020075"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Reports excluded</w:t>
                            </w:r>
                            <w:r>
                              <w:rPr>
                                <w:rFonts w:ascii="Arial" w:hAnsi="Arial" w:cs="Arial"/>
                                <w:color w:val="000000"/>
                                <w:sz w:val="18"/>
                                <w:szCs w:val="20"/>
                              </w:rPr>
                              <w:t xml:space="preserve"> (n = 32)</w:t>
                            </w:r>
                            <w:r w:rsidRPr="00067D2A">
                              <w:rPr>
                                <w:rFonts w:ascii="Arial" w:hAnsi="Arial" w:cs="Arial"/>
                                <w:color w:val="000000"/>
                                <w:sz w:val="18"/>
                                <w:szCs w:val="20"/>
                              </w:rPr>
                              <w:t>:</w:t>
                            </w:r>
                          </w:p>
                          <w:p w14:paraId="0DD87FA5"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Wrong study population</w:t>
                            </w:r>
                            <w:r>
                              <w:rPr>
                                <w:rFonts w:ascii="Arial" w:hAnsi="Arial" w:cs="Arial"/>
                                <w:color w:val="000000"/>
                                <w:sz w:val="18"/>
                                <w:szCs w:val="20"/>
                              </w:rPr>
                              <w:br/>
                            </w:r>
                            <w:r w:rsidRPr="00067D2A">
                              <w:rPr>
                                <w:rFonts w:ascii="Arial" w:hAnsi="Arial" w:cs="Arial"/>
                                <w:color w:val="000000"/>
                                <w:sz w:val="18"/>
                                <w:szCs w:val="20"/>
                              </w:rPr>
                              <w:t xml:space="preserve"> (n = </w:t>
                            </w:r>
                            <w:r>
                              <w:rPr>
                                <w:rFonts w:ascii="Arial" w:hAnsi="Arial" w:cs="Arial"/>
                                <w:color w:val="000000"/>
                                <w:sz w:val="18"/>
                                <w:szCs w:val="20"/>
                              </w:rPr>
                              <w:t>1</w:t>
                            </w:r>
                            <w:r w:rsidRPr="00067D2A">
                              <w:rPr>
                                <w:rFonts w:ascii="Arial" w:hAnsi="Arial" w:cs="Arial"/>
                                <w:color w:val="000000"/>
                                <w:sz w:val="18"/>
                                <w:szCs w:val="20"/>
                              </w:rPr>
                              <w:t>1)</w:t>
                            </w:r>
                          </w:p>
                          <w:p w14:paraId="45A58913"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Inappropriate study design</w:t>
                            </w:r>
                            <w:r>
                              <w:rPr>
                                <w:rFonts w:ascii="Arial" w:hAnsi="Arial" w:cs="Arial"/>
                                <w:color w:val="000000"/>
                                <w:sz w:val="18"/>
                                <w:szCs w:val="20"/>
                              </w:rPr>
                              <w:br/>
                            </w:r>
                            <w:r w:rsidRPr="00067D2A">
                              <w:rPr>
                                <w:rFonts w:ascii="Arial" w:hAnsi="Arial" w:cs="Arial"/>
                                <w:color w:val="000000"/>
                                <w:sz w:val="18"/>
                                <w:szCs w:val="20"/>
                              </w:rPr>
                              <w:t xml:space="preserve">(n = </w:t>
                            </w:r>
                            <w:r>
                              <w:rPr>
                                <w:rFonts w:ascii="Arial" w:hAnsi="Arial" w:cs="Arial"/>
                                <w:color w:val="000000"/>
                                <w:sz w:val="18"/>
                                <w:szCs w:val="20"/>
                              </w:rPr>
                              <w:t>9</w:t>
                            </w:r>
                            <w:r w:rsidRPr="00067D2A">
                              <w:rPr>
                                <w:rFonts w:ascii="Arial" w:hAnsi="Arial" w:cs="Arial"/>
                                <w:color w:val="000000"/>
                                <w:sz w:val="18"/>
                                <w:szCs w:val="20"/>
                              </w:rPr>
                              <w:t>)</w:t>
                            </w:r>
                          </w:p>
                          <w:p w14:paraId="7A887737"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Wrong intervention type</w:t>
                            </w:r>
                            <w:r>
                              <w:rPr>
                                <w:rFonts w:ascii="Arial" w:hAnsi="Arial" w:cs="Arial"/>
                                <w:color w:val="000000"/>
                                <w:sz w:val="18"/>
                                <w:szCs w:val="20"/>
                              </w:rPr>
                              <w:br/>
                            </w:r>
                            <w:r w:rsidRPr="00067D2A">
                              <w:rPr>
                                <w:rFonts w:ascii="Arial" w:hAnsi="Arial" w:cs="Arial"/>
                                <w:color w:val="000000"/>
                                <w:sz w:val="18"/>
                                <w:szCs w:val="20"/>
                              </w:rPr>
                              <w:t xml:space="preserve"> (n = </w:t>
                            </w:r>
                            <w:r>
                              <w:rPr>
                                <w:rFonts w:ascii="Arial" w:hAnsi="Arial" w:cs="Arial"/>
                                <w:color w:val="000000"/>
                                <w:sz w:val="18"/>
                                <w:szCs w:val="20"/>
                              </w:rPr>
                              <w:t>5</w:t>
                            </w:r>
                            <w:r w:rsidRPr="00067D2A">
                              <w:rPr>
                                <w:rFonts w:ascii="Arial" w:hAnsi="Arial" w:cs="Arial"/>
                                <w:color w:val="000000"/>
                                <w:sz w:val="18"/>
                                <w:szCs w:val="20"/>
                              </w:rPr>
                              <w:t>)</w:t>
                            </w:r>
                            <w:r>
                              <w:rPr>
                                <w:rFonts w:ascii="Arial" w:hAnsi="Arial" w:cs="Arial"/>
                                <w:color w:val="000000"/>
                                <w:sz w:val="18"/>
                                <w:szCs w:val="20"/>
                              </w:rPr>
                              <w:br/>
                            </w:r>
                            <w:r w:rsidRPr="00701987">
                              <w:rPr>
                                <w:rFonts w:ascii="Arial" w:hAnsi="Arial" w:cs="Arial"/>
                                <w:color w:val="000000"/>
                                <w:sz w:val="18"/>
                                <w:szCs w:val="20"/>
                              </w:rPr>
                              <w:t>Outcomes not relevant</w:t>
                            </w:r>
                            <w:r>
                              <w:rPr>
                                <w:rFonts w:ascii="Arial" w:hAnsi="Arial" w:cs="Arial"/>
                                <w:color w:val="000000"/>
                                <w:sz w:val="18"/>
                                <w:szCs w:val="20"/>
                              </w:rPr>
                              <w:br/>
                            </w:r>
                            <w:r w:rsidRPr="00A152F5">
                              <w:rPr>
                                <w:rFonts w:ascii="Arial" w:hAnsi="Arial" w:cs="Arial"/>
                                <w:color w:val="000000"/>
                                <w:sz w:val="18"/>
                                <w:szCs w:val="20"/>
                              </w:rPr>
                              <w:t xml:space="preserve"> (n = </w:t>
                            </w:r>
                            <w:r>
                              <w:rPr>
                                <w:rFonts w:ascii="Arial" w:hAnsi="Arial" w:cs="Arial"/>
                                <w:color w:val="000000"/>
                                <w:sz w:val="18"/>
                                <w:szCs w:val="20"/>
                              </w:rPr>
                              <w:t>7</w:t>
                            </w:r>
                            <w:r w:rsidRPr="00A152F5">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AFC51" id="Rectangle 76" o:spid="_x0000_s1035" style="position:absolute;margin-left:240.6pt;margin-top:3.95pt;width:148.6pt;height:11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" filled="f" strokecolor="windowText" strokeweight="1pt">
                <v:textbox>
                  <w:txbxContent>
                    <w:p w14:paraId="5E020075" w14:textId="77777777" w:rsidR="00C52022" w:rsidRPr="00067D2A" w:rsidRDefault="00C52022" w:rsidP="006E5DFB">
                      <w:pPr>
                        <w:spacing w:after="0"/>
                        <w:rPr>
                          <w:rFonts w:ascii="Arial" w:hAnsi="Arial" w:cs="Arial"/>
                          <w:color w:val="000000"/>
                          <w:sz w:val="18"/>
                          <w:szCs w:val="20"/>
                        </w:rPr>
                      </w:pPr>
                      <w:r w:rsidRPr="00067D2A">
                        <w:rPr>
                          <w:rFonts w:ascii="Arial" w:hAnsi="Arial" w:cs="Arial"/>
                          <w:color w:val="000000"/>
                          <w:sz w:val="18"/>
                          <w:szCs w:val="20"/>
                        </w:rPr>
                        <w:t>Reports excluded</w:t>
                      </w:r>
                      <w:r>
                        <w:rPr>
                          <w:rFonts w:ascii="Arial" w:hAnsi="Arial" w:cs="Arial"/>
                          <w:color w:val="000000"/>
                          <w:sz w:val="18"/>
                          <w:szCs w:val="20"/>
                        </w:rPr>
                        <w:t xml:space="preserve"> (n = 32)</w:t>
                      </w:r>
                      <w:r w:rsidRPr="00067D2A">
                        <w:rPr>
                          <w:rFonts w:ascii="Arial" w:hAnsi="Arial" w:cs="Arial"/>
                          <w:color w:val="000000"/>
                          <w:sz w:val="18"/>
                          <w:szCs w:val="20"/>
                        </w:rPr>
                        <w:t>:</w:t>
                      </w:r>
                    </w:p>
                    <w:p w14:paraId="0DD87FA5"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Wrong study population</w:t>
                      </w:r>
                      <w:r>
                        <w:rPr>
                          <w:rFonts w:ascii="Arial" w:hAnsi="Arial" w:cs="Arial"/>
                          <w:color w:val="000000"/>
                          <w:sz w:val="18"/>
                          <w:szCs w:val="20"/>
                        </w:rPr>
                        <w:br/>
                      </w:r>
                      <w:r w:rsidRPr="00067D2A">
                        <w:rPr>
                          <w:rFonts w:ascii="Arial" w:hAnsi="Arial" w:cs="Arial"/>
                          <w:color w:val="000000"/>
                          <w:sz w:val="18"/>
                          <w:szCs w:val="20"/>
                        </w:rPr>
                        <w:t xml:space="preserve"> (n = </w:t>
                      </w:r>
                      <w:r>
                        <w:rPr>
                          <w:rFonts w:ascii="Arial" w:hAnsi="Arial" w:cs="Arial"/>
                          <w:color w:val="000000"/>
                          <w:sz w:val="18"/>
                          <w:szCs w:val="20"/>
                        </w:rPr>
                        <w:t>1</w:t>
                      </w:r>
                      <w:r w:rsidRPr="00067D2A">
                        <w:rPr>
                          <w:rFonts w:ascii="Arial" w:hAnsi="Arial" w:cs="Arial"/>
                          <w:color w:val="000000"/>
                          <w:sz w:val="18"/>
                          <w:szCs w:val="20"/>
                        </w:rPr>
                        <w:t>1)</w:t>
                      </w:r>
                    </w:p>
                    <w:p w14:paraId="45A58913"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Inappropriate study design</w:t>
                      </w:r>
                      <w:r>
                        <w:rPr>
                          <w:rFonts w:ascii="Arial" w:hAnsi="Arial" w:cs="Arial"/>
                          <w:color w:val="000000"/>
                          <w:sz w:val="18"/>
                          <w:szCs w:val="20"/>
                        </w:rPr>
                        <w:br/>
                      </w:r>
                      <w:r w:rsidRPr="00067D2A">
                        <w:rPr>
                          <w:rFonts w:ascii="Arial" w:hAnsi="Arial" w:cs="Arial"/>
                          <w:color w:val="000000"/>
                          <w:sz w:val="18"/>
                          <w:szCs w:val="20"/>
                        </w:rPr>
                        <w:t xml:space="preserve">(n = </w:t>
                      </w:r>
                      <w:r>
                        <w:rPr>
                          <w:rFonts w:ascii="Arial" w:hAnsi="Arial" w:cs="Arial"/>
                          <w:color w:val="000000"/>
                          <w:sz w:val="18"/>
                          <w:szCs w:val="20"/>
                        </w:rPr>
                        <w:t>9</w:t>
                      </w:r>
                      <w:r w:rsidRPr="00067D2A">
                        <w:rPr>
                          <w:rFonts w:ascii="Arial" w:hAnsi="Arial" w:cs="Arial"/>
                          <w:color w:val="000000"/>
                          <w:sz w:val="18"/>
                          <w:szCs w:val="20"/>
                        </w:rPr>
                        <w:t>)</w:t>
                      </w:r>
                    </w:p>
                    <w:p w14:paraId="7A887737" w14:textId="77777777" w:rsidR="00C52022" w:rsidRPr="00067D2A" w:rsidRDefault="00C52022" w:rsidP="006E5DFB">
                      <w:pPr>
                        <w:spacing w:after="0"/>
                        <w:ind w:left="284"/>
                        <w:rPr>
                          <w:rFonts w:ascii="Arial" w:hAnsi="Arial" w:cs="Arial"/>
                          <w:color w:val="000000"/>
                          <w:sz w:val="18"/>
                          <w:szCs w:val="20"/>
                        </w:rPr>
                      </w:pPr>
                      <w:r w:rsidRPr="00701987">
                        <w:rPr>
                          <w:rFonts w:ascii="Arial" w:hAnsi="Arial" w:cs="Arial"/>
                          <w:color w:val="000000"/>
                          <w:sz w:val="18"/>
                          <w:szCs w:val="20"/>
                        </w:rPr>
                        <w:t>Wrong intervention type</w:t>
                      </w:r>
                      <w:r>
                        <w:rPr>
                          <w:rFonts w:ascii="Arial" w:hAnsi="Arial" w:cs="Arial"/>
                          <w:color w:val="000000"/>
                          <w:sz w:val="18"/>
                          <w:szCs w:val="20"/>
                        </w:rPr>
                        <w:br/>
                      </w:r>
                      <w:r w:rsidRPr="00067D2A">
                        <w:rPr>
                          <w:rFonts w:ascii="Arial" w:hAnsi="Arial" w:cs="Arial"/>
                          <w:color w:val="000000"/>
                          <w:sz w:val="18"/>
                          <w:szCs w:val="20"/>
                        </w:rPr>
                        <w:t xml:space="preserve"> (n = </w:t>
                      </w:r>
                      <w:r>
                        <w:rPr>
                          <w:rFonts w:ascii="Arial" w:hAnsi="Arial" w:cs="Arial"/>
                          <w:color w:val="000000"/>
                          <w:sz w:val="18"/>
                          <w:szCs w:val="20"/>
                        </w:rPr>
                        <w:t>5</w:t>
                      </w:r>
                      <w:r w:rsidRPr="00067D2A">
                        <w:rPr>
                          <w:rFonts w:ascii="Arial" w:hAnsi="Arial" w:cs="Arial"/>
                          <w:color w:val="000000"/>
                          <w:sz w:val="18"/>
                          <w:szCs w:val="20"/>
                        </w:rPr>
                        <w:t>)</w:t>
                      </w:r>
                      <w:r>
                        <w:rPr>
                          <w:rFonts w:ascii="Arial" w:hAnsi="Arial" w:cs="Arial"/>
                          <w:color w:val="000000"/>
                          <w:sz w:val="18"/>
                          <w:szCs w:val="20"/>
                        </w:rPr>
                        <w:br/>
                      </w:r>
                      <w:r w:rsidRPr="00701987">
                        <w:rPr>
                          <w:rFonts w:ascii="Arial" w:hAnsi="Arial" w:cs="Arial"/>
                          <w:color w:val="000000"/>
                          <w:sz w:val="18"/>
                          <w:szCs w:val="20"/>
                        </w:rPr>
                        <w:t>Outcomes not relevant</w:t>
                      </w:r>
                      <w:r>
                        <w:rPr>
                          <w:rFonts w:ascii="Arial" w:hAnsi="Arial" w:cs="Arial"/>
                          <w:color w:val="000000"/>
                          <w:sz w:val="18"/>
                          <w:szCs w:val="20"/>
                        </w:rPr>
                        <w:br/>
                      </w:r>
                      <w:r w:rsidRPr="00A152F5">
                        <w:rPr>
                          <w:rFonts w:ascii="Arial" w:hAnsi="Arial" w:cs="Arial"/>
                          <w:color w:val="000000"/>
                          <w:sz w:val="18"/>
                          <w:szCs w:val="20"/>
                        </w:rPr>
                        <w:t xml:space="preserve"> (n = </w:t>
                      </w:r>
                      <w:r>
                        <w:rPr>
                          <w:rFonts w:ascii="Arial" w:hAnsi="Arial" w:cs="Arial"/>
                          <w:color w:val="000000"/>
                          <w:sz w:val="18"/>
                          <w:szCs w:val="20"/>
                        </w:rPr>
                        <w:t>7</w:t>
                      </w:r>
                      <w:r w:rsidRPr="00A152F5">
                        <w:rPr>
                          <w:rFonts w:ascii="Arial" w:hAnsi="Arial" w:cs="Arial"/>
                          <w:color w:val="000000"/>
                          <w:sz w:val="18"/>
                          <w:szCs w:val="20"/>
                        </w:rPr>
                        <w:t>)</w:t>
                      </w:r>
                    </w:p>
                  </w:txbxContent>
                </v:textbox>
              </v:rect>
            </w:pict>
          </mc:Fallback>
        </mc:AlternateContent>
      </w:r>
    </w:p>
    <w:p w14:paraId="7384126E"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1552" behindDoc="0" locked="0" layoutInCell="1" allowOverlap="1" wp14:anchorId="60967893" wp14:editId="079C83CF">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3386627"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" strokecolor="windowText" strokeweight=".5pt">
                <v:stroke endarrow="block" joinstyle="miter"/>
              </v:shape>
            </w:pict>
          </mc:Fallback>
        </mc:AlternateContent>
      </w:r>
      <w:r w:rsidRPr="002D2159">
        <w:rPr>
          <w:rFonts w:ascii="Calibri" w:eastAsia="Calibri" w:hAnsi="Calibri" w:cs="Times New Roman"/>
          <w:noProof/>
          <w:lang w:val="en-IN" w:eastAsia="en-IN"/>
        </w:rPr>
        <mc:AlternateContent>
          <mc:Choice Requires="wps">
            <w:drawing>
              <wp:anchor distT="0" distB="0" distL="114300" distR="114300" simplePos="0" relativeHeight="251665408" behindDoc="0" locked="0" layoutInCell="1" allowOverlap="1" wp14:anchorId="1A795EF7" wp14:editId="3D3CD723">
                <wp:simplePos x="0" y="0"/>
                <wp:positionH relativeFrom="column">
                  <wp:posOffset>561975</wp:posOffset>
                </wp:positionH>
                <wp:positionV relativeFrom="paragraph">
                  <wp:posOffset>13335</wp:posOffset>
                </wp:positionV>
                <wp:extent cx="1887220" cy="526415"/>
                <wp:effectExtent l="0" t="0" r="17780" b="26035"/>
                <wp:wrapNone/>
                <wp:docPr id="75" name="Rectangle 7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436F1E5"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assessed for eligibility</w:t>
                            </w:r>
                          </w:p>
                          <w:p w14:paraId="5AEAB0C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43</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95EF7" id="Rectangle 75" o:spid="_x0000_s1036"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" filled="f" strokecolor="windowText" strokeweight="1pt">
                <v:textbox>
                  <w:txbxContent>
                    <w:p w14:paraId="5436F1E5"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Reports assessed for eligibility</w:t>
                      </w:r>
                    </w:p>
                    <w:p w14:paraId="5AEAB0C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 xml:space="preserve">(n = </w:t>
                      </w:r>
                      <w:r>
                        <w:rPr>
                          <w:rFonts w:ascii="Arial" w:hAnsi="Arial" w:cs="Arial"/>
                          <w:color w:val="000000"/>
                          <w:sz w:val="18"/>
                          <w:szCs w:val="20"/>
                        </w:rPr>
                        <w:t>43</w:t>
                      </w:r>
                      <w:r w:rsidRPr="00067D2A">
                        <w:rPr>
                          <w:rFonts w:ascii="Arial" w:hAnsi="Arial" w:cs="Arial"/>
                          <w:color w:val="000000"/>
                          <w:sz w:val="18"/>
                          <w:szCs w:val="20"/>
                        </w:rPr>
                        <w:t>)</w:t>
                      </w:r>
                    </w:p>
                  </w:txbxContent>
                </v:textbox>
              </v:rect>
            </w:pict>
          </mc:Fallback>
        </mc:AlternateContent>
      </w:r>
    </w:p>
    <w:p w14:paraId="2CC40B7C" w14:textId="77777777" w:rsidR="006E5DFB" w:rsidRPr="002D2159" w:rsidRDefault="006E5DFB" w:rsidP="006E5DFB">
      <w:pPr>
        <w:spacing w:after="0" w:line="240" w:lineRule="auto"/>
        <w:rPr>
          <w:rFonts w:ascii="Calibri" w:eastAsia="Calibri" w:hAnsi="Calibri" w:cs="Times New Roman"/>
          <w:lang w:val="en-AU"/>
        </w:rPr>
      </w:pPr>
    </w:p>
    <w:p w14:paraId="77F961E5" w14:textId="77777777" w:rsidR="006E5DFB" w:rsidRPr="002D2159" w:rsidRDefault="006E5DFB" w:rsidP="006E5DFB">
      <w:pPr>
        <w:spacing w:after="0" w:line="240" w:lineRule="auto"/>
        <w:rPr>
          <w:rFonts w:ascii="Calibri" w:eastAsia="Calibri" w:hAnsi="Calibri" w:cs="Times New Roman"/>
          <w:lang w:val="en-AU"/>
        </w:rPr>
      </w:pPr>
    </w:p>
    <w:p w14:paraId="352D83D4"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9744" behindDoc="0" locked="0" layoutInCell="1" allowOverlap="1" wp14:anchorId="62163666" wp14:editId="0931DB59">
                <wp:simplePos x="0" y="0"/>
                <wp:positionH relativeFrom="column">
                  <wp:posOffset>1400861</wp:posOffset>
                </wp:positionH>
                <wp:positionV relativeFrom="paragraph">
                  <wp:posOffset>29667</wp:posOffset>
                </wp:positionV>
                <wp:extent cx="0" cy="746151"/>
                <wp:effectExtent l="76200" t="0" r="57150" b="53975"/>
                <wp:wrapNone/>
                <wp:docPr id="38" name="Straight Arrow Connector 38"/>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7232CD" id="Straight Arrow Connector 38" o:spid="_x0000_s1026" type="#_x0000_t32" style="position:absolute;margin-left:110.3pt;margin-top:2.35pt;width:0;height:5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" strokecolor="windowText" strokeweight=".5pt">
                <v:stroke endarrow="block" joinstyle="miter"/>
              </v:shape>
            </w:pict>
          </mc:Fallback>
        </mc:AlternateContent>
      </w:r>
    </w:p>
    <w:p w14:paraId="2E273CC0" w14:textId="77777777" w:rsidR="006E5DFB" w:rsidRPr="002D2159" w:rsidRDefault="006E5DFB" w:rsidP="006E5DFB">
      <w:pPr>
        <w:spacing w:after="0" w:line="240" w:lineRule="auto"/>
        <w:rPr>
          <w:rFonts w:ascii="Calibri" w:eastAsia="Calibri" w:hAnsi="Calibri" w:cs="Times New Roman"/>
          <w:lang w:val="en-AU"/>
        </w:rPr>
      </w:pPr>
    </w:p>
    <w:p w14:paraId="32525855" w14:textId="77777777" w:rsidR="006E5DFB" w:rsidRPr="002D2159" w:rsidRDefault="006E5DFB" w:rsidP="006E5DFB">
      <w:pPr>
        <w:spacing w:after="0" w:line="240" w:lineRule="auto"/>
        <w:rPr>
          <w:rFonts w:ascii="Calibri" w:eastAsia="Calibri" w:hAnsi="Calibri" w:cs="Times New Roman"/>
          <w:lang w:val="en-AU"/>
        </w:rPr>
      </w:pPr>
    </w:p>
    <w:p w14:paraId="1C1392C4" w14:textId="77777777" w:rsidR="006E5DFB" w:rsidRPr="002D2159" w:rsidRDefault="006E5DFB" w:rsidP="006E5DFB">
      <w:pPr>
        <w:spacing w:after="0" w:line="240" w:lineRule="auto"/>
        <w:rPr>
          <w:rFonts w:ascii="Calibri" w:eastAsia="Calibri" w:hAnsi="Calibri" w:cs="Times New Roman"/>
          <w:lang w:val="en-AU"/>
        </w:rPr>
      </w:pPr>
    </w:p>
    <w:p w14:paraId="35F23388"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67456" behindDoc="0" locked="0" layoutInCell="1" allowOverlap="1" wp14:anchorId="58B89536" wp14:editId="3C411514">
                <wp:simplePos x="0" y="0"/>
                <wp:positionH relativeFrom="column">
                  <wp:posOffset>541020</wp:posOffset>
                </wp:positionH>
                <wp:positionV relativeFrom="paragraph">
                  <wp:posOffset>111125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2F46D3C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Studies included in review</w:t>
                            </w:r>
                          </w:p>
                          <w:p w14:paraId="4B36B016" w14:textId="77777777" w:rsidR="00C52022" w:rsidRPr="00067D2A" w:rsidRDefault="00C52022" w:rsidP="006E5DFB">
                            <w:pPr>
                              <w:rPr>
                                <w:rFonts w:ascii="Arial" w:hAnsi="Arial" w:cs="Arial"/>
                                <w:color w:val="000000"/>
                                <w:sz w:val="18"/>
                                <w:szCs w:val="20"/>
                              </w:rPr>
                            </w:pPr>
                            <w:r>
                              <w:rPr>
                                <w:rFonts w:ascii="Arial" w:hAnsi="Arial" w:cs="Arial"/>
                                <w:color w:val="000000"/>
                                <w:sz w:val="18"/>
                                <w:szCs w:val="20"/>
                              </w:rPr>
                              <w:t>(n = 11</w:t>
                            </w:r>
                            <w:r w:rsidRPr="00067D2A">
                              <w:rPr>
                                <w:rFonts w:ascii="Arial" w:hAnsi="Arial" w:cs="Arial"/>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9536" id="Rectangle 13" o:spid="_x0000_s1037" style="position:absolute;margin-left:42.6pt;margin-top:8.75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" filled="f" strokecolor="windowText" strokeweight="1pt">
                <v:textbox>
                  <w:txbxContent>
                    <w:p w14:paraId="2F46D3C3" w14:textId="77777777" w:rsidR="00C52022" w:rsidRPr="00067D2A" w:rsidRDefault="00C52022" w:rsidP="006E5DFB">
                      <w:pPr>
                        <w:rPr>
                          <w:rFonts w:ascii="Arial" w:hAnsi="Arial" w:cs="Arial"/>
                          <w:color w:val="000000"/>
                          <w:sz w:val="18"/>
                          <w:szCs w:val="20"/>
                        </w:rPr>
                      </w:pPr>
                      <w:r w:rsidRPr="00067D2A">
                        <w:rPr>
                          <w:rFonts w:ascii="Arial" w:hAnsi="Arial" w:cs="Arial"/>
                          <w:color w:val="000000"/>
                          <w:sz w:val="18"/>
                          <w:szCs w:val="20"/>
                        </w:rPr>
                        <w:t>Studies included in review</w:t>
                      </w:r>
                    </w:p>
                    <w:p w14:paraId="4B36B016" w14:textId="77777777" w:rsidR="00C52022" w:rsidRPr="00067D2A" w:rsidRDefault="00C52022" w:rsidP="006E5DFB">
                      <w:pPr>
                        <w:rPr>
                          <w:rFonts w:ascii="Arial" w:hAnsi="Arial" w:cs="Arial"/>
                          <w:color w:val="000000"/>
                          <w:sz w:val="18"/>
                          <w:szCs w:val="20"/>
                        </w:rPr>
                      </w:pPr>
                      <w:r>
                        <w:rPr>
                          <w:rFonts w:ascii="Arial" w:hAnsi="Arial" w:cs="Arial"/>
                          <w:color w:val="000000"/>
                          <w:sz w:val="18"/>
                          <w:szCs w:val="20"/>
                        </w:rPr>
                        <w:t>(n = 11</w:t>
                      </w:r>
                      <w:r w:rsidRPr="00067D2A">
                        <w:rPr>
                          <w:rFonts w:ascii="Arial" w:hAnsi="Arial" w:cs="Arial"/>
                          <w:color w:val="000000"/>
                          <w:sz w:val="18"/>
                          <w:szCs w:val="20"/>
                        </w:rPr>
                        <w:t>)</w:t>
                      </w:r>
                    </w:p>
                  </w:txbxContent>
                </v:textbox>
              </v:rect>
            </w:pict>
          </mc:Fallback>
        </mc:AlternateContent>
      </w:r>
    </w:p>
    <w:p w14:paraId="27AFC971" w14:textId="77777777" w:rsidR="006E5DFB" w:rsidRPr="002D2159" w:rsidRDefault="006E5DFB" w:rsidP="006E5DFB">
      <w:pPr>
        <w:spacing w:after="0" w:line="240" w:lineRule="auto"/>
        <w:rPr>
          <w:rFonts w:ascii="Calibri" w:eastAsia="Calibri" w:hAnsi="Calibri" w:cs="Times New Roman"/>
          <w:lang w:val="en-AU"/>
        </w:rPr>
      </w:pPr>
      <w:r w:rsidRPr="002D2159">
        <w:rPr>
          <w:rFonts w:ascii="Calibri" w:eastAsia="Calibri" w:hAnsi="Calibri" w:cs="Times New Roman"/>
          <w:noProof/>
          <w:lang w:val="en-IN" w:eastAsia="en-IN"/>
        </w:rPr>
        <mc:AlternateContent>
          <mc:Choice Requires="wps">
            <w:drawing>
              <wp:anchor distT="0" distB="0" distL="114300" distR="114300" simplePos="0" relativeHeight="251675648" behindDoc="0" locked="0" layoutInCell="1" allowOverlap="1" wp14:anchorId="27D27FA7" wp14:editId="5177E5E9">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67EDA7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27FA7" id="Flowchart: Alternate Process 33" o:spid="_x0000_s1038"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" fillcolor="#9dc3e6" strokecolor="windowText" strokeweight="1pt">
                <v:textbox>
                  <w:txbxContent>
                    <w:p w14:paraId="167EDA7D" w14:textId="77777777" w:rsidR="00C52022" w:rsidRPr="00067D2A" w:rsidRDefault="00C52022" w:rsidP="006E5DFB">
                      <w:pPr>
                        <w:jc w:val="center"/>
                        <w:rPr>
                          <w:rFonts w:ascii="Arial" w:hAnsi="Arial" w:cs="Arial"/>
                          <w:b/>
                          <w:color w:val="000000"/>
                          <w:sz w:val="18"/>
                          <w:szCs w:val="18"/>
                        </w:rPr>
                      </w:pPr>
                      <w:r w:rsidRPr="00067D2A">
                        <w:rPr>
                          <w:rFonts w:ascii="Arial" w:hAnsi="Arial" w:cs="Arial"/>
                          <w:b/>
                          <w:color w:val="000000"/>
                          <w:sz w:val="18"/>
                          <w:szCs w:val="18"/>
                        </w:rPr>
                        <w:t>Included</w:t>
                      </w:r>
                    </w:p>
                  </w:txbxContent>
                </v:textbox>
              </v:shape>
            </w:pict>
          </mc:Fallback>
        </mc:AlternateContent>
      </w:r>
    </w:p>
    <w:p w14:paraId="1DCFB025" w14:textId="77777777" w:rsidR="006E5DFB" w:rsidRPr="002D2159" w:rsidRDefault="006E5DFB" w:rsidP="006E5DFB">
      <w:pPr>
        <w:spacing w:after="0" w:line="240" w:lineRule="auto"/>
        <w:rPr>
          <w:rFonts w:ascii="Calibri" w:eastAsia="Calibri" w:hAnsi="Calibri" w:cs="Times New Roman"/>
          <w:lang w:val="en-AU"/>
        </w:rPr>
      </w:pPr>
    </w:p>
    <w:p w14:paraId="43A548D8" w14:textId="77777777" w:rsidR="006E5DFB" w:rsidRPr="002D2159" w:rsidRDefault="006E5DFB" w:rsidP="006E5DFB">
      <w:pPr>
        <w:spacing w:line="360" w:lineRule="auto"/>
        <w:jc w:val="both"/>
        <w:rPr>
          <w:rFonts w:ascii="Arial" w:eastAsia="Calibri" w:hAnsi="Arial" w:cs="Arial"/>
          <w:kern w:val="2"/>
          <w:sz w:val="24"/>
          <w:szCs w:val="24"/>
          <w14:ligatures w14:val="standardContextual"/>
        </w:rPr>
      </w:pPr>
    </w:p>
    <w:p w14:paraId="36E8524C" w14:textId="77777777" w:rsidR="006E5DFB" w:rsidRPr="002D2159" w:rsidRDefault="006E5DFB" w:rsidP="006E5DFB">
      <w:pPr>
        <w:spacing w:line="360" w:lineRule="auto"/>
        <w:jc w:val="both"/>
        <w:rPr>
          <w:rFonts w:ascii="Arial" w:eastAsia="Calibri" w:hAnsi="Arial" w:cs="Arial"/>
          <w:kern w:val="2"/>
          <w:sz w:val="24"/>
          <w:szCs w:val="24"/>
          <w14:ligatures w14:val="standardContextual"/>
        </w:rPr>
      </w:pPr>
    </w:p>
    <w:p w14:paraId="09AA008F" w14:textId="77777777" w:rsidR="006E5DFB" w:rsidRPr="00701987" w:rsidRDefault="006E5DFB" w:rsidP="006E5DFB">
      <w:pPr>
        <w:spacing w:line="360" w:lineRule="auto"/>
        <w:jc w:val="both"/>
        <w:rPr>
          <w:rFonts w:ascii="Arial" w:eastAsia="Calibri" w:hAnsi="Arial" w:cs="Arial"/>
          <w:kern w:val="2"/>
          <w:sz w:val="24"/>
          <w:szCs w:val="24"/>
          <w14:ligatures w14:val="standardContextual"/>
        </w:rPr>
      </w:pPr>
      <w:r w:rsidRPr="002D2159">
        <w:rPr>
          <w:rFonts w:ascii="Arial" w:eastAsia="Calibri" w:hAnsi="Arial" w:cs="Arial"/>
          <w:kern w:val="2"/>
          <w:sz w:val="24"/>
          <w:szCs w:val="24"/>
          <w14:ligatures w14:val="standardContextual"/>
        </w:rPr>
        <w:t>Source: (Page et al. 2021)</w:t>
      </w:r>
    </w:p>
    <w:p w14:paraId="59E42459"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1" w:name="_Toc229774353"/>
      <w:r w:rsidRPr="00003F69">
        <w:rPr>
          <w:rFonts w:ascii="Arial" w:hAnsi="Arial" w:cs="Arial"/>
          <w:b/>
          <w:bCs/>
          <w:color w:val="000000" w:themeColor="text1"/>
          <w:sz w:val="24"/>
          <w:szCs w:val="24"/>
        </w:rPr>
        <w:t>3.8 Quality Appraisal</w:t>
      </w:r>
      <w:bookmarkEnd w:id="31"/>
    </w:p>
    <w:p w14:paraId="20533F3A" w14:textId="77777777" w:rsidR="006E5DFB" w:rsidRPr="00135C3A" w:rsidRDefault="006E5DFB" w:rsidP="006E5DFB">
      <w:pPr>
        <w:spacing w:line="360" w:lineRule="auto"/>
        <w:jc w:val="both"/>
        <w:rPr>
          <w:rFonts w:ascii="Arial" w:hAnsi="Arial" w:cs="Arial"/>
          <w:sz w:val="24"/>
          <w:szCs w:val="24"/>
        </w:rPr>
      </w:pPr>
      <w:r w:rsidRPr="00B819D3">
        <w:rPr>
          <w:rFonts w:ascii="Arial" w:hAnsi="Arial" w:cs="Arial"/>
          <w:sz w:val="24"/>
          <w:szCs w:val="24"/>
        </w:rPr>
        <w:t xml:space="preserve">The quality of the sources was evaluated using a modified version of the Critical Appraisal Skills Programme (CASP) qualitative assessment tool (CASP, 2018). </w:t>
      </w:r>
      <w:r w:rsidRPr="00845F74">
        <w:rPr>
          <w:rFonts w:ascii="Arial" w:hAnsi="Arial" w:cs="Arial"/>
          <w:sz w:val="24"/>
          <w:szCs w:val="24"/>
        </w:rPr>
        <w:t>Each source was assessed against the following criteria: clear aims and objectives; appropriate and justified methods; clarity of data collection or analysis; clarity of results; and evidence-based conclusions</w:t>
      </w:r>
      <w:r w:rsidRPr="00B819D3">
        <w:rPr>
          <w:rFonts w:ascii="Arial" w:hAnsi="Arial" w:cs="Arial"/>
          <w:sz w:val="24"/>
          <w:szCs w:val="24"/>
        </w:rPr>
        <w:t xml:space="preserve">. Industry reports were also assessed for transparency of methodology and for potential industry bias. Those that failed to meet a minimum standard on these criteria were excluded. Appraisal judgements were </w:t>
      </w:r>
      <w:r w:rsidRPr="00B819D3">
        <w:rPr>
          <w:rFonts w:ascii="Arial" w:hAnsi="Arial" w:cs="Arial"/>
          <w:sz w:val="24"/>
          <w:szCs w:val="24"/>
        </w:rPr>
        <w:lastRenderedPageBreak/>
        <w:t>entered into the working extraction table.</w:t>
      </w:r>
      <w:r>
        <w:rPr>
          <w:rFonts w:ascii="Arial" w:hAnsi="Arial" w:cs="Arial"/>
          <w:sz w:val="24"/>
          <w:szCs w:val="24"/>
        </w:rPr>
        <w:t xml:space="preserve"> </w:t>
      </w:r>
      <w:r w:rsidRPr="00845F74">
        <w:rPr>
          <w:rFonts w:ascii="Arial" w:hAnsi="Arial" w:cs="Arial"/>
          <w:sz w:val="24"/>
          <w:szCs w:val="24"/>
        </w:rPr>
        <w:t>Critical Appraisal checklist (CASP) of the 11 studies is in the Appendix</w:t>
      </w:r>
      <w:r>
        <w:rPr>
          <w:rFonts w:ascii="Arial" w:hAnsi="Arial" w:cs="Arial"/>
          <w:sz w:val="24"/>
          <w:szCs w:val="24"/>
        </w:rPr>
        <w:t>.</w:t>
      </w:r>
    </w:p>
    <w:p w14:paraId="34AD6631"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2" w:name="_Toc229774354"/>
      <w:r w:rsidRPr="00003F69">
        <w:rPr>
          <w:rFonts w:ascii="Arial" w:hAnsi="Arial" w:cs="Arial"/>
          <w:b/>
          <w:bCs/>
          <w:color w:val="000000" w:themeColor="text1"/>
          <w:sz w:val="24"/>
          <w:szCs w:val="24"/>
        </w:rPr>
        <w:t>3.9 Data Extraction</w:t>
      </w:r>
      <w:bookmarkEnd w:id="32"/>
    </w:p>
    <w:p w14:paraId="7B3642A2" w14:textId="77777777" w:rsidR="006E5DFB" w:rsidRPr="00135C3A" w:rsidRDefault="006E5DFB" w:rsidP="006E5DFB">
      <w:pPr>
        <w:spacing w:line="360" w:lineRule="auto"/>
        <w:jc w:val="both"/>
        <w:rPr>
          <w:rFonts w:ascii="Arial" w:hAnsi="Arial" w:cs="Arial"/>
          <w:sz w:val="24"/>
          <w:szCs w:val="24"/>
          <w:lang w:val="en-IN"/>
        </w:rPr>
      </w:pPr>
      <w:r w:rsidRPr="00B819D3">
        <w:rPr>
          <w:rFonts w:ascii="Arial" w:hAnsi="Arial" w:cs="Arial"/>
          <w:sz w:val="24"/>
          <w:szCs w:val="24"/>
          <w:lang w:val="en-IN"/>
        </w:rPr>
        <w:t>After quality appraisal, a manual extraction table was used to extract data from the selected sources. The following information was extracted for each source: author(s) and date; focus of the source; key theories; key findings; and relevance to the research questions. This process provided a consistent approach, and an audit trail for reproducibility. Data extraction also helped to identify clusters of themes that were used in the coding process.</w:t>
      </w:r>
      <w:r w:rsidRPr="00845F74">
        <w:t xml:space="preserve"> </w:t>
      </w:r>
      <w:r w:rsidRPr="00845F74">
        <w:rPr>
          <w:rFonts w:ascii="Arial" w:hAnsi="Arial" w:cs="Arial"/>
          <w:sz w:val="24"/>
          <w:szCs w:val="24"/>
          <w:lang w:val="en-IN"/>
        </w:rPr>
        <w:t>The Data extraction Table of the 11 studies is in the Appendix</w:t>
      </w:r>
      <w:r>
        <w:rPr>
          <w:rFonts w:ascii="Arial" w:hAnsi="Arial" w:cs="Arial"/>
          <w:sz w:val="24"/>
          <w:szCs w:val="24"/>
          <w:lang w:val="en-IN"/>
        </w:rPr>
        <w:t>.</w:t>
      </w:r>
    </w:p>
    <w:p w14:paraId="6BA74313"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3" w:name="_Toc229774355"/>
      <w:r w:rsidRPr="00003F69">
        <w:rPr>
          <w:rFonts w:ascii="Arial" w:hAnsi="Arial" w:cs="Arial"/>
          <w:b/>
          <w:bCs/>
          <w:color w:val="000000" w:themeColor="text1"/>
          <w:sz w:val="24"/>
          <w:szCs w:val="24"/>
        </w:rPr>
        <w:t>3.10 Data Analysis</w:t>
      </w:r>
      <w:bookmarkEnd w:id="33"/>
    </w:p>
    <w:p w14:paraId="0AC5246B" w14:textId="77777777" w:rsidR="006E5DFB" w:rsidRPr="00135C3A" w:rsidRDefault="006E5DFB" w:rsidP="006E5DFB">
      <w:pPr>
        <w:spacing w:line="360" w:lineRule="auto"/>
        <w:jc w:val="both"/>
        <w:rPr>
          <w:rFonts w:ascii="Arial" w:hAnsi="Arial" w:cs="Arial"/>
          <w:sz w:val="24"/>
          <w:szCs w:val="24"/>
          <w:lang w:val="en-IN"/>
        </w:rPr>
      </w:pPr>
      <w:r w:rsidRPr="00B819D3">
        <w:rPr>
          <w:rFonts w:ascii="Arial" w:hAnsi="Arial" w:cs="Arial"/>
          <w:sz w:val="24"/>
          <w:szCs w:val="24"/>
          <w:lang w:val="en-IN"/>
        </w:rPr>
        <w:t>The data that were retained and extracted were analysed using manual thematic synthesis, following the six-step approach of Braun and Clarke (2006): familiarisation with data, generation of initial codes, searching for themes, reviewing themes, defining and naming themes, and producing the report. The coding process was done manually without the use of software. All sources were read in their entirety. Themes, arguments and findings were then coded, using the extraction table. Codes were reviewed and grouped to develop themes in response to the research questions, including authenticity and consumer trust, brand equity, governance and regulatory risks, and hybrid strategic approaches. Themes were defined relative to the conceptual framework in Chapter 2 and contradictory findings were noted, as per the interpretivist approach of the study (Tranfield, Denyer and Smart, 2003; Snyder, 2019).</w:t>
      </w:r>
    </w:p>
    <w:p w14:paraId="4812E1BB"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4" w:name="_Toc229774356"/>
      <w:r w:rsidRPr="00003F69">
        <w:rPr>
          <w:rFonts w:ascii="Arial" w:hAnsi="Arial" w:cs="Arial"/>
          <w:b/>
          <w:bCs/>
          <w:color w:val="000000" w:themeColor="text1"/>
          <w:sz w:val="24"/>
          <w:szCs w:val="24"/>
        </w:rPr>
        <w:t>3.11 Ethical Considerations</w:t>
      </w:r>
      <w:bookmarkEnd w:id="34"/>
    </w:p>
    <w:p w14:paraId="176A9A01" w14:textId="77777777" w:rsidR="006E5DFB" w:rsidRPr="00135C3A" w:rsidRDefault="006E5DFB" w:rsidP="006E5DFB">
      <w:pPr>
        <w:spacing w:line="360" w:lineRule="auto"/>
        <w:jc w:val="both"/>
        <w:rPr>
          <w:rFonts w:ascii="Arial" w:hAnsi="Arial" w:cs="Arial"/>
          <w:sz w:val="24"/>
          <w:szCs w:val="24"/>
          <w:lang w:val="en-IN"/>
        </w:rPr>
      </w:pPr>
      <w:r w:rsidRPr="00845F74">
        <w:rPr>
          <w:rFonts w:ascii="Arial" w:hAnsi="Arial" w:cs="Arial"/>
          <w:sz w:val="24"/>
          <w:szCs w:val="24"/>
          <w:lang w:val="en-IN"/>
        </w:rPr>
        <w:t>This study uses secondary data. There was no primary data collection from human subjects, so no ethical approval for human subjects was needed. All research literature is freely accessible or obtained through legitimate academic literature databases, and is fully referenced in accordance with UWTSD Harvard referencing style.</w:t>
      </w:r>
    </w:p>
    <w:p w14:paraId="6FA2CE62"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5" w:name="_Toc229774357"/>
      <w:r w:rsidRPr="00003F69">
        <w:rPr>
          <w:rFonts w:ascii="Arial" w:hAnsi="Arial" w:cs="Arial"/>
          <w:b/>
          <w:bCs/>
          <w:color w:val="000000" w:themeColor="text1"/>
          <w:sz w:val="24"/>
          <w:szCs w:val="24"/>
        </w:rPr>
        <w:t>3.12 Limitations</w:t>
      </w:r>
      <w:bookmarkEnd w:id="35"/>
    </w:p>
    <w:p w14:paraId="53D48461" w14:textId="77777777" w:rsidR="006E5DFB" w:rsidRPr="00135C3A" w:rsidRDefault="006E5DFB" w:rsidP="006E5DFB">
      <w:pPr>
        <w:spacing w:line="360" w:lineRule="auto"/>
        <w:jc w:val="both"/>
        <w:rPr>
          <w:rFonts w:ascii="Arial" w:hAnsi="Arial" w:cs="Arial"/>
          <w:sz w:val="24"/>
          <w:szCs w:val="24"/>
          <w:lang w:val="en-IN"/>
        </w:rPr>
      </w:pPr>
      <w:r w:rsidRPr="00845F74">
        <w:rPr>
          <w:rFonts w:ascii="Arial" w:hAnsi="Arial" w:cs="Arial"/>
          <w:sz w:val="24"/>
          <w:szCs w:val="24"/>
          <w:lang w:val="en-IN"/>
        </w:rPr>
        <w:t>There are some limitations</w:t>
      </w:r>
      <w:r w:rsidRPr="00135C3A">
        <w:rPr>
          <w:rFonts w:ascii="Arial" w:hAnsi="Arial" w:cs="Arial"/>
          <w:sz w:val="24"/>
          <w:szCs w:val="24"/>
          <w:lang w:val="en-IN"/>
        </w:rPr>
        <w:t xml:space="preserve">. </w:t>
      </w:r>
      <w:r w:rsidRPr="00845F74">
        <w:rPr>
          <w:rFonts w:ascii="Arial" w:hAnsi="Arial" w:cs="Arial"/>
          <w:sz w:val="24"/>
          <w:szCs w:val="24"/>
          <w:lang w:val="en-IN"/>
        </w:rPr>
        <w:t xml:space="preserve">The secondary literature is still heavily biased towards the retail markets of the West and North America, reducing the generalisability of some findings in emerging markets (Gupta and Verma, 2025). The rapid evolution of digital marketing also means some conclusions may not be up-to-date in terms of platform </w:t>
      </w:r>
      <w:r w:rsidRPr="00845F74">
        <w:rPr>
          <w:rFonts w:ascii="Arial" w:hAnsi="Arial" w:cs="Arial"/>
          <w:sz w:val="24"/>
          <w:szCs w:val="24"/>
          <w:lang w:val="en-IN"/>
        </w:rPr>
        <w:lastRenderedPageBreak/>
        <w:t>dynamics and regulatory changes (Petkovska, 2025). These factors have been partially addressed by focusing on sources published since 2020 and complementing the academic literature with recent industry benchmarking data. The lack of primary research means the findings are interpretive rather than empirically generalisable, but this is not problematic for the research questions (Bell, Bryman and Harley, 2019; Snyder, 2019).</w:t>
      </w:r>
    </w:p>
    <w:p w14:paraId="1AE763F8" w14:textId="77777777" w:rsidR="006E5DFB" w:rsidRPr="00003F69" w:rsidRDefault="006E5DFB" w:rsidP="00003F69">
      <w:pPr>
        <w:pStyle w:val="Heading2"/>
        <w:spacing w:line="360" w:lineRule="auto"/>
        <w:rPr>
          <w:rFonts w:ascii="Arial" w:hAnsi="Arial" w:cs="Arial"/>
          <w:b/>
          <w:bCs/>
          <w:color w:val="000000" w:themeColor="text1"/>
          <w:sz w:val="24"/>
          <w:szCs w:val="24"/>
        </w:rPr>
      </w:pPr>
      <w:bookmarkStart w:id="36" w:name="_Toc229774358"/>
      <w:r w:rsidRPr="00003F69">
        <w:rPr>
          <w:rFonts w:ascii="Arial" w:hAnsi="Arial" w:cs="Arial"/>
          <w:b/>
          <w:bCs/>
          <w:color w:val="000000" w:themeColor="text1"/>
          <w:sz w:val="24"/>
          <w:szCs w:val="24"/>
        </w:rPr>
        <w:t>3.13 Chapter Summary</w:t>
      </w:r>
      <w:bookmarkEnd w:id="36"/>
    </w:p>
    <w:p w14:paraId="164B5E24" w14:textId="68FEE521" w:rsidR="00415E44" w:rsidRDefault="006E5DFB" w:rsidP="006E5DFB">
      <w:pPr>
        <w:spacing w:line="360" w:lineRule="auto"/>
        <w:jc w:val="both"/>
        <w:rPr>
          <w:rFonts w:ascii="Arial" w:hAnsi="Arial" w:cs="Arial"/>
          <w:sz w:val="24"/>
          <w:szCs w:val="24"/>
          <w:lang w:val="en-IN"/>
        </w:rPr>
      </w:pPr>
      <w:r w:rsidRPr="00845F74">
        <w:rPr>
          <w:rFonts w:ascii="Arial" w:hAnsi="Arial" w:cs="Arial"/>
          <w:sz w:val="24"/>
          <w:szCs w:val="24"/>
          <w:lang w:val="en-IN"/>
        </w:rPr>
        <w:t xml:space="preserve">This chapter has provided and justified the methodological approach to the study. An interpretivist philosophy and inductive reasoning underpins a qualitative systematic literature review. Purposive sampling resulted in a final sample of eleven studies, which were subject to clear inclusion and exclusion criteria, a three-stage search strategy and CASP-based quality assessment. Data were manually extracted and analysed using six-phase thematic analysis. </w:t>
      </w:r>
      <w:r w:rsidRPr="00D31576">
        <w:rPr>
          <w:rFonts w:ascii="Arial" w:hAnsi="Arial" w:cs="Arial"/>
          <w:sz w:val="24"/>
          <w:szCs w:val="24"/>
          <w:lang w:val="en-IN"/>
        </w:rPr>
        <w:t>The findings are analysed in Chapter 4</w:t>
      </w:r>
      <w:r w:rsidRPr="00845F74">
        <w:rPr>
          <w:rFonts w:ascii="Arial" w:hAnsi="Arial" w:cs="Arial"/>
          <w:sz w:val="24"/>
          <w:szCs w:val="24"/>
          <w:lang w:val="en-IN"/>
        </w:rPr>
        <w:t>.</w:t>
      </w:r>
    </w:p>
    <w:p w14:paraId="15A91D33" w14:textId="13D1EAD2" w:rsidR="006E5DFB" w:rsidRDefault="006E5DFB" w:rsidP="006E5DFB">
      <w:pPr>
        <w:spacing w:line="360" w:lineRule="auto"/>
        <w:jc w:val="both"/>
        <w:rPr>
          <w:rFonts w:ascii="Arial" w:hAnsi="Arial" w:cs="Arial"/>
          <w:sz w:val="24"/>
          <w:szCs w:val="24"/>
        </w:rPr>
      </w:pPr>
    </w:p>
    <w:p w14:paraId="772A4417" w14:textId="2B832356" w:rsidR="006E5DFB" w:rsidRDefault="006E5DFB" w:rsidP="006E5DFB">
      <w:pPr>
        <w:spacing w:line="360" w:lineRule="auto"/>
        <w:jc w:val="both"/>
        <w:rPr>
          <w:rFonts w:ascii="Arial" w:hAnsi="Arial" w:cs="Arial"/>
          <w:sz w:val="24"/>
          <w:szCs w:val="24"/>
        </w:rPr>
      </w:pPr>
    </w:p>
    <w:p w14:paraId="60EF732E" w14:textId="5D229CDA" w:rsidR="006E5DFB" w:rsidRDefault="006E5DFB" w:rsidP="006E5DFB">
      <w:pPr>
        <w:spacing w:line="360" w:lineRule="auto"/>
        <w:jc w:val="both"/>
        <w:rPr>
          <w:rFonts w:ascii="Arial" w:hAnsi="Arial" w:cs="Arial"/>
          <w:sz w:val="24"/>
          <w:szCs w:val="24"/>
        </w:rPr>
      </w:pPr>
    </w:p>
    <w:p w14:paraId="13E83BAD" w14:textId="4F462594" w:rsidR="006E5DFB" w:rsidRDefault="006E5DFB" w:rsidP="006E5DFB">
      <w:pPr>
        <w:spacing w:line="360" w:lineRule="auto"/>
        <w:jc w:val="both"/>
        <w:rPr>
          <w:rFonts w:ascii="Arial" w:hAnsi="Arial" w:cs="Arial"/>
          <w:sz w:val="24"/>
          <w:szCs w:val="24"/>
        </w:rPr>
      </w:pPr>
    </w:p>
    <w:p w14:paraId="511C6E6A" w14:textId="4AC4B592" w:rsidR="006E5DFB" w:rsidRDefault="006E5DFB" w:rsidP="006E5DFB">
      <w:pPr>
        <w:spacing w:line="360" w:lineRule="auto"/>
        <w:jc w:val="both"/>
        <w:rPr>
          <w:rFonts w:ascii="Arial" w:hAnsi="Arial" w:cs="Arial"/>
          <w:sz w:val="24"/>
          <w:szCs w:val="24"/>
        </w:rPr>
      </w:pPr>
    </w:p>
    <w:p w14:paraId="77766C71" w14:textId="152B130E" w:rsidR="006E5DFB" w:rsidRDefault="006E5DFB" w:rsidP="006E5DFB">
      <w:pPr>
        <w:spacing w:line="360" w:lineRule="auto"/>
        <w:jc w:val="both"/>
        <w:rPr>
          <w:rFonts w:ascii="Arial" w:hAnsi="Arial" w:cs="Arial"/>
          <w:sz w:val="24"/>
          <w:szCs w:val="24"/>
        </w:rPr>
      </w:pPr>
    </w:p>
    <w:p w14:paraId="3086B80F" w14:textId="3B4FE53A" w:rsidR="006E5DFB" w:rsidRDefault="006E5DFB" w:rsidP="006E5DFB">
      <w:pPr>
        <w:spacing w:line="360" w:lineRule="auto"/>
        <w:jc w:val="both"/>
        <w:rPr>
          <w:rFonts w:ascii="Arial" w:hAnsi="Arial" w:cs="Arial"/>
          <w:sz w:val="24"/>
          <w:szCs w:val="24"/>
        </w:rPr>
      </w:pPr>
    </w:p>
    <w:p w14:paraId="0319AA61" w14:textId="0AAA0995" w:rsidR="006E5DFB" w:rsidRDefault="006E5DFB" w:rsidP="006E5DFB">
      <w:pPr>
        <w:spacing w:line="360" w:lineRule="auto"/>
        <w:jc w:val="both"/>
        <w:rPr>
          <w:rFonts w:ascii="Arial" w:hAnsi="Arial" w:cs="Arial"/>
          <w:sz w:val="24"/>
          <w:szCs w:val="24"/>
        </w:rPr>
      </w:pPr>
    </w:p>
    <w:p w14:paraId="383E5167" w14:textId="49C5B6B2" w:rsidR="006E5DFB" w:rsidRDefault="006E5DFB" w:rsidP="006E5DFB">
      <w:pPr>
        <w:spacing w:line="360" w:lineRule="auto"/>
        <w:jc w:val="both"/>
        <w:rPr>
          <w:rFonts w:ascii="Arial" w:hAnsi="Arial" w:cs="Arial"/>
          <w:sz w:val="24"/>
          <w:szCs w:val="24"/>
        </w:rPr>
      </w:pPr>
    </w:p>
    <w:p w14:paraId="40FEB6DC" w14:textId="06B9FADB" w:rsidR="006E5DFB" w:rsidRDefault="006E5DFB" w:rsidP="006E5DFB">
      <w:pPr>
        <w:spacing w:line="360" w:lineRule="auto"/>
        <w:jc w:val="both"/>
        <w:rPr>
          <w:rFonts w:ascii="Arial" w:hAnsi="Arial" w:cs="Arial"/>
          <w:sz w:val="24"/>
          <w:szCs w:val="24"/>
        </w:rPr>
      </w:pPr>
    </w:p>
    <w:p w14:paraId="27D94A60" w14:textId="5606FBCC" w:rsidR="006E5DFB" w:rsidRDefault="006E5DFB" w:rsidP="006E5DFB">
      <w:pPr>
        <w:spacing w:line="360" w:lineRule="auto"/>
        <w:jc w:val="both"/>
        <w:rPr>
          <w:rFonts w:ascii="Arial" w:hAnsi="Arial" w:cs="Arial"/>
          <w:sz w:val="24"/>
          <w:szCs w:val="24"/>
        </w:rPr>
      </w:pPr>
    </w:p>
    <w:p w14:paraId="64F6A06B" w14:textId="64750482" w:rsidR="006E5DFB" w:rsidRDefault="006E5DFB" w:rsidP="006E5DFB">
      <w:pPr>
        <w:spacing w:line="360" w:lineRule="auto"/>
        <w:jc w:val="both"/>
        <w:rPr>
          <w:rFonts w:ascii="Arial" w:hAnsi="Arial" w:cs="Arial"/>
          <w:sz w:val="24"/>
          <w:szCs w:val="24"/>
        </w:rPr>
      </w:pPr>
    </w:p>
    <w:p w14:paraId="783ACEAF" w14:textId="0317F927" w:rsidR="006E5DFB" w:rsidRDefault="006E5DFB" w:rsidP="006E5DFB">
      <w:pPr>
        <w:spacing w:line="360" w:lineRule="auto"/>
        <w:jc w:val="both"/>
        <w:rPr>
          <w:rFonts w:ascii="Arial" w:hAnsi="Arial" w:cs="Arial"/>
          <w:sz w:val="24"/>
          <w:szCs w:val="24"/>
        </w:rPr>
      </w:pPr>
    </w:p>
    <w:p w14:paraId="49BDFE19" w14:textId="18C9D004" w:rsidR="006E5DFB" w:rsidRDefault="006E5DFB" w:rsidP="006E5DFB">
      <w:pPr>
        <w:spacing w:line="360" w:lineRule="auto"/>
        <w:jc w:val="both"/>
        <w:rPr>
          <w:rFonts w:ascii="Arial" w:hAnsi="Arial" w:cs="Arial"/>
          <w:sz w:val="24"/>
          <w:szCs w:val="24"/>
        </w:rPr>
      </w:pPr>
    </w:p>
    <w:p w14:paraId="7A87EE03" w14:textId="77777777" w:rsidR="00FE7288" w:rsidRPr="00FE7288" w:rsidRDefault="00FE7288" w:rsidP="00FE7288">
      <w:pPr>
        <w:keepNext/>
        <w:keepLines/>
        <w:spacing w:before="240" w:after="0" w:line="360" w:lineRule="auto"/>
        <w:outlineLvl w:val="0"/>
        <w:rPr>
          <w:rFonts w:ascii="Arial" w:eastAsiaTheme="majorEastAsia" w:hAnsi="Arial" w:cs="Arial"/>
          <w:b/>
          <w:bCs/>
          <w:color w:val="000000" w:themeColor="text1"/>
          <w:sz w:val="24"/>
          <w:szCs w:val="24"/>
        </w:rPr>
      </w:pPr>
      <w:bookmarkStart w:id="37" w:name="_Toc229774359"/>
      <w:r w:rsidRPr="00FE7288">
        <w:rPr>
          <w:rFonts w:ascii="Arial" w:eastAsiaTheme="majorEastAsia" w:hAnsi="Arial" w:cs="Arial"/>
          <w:b/>
          <w:bCs/>
          <w:color w:val="000000" w:themeColor="text1"/>
          <w:sz w:val="24"/>
          <w:szCs w:val="24"/>
        </w:rPr>
        <w:lastRenderedPageBreak/>
        <w:t>Chapter 4: Data Analysis</w:t>
      </w:r>
      <w:bookmarkEnd w:id="37"/>
    </w:p>
    <w:p w14:paraId="4BC2F043" w14:textId="77777777" w:rsidR="00FE7288" w:rsidRPr="00FE7288" w:rsidRDefault="00FE7288" w:rsidP="00FE7288">
      <w:pPr>
        <w:keepNext/>
        <w:keepLines/>
        <w:spacing w:before="40" w:after="0" w:line="360" w:lineRule="auto"/>
        <w:outlineLvl w:val="1"/>
        <w:rPr>
          <w:rFonts w:ascii="Arial" w:eastAsiaTheme="majorEastAsia" w:hAnsi="Arial" w:cs="Arial"/>
          <w:b/>
          <w:bCs/>
          <w:color w:val="000000" w:themeColor="text1"/>
          <w:sz w:val="24"/>
          <w:szCs w:val="24"/>
        </w:rPr>
      </w:pPr>
      <w:bookmarkStart w:id="38" w:name="_Toc229774360"/>
      <w:r w:rsidRPr="00FE7288">
        <w:rPr>
          <w:rFonts w:ascii="Arial" w:eastAsiaTheme="majorEastAsia" w:hAnsi="Arial" w:cs="Arial"/>
          <w:b/>
          <w:bCs/>
          <w:color w:val="000000" w:themeColor="text1"/>
          <w:sz w:val="24"/>
          <w:szCs w:val="24"/>
        </w:rPr>
        <w:t>4.1 Introduction</w:t>
      </w:r>
      <w:bookmarkEnd w:id="38"/>
    </w:p>
    <w:p w14:paraId="108807E5"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The findings from the systematic literature review (SLR) carried out in Chapter 3 are presented in this chapter. The data from the eleven sources selected for this study are presented in the four main thematic clusters that are directly related to the research questions that guided the study, following the thematic synthesis methodology developed by Braun and Clarke (2006). The chapter does not provide interpretive conclusions (which are provided in Chapter 5) but instead provides what the evidence reveals in a structured and objective way. This analysis is guided by the following research questions:  (RQ1) what strategic factors have driven the shift from traditional brand ambassadors to user-generated influencer content (UGIC) in global retail marketing; (RQ2) how does UGIC influence brand credibility and consumer engagement compared to traditional endorsements; (RQ3) what are the risks and opportunities associated with this transition for multinational retail brands; and (RQ4) how should global retail firms strategically adapt to this evolving marketing landscape.</w:t>
      </w:r>
    </w:p>
    <w:p w14:paraId="4DA38F97"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The data set includes three seminal theories (Aaker, 1991; Keller, 1993; Hovland and Weiss, 1951); and eight recent peer-reviewed articles (2022–2025). All eleven sources were coded manually using the six-phase thematic analysis method recommended by Braun and Clarke (2006) which involved three stages: initial data extraction and code generation (Stage 1), clustering of codes into emergent sub-themes (Stage 2) and the consolidation of sub-themes into final thematic categories (Stage 3). This process is fully documented in Appendix 3 (Tables A3.1, A3.2 and A3.3). The four thematic clusters identified through this process are: (1) strategic drivers of the shift towards UGIC; (2) authenticity, source credibility, and consumer engagement; (3) brand equity implications, risks, and governance challenges; and (4) strategic adaptation and hybrid marketing approaches.</w:t>
      </w:r>
    </w:p>
    <w:p w14:paraId="16C884ED" w14:textId="77777777" w:rsidR="00FE7288" w:rsidRPr="00FE7288" w:rsidRDefault="00FE7288" w:rsidP="00FE7288">
      <w:pPr>
        <w:keepNext/>
        <w:keepLines/>
        <w:spacing w:before="40" w:after="0" w:line="360" w:lineRule="auto"/>
        <w:jc w:val="both"/>
        <w:outlineLvl w:val="1"/>
        <w:rPr>
          <w:rFonts w:ascii="Arial" w:eastAsiaTheme="majorEastAsia" w:hAnsi="Arial" w:cs="Arial"/>
          <w:b/>
          <w:bCs/>
          <w:color w:val="000000" w:themeColor="text1"/>
          <w:sz w:val="24"/>
          <w:szCs w:val="24"/>
        </w:rPr>
      </w:pPr>
      <w:bookmarkStart w:id="39" w:name="_Toc229774361"/>
      <w:r w:rsidRPr="00FE7288">
        <w:rPr>
          <w:rFonts w:ascii="Arial" w:eastAsiaTheme="majorEastAsia" w:hAnsi="Arial" w:cs="Arial"/>
          <w:b/>
          <w:bCs/>
          <w:color w:val="000000" w:themeColor="text1"/>
          <w:sz w:val="24"/>
          <w:szCs w:val="24"/>
        </w:rPr>
        <w:t>4.2 Theme 1: Strategic Drivers of the Shift from Traditional Brand Ambassadors to UGIC</w:t>
      </w:r>
      <w:bookmarkEnd w:id="39"/>
    </w:p>
    <w:p w14:paraId="25A02F3F"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 xml:space="preserve">The first theme addresses RQ1 by examining the underlying strategic factors behind the observable transition away from traditional brand ambassador models. Four recurring themes emerged from the studies: shifts in consumers' media consumption habits, UGIC's increasing cost-effectiveness relative to celebrity endorsement, the </w:t>
      </w:r>
      <w:r w:rsidRPr="00FE7288">
        <w:rPr>
          <w:rFonts w:ascii="Arial" w:hAnsi="Arial" w:cs="Arial"/>
          <w:sz w:val="24"/>
          <w:szCs w:val="24"/>
        </w:rPr>
        <w:lastRenderedPageBreak/>
        <w:t>visibility of content at the platform level and the desire for authentic peer-to-peer communication.</w:t>
      </w:r>
    </w:p>
    <w:p w14:paraId="0D4151BE"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Gupta and Verma (2025) conducted an integrative review of 671 articles and determined the two key structural forces that are impacting brand marketing in the world today are the proliferation of social media and the democratisation of content creation. Their research shows that consumers' focus has shifted from broadcast media to interactive platforms, where consumers are able to make a significant impact on their purchases and where individual creators have a strong influence. This is supported by Kumar and Jibril (2025), who conducted a bibliometric analysis of the Scopus database up to December 2024, which revealed that the research on influencer marketing has increased significantly since 2018, with the focus areas of retail and fashion being the most prevalent.</w:t>
      </w:r>
    </w:p>
    <w:p w14:paraId="1DE98EF0"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Financial factors were also identified as a significant factor. Arora (2025) discovered that micro-influencers perform just as well as celebrity ambassadors for a significantly lower price, which Barari, Eisend and Jain (2025) directly attribute to the speeding up of budget reallocation towards UGIC among mid-market global retailers. In 39 experiments with 13,766 participants, Lee et al. (2024) found that social media influencers are as effective as traditional celebrity endorsers in advertising impact, but also have an advantage of being amplified by the organic algorithm that paid media do not have. Consumers' scepticism towards commercial advertising was also found to be greater than that of user-generated content, which was found to be a better predictor of digital trust and brand loyalty than brand-generated content (Hochstein, Harmeling and Perko, 2023). The shift from commercial to peer-driven brand messaging highlights a general distrust of commercial brand content and a general loss of trust in advertising institutions (Borges-Tiago, Santiago and Tiago, 2022).</w:t>
      </w:r>
    </w:p>
    <w:p w14:paraId="241D4769" w14:textId="77777777" w:rsidR="00FE7288" w:rsidRPr="00FE7288" w:rsidRDefault="00FE7288" w:rsidP="00FE7288">
      <w:pPr>
        <w:keepNext/>
        <w:keepLines/>
        <w:spacing w:before="40" w:after="0" w:line="360" w:lineRule="auto"/>
        <w:jc w:val="both"/>
        <w:outlineLvl w:val="1"/>
        <w:rPr>
          <w:rFonts w:ascii="Arial" w:eastAsiaTheme="majorEastAsia" w:hAnsi="Arial" w:cs="Arial"/>
          <w:b/>
          <w:bCs/>
          <w:color w:val="000000" w:themeColor="text1"/>
          <w:sz w:val="24"/>
          <w:szCs w:val="24"/>
        </w:rPr>
      </w:pPr>
      <w:bookmarkStart w:id="40" w:name="_Toc229774362"/>
      <w:r w:rsidRPr="00FE7288">
        <w:rPr>
          <w:rFonts w:ascii="Arial" w:eastAsiaTheme="majorEastAsia" w:hAnsi="Arial" w:cs="Arial"/>
          <w:b/>
          <w:bCs/>
          <w:color w:val="000000" w:themeColor="text1"/>
          <w:sz w:val="24"/>
          <w:szCs w:val="24"/>
        </w:rPr>
        <w:t>4.3 Theme 2: Authenticity, Source Credibility, and Consumer Engagement</w:t>
      </w:r>
      <w:bookmarkEnd w:id="40"/>
    </w:p>
    <w:p w14:paraId="12493FCB"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The second thematic cluster focuses on RQ2 and explores the ways in which UGIC influences consumer perceptions of credibility, authenticity and engagement, and how this is different from traditional ambassador-led communications. Of all the themes that were extracted, this one had the highest number of relevant sources (7 out of 11).</w:t>
      </w:r>
    </w:p>
    <w:p w14:paraId="1F210E83"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 xml:space="preserve">The Source Credibility Theory, as first proposed by Hovland and Weiss (1951), suggests that the credibility of the communicator is one of the factors that influences </w:t>
      </w:r>
      <w:r w:rsidRPr="00FE7288">
        <w:rPr>
          <w:rFonts w:ascii="Arial" w:hAnsi="Arial" w:cs="Arial"/>
          <w:sz w:val="24"/>
          <w:szCs w:val="24"/>
        </w:rPr>
        <w:lastRenderedPageBreak/>
        <w:t>the persuasiveness of the message. The literature reviewed shows that this theoretical framework has explanatory power in the context of UGIC, but in a more complex manner. In a meta-analysis of 53 independent studies and 250 effect sizes, Han and Balabanis (2024) found that the three most consistent antecedents of consumer engagement and purchase intention in influencer marketing are credibility, authenticity and brand-influencer congruence. Their findings showed that the perceived authenticity of the source always acted as a mediator between source characteristics and consumer response.</w:t>
      </w:r>
    </w:p>
    <w:p w14:paraId="5236812B"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Van Reijmersdal, Walet and Gudmundsdottir (2024) reported that brand attitudes are significantly more positive when the influencer is perceived as knowledgeable, relatable and transparent, compared to when the influencer is perceived as being overly commercial. The personal disclosure and lifestyle congruence were more successful in creating the source credibility transfer than the professional staging that is common to traditional brand ambassador contracts. This is backed by Arora (2025), who discovered that micro-influencers are more effective than celebrity brand ambassadors in building consumer trust and purchase intent, which they believe is due to the higher perceived relatability of micro-influencers. Kim and Wang (2024) further corroborated this finding by examining the effects of AI-generated virtual influencers on advertising effectiveness, and they found that perceived authenticity and source credibility still mediated the effects of advertising effectiveness, regardless of the source of the content.</w:t>
      </w:r>
      <w:r w:rsidRPr="00FE7288">
        <w:t xml:space="preserve"> </w:t>
      </w:r>
      <w:r w:rsidRPr="00FE7288">
        <w:rPr>
          <w:rFonts w:ascii="Arial" w:hAnsi="Arial" w:cs="Arial"/>
          <w:sz w:val="24"/>
          <w:szCs w:val="24"/>
        </w:rPr>
        <w:t>This implies that authenticity is more of a structural characteristic than an individual characteristic.</w:t>
      </w:r>
    </w:p>
    <w:p w14:paraId="100636B3"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According to Lee et al. (2024), consumer engagement for influencer-generated content was generally similar to celebrity endorsers and higher when the product was relevant to the influencer, the platform was video-based, and the influencer's audience was small. According to Borges-Tiago, Santiago and Tiago (2022), macro-influencers create higher brand awareness effects, while micro-influencers create better trust transfer outcomes. Influencer marketing has been shown to generate more consumer trust and brand loyalty than traditional marketing methods like television and print, with equivalent budget allocation to UGIC, Griva and Jha (2023) concluded that the relational and informal nature of UGIC creates a qualitatively different type of engagement.</w:t>
      </w:r>
    </w:p>
    <w:p w14:paraId="596D2FF7" w14:textId="77777777" w:rsidR="00FE7288" w:rsidRPr="00FE7288" w:rsidRDefault="00FE7288" w:rsidP="00FE7288">
      <w:pPr>
        <w:keepNext/>
        <w:keepLines/>
        <w:spacing w:before="40" w:after="0" w:line="360" w:lineRule="auto"/>
        <w:jc w:val="both"/>
        <w:outlineLvl w:val="1"/>
        <w:rPr>
          <w:rFonts w:ascii="Arial" w:eastAsiaTheme="majorEastAsia" w:hAnsi="Arial" w:cs="Arial"/>
          <w:b/>
          <w:bCs/>
          <w:color w:val="000000" w:themeColor="text1"/>
          <w:sz w:val="24"/>
          <w:szCs w:val="24"/>
        </w:rPr>
      </w:pPr>
      <w:bookmarkStart w:id="41" w:name="_Toc229774363"/>
      <w:r w:rsidRPr="00FE7288">
        <w:rPr>
          <w:rFonts w:ascii="Arial" w:eastAsiaTheme="majorEastAsia" w:hAnsi="Arial" w:cs="Arial"/>
          <w:b/>
          <w:bCs/>
          <w:color w:val="000000" w:themeColor="text1"/>
          <w:sz w:val="24"/>
          <w:szCs w:val="24"/>
        </w:rPr>
        <w:lastRenderedPageBreak/>
        <w:t>4.4 Theme 3: Brand Equity Implications, Risks, and Governance Challenges</w:t>
      </w:r>
      <w:bookmarkEnd w:id="41"/>
    </w:p>
    <w:p w14:paraId="4CD606BF"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The third theme focuses on RQ3, and investigates the implications of the transition to UGIC on brand equity and the potential risk that this transition poses to multinational retail organisations. This theme's evidence was split, with positive brand equity associations identified as well as reputational and regulatory risks.</w:t>
      </w:r>
    </w:p>
    <w:p w14:paraId="49CDBC6E"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Aaker (1991) defined brand equity as consisting of brand awareness, perceived quality, brand associations and brand loyalty, which are all subject to the manipulation of marketing communications strategy. Keller (1993) extended this by highlighting the cognitive and affective associations that the consumer makes with the brand, and the fact that equity is maintained through meaningful and continuous consumer-brand relationships. In the literature reviewed, UGIC can be seen to have the potential to positively influence all four of Aaker's dimensions, but this is dependent on the quality of execution, the choice of influencers and the level of disclosure transparency.</w:t>
      </w:r>
    </w:p>
    <w:p w14:paraId="74C2A924"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Hochstein, Harmeling and Perko (2023) discovered that UGC can serve as a digital trust mechanism and as an association strengthener, especially in online retail environments where there is no physical product evaluation. Kumar and Jibril (2025) reported that good UGIC campaigns can drive up brand salience and consumer identification, which are similar to the outcomes of strong brand equity as outlined by Keller (1993). Barari, Eisend and Jain (2025) agree that the impact of UGIC investment on tangible equity returns is influenced by the size of the audience, the type of content, and the context of the platform.</w:t>
      </w:r>
    </w:p>
    <w:p w14:paraId="6ADFBA78"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 xml:space="preserve">The risks are still high, however. The decentralisation of brand messaging is one governance risk specific to UGIC models that Petkovska (2025) identifies. Unlike traditional ambassador contracts, which provide a direct control of the brand and consistency of the narrative, UGIC is characterised by multiplicity, informality and high variability of the quality of the narrative, which makes it very difficult to manage at scale the brand equity across different cultures and regulatory environments. Lee et al. (2024) found that consumers' doubts about paid partnership disclosure had a negative impact on both perceived influencer credibility and brand attitude, and they point to the US Federal Trade Commission and the UK Advertising Standards Authority as examples of regulatory bodies that have introduced shared liability for brands in relation to sponsored content compliance. Non-compliance risk is exacerbated in </w:t>
      </w:r>
      <w:r w:rsidRPr="00FE7288">
        <w:rPr>
          <w:rFonts w:ascii="Arial" w:hAnsi="Arial" w:cs="Arial"/>
          <w:sz w:val="24"/>
          <w:szCs w:val="24"/>
        </w:rPr>
        <w:lastRenderedPageBreak/>
        <w:t>cross-border campaigns, where multiple jurisdictions need to be managed simultaneously, Gupta and Verma (2025) point out. Poor brand-influencer congruence is another risk factor that was identified by Han and Balabanis (2024), who found that when there is a mismatch between the attributes of the influencers and the values of the brand, the consumers' engagement with the brand is reduced, and negative brand associations are created.</w:t>
      </w:r>
    </w:p>
    <w:p w14:paraId="2401791E" w14:textId="77777777" w:rsidR="00FE7288" w:rsidRPr="00FE7288" w:rsidRDefault="00FE7288" w:rsidP="00FE7288">
      <w:pPr>
        <w:keepNext/>
        <w:keepLines/>
        <w:spacing w:before="40" w:after="0" w:line="360" w:lineRule="auto"/>
        <w:jc w:val="both"/>
        <w:outlineLvl w:val="1"/>
        <w:rPr>
          <w:rFonts w:ascii="Arial" w:eastAsiaTheme="majorEastAsia" w:hAnsi="Arial" w:cs="Arial"/>
          <w:b/>
          <w:bCs/>
          <w:color w:val="000000" w:themeColor="text1"/>
          <w:sz w:val="24"/>
          <w:szCs w:val="24"/>
        </w:rPr>
      </w:pPr>
      <w:bookmarkStart w:id="42" w:name="_Toc229774364"/>
      <w:r w:rsidRPr="00FE7288">
        <w:rPr>
          <w:rFonts w:ascii="Arial" w:eastAsiaTheme="majorEastAsia" w:hAnsi="Arial" w:cs="Arial"/>
          <w:b/>
          <w:bCs/>
          <w:color w:val="000000" w:themeColor="text1"/>
          <w:sz w:val="24"/>
          <w:szCs w:val="24"/>
        </w:rPr>
        <w:t>4.5 Theme 4: Strategic Adaptation and Hybrid Marketing Approaches</w:t>
      </w:r>
      <w:bookmarkEnd w:id="42"/>
    </w:p>
    <w:p w14:paraId="6790408C"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The fourth theme is related to RQ4: How global retail organisations are strategically adapting in a UGIC-dominated marketing environment? The literature indicates that there is a definite trend in the direction of adopting hybrid models which are a blend of traditional ambassador models and the authenticity and scalability of UGIC.</w:t>
      </w:r>
    </w:p>
    <w:p w14:paraId="24093418"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 xml:space="preserve">Barari, Eisend and Jain (2025) explicitly state the hybrid strategy as the best option, as organisations that use both long-term, ambassadorial relational approaches and the organic reach of UGIC outperform those that use only one of the two approaches. Borges-Tiago, Santiago and Tiago (2022) discovered that the roles of mega-influencers, macro-influencers, and micro-influencers are different and that brand equity management needs to be strategically distributed among them. For multinational brands, they suggest a portfolio strategy to leverage high-reach influencers for awareness and micro-influencers for community-level trust and engagement, which is typical of UGIC.  </w:t>
      </w:r>
    </w:p>
    <w:p w14:paraId="10205284" w14:textId="77777777" w:rsidR="00FE7288" w:rsidRPr="00FE7288" w:rsidRDefault="00FE7288" w:rsidP="00FE7288">
      <w:pPr>
        <w:spacing w:line="360" w:lineRule="auto"/>
        <w:jc w:val="both"/>
        <w:rPr>
          <w:rFonts w:ascii="Arial" w:hAnsi="Arial" w:cs="Arial"/>
          <w:sz w:val="24"/>
          <w:szCs w:val="24"/>
        </w:rPr>
      </w:pPr>
      <w:r w:rsidRPr="00FE7288">
        <w:rPr>
          <w:rFonts w:ascii="Arial" w:hAnsi="Arial" w:cs="Arial"/>
          <w:sz w:val="24"/>
          <w:szCs w:val="24"/>
        </w:rPr>
        <w:t xml:space="preserve">Hochstein, Harmeling and Perko (2023) concluded that the co-creation aspect of UGIC aligns with the theoretical framework of Relationship Marketing by Vargo and Lusch (2004), and that organisations that view UGIC as a collaborative process for creating brand value, instead of as a media placement opportunity, deliver better long-term loyalty and equity results. Gupta and Verma (2025) identified governance mechanisms as one of the key enablers for strategic adaptation as it was found that organisations with a well-defined governance framework for UGIC, including protocols for content creation and contractual agreements, are more likely to reap the benefits of UGIC and reduce the risks identified in Theme 3. Kumar and Jibril (2025) found that the best influencer marketing programmes are data-driven, have alignment protocols and use measurement frameworks that are formal and go beyond follower numbers to measure true consumer engagement and contribution to brand equity. All of the evidence </w:t>
      </w:r>
      <w:r w:rsidRPr="00FE7288">
        <w:rPr>
          <w:rFonts w:ascii="Arial" w:hAnsi="Arial" w:cs="Arial"/>
          <w:sz w:val="24"/>
          <w:szCs w:val="24"/>
        </w:rPr>
        <w:lastRenderedPageBreak/>
        <w:t>suggests that this is not a platform level issue of effectiveness, but rather a result of strategic management practice.</w:t>
      </w:r>
    </w:p>
    <w:p w14:paraId="430A449B" w14:textId="77777777" w:rsidR="00FE7288" w:rsidRPr="00FE7288" w:rsidRDefault="00FE7288" w:rsidP="00FE7288">
      <w:pPr>
        <w:keepNext/>
        <w:keepLines/>
        <w:spacing w:before="40" w:after="0" w:line="360" w:lineRule="auto"/>
        <w:jc w:val="both"/>
        <w:outlineLvl w:val="1"/>
        <w:rPr>
          <w:rFonts w:ascii="Arial" w:eastAsiaTheme="majorEastAsia" w:hAnsi="Arial" w:cs="Arial"/>
          <w:b/>
          <w:bCs/>
          <w:color w:val="000000" w:themeColor="text1"/>
          <w:sz w:val="24"/>
          <w:szCs w:val="24"/>
        </w:rPr>
      </w:pPr>
      <w:bookmarkStart w:id="43" w:name="_Toc229774365"/>
      <w:r w:rsidRPr="00FE7288">
        <w:rPr>
          <w:rFonts w:ascii="Arial" w:eastAsiaTheme="majorEastAsia" w:hAnsi="Arial" w:cs="Arial"/>
          <w:b/>
          <w:bCs/>
          <w:color w:val="000000" w:themeColor="text1"/>
          <w:sz w:val="24"/>
          <w:szCs w:val="24"/>
        </w:rPr>
        <w:t>4.6 Summary of Thematic Findings</w:t>
      </w:r>
      <w:bookmarkEnd w:id="43"/>
    </w:p>
    <w:p w14:paraId="113DE626" w14:textId="7BF6C00D" w:rsidR="006E5DFB" w:rsidRDefault="00FE7288" w:rsidP="00FE7288">
      <w:pPr>
        <w:spacing w:line="360" w:lineRule="auto"/>
        <w:jc w:val="both"/>
      </w:pPr>
      <w:r w:rsidRPr="00FE7288">
        <w:rPr>
          <w:rFonts w:ascii="Arial" w:hAnsi="Arial" w:cs="Arial"/>
          <w:sz w:val="24"/>
          <w:szCs w:val="24"/>
        </w:rPr>
        <w:t>The thematic analysis in this chapter shows a coherent and multi-layered picture of the strategic change from traditional brand ambassador models to UGIC in global retail marketing. The evidence from the eleven studies selected shows that this transition is motivated by structural, economic and consumer level forces, that UGIC produces unique outcomes in terms of authenticity and credibility transfer, that UGIC presents unique opportunities for brand equity, but also unique risks, and that the most advantageous position for multinational retail companies is a hybrid model that combines the governance rigour of traditional ambassador arrangements with the authenticity and scalability benefits of UGIC. The findings are then discussed with the theoretical frameworks and research questions presented in Chapter 5.</w:t>
      </w:r>
    </w:p>
    <w:p w14:paraId="02E99A4C" w14:textId="56D10530" w:rsidR="006E5DFB" w:rsidRDefault="006E5DFB" w:rsidP="006E5DFB">
      <w:pPr>
        <w:spacing w:line="360" w:lineRule="auto"/>
        <w:jc w:val="both"/>
        <w:rPr>
          <w:rFonts w:ascii="Arial" w:hAnsi="Arial" w:cs="Arial"/>
          <w:sz w:val="24"/>
          <w:szCs w:val="24"/>
        </w:rPr>
      </w:pPr>
    </w:p>
    <w:p w14:paraId="2BC0E965" w14:textId="22C681D6" w:rsidR="006E5DFB" w:rsidRDefault="006E5DFB" w:rsidP="006E5DFB">
      <w:pPr>
        <w:spacing w:line="360" w:lineRule="auto"/>
        <w:jc w:val="both"/>
        <w:rPr>
          <w:rFonts w:ascii="Arial" w:hAnsi="Arial" w:cs="Arial"/>
          <w:sz w:val="24"/>
          <w:szCs w:val="24"/>
        </w:rPr>
      </w:pPr>
    </w:p>
    <w:p w14:paraId="346FC6C9" w14:textId="3F29D0E8" w:rsidR="006E5DFB" w:rsidRDefault="006E5DFB" w:rsidP="006E5DFB">
      <w:pPr>
        <w:spacing w:line="360" w:lineRule="auto"/>
        <w:jc w:val="both"/>
        <w:rPr>
          <w:rFonts w:ascii="Arial" w:hAnsi="Arial" w:cs="Arial"/>
          <w:sz w:val="24"/>
          <w:szCs w:val="24"/>
        </w:rPr>
      </w:pPr>
    </w:p>
    <w:p w14:paraId="42401D7D" w14:textId="30B809A5" w:rsidR="006E5DFB" w:rsidRDefault="006E5DFB" w:rsidP="006E5DFB">
      <w:pPr>
        <w:spacing w:line="360" w:lineRule="auto"/>
        <w:jc w:val="both"/>
        <w:rPr>
          <w:rFonts w:ascii="Arial" w:hAnsi="Arial" w:cs="Arial"/>
          <w:sz w:val="24"/>
          <w:szCs w:val="24"/>
        </w:rPr>
      </w:pPr>
    </w:p>
    <w:p w14:paraId="1F56D27D" w14:textId="60D5CD31" w:rsidR="006E5DFB" w:rsidRDefault="006E5DFB" w:rsidP="006E5DFB">
      <w:pPr>
        <w:spacing w:line="360" w:lineRule="auto"/>
        <w:jc w:val="both"/>
        <w:rPr>
          <w:rFonts w:ascii="Arial" w:hAnsi="Arial" w:cs="Arial"/>
          <w:sz w:val="24"/>
          <w:szCs w:val="24"/>
        </w:rPr>
      </w:pPr>
    </w:p>
    <w:p w14:paraId="052DAB18" w14:textId="44096679" w:rsidR="006E5DFB" w:rsidRDefault="006E5DFB" w:rsidP="006E5DFB">
      <w:pPr>
        <w:spacing w:line="360" w:lineRule="auto"/>
        <w:jc w:val="both"/>
        <w:rPr>
          <w:rFonts w:ascii="Arial" w:hAnsi="Arial" w:cs="Arial"/>
          <w:sz w:val="24"/>
          <w:szCs w:val="24"/>
        </w:rPr>
      </w:pPr>
    </w:p>
    <w:p w14:paraId="37AD16FC" w14:textId="06579206" w:rsidR="006E5DFB" w:rsidRDefault="006E5DFB" w:rsidP="006E5DFB">
      <w:pPr>
        <w:spacing w:line="360" w:lineRule="auto"/>
        <w:jc w:val="both"/>
        <w:rPr>
          <w:rFonts w:ascii="Arial" w:hAnsi="Arial" w:cs="Arial"/>
          <w:sz w:val="24"/>
          <w:szCs w:val="24"/>
        </w:rPr>
      </w:pPr>
    </w:p>
    <w:p w14:paraId="6889A6CD" w14:textId="03D0F047" w:rsidR="006E5DFB" w:rsidRDefault="006E5DFB" w:rsidP="006E5DFB">
      <w:pPr>
        <w:spacing w:line="360" w:lineRule="auto"/>
        <w:jc w:val="both"/>
        <w:rPr>
          <w:rFonts w:ascii="Arial" w:hAnsi="Arial" w:cs="Arial"/>
          <w:sz w:val="24"/>
          <w:szCs w:val="24"/>
        </w:rPr>
      </w:pPr>
    </w:p>
    <w:p w14:paraId="019E7331" w14:textId="36B5D666" w:rsidR="006E5DFB" w:rsidRDefault="006E5DFB" w:rsidP="006E5DFB">
      <w:pPr>
        <w:spacing w:line="360" w:lineRule="auto"/>
        <w:jc w:val="both"/>
        <w:rPr>
          <w:rFonts w:ascii="Arial" w:hAnsi="Arial" w:cs="Arial"/>
          <w:sz w:val="24"/>
          <w:szCs w:val="24"/>
        </w:rPr>
      </w:pPr>
    </w:p>
    <w:p w14:paraId="78EED85A" w14:textId="7DEEDD11" w:rsidR="006E5DFB" w:rsidRDefault="006E5DFB" w:rsidP="006E5DFB">
      <w:pPr>
        <w:spacing w:line="360" w:lineRule="auto"/>
        <w:jc w:val="both"/>
        <w:rPr>
          <w:rFonts w:ascii="Arial" w:hAnsi="Arial" w:cs="Arial"/>
          <w:sz w:val="24"/>
          <w:szCs w:val="24"/>
        </w:rPr>
      </w:pPr>
    </w:p>
    <w:p w14:paraId="4FA3D66D" w14:textId="5B65FA2C" w:rsidR="006E5DFB" w:rsidRDefault="006E5DFB" w:rsidP="006E5DFB">
      <w:pPr>
        <w:spacing w:line="360" w:lineRule="auto"/>
        <w:jc w:val="both"/>
        <w:rPr>
          <w:rFonts w:ascii="Arial" w:hAnsi="Arial" w:cs="Arial"/>
          <w:sz w:val="24"/>
          <w:szCs w:val="24"/>
        </w:rPr>
      </w:pPr>
    </w:p>
    <w:p w14:paraId="723B5D5F" w14:textId="6A79FB39" w:rsidR="006E5DFB" w:rsidRDefault="006E5DFB" w:rsidP="006E5DFB">
      <w:pPr>
        <w:spacing w:line="360" w:lineRule="auto"/>
        <w:jc w:val="both"/>
        <w:rPr>
          <w:rFonts w:ascii="Arial" w:hAnsi="Arial" w:cs="Arial"/>
          <w:sz w:val="24"/>
          <w:szCs w:val="24"/>
        </w:rPr>
      </w:pPr>
    </w:p>
    <w:p w14:paraId="64A7A155" w14:textId="0DE51BBD" w:rsidR="006E5DFB" w:rsidRDefault="006E5DFB" w:rsidP="006E5DFB">
      <w:pPr>
        <w:spacing w:line="360" w:lineRule="auto"/>
        <w:jc w:val="both"/>
        <w:rPr>
          <w:rFonts w:ascii="Arial" w:hAnsi="Arial" w:cs="Arial"/>
          <w:sz w:val="24"/>
          <w:szCs w:val="24"/>
        </w:rPr>
      </w:pPr>
    </w:p>
    <w:p w14:paraId="2965DDAE" w14:textId="43F622A5" w:rsidR="006E5DFB" w:rsidRDefault="006E5DFB" w:rsidP="006E5DFB">
      <w:pPr>
        <w:spacing w:line="360" w:lineRule="auto"/>
        <w:jc w:val="both"/>
        <w:rPr>
          <w:rFonts w:ascii="Arial" w:hAnsi="Arial" w:cs="Arial"/>
          <w:sz w:val="24"/>
          <w:szCs w:val="24"/>
        </w:rPr>
      </w:pPr>
    </w:p>
    <w:p w14:paraId="71F74286" w14:textId="77777777" w:rsidR="006827E3" w:rsidRPr="006827E3" w:rsidRDefault="006827E3" w:rsidP="006827E3">
      <w:pPr>
        <w:keepNext/>
        <w:keepLines/>
        <w:spacing w:before="240" w:after="0" w:line="360" w:lineRule="auto"/>
        <w:outlineLvl w:val="0"/>
        <w:rPr>
          <w:rFonts w:ascii="Arial" w:eastAsiaTheme="majorEastAsia" w:hAnsi="Arial" w:cs="Arial"/>
          <w:b/>
          <w:bCs/>
          <w:color w:val="000000" w:themeColor="text1"/>
          <w:sz w:val="24"/>
          <w:szCs w:val="24"/>
        </w:rPr>
      </w:pPr>
      <w:bookmarkStart w:id="44" w:name="_Toc229774366"/>
      <w:r w:rsidRPr="006827E3">
        <w:rPr>
          <w:rFonts w:ascii="Arial" w:eastAsiaTheme="majorEastAsia" w:hAnsi="Arial" w:cs="Arial"/>
          <w:b/>
          <w:bCs/>
          <w:color w:val="000000" w:themeColor="text1"/>
          <w:sz w:val="24"/>
          <w:szCs w:val="24"/>
        </w:rPr>
        <w:lastRenderedPageBreak/>
        <w:t>Chapter 5: Discussion</w:t>
      </w:r>
      <w:bookmarkEnd w:id="44"/>
    </w:p>
    <w:p w14:paraId="35BFFBED"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45" w:name="_Toc229774367"/>
      <w:r w:rsidRPr="006827E3">
        <w:rPr>
          <w:rFonts w:ascii="Arial" w:eastAsiaTheme="majorEastAsia" w:hAnsi="Arial" w:cs="Arial"/>
          <w:b/>
          <w:bCs/>
          <w:color w:val="000000" w:themeColor="text1"/>
          <w:sz w:val="24"/>
          <w:szCs w:val="24"/>
        </w:rPr>
        <w:t>5.1 Introduction</w:t>
      </w:r>
      <w:bookmarkEnd w:id="45"/>
    </w:p>
    <w:p w14:paraId="213086A5"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This chapter interprets the findings presented in Chapter 4 in relation to the research questions, theoretical frameworks, and the literature gap identified in Chapter 2. This chapter provides analytical commentary on the findings, their implications for existing theory and their significance for multinational retail marketing practice, whereas Chapter 4 presented the findings in a thematic way in an objective manner. The four research questions structure this discussion: (RQ1) what strategic factors have driven the shift from traditional brand ambassadors to user-generated influencer content (UGIC) in global retail marketing; (RQ2) how does UGIC influence brand credibility and consumer engagement compared to traditional endorsements; (RQ3) what are the risks and opportunities associated with this transition for multinational retail brands; and (RQ4) how should global retail firms strategically adapt to this evolving landscape.</w:t>
      </w:r>
    </w:p>
    <w:p w14:paraId="5DAA2FB9"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46" w:name="_Toc229774368"/>
      <w:r w:rsidRPr="006827E3">
        <w:rPr>
          <w:rFonts w:ascii="Arial" w:eastAsiaTheme="majorEastAsia" w:hAnsi="Arial" w:cs="Arial"/>
          <w:b/>
          <w:bCs/>
          <w:color w:val="000000" w:themeColor="text1"/>
          <w:sz w:val="24"/>
          <w:szCs w:val="24"/>
        </w:rPr>
        <w:t>5.2 Interpreting the Strategic Drivers of the Shift to UGIC (RQ1)</w:t>
      </w:r>
      <w:bookmarkEnd w:id="46"/>
    </w:p>
    <w:p w14:paraId="64F5A67E"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findings of Theme 1 support the notion that the transition from traditional brand ambassador to UGIC is not a fad but a more solid strategic realignment. The information from Gupta and Verma (2025) and Kumar and Jibril (2025) clearly shows how the social media environment and the democratisation of content creation have transformed the context of retail marketing. This aligns with the broader research on digital transformation in marketing communications, which places consumers at the center of brand conversations, moving beyond the traditional role of passive recipients to active participants (Barari, Eisend and Jain, 2025).</w:t>
      </w:r>
    </w:p>
    <w:p w14:paraId="3F012B41"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findings identify the cost-effectiveness argument that should be given special analytical consideration. Contrary to the belief that marketing reach and brand prestige are directly proportional to endorser profile, Arora (2025) discovered that micro-influencers can deliver similar results and, in some instances, better than celebrity brand ambassadors at a lower cost. This imbalance in costs and benefits makes it an attractive opportunity to invest in UGIC as a cost-effective way for multi-national retailers under pressure to prove marketing ROI. This trend is backed up by industry data, as 54 per cent of respondents from the World Federation of Advertisers (WFA, 2025) reported an increase in their investment in influencer marketing in 2025, while 61 per cent said it is becoming an increasingly important strategic priority.</w:t>
      </w:r>
    </w:p>
    <w:p w14:paraId="2AE543A4"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lastRenderedPageBreak/>
        <w:t>This strategy is also supported by the findings of Lee et al. (2024) that found an algorithmic advantage for platform-native UGIC in 39 experimental studies. Structurally, organic amplification via algorithmically curated feeds is a benefit that is not available with traditional broadcast advertising, whether it be in terms of production quality or the fame of the endorser (Han and Balabanis, 2024). The findings of RQ1 together indicate that the transition is triggered by a combination of economic, technological and consumer-behavioural factors, and not by one of these alone.</w:t>
      </w:r>
    </w:p>
    <w:p w14:paraId="3860BB0D"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47" w:name="_Toc229774369"/>
      <w:r w:rsidRPr="006827E3">
        <w:rPr>
          <w:rFonts w:ascii="Arial" w:eastAsiaTheme="majorEastAsia" w:hAnsi="Arial" w:cs="Arial"/>
          <w:b/>
          <w:bCs/>
          <w:color w:val="000000" w:themeColor="text1"/>
          <w:sz w:val="24"/>
          <w:szCs w:val="24"/>
        </w:rPr>
        <w:t>5.3 Authenticity, Source Credibility, and Consumer Engagement (RQ2)</w:t>
      </w:r>
      <w:bookmarkEnd w:id="47"/>
    </w:p>
    <w:p w14:paraId="71F4BEB5"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findings in Theme 2 confirm the continued salience of Source Credibility Theory (Hovland and Weiss, 1951) in UGIC settings and show how this theory needs to be updated for UGIC contexts. Hovland and Weiss (1951) found that trustworthiness and expertise of the communicator is the cause of persuasive impact. The meta-analytic evidence presented by Han and Balabanis (2024) (53 studies, 250 effect sizes) validates the continued relevance of these dimensions in the context of influencer marketing, but has also identified perceived authenticity as a new and often more prominent mediating factor that was not included in the original formulation.</w:t>
      </w:r>
    </w:p>
    <w:p w14:paraId="55450F8D"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Theoretically the extension is important. The findings of Van Reijmersdal, Walet and Gudmundsdottir (2024) indicate that influencers who employ personal disclosure and lifestyle congruence strategies are more effective in establishing brand attitude transfer than influencers who employ professional and staged strategies, as in a traditional ambassador campaign. This difference suggests that the persuasion process in UGIC is relational (as opposed to aspirational) and is based on peer identification instead of status emulation. This is backed up by Duffek et al. (2025), who found that stakeholder perceptions of authenticity of the influencer are based on the domain expertise and authenticity of the content rather than commercial affiliation with a brand.</w:t>
      </w:r>
    </w:p>
    <w:p w14:paraId="55728058"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 xml:space="preserve">Kim and Wang (2024) compare the human influencers to the virtual, AI-generated influencers they introduce, further emphasizing the structural aspect of authenticity as a persuasion tool. Their results suggest that credibility and authenticity remain as mediators of advertising effectiveness in non-human content settings, suggesting that these are cognitive responses of the audience and not properties of the endorser. This is not just a theoretical concern, however, because the authenticity premium can't be </w:t>
      </w:r>
      <w:r w:rsidRPr="006827E3">
        <w:rPr>
          <w:rFonts w:ascii="Arial" w:hAnsi="Arial" w:cs="Arial"/>
          <w:sz w:val="24"/>
          <w:szCs w:val="24"/>
        </w:rPr>
        <w:lastRenderedPageBreak/>
        <w:t>outsourced to the influencer, but must be co-created by the brand and the influencer to ensure the audience feels the endorsement is authentic.</w:t>
      </w:r>
    </w:p>
    <w:p w14:paraId="24B28DEE"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comparative data from Griva and Jha (2023) and Borges-Tiago, Santiago and Tiago (2022) show that UGIC is more trusted and more loyal than traditional advertising, and macro-influencers have more awareness effects than micro-influencers. The tiered performance profile corresponds with the differences in the literature between the different types of influencers and their respective roles in the consumer decision-making process (Lee et al., 2024). The finding has direct strategic implications which will be discussed in the discussion of RQ4.</w:t>
      </w:r>
    </w:p>
    <w:p w14:paraId="70FBB4C1"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48" w:name="_Toc229774370"/>
      <w:r w:rsidRPr="006827E3">
        <w:rPr>
          <w:rFonts w:ascii="Arial" w:eastAsiaTheme="majorEastAsia" w:hAnsi="Arial" w:cs="Arial"/>
          <w:b/>
          <w:bCs/>
          <w:color w:val="000000" w:themeColor="text1"/>
          <w:sz w:val="24"/>
          <w:szCs w:val="24"/>
        </w:rPr>
        <w:t>5.4 Brand Equity Implications, Risks, and Governance Challenges (RQ3)</w:t>
      </w:r>
      <w:bookmarkEnd w:id="48"/>
    </w:p>
    <w:p w14:paraId="03525364"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evidence on brand equity presented in Theme 3 is somewhat mixed, and provides some of the most analytically rich findings in this study. The positive relationships found between well-managed UGIC and increased brand salience, digital trust and consumer identification (Hochstein, Harmeling and Perko, 2023; Kumar and Jibril, 2025) align with the consumer-based brand equity model proposed by Keller (1993), which suggests that strong, favourable and unique brand associations serve as the basis for long-term competitive advantage. The evidence indicates that UGIC can be used to help strengthen all four of Aaker's (1991) brand equity dimensions (awareness, perceived quality, associations, and loyalty) when they are implemented with congruent, credible, and transparent influencer partnerships.</w:t>
      </w:r>
    </w:p>
    <w:p w14:paraId="0855DFCD"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risks outlined in Theme 3, however, should be given the same level of analysis. As Petkovska (2025) points out, a governance challenge that is unique to UGIC environments is the decentralisation of brand messaging. Unlike a brand ambassador who works within a contractual structure and under the editorial guidance of a brand, an influencer's content is created by multiple creators, platforms and audiences at the same time, resulting in many different narratives, facts and brand consistency, which a traditional brand management system cannot handle (Barari, Eisend and Jain, 2025).</w:t>
      </w:r>
    </w:p>
    <w:p w14:paraId="61775EFD"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 xml:space="preserve">This is complicated by the regulatory aspect significantly. Lee et al. (2024) found that when an influencer has undisclosed paid partnerships, it leads to consumer scepticism, which impacts on the influencer's credibility and brand attitude. There are clear disclosure rules in the US Federal Trade Commission, UK Advertising Standards </w:t>
      </w:r>
      <w:r w:rsidRPr="006827E3">
        <w:rPr>
          <w:rFonts w:ascii="Arial" w:hAnsi="Arial" w:cs="Arial"/>
          <w:sz w:val="24"/>
          <w:szCs w:val="24"/>
        </w:rPr>
        <w:lastRenderedPageBreak/>
        <w:t>Authority, and EU Digital Services Act, and liability is shared with brands if these rules are not adhered to. As Gupta and Verma (2025) pointed out, this regulatory complexity is further exacerbated in multi-jurisdictional campaigns where the different regulatory frameworks have to be dealt with concurrently. The World Federation of Advertisers (WFA, 2025) has released guidance, recognising that budget commitments are coming alongside regulatory and reputational pressures, and that governance is now a part of the UGIC strategy.</w:t>
      </w:r>
    </w:p>
    <w:p w14:paraId="3B84047D"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Han and Balabanis (2024) also pointed out that the rapid and large-scale deployment of UGIC adds to the risk of brand-influencer congruence failure. In the traditional ambassador programmes, there is usually a lot of due diligence that takes place before the alignment of the brand-spokesperson. In UGIC environments, the amount of influencer partnerships and the speed at which they are happening makes it hard to replicate this level of scrutiny in a systematic way, making it more likely that there will be some level of value misalignment that will create negative brand associations at scale.</w:t>
      </w:r>
    </w:p>
    <w:p w14:paraId="52AD123D"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49" w:name="_Toc229774371"/>
      <w:r w:rsidRPr="006827E3">
        <w:rPr>
          <w:rFonts w:ascii="Arial" w:eastAsiaTheme="majorEastAsia" w:hAnsi="Arial" w:cs="Arial"/>
          <w:b/>
          <w:bCs/>
          <w:color w:val="000000" w:themeColor="text1"/>
          <w:sz w:val="24"/>
          <w:szCs w:val="24"/>
        </w:rPr>
        <w:t>5.5 Strategic Adaptation and Hybrid Approaches (RQ4)</w:t>
      </w:r>
      <w:bookmarkEnd w:id="49"/>
    </w:p>
    <w:p w14:paraId="54A19E67"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findings from Theme 4 all indicate a hybrid approach to influencers as the most sustainable and defensible long-term strategy for multinational retail brands. The meta-analytic findings of Barari, Eisend and Jain (2025) confirm that companies that adopt long-term relationship management (LRM) in conjunction with the organic authenticity and scalability of UGIC are more successful than companies that adopt only one of the two approaches. This discovery helps to address what could be interpreted as an either/or strategic decision in favour of a portfolio logic.</w:t>
      </w:r>
    </w:p>
    <w:p w14:paraId="5746B301"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Borges-Tiago, Santiago and Tiago (2022) propose a portfolio approach, in which high-reach macro- and mega-influencer relationships are used to create brand awareness, and micro-influencer networks are used to build trust and engagement in the community, which offers a coherent operational framework for this hybrid approach. It aligns with the multi-layered functions of consumer-based brand equity that Keller (1993) identified: awareness is not enough for a strong brand equity, and it should be supported by strong, positive brand associations that micro-influencers like UGIC can create.</w:t>
      </w:r>
    </w:p>
    <w:p w14:paraId="4E4E022E"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lastRenderedPageBreak/>
        <w:t>The connection between UGIC and Service-Dominant Logic (Vargo and Lusch, 2004) provides another theoretical basis for the hybrid approach. Vargo and Lusch (2004) shifted the focus of value creation from a one-way flow of the firm to a co-created process between firms and consumers. When considered as a tool for co-creating brand value, not merely as a media placement tool, UGIC is just such a co-production (Harmeling, Hochstein and Perko, 2023). In the real world, a long-term brand equity is more likely to be achieved when influencers are viewed as transparent partners with shared values, rather than as a short-term tactic to boost reach.</w:t>
      </w:r>
    </w:p>
    <w:p w14:paraId="21B6903B"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Both Gupta and Verma (2025) and Kumar and Jibril (2025) found governance capacity to be a key enabler of strategic adaptation in this area. Companies that have an established influencer relationship management process, content alignment protocols, and performance measurement processes that focus on brand equity metrics rather than vanity metrics are more likely to effectively use UGIC and mitigate reputational, regulatory, and brand equity risks.</w:t>
      </w:r>
    </w:p>
    <w:p w14:paraId="73C7E206"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0" w:name="_Toc229774372"/>
      <w:r w:rsidRPr="006827E3">
        <w:rPr>
          <w:rFonts w:ascii="Arial" w:eastAsiaTheme="majorEastAsia" w:hAnsi="Arial" w:cs="Arial"/>
          <w:b/>
          <w:bCs/>
          <w:color w:val="000000" w:themeColor="text1"/>
          <w:sz w:val="24"/>
          <w:szCs w:val="24"/>
        </w:rPr>
        <w:t>5.6 Addressing the Literature Gap and Research Contribution</w:t>
      </w:r>
      <w:bookmarkEnd w:id="50"/>
    </w:p>
    <w:p w14:paraId="56370208"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This study was inspired by the lack of comparative and strategic research on the shift from traditional to UGIC in multinational retail environments as identified in Chapter 2: although a significant amount of research has explored the effectiveness of traditional brand ambassadors, or the effectiveness of UGIC in isolation, there is a lack of comparative and strategic research that examines the transition from traditional to UGIC in a multinational retail context. These findings and discussion help to fill this gap. This study uses the three lenses of Brand Equity Theory (Aaker, 1991; Keller, 1993), Source Credibility Theory (Hovland and Weiss, 1951), and Service-Dominant Logic (Vargo and Lusch, 2004) as integrated lenses to show that the transition from traditional ambassadors to UGIC is not a simple and obvious good thing or bad thing, but rather a complex strategic transition that requires careful governance, portfolio management, and theoretical foundation. The conceptual and practical content of this chapter is of interest to scholars and practitioners in the global retail industry.</w:t>
      </w:r>
    </w:p>
    <w:p w14:paraId="549BE3E4" w14:textId="7B827465" w:rsidR="006E5DFB" w:rsidRDefault="006E5DFB" w:rsidP="006E5DFB">
      <w:pPr>
        <w:spacing w:line="360" w:lineRule="auto"/>
        <w:jc w:val="both"/>
        <w:rPr>
          <w:rFonts w:ascii="Arial" w:hAnsi="Arial" w:cs="Arial"/>
          <w:sz w:val="24"/>
          <w:szCs w:val="24"/>
        </w:rPr>
      </w:pPr>
    </w:p>
    <w:p w14:paraId="56B84D56" w14:textId="777BC5D0" w:rsidR="006E5DFB" w:rsidRDefault="006E5DFB" w:rsidP="006E5DFB">
      <w:pPr>
        <w:spacing w:line="360" w:lineRule="auto"/>
        <w:jc w:val="both"/>
        <w:rPr>
          <w:rFonts w:ascii="Arial" w:hAnsi="Arial" w:cs="Arial"/>
          <w:sz w:val="24"/>
          <w:szCs w:val="24"/>
        </w:rPr>
      </w:pPr>
    </w:p>
    <w:p w14:paraId="6260BA24" w14:textId="33D1E167" w:rsidR="006E5DFB" w:rsidRDefault="006E5DFB" w:rsidP="006E5DFB">
      <w:pPr>
        <w:spacing w:line="360" w:lineRule="auto"/>
        <w:jc w:val="both"/>
        <w:rPr>
          <w:rFonts w:ascii="Arial" w:hAnsi="Arial" w:cs="Arial"/>
          <w:sz w:val="24"/>
          <w:szCs w:val="24"/>
        </w:rPr>
      </w:pPr>
    </w:p>
    <w:p w14:paraId="3ACE817D" w14:textId="77777777" w:rsidR="006827E3" w:rsidRPr="006827E3" w:rsidRDefault="006827E3" w:rsidP="006827E3">
      <w:pPr>
        <w:keepNext/>
        <w:keepLines/>
        <w:spacing w:before="240" w:after="0" w:line="360" w:lineRule="auto"/>
        <w:outlineLvl w:val="0"/>
        <w:rPr>
          <w:rFonts w:ascii="Arial" w:eastAsiaTheme="majorEastAsia" w:hAnsi="Arial" w:cs="Arial"/>
          <w:b/>
          <w:bCs/>
          <w:color w:val="000000" w:themeColor="text1"/>
          <w:sz w:val="24"/>
          <w:szCs w:val="24"/>
        </w:rPr>
      </w:pPr>
      <w:bookmarkStart w:id="51" w:name="_Toc229774373"/>
      <w:r w:rsidRPr="006827E3">
        <w:rPr>
          <w:rFonts w:ascii="Arial" w:eastAsiaTheme="majorEastAsia" w:hAnsi="Arial" w:cs="Arial"/>
          <w:b/>
          <w:bCs/>
          <w:color w:val="000000" w:themeColor="text1"/>
          <w:sz w:val="24"/>
          <w:szCs w:val="24"/>
        </w:rPr>
        <w:lastRenderedPageBreak/>
        <w:t>Chapter 6: Conclusion</w:t>
      </w:r>
      <w:bookmarkEnd w:id="51"/>
    </w:p>
    <w:p w14:paraId="1F4A6E21"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2" w:name="_Toc229774374"/>
      <w:r w:rsidRPr="006827E3">
        <w:rPr>
          <w:rFonts w:ascii="Arial" w:eastAsiaTheme="majorEastAsia" w:hAnsi="Arial" w:cs="Arial"/>
          <w:b/>
          <w:bCs/>
          <w:color w:val="000000" w:themeColor="text1"/>
          <w:sz w:val="24"/>
          <w:szCs w:val="24"/>
        </w:rPr>
        <w:t>6.1 Revisiting the Research Aim and Questions</w:t>
      </w:r>
      <w:bookmarkEnd w:id="52"/>
    </w:p>
    <w:p w14:paraId="056FBA0A"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In this dissertation, the transition from the traditional brand ambassador models to user-generated influencer content (UGIC) in global retail marketing was explored. The study used four research questions as a theoretical framework and applied the theories of Brand Equity Theory (Aaker, 1991; Keller, 1993), Source Credibility Theory (Hovland and Weiss, 1951), and Service-Dominant Logic (Vargo and Lusch, 2004) as a theoretical lens. A systematic literature review (SLR) methodology was used in the research, which involved eleven sources being analysed using thematic synthesis. This chapter highlights the main findings, answers each research question, validates the literature gap identified, identifies the contributions of the study, identifies the limitations of the study and suggests directions for future research.</w:t>
      </w:r>
    </w:p>
    <w:p w14:paraId="2A40C124"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3" w:name="_Toc229774375"/>
      <w:r w:rsidRPr="006827E3">
        <w:rPr>
          <w:rFonts w:ascii="Arial" w:eastAsiaTheme="majorEastAsia" w:hAnsi="Arial" w:cs="Arial"/>
          <w:b/>
          <w:bCs/>
          <w:color w:val="000000" w:themeColor="text1"/>
          <w:sz w:val="24"/>
          <w:szCs w:val="24"/>
        </w:rPr>
        <w:t>6.2 Summary of Key Findings</w:t>
      </w:r>
      <w:bookmarkEnd w:id="53"/>
    </w:p>
    <w:p w14:paraId="113E3BB3"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findings validate that the change from traditional brand ambassadors to UGIC is indeed rooted and not just opportunistic. Gupta and Verma (2025) and Kumar and Jibril (2025) noted that the retail marketing landscape has significantly transformed due to the evolution of access to content creation and algorithmic architecture of platforms. Arora (2025) proved that micro-influencers can achieve similar results as celebrity endorsers at a much lower cost, and the World Federation of Advertisers (WFA, 2025) stated that 54 per cent of brand marketers from multinational companies intended to boost their budgets for influencer marketing in 2025. The findings of this study extend Source Credibility Theory in theoretically meaningful ways to show that perceived authenticity serves as the key mediator between UGIC and consumer trust and brand loyalty (Han and Balabanis, 2024). The positive outcomes of brand equity are achieved when UGIC is managed in a congruent and transparent way, while the negative outcomes of brand equity are exposed when there is no governance structures (Petkovska, 2025; Lee et al., 2024). The best strategic option for multinational retail companies is a mixture of ambassadorial relational governance and authenticity and scalability of UGIC (Barari, Eisend and Jain, 2025).</w:t>
      </w:r>
    </w:p>
    <w:p w14:paraId="1B850FA8"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4" w:name="_Toc229774376"/>
      <w:r w:rsidRPr="006827E3">
        <w:rPr>
          <w:rFonts w:ascii="Arial" w:eastAsiaTheme="majorEastAsia" w:hAnsi="Arial" w:cs="Arial"/>
          <w:b/>
          <w:bCs/>
          <w:color w:val="000000" w:themeColor="text1"/>
          <w:sz w:val="24"/>
          <w:szCs w:val="24"/>
        </w:rPr>
        <w:t>6.3 Addressing the Research Questions</w:t>
      </w:r>
      <w:bookmarkEnd w:id="54"/>
    </w:p>
    <w:p w14:paraId="5AB65A66"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 xml:space="preserve">To answer RQ1, the move towards UGIC is a result of a number of structural, economic, and consumer-behavioural factors: firstly, a loss of trust in traditional advertising, secondly, the cost-efficiency of influencer partnerships, and thirdly, the </w:t>
      </w:r>
      <w:r w:rsidRPr="006827E3">
        <w:rPr>
          <w:rFonts w:ascii="Arial" w:hAnsi="Arial" w:cs="Arial"/>
          <w:sz w:val="24"/>
          <w:szCs w:val="24"/>
        </w:rPr>
        <w:lastRenderedPageBreak/>
        <w:t>organic amplification of platform-native content. To answer RQ2, the outcomes of credibility and engagement for UGIC are comparable to, and often better than, those of traditional ambassador programs, and the key differentiator is perceived authenticity (Han and Balabanis, 2024; van Reijmersdal, Walet and Gudmundsdottir, 2024). UGIC shares with you real brand equity opportunities and governance and regulatory risks which are structurally different from those in traditional ambassador programmes in response to RQ3. RQ4 was answered by suggesting the best strategic model for multinational retail companies to benefit from UGIC while controlling the risks is a tiered hybrid portfolio approach based on the co-produced value logic of Vargo and Lusch (2004).</w:t>
      </w:r>
    </w:p>
    <w:p w14:paraId="20B6E801"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5" w:name="_Toc229774377"/>
      <w:r w:rsidRPr="006827E3">
        <w:rPr>
          <w:rFonts w:ascii="Arial" w:eastAsiaTheme="majorEastAsia" w:hAnsi="Arial" w:cs="Arial"/>
          <w:b/>
          <w:bCs/>
          <w:color w:val="000000" w:themeColor="text1"/>
          <w:sz w:val="24"/>
          <w:szCs w:val="24"/>
        </w:rPr>
        <w:t>6.4 Addressing the Literature Gap and Research Contributions</w:t>
      </w:r>
      <w:bookmarkEnd w:id="55"/>
    </w:p>
    <w:p w14:paraId="23EF25E3"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study was driven by a gap identified, that the effectiveness of UGIC and traditional endorsement outcomes have been studied separately, but comparative and strategic analysis of the transition between the two models of UGIC in multinational retail contexts were underrepresented. This dissertation combines three complementary theoretical approaches and incorporates recent evidence to create a structured analysis which is missing from previous individual studies. This study partially addresses this limitation by building on the existing research on influencer marketing, which has been largely cross-sectional and Western-centric, as noted by Gupta and Verma (2025). Theoretically, the study builds on Source Credibility Theory by introducing the concept of authenticity as a separate persuasion mechanism and on Service-Dominant Logic by using the concept of co-creation of brand value in the UGIC. As per the managerial perspective, the findings align with the meta-analysis conducted by Barari, Eisend, and Jain (2025) which indicates that there should be a tiered influencer portfolio consisting of brand equity dimensions as proposed by Keller (1993), investment in disclosure compliance across jurisdictions, and long-term partnership models with influencers over transactional placements.</w:t>
      </w:r>
    </w:p>
    <w:p w14:paraId="288D3FCC"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6" w:name="_Toc229774378"/>
      <w:r w:rsidRPr="006827E3">
        <w:rPr>
          <w:rFonts w:ascii="Arial" w:eastAsiaTheme="majorEastAsia" w:hAnsi="Arial" w:cs="Arial"/>
          <w:b/>
          <w:bCs/>
          <w:color w:val="000000" w:themeColor="text1"/>
          <w:sz w:val="24"/>
          <w:szCs w:val="24"/>
        </w:rPr>
        <w:t>6.5 Limitations</w:t>
      </w:r>
      <w:bookmarkEnd w:id="56"/>
    </w:p>
    <w:p w14:paraId="4DD52FC7"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 xml:space="preserve">There are a number of limitations to this study. The SLR methodology is based on secondary sources, which means that primary data is not collected and can not test causal relationships directly. The scope of the eleven-source data set is not intended to represent a complete meta-analysis, but rather the scope limitations of a master's level dissertation. The generalisability of conclusions is also restricted to emerging </w:t>
      </w:r>
      <w:r w:rsidRPr="006827E3">
        <w:rPr>
          <w:rFonts w:ascii="Arial" w:hAnsi="Arial" w:cs="Arial"/>
          <w:sz w:val="24"/>
          <w:szCs w:val="24"/>
        </w:rPr>
        <w:lastRenderedPageBreak/>
        <w:t>market or non-fashion retail contexts because of the geographical bias of the wider influencer marketing literature towards a Western, fashion-based context (Gupta and Verma, 2025).</w:t>
      </w:r>
    </w:p>
    <w:p w14:paraId="0696C7C1"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7" w:name="_Toc229774379"/>
      <w:bookmarkStart w:id="58" w:name="_Hlk229731813"/>
      <w:r w:rsidRPr="006827E3">
        <w:rPr>
          <w:rFonts w:ascii="Arial" w:eastAsiaTheme="majorEastAsia" w:hAnsi="Arial" w:cs="Arial"/>
          <w:b/>
          <w:bCs/>
          <w:color w:val="000000" w:themeColor="text1"/>
          <w:sz w:val="24"/>
          <w:szCs w:val="24"/>
        </w:rPr>
        <w:t>6.6 Recommendations for Future Research</w:t>
      </w:r>
      <w:bookmarkEnd w:id="57"/>
    </w:p>
    <w:bookmarkEnd w:id="58"/>
    <w:p w14:paraId="6179DE26" w14:textId="77777777" w:rsidR="006827E3" w:rsidRPr="006827E3" w:rsidRDefault="006827E3" w:rsidP="006827E3">
      <w:pPr>
        <w:spacing w:line="360" w:lineRule="auto"/>
        <w:jc w:val="both"/>
        <w:rPr>
          <w:rFonts w:ascii="Arial" w:hAnsi="Arial" w:cs="Arial"/>
          <w:sz w:val="24"/>
          <w:szCs w:val="24"/>
        </w:rPr>
      </w:pPr>
      <w:r w:rsidRPr="006827E3">
        <w:rPr>
          <w:rFonts w:ascii="Arial" w:hAnsi="Arial" w:cs="Arial"/>
          <w:sz w:val="24"/>
          <w:szCs w:val="24"/>
        </w:rPr>
        <w:t>The use of primary mixed methods designs that would include longitudinal consumer surveys and practitioner interviews in culturally diverse retail markets would benefit future research. Kim and Wang (2024) have started to explore how the virtual influencer formats created by AI change the dynamics of authenticity described here, but this is an under-theorized field of study that requires further research. Longitudinal studies that follow the brand equity outcomes over several brand campaigns will further reinforce the empirical support for the hybrid strategic model suggested in this study.</w:t>
      </w:r>
    </w:p>
    <w:p w14:paraId="1B4C49FF" w14:textId="77777777" w:rsidR="006827E3" w:rsidRPr="006827E3" w:rsidRDefault="006827E3" w:rsidP="006827E3">
      <w:pPr>
        <w:keepNext/>
        <w:keepLines/>
        <w:spacing w:before="40" w:after="0" w:line="360" w:lineRule="auto"/>
        <w:outlineLvl w:val="1"/>
        <w:rPr>
          <w:rFonts w:ascii="Arial" w:eastAsiaTheme="majorEastAsia" w:hAnsi="Arial" w:cs="Arial"/>
          <w:b/>
          <w:bCs/>
          <w:color w:val="000000" w:themeColor="text1"/>
          <w:sz w:val="24"/>
          <w:szCs w:val="24"/>
        </w:rPr>
      </w:pPr>
      <w:bookmarkStart w:id="59" w:name="_Toc229774380"/>
      <w:r w:rsidRPr="006827E3">
        <w:rPr>
          <w:rFonts w:ascii="Arial" w:eastAsiaTheme="majorEastAsia" w:hAnsi="Arial" w:cs="Arial"/>
          <w:b/>
          <w:bCs/>
          <w:color w:val="000000" w:themeColor="text1"/>
          <w:sz w:val="24"/>
          <w:szCs w:val="24"/>
        </w:rPr>
        <w:t>6.7 Concluding Statement</w:t>
      </w:r>
      <w:bookmarkEnd w:id="59"/>
    </w:p>
    <w:p w14:paraId="15C0FC98" w14:textId="58BF8E95" w:rsidR="006E5DFB" w:rsidRDefault="006827E3" w:rsidP="006827E3">
      <w:pPr>
        <w:spacing w:line="360" w:lineRule="auto"/>
        <w:jc w:val="both"/>
        <w:rPr>
          <w:rFonts w:ascii="Arial" w:hAnsi="Arial" w:cs="Arial"/>
          <w:sz w:val="24"/>
          <w:szCs w:val="24"/>
        </w:rPr>
      </w:pPr>
      <w:r w:rsidRPr="006827E3">
        <w:rPr>
          <w:rFonts w:ascii="Arial" w:hAnsi="Arial" w:cs="Arial"/>
          <w:sz w:val="24"/>
          <w:szCs w:val="24"/>
        </w:rPr>
        <w:t>This dissertation shows that the transition from the traditional brand ambassador model to UGIC in global retail marketing is a multi-dimensional strategic shift with important brand equity, consumer trust and marketing governance consequences. There is evidence that UGIC can be designed and managed with intentional relational governance and transparency to achieve better engagement and equity results than traditional endorsement models. But strategic advantage is not a given with the format, it depends on the management. Theoretically robust and well-governed hybrid portfolio models are best suited for multinational retail companies that want to make this transition sustainably and effectively.</w:t>
      </w:r>
    </w:p>
    <w:p w14:paraId="4FC3D4CC" w14:textId="26C780BC" w:rsidR="006E5DFB" w:rsidRDefault="006E5DFB" w:rsidP="006E5DFB">
      <w:pPr>
        <w:spacing w:line="360" w:lineRule="auto"/>
        <w:jc w:val="both"/>
        <w:rPr>
          <w:rFonts w:ascii="Arial" w:hAnsi="Arial" w:cs="Arial"/>
          <w:sz w:val="24"/>
          <w:szCs w:val="24"/>
        </w:rPr>
      </w:pPr>
    </w:p>
    <w:p w14:paraId="4EA271FB" w14:textId="48FB812D" w:rsidR="006E5DFB" w:rsidRDefault="006E5DFB" w:rsidP="006E5DFB">
      <w:pPr>
        <w:spacing w:line="360" w:lineRule="auto"/>
        <w:jc w:val="both"/>
        <w:rPr>
          <w:rFonts w:ascii="Arial" w:hAnsi="Arial" w:cs="Arial"/>
          <w:sz w:val="24"/>
          <w:szCs w:val="24"/>
        </w:rPr>
      </w:pPr>
    </w:p>
    <w:p w14:paraId="739770C3" w14:textId="13CDEBBE" w:rsidR="006E5DFB" w:rsidRDefault="006E5DFB" w:rsidP="006E5DFB">
      <w:pPr>
        <w:spacing w:line="360" w:lineRule="auto"/>
        <w:jc w:val="both"/>
        <w:rPr>
          <w:rFonts w:ascii="Arial" w:hAnsi="Arial" w:cs="Arial"/>
          <w:sz w:val="24"/>
          <w:szCs w:val="24"/>
        </w:rPr>
      </w:pPr>
    </w:p>
    <w:p w14:paraId="4F9FE80F" w14:textId="6208AD15" w:rsidR="006E5DFB" w:rsidRDefault="006E5DFB" w:rsidP="006E5DFB">
      <w:pPr>
        <w:spacing w:line="360" w:lineRule="auto"/>
        <w:jc w:val="both"/>
        <w:rPr>
          <w:rFonts w:ascii="Arial" w:hAnsi="Arial" w:cs="Arial"/>
          <w:sz w:val="24"/>
          <w:szCs w:val="24"/>
        </w:rPr>
      </w:pPr>
    </w:p>
    <w:p w14:paraId="01E4DA6C" w14:textId="439C01E7" w:rsidR="00003F69" w:rsidRDefault="00003F69" w:rsidP="006E5DFB">
      <w:pPr>
        <w:spacing w:line="360" w:lineRule="auto"/>
        <w:jc w:val="both"/>
        <w:rPr>
          <w:rFonts w:ascii="Arial" w:hAnsi="Arial" w:cs="Arial"/>
          <w:sz w:val="24"/>
          <w:szCs w:val="24"/>
        </w:rPr>
      </w:pPr>
    </w:p>
    <w:p w14:paraId="5301DC40" w14:textId="7B4D4276" w:rsidR="00003F69" w:rsidRDefault="00003F69" w:rsidP="006E5DFB">
      <w:pPr>
        <w:spacing w:line="360" w:lineRule="auto"/>
        <w:jc w:val="both"/>
        <w:rPr>
          <w:rFonts w:ascii="Arial" w:hAnsi="Arial" w:cs="Arial"/>
          <w:sz w:val="24"/>
          <w:szCs w:val="24"/>
        </w:rPr>
      </w:pPr>
    </w:p>
    <w:p w14:paraId="5DFBB5BB" w14:textId="1C77B35B" w:rsidR="00FE7288" w:rsidRDefault="00FE7288" w:rsidP="006E5DFB">
      <w:pPr>
        <w:spacing w:line="360" w:lineRule="auto"/>
        <w:jc w:val="both"/>
        <w:rPr>
          <w:rFonts w:ascii="Arial" w:hAnsi="Arial" w:cs="Arial"/>
          <w:sz w:val="24"/>
          <w:szCs w:val="24"/>
        </w:rPr>
      </w:pPr>
    </w:p>
    <w:p w14:paraId="1CFE00D8" w14:textId="77777777" w:rsidR="006827E3" w:rsidRDefault="006827E3" w:rsidP="006E5DFB">
      <w:pPr>
        <w:spacing w:line="360" w:lineRule="auto"/>
        <w:jc w:val="both"/>
        <w:rPr>
          <w:rFonts w:ascii="Arial" w:hAnsi="Arial" w:cs="Arial"/>
          <w:sz w:val="24"/>
          <w:szCs w:val="24"/>
        </w:rPr>
      </w:pPr>
    </w:p>
    <w:p w14:paraId="0B9E0767" w14:textId="7717A952" w:rsidR="00701D34" w:rsidRPr="00003F69" w:rsidRDefault="001A1653" w:rsidP="00003F69">
      <w:pPr>
        <w:pStyle w:val="Heading1"/>
        <w:spacing w:line="360" w:lineRule="auto"/>
        <w:rPr>
          <w:rFonts w:ascii="Arial" w:hAnsi="Arial" w:cs="Arial"/>
          <w:b/>
          <w:bCs/>
          <w:color w:val="000000" w:themeColor="text1"/>
          <w:sz w:val="24"/>
          <w:szCs w:val="24"/>
        </w:rPr>
      </w:pPr>
      <w:bookmarkStart w:id="60" w:name="_Toc229774381"/>
      <w:r w:rsidRPr="00003F69">
        <w:rPr>
          <w:rFonts w:ascii="Arial" w:hAnsi="Arial" w:cs="Arial"/>
          <w:b/>
          <w:bCs/>
          <w:color w:val="000000" w:themeColor="text1"/>
          <w:sz w:val="24"/>
          <w:szCs w:val="24"/>
        </w:rPr>
        <w:lastRenderedPageBreak/>
        <w:t>References</w:t>
      </w:r>
      <w:bookmarkEnd w:id="60"/>
    </w:p>
    <w:p w14:paraId="69017D79"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Aaker, D.A. (1991) </w:t>
      </w:r>
      <w:r w:rsidRPr="006827E3">
        <w:rPr>
          <w:rFonts w:ascii="Arial" w:hAnsi="Arial" w:cs="Arial"/>
          <w:i/>
          <w:iCs/>
          <w:sz w:val="24"/>
          <w:szCs w:val="24"/>
        </w:rPr>
        <w:t>Managing brand equity: capitalizing on the value of a brand name</w:t>
      </w:r>
      <w:r w:rsidRPr="006827E3">
        <w:rPr>
          <w:rFonts w:ascii="Arial" w:hAnsi="Arial" w:cs="Arial"/>
          <w:sz w:val="24"/>
          <w:szCs w:val="24"/>
        </w:rPr>
        <w:t>. Free Press.</w:t>
      </w:r>
    </w:p>
    <w:p w14:paraId="24CA6AA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Ahmad, S., Liang, L., Iqbal, A. and Sarki, I. (2024) 'Authenticity as a strategic weapon: navigating the social media battlefield to enhance brand loyalty', </w:t>
      </w:r>
      <w:r w:rsidRPr="006827E3">
        <w:rPr>
          <w:rFonts w:ascii="Arial" w:hAnsi="Arial" w:cs="Arial"/>
          <w:i/>
          <w:iCs/>
          <w:sz w:val="24"/>
          <w:szCs w:val="24"/>
          <w:lang w:val="en-IN"/>
        </w:rPr>
        <w:t>Review of Marketing Science</w:t>
      </w:r>
      <w:r w:rsidRPr="006827E3">
        <w:rPr>
          <w:rFonts w:ascii="Arial" w:hAnsi="Arial" w:cs="Arial"/>
          <w:sz w:val="24"/>
          <w:szCs w:val="24"/>
          <w:lang w:val="en-IN"/>
        </w:rPr>
        <w:t xml:space="preserve">, 22(1), pp. 133–167. Available at: </w:t>
      </w:r>
      <w:hyperlink r:id="rId12" w:history="1">
        <w:r w:rsidRPr="006827E3">
          <w:rPr>
            <w:rStyle w:val="Hyperlink"/>
            <w:rFonts w:ascii="Arial" w:hAnsi="Arial" w:cs="Arial"/>
            <w:sz w:val="24"/>
            <w:szCs w:val="24"/>
            <w:lang w:val="en-IN"/>
          </w:rPr>
          <w:t>https://doi.org/10.1515/roms-2023-0118</w:t>
        </w:r>
      </w:hyperlink>
      <w:r w:rsidRPr="006827E3">
        <w:rPr>
          <w:rFonts w:ascii="Arial" w:hAnsi="Arial" w:cs="Arial"/>
          <w:sz w:val="24"/>
          <w:szCs w:val="24"/>
          <w:lang w:val="en-IN"/>
        </w:rPr>
        <w:t xml:space="preserve">. </w:t>
      </w:r>
    </w:p>
    <w:p w14:paraId="046961A8"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Anselmo, G., Mannaioli, G. and Sardo, A. (2025) ‘Ensuring Fairness in the Digital Marketplace: A Communicative and Cognitive Analysis of Deceitful Influencer Marketing within Regulatory Frameworks and Benchmarks’, </w:t>
      </w:r>
      <w:r w:rsidRPr="006827E3">
        <w:rPr>
          <w:rFonts w:ascii="Arial" w:hAnsi="Arial" w:cs="Arial"/>
          <w:i/>
          <w:iCs/>
          <w:sz w:val="24"/>
          <w:szCs w:val="24"/>
          <w:lang w:val="en-IN"/>
        </w:rPr>
        <w:t>International Journal for the Semiotics of Law - Revue Internationale De Sémiotique Juridique</w:t>
      </w:r>
      <w:r w:rsidRPr="006827E3">
        <w:rPr>
          <w:rFonts w:ascii="Arial" w:hAnsi="Arial" w:cs="Arial"/>
          <w:sz w:val="24"/>
          <w:szCs w:val="24"/>
          <w:lang w:val="en-IN"/>
        </w:rPr>
        <w:t xml:space="preserve">, 39(1), pp. 189–224. Available at: </w:t>
      </w:r>
      <w:hyperlink r:id="rId13" w:history="1">
        <w:r w:rsidRPr="006827E3">
          <w:rPr>
            <w:rStyle w:val="Hyperlink"/>
            <w:rFonts w:ascii="Arial" w:hAnsi="Arial" w:cs="Arial"/>
            <w:sz w:val="24"/>
            <w:szCs w:val="24"/>
            <w:lang w:val="en-IN"/>
          </w:rPr>
          <w:t>https://doi.org/10.1007/s11196-025-10290-z</w:t>
        </w:r>
      </w:hyperlink>
      <w:r w:rsidRPr="006827E3">
        <w:rPr>
          <w:rFonts w:ascii="Arial" w:hAnsi="Arial" w:cs="Arial"/>
          <w:sz w:val="24"/>
          <w:szCs w:val="24"/>
          <w:lang w:val="en-IN"/>
        </w:rPr>
        <w:t xml:space="preserve">. </w:t>
      </w:r>
    </w:p>
    <w:p w14:paraId="084D1BEB"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Arora, S. (2025) 'Investigating the role of influencer marketing on purchase intention: a comparative analysis of celebrities vs. micro-influencers', </w:t>
      </w:r>
      <w:r w:rsidRPr="006827E3">
        <w:rPr>
          <w:rFonts w:ascii="Arial" w:hAnsi="Arial" w:cs="Arial"/>
          <w:i/>
          <w:iCs/>
          <w:sz w:val="24"/>
          <w:szCs w:val="24"/>
        </w:rPr>
        <w:t>Academy of Marketing Studies Journal</w:t>
      </w:r>
      <w:r w:rsidRPr="006827E3">
        <w:rPr>
          <w:rFonts w:ascii="Arial" w:hAnsi="Arial" w:cs="Arial"/>
          <w:sz w:val="24"/>
          <w:szCs w:val="24"/>
        </w:rPr>
        <w:t xml:space="preserve">, 29(4), pp. 1–15. Available at: </w:t>
      </w:r>
      <w:hyperlink r:id="rId14" w:history="1">
        <w:r w:rsidRPr="006827E3">
          <w:rPr>
            <w:rStyle w:val="Hyperlink"/>
            <w:rFonts w:ascii="Arial" w:hAnsi="Arial" w:cs="Arial"/>
            <w:sz w:val="24"/>
            <w:szCs w:val="24"/>
          </w:rPr>
          <w:t>https://www.abacademies.org/articles/investigating-the-role-of-influencer-marketing-on-purchase-intention-a-comparative-analysis-of-celebrities-vs-microinflu.pdf</w:t>
        </w:r>
      </w:hyperlink>
      <w:r w:rsidRPr="006827E3">
        <w:rPr>
          <w:rFonts w:ascii="Arial" w:hAnsi="Arial" w:cs="Arial"/>
          <w:sz w:val="24"/>
          <w:szCs w:val="24"/>
        </w:rPr>
        <w:t xml:space="preserve">  (Accessed: 15 May 2026).</w:t>
      </w:r>
    </w:p>
    <w:p w14:paraId="394D453A" w14:textId="1D061679"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Barari, M.M., Eisend, M. and Jain, S.P. (2025) ‘A meta-analysis of the effectiveness of social media influencers: Mechanisms and moderation’, </w:t>
      </w:r>
      <w:r w:rsidRPr="006827E3">
        <w:rPr>
          <w:rFonts w:ascii="Arial" w:hAnsi="Arial" w:cs="Arial"/>
          <w:i/>
          <w:iCs/>
          <w:sz w:val="24"/>
          <w:szCs w:val="24"/>
        </w:rPr>
        <w:t>Journal of the Academy of Marketing Science</w:t>
      </w:r>
      <w:r w:rsidRPr="006827E3">
        <w:rPr>
          <w:rFonts w:ascii="Arial" w:hAnsi="Arial" w:cs="Arial"/>
          <w:sz w:val="24"/>
          <w:szCs w:val="24"/>
        </w:rPr>
        <w:t xml:space="preserve">, 54(1), pp. 28–48. Available at: </w:t>
      </w:r>
      <w:hyperlink r:id="rId15" w:history="1">
        <w:r w:rsidRPr="006827E3">
          <w:rPr>
            <w:rStyle w:val="Hyperlink"/>
            <w:rFonts w:ascii="Arial" w:hAnsi="Arial" w:cs="Arial"/>
            <w:sz w:val="24"/>
            <w:szCs w:val="24"/>
          </w:rPr>
          <w:t>https://doi.org/10.1007/s11747-025-01107-3</w:t>
        </w:r>
      </w:hyperlink>
      <w:r w:rsidRPr="006827E3">
        <w:rPr>
          <w:rFonts w:ascii="Arial" w:hAnsi="Arial" w:cs="Arial"/>
          <w:sz w:val="24"/>
          <w:szCs w:val="24"/>
        </w:rPr>
        <w:t xml:space="preserve">. </w:t>
      </w:r>
    </w:p>
    <w:p w14:paraId="64659072"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Barr, M., Relja, R., Ward, P., Hill, J.L., Tran, Q.P., Hoang, D.T.Q. and Moganathas, P. (2025) ‘Value propositions: application of service-dominant logic in transnational marketing management education’, </w:t>
      </w:r>
      <w:r w:rsidRPr="006827E3">
        <w:rPr>
          <w:rFonts w:ascii="Arial" w:hAnsi="Arial" w:cs="Arial"/>
          <w:i/>
          <w:iCs/>
          <w:sz w:val="24"/>
          <w:szCs w:val="24"/>
        </w:rPr>
        <w:t>Journal of Marketing Management</w:t>
      </w:r>
      <w:r w:rsidRPr="006827E3">
        <w:rPr>
          <w:rFonts w:ascii="Arial" w:hAnsi="Arial" w:cs="Arial"/>
          <w:sz w:val="24"/>
          <w:szCs w:val="24"/>
        </w:rPr>
        <w:t xml:space="preserve">, 41(13–14), pp. 1427–1466. Available at: </w:t>
      </w:r>
      <w:hyperlink r:id="rId16" w:history="1">
        <w:r w:rsidRPr="006827E3">
          <w:rPr>
            <w:rStyle w:val="Hyperlink"/>
            <w:rFonts w:ascii="Arial" w:hAnsi="Arial" w:cs="Arial"/>
            <w:sz w:val="24"/>
            <w:szCs w:val="24"/>
          </w:rPr>
          <w:t>https://doi.org/10.1080/0267257x.2025.2554134</w:t>
        </w:r>
      </w:hyperlink>
      <w:r w:rsidRPr="006827E3">
        <w:rPr>
          <w:rFonts w:ascii="Arial" w:hAnsi="Arial" w:cs="Arial"/>
          <w:sz w:val="24"/>
          <w:szCs w:val="24"/>
        </w:rPr>
        <w:t xml:space="preserve">. </w:t>
      </w:r>
    </w:p>
    <w:p w14:paraId="27634D7E"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Bell, E., Bryman, A. and Harley, B. (2019) </w:t>
      </w:r>
      <w:r w:rsidRPr="006827E3">
        <w:rPr>
          <w:rFonts w:ascii="Arial" w:hAnsi="Arial" w:cs="Arial"/>
          <w:i/>
          <w:iCs/>
          <w:sz w:val="24"/>
          <w:szCs w:val="24"/>
        </w:rPr>
        <w:t>Business research methods</w:t>
      </w:r>
      <w:r w:rsidRPr="006827E3">
        <w:rPr>
          <w:rFonts w:ascii="Arial" w:hAnsi="Arial" w:cs="Arial"/>
          <w:sz w:val="24"/>
          <w:szCs w:val="24"/>
        </w:rPr>
        <w:t>. 5th edn. Oxford University Press.</w:t>
      </w:r>
    </w:p>
    <w:p w14:paraId="27A099B7"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Benevento, E., Aloini, D., Roma, P. and Bellino, D. (2024) ‘The impact of influencers on brand social network growth: Insights from new product launch events on Twitter’, </w:t>
      </w:r>
      <w:r w:rsidRPr="006827E3">
        <w:rPr>
          <w:rFonts w:ascii="Arial" w:hAnsi="Arial" w:cs="Arial"/>
          <w:i/>
          <w:iCs/>
          <w:sz w:val="24"/>
          <w:szCs w:val="24"/>
        </w:rPr>
        <w:t>Journal of Business Research</w:t>
      </w:r>
      <w:r w:rsidRPr="006827E3">
        <w:rPr>
          <w:rFonts w:ascii="Arial" w:hAnsi="Arial" w:cs="Arial"/>
          <w:sz w:val="24"/>
          <w:szCs w:val="24"/>
        </w:rPr>
        <w:t xml:space="preserve">, 189, p. 115123. Available at: </w:t>
      </w:r>
      <w:hyperlink r:id="rId17" w:history="1">
        <w:r w:rsidRPr="006827E3">
          <w:rPr>
            <w:rStyle w:val="Hyperlink"/>
            <w:rFonts w:ascii="Arial" w:hAnsi="Arial" w:cs="Arial"/>
            <w:sz w:val="24"/>
            <w:szCs w:val="24"/>
          </w:rPr>
          <w:t>https://doi.org/10.1016/j.jbusres.2024.115123</w:t>
        </w:r>
      </w:hyperlink>
      <w:r w:rsidRPr="006827E3">
        <w:rPr>
          <w:rFonts w:ascii="Arial" w:hAnsi="Arial" w:cs="Arial"/>
          <w:sz w:val="24"/>
          <w:szCs w:val="24"/>
        </w:rPr>
        <w:t xml:space="preserve">. </w:t>
      </w:r>
    </w:p>
    <w:p w14:paraId="5735CB22"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lastRenderedPageBreak/>
        <w:t xml:space="preserve">Borges-Tiago, M.T., Santiago, J. and Tiago, F. (2022) ‘Mega or macro social media influencers: Who endorses brands better?’, </w:t>
      </w:r>
      <w:r w:rsidRPr="006827E3">
        <w:rPr>
          <w:rFonts w:ascii="Arial" w:hAnsi="Arial" w:cs="Arial"/>
          <w:i/>
          <w:iCs/>
          <w:sz w:val="24"/>
          <w:szCs w:val="24"/>
        </w:rPr>
        <w:t>Journal of Business Research</w:t>
      </w:r>
      <w:r w:rsidRPr="006827E3">
        <w:rPr>
          <w:rFonts w:ascii="Arial" w:hAnsi="Arial" w:cs="Arial"/>
          <w:sz w:val="24"/>
          <w:szCs w:val="24"/>
        </w:rPr>
        <w:t xml:space="preserve">, 157, p. 113606. Available at: </w:t>
      </w:r>
      <w:hyperlink r:id="rId18" w:history="1">
        <w:r w:rsidRPr="006827E3">
          <w:rPr>
            <w:rStyle w:val="Hyperlink"/>
            <w:rFonts w:ascii="Arial" w:hAnsi="Arial" w:cs="Arial"/>
            <w:sz w:val="24"/>
            <w:szCs w:val="24"/>
          </w:rPr>
          <w:t>https://doi.org/10.1016/j.jbusres.2022.113606</w:t>
        </w:r>
      </w:hyperlink>
      <w:r w:rsidRPr="006827E3">
        <w:rPr>
          <w:rFonts w:ascii="Arial" w:hAnsi="Arial" w:cs="Arial"/>
          <w:sz w:val="24"/>
          <w:szCs w:val="24"/>
        </w:rPr>
        <w:t xml:space="preserve">. </w:t>
      </w:r>
    </w:p>
    <w:p w14:paraId="71C4E867" w14:textId="77777777" w:rsidR="006827E3" w:rsidRPr="006827E3" w:rsidRDefault="006827E3" w:rsidP="006827E3">
      <w:pPr>
        <w:pStyle w:val="ListParagraph"/>
        <w:numPr>
          <w:ilvl w:val="0"/>
          <w:numId w:val="9"/>
        </w:numPr>
        <w:spacing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Braun, V. and Clarke, V. (2006) 'Using thematic analysis in psychology', </w:t>
      </w:r>
      <w:r w:rsidRPr="006827E3">
        <w:rPr>
          <w:rFonts w:ascii="Arial" w:eastAsia="Times New Roman" w:hAnsi="Arial" w:cs="Arial"/>
          <w:i/>
          <w:iCs/>
          <w:sz w:val="24"/>
          <w:szCs w:val="24"/>
          <w:lang w:val="en-IN" w:eastAsia="en-IN" w:bidi="ml-IN"/>
        </w:rPr>
        <w:t>Qualitative Research in Psychology</w:t>
      </w:r>
      <w:r w:rsidRPr="006827E3">
        <w:rPr>
          <w:rFonts w:ascii="Arial" w:eastAsia="Times New Roman" w:hAnsi="Arial" w:cs="Arial"/>
          <w:sz w:val="24"/>
          <w:szCs w:val="24"/>
          <w:lang w:val="en-IN" w:eastAsia="en-IN" w:bidi="ml-IN"/>
        </w:rPr>
        <w:t xml:space="preserve">, 3(2), pp. 77–101. Available at: </w:t>
      </w:r>
      <w:hyperlink r:id="rId19" w:history="1">
        <w:r w:rsidRPr="006827E3">
          <w:rPr>
            <w:rFonts w:ascii="Arial" w:eastAsia="Times New Roman" w:hAnsi="Arial" w:cs="Arial"/>
            <w:color w:val="0000FF"/>
            <w:sz w:val="24"/>
            <w:szCs w:val="24"/>
            <w:u w:val="single"/>
            <w:lang w:val="en-IN" w:eastAsia="en-IN" w:bidi="ml-IN"/>
          </w:rPr>
          <w:t>https://doi.org/10.1191/1478088706qp063oa</w:t>
        </w:r>
      </w:hyperlink>
      <w:r w:rsidRPr="006827E3">
        <w:rPr>
          <w:rFonts w:ascii="Arial" w:eastAsia="Times New Roman" w:hAnsi="Arial" w:cs="Arial"/>
          <w:sz w:val="24"/>
          <w:szCs w:val="24"/>
          <w:lang w:val="en-IN" w:eastAsia="en-IN" w:bidi="ml-IN"/>
        </w:rPr>
        <w:t xml:space="preserve">. </w:t>
      </w:r>
    </w:p>
    <w:p w14:paraId="74BBC433"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CASP (2018) </w:t>
      </w:r>
      <w:r w:rsidRPr="006827E3">
        <w:rPr>
          <w:rFonts w:ascii="Arial" w:eastAsia="Times New Roman" w:hAnsi="Arial" w:cs="Arial"/>
          <w:i/>
          <w:iCs/>
          <w:sz w:val="24"/>
          <w:szCs w:val="24"/>
          <w:lang w:val="en-IN" w:eastAsia="en-IN" w:bidi="ml-IN"/>
        </w:rPr>
        <w:t>CASP Checklist: CASP Qualitative Studies Checklist</w:t>
      </w:r>
      <w:r w:rsidRPr="006827E3">
        <w:rPr>
          <w:rFonts w:ascii="Arial" w:eastAsia="Times New Roman" w:hAnsi="Arial" w:cs="Arial"/>
          <w:sz w:val="24"/>
          <w:szCs w:val="24"/>
          <w:lang w:val="en-IN" w:eastAsia="en-IN" w:bidi="ml-IN"/>
        </w:rPr>
        <w:t xml:space="preserve">. Critical Appraisal Skills Programme. Available at: </w:t>
      </w:r>
      <w:hyperlink r:id="rId20" w:history="1">
        <w:r w:rsidRPr="006827E3">
          <w:rPr>
            <w:rFonts w:ascii="Arial" w:eastAsia="Times New Roman" w:hAnsi="Arial" w:cs="Arial"/>
            <w:color w:val="0000FF"/>
            <w:sz w:val="24"/>
            <w:szCs w:val="24"/>
            <w:u w:val="single"/>
            <w:lang w:val="en-IN" w:eastAsia="en-IN" w:bidi="ml-IN"/>
          </w:rPr>
          <w:t>https://casp-uk.net/casp-tools-checklists/qualitative-studies-checklist/</w:t>
        </w:r>
      </w:hyperlink>
      <w:r w:rsidRPr="006827E3">
        <w:rPr>
          <w:rFonts w:ascii="Arial" w:eastAsia="Times New Roman" w:hAnsi="Arial" w:cs="Arial"/>
          <w:sz w:val="24"/>
          <w:szCs w:val="24"/>
          <w:lang w:val="en-IN" w:eastAsia="en-IN" w:bidi="ml-IN"/>
        </w:rPr>
        <w:t xml:space="preserve"> (Accessed: 24 April 2026). </w:t>
      </w:r>
    </w:p>
    <w:p w14:paraId="6262D1C2"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Cheah, C.W., Koay, K.Y. and Lim, W.M. (2024) ‘Social media influencer over-endorsement: Implications from a moderated-mediation analysis’, </w:t>
      </w:r>
      <w:r w:rsidRPr="006827E3">
        <w:rPr>
          <w:rFonts w:ascii="Arial" w:hAnsi="Arial" w:cs="Arial"/>
          <w:i/>
          <w:iCs/>
          <w:sz w:val="24"/>
          <w:szCs w:val="24"/>
        </w:rPr>
        <w:t>Journal of Retailing and Consumer Services</w:t>
      </w:r>
      <w:r w:rsidRPr="006827E3">
        <w:rPr>
          <w:rFonts w:ascii="Arial" w:hAnsi="Arial" w:cs="Arial"/>
          <w:sz w:val="24"/>
          <w:szCs w:val="24"/>
        </w:rPr>
        <w:t xml:space="preserve">, 79, p. 103831. Available at: </w:t>
      </w:r>
      <w:hyperlink r:id="rId21" w:history="1">
        <w:r w:rsidRPr="006827E3">
          <w:rPr>
            <w:rStyle w:val="Hyperlink"/>
            <w:rFonts w:ascii="Arial" w:hAnsi="Arial" w:cs="Arial"/>
            <w:sz w:val="24"/>
            <w:szCs w:val="24"/>
          </w:rPr>
          <w:t>https://doi.org/10.1016/j.jretconser.2024.103831</w:t>
        </w:r>
      </w:hyperlink>
      <w:r w:rsidRPr="006827E3">
        <w:rPr>
          <w:rFonts w:ascii="Arial" w:hAnsi="Arial" w:cs="Arial"/>
          <w:sz w:val="24"/>
          <w:szCs w:val="24"/>
        </w:rPr>
        <w:t xml:space="preserve">. </w:t>
      </w:r>
    </w:p>
    <w:p w14:paraId="0415FBC9"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Cheong, H.-I., Lyons, A., Houghton, R. and Majumdar, A. (2023) 'Secondary qualitative research methodology using online data within the context of social sciences', </w:t>
      </w:r>
      <w:r w:rsidRPr="006827E3">
        <w:rPr>
          <w:rFonts w:ascii="Arial" w:eastAsia="Times New Roman" w:hAnsi="Arial" w:cs="Arial"/>
          <w:i/>
          <w:iCs/>
          <w:sz w:val="24"/>
          <w:szCs w:val="24"/>
          <w:lang w:val="en-IN" w:eastAsia="en-IN" w:bidi="ml-IN"/>
        </w:rPr>
        <w:t>International Journal of Qualitative Methods</w:t>
      </w:r>
      <w:r w:rsidRPr="006827E3">
        <w:rPr>
          <w:rFonts w:ascii="Arial" w:eastAsia="Times New Roman" w:hAnsi="Arial" w:cs="Arial"/>
          <w:sz w:val="24"/>
          <w:szCs w:val="24"/>
          <w:lang w:val="en-IN" w:eastAsia="en-IN" w:bidi="ml-IN"/>
        </w:rPr>
        <w:t xml:space="preserve">, 22. Available at: </w:t>
      </w:r>
      <w:hyperlink r:id="rId22" w:history="1">
        <w:r w:rsidRPr="006827E3">
          <w:rPr>
            <w:rFonts w:ascii="Arial" w:eastAsia="Times New Roman" w:hAnsi="Arial" w:cs="Arial"/>
            <w:color w:val="0000FF"/>
            <w:sz w:val="24"/>
            <w:szCs w:val="24"/>
            <w:u w:val="single"/>
            <w:lang w:val="en-IN" w:eastAsia="en-IN" w:bidi="ml-IN"/>
          </w:rPr>
          <w:t>https://doi.org/10.1177/16094069231180160</w:t>
        </w:r>
      </w:hyperlink>
      <w:r w:rsidRPr="006827E3">
        <w:rPr>
          <w:rFonts w:ascii="Arial" w:eastAsia="Times New Roman" w:hAnsi="Arial" w:cs="Arial"/>
          <w:sz w:val="24"/>
          <w:szCs w:val="24"/>
          <w:lang w:val="en-IN" w:eastAsia="en-IN" w:bidi="ml-IN"/>
        </w:rPr>
        <w:t xml:space="preserve">. </w:t>
      </w:r>
    </w:p>
    <w:p w14:paraId="5A690E9B"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Chiu, C.L. and Ho, H.-C. (2023) 'Impact of celebrity, micro-celebrity, and virtual influencers on Chinese Gen Z's purchase intention through social media', </w:t>
      </w:r>
      <w:r w:rsidRPr="006827E3">
        <w:rPr>
          <w:rFonts w:ascii="Arial" w:hAnsi="Arial" w:cs="Arial"/>
          <w:i/>
          <w:iCs/>
          <w:sz w:val="24"/>
          <w:szCs w:val="24"/>
        </w:rPr>
        <w:t>SAGE Open</w:t>
      </w:r>
      <w:r w:rsidRPr="006827E3">
        <w:rPr>
          <w:rFonts w:ascii="Arial" w:hAnsi="Arial" w:cs="Arial"/>
          <w:sz w:val="24"/>
          <w:szCs w:val="24"/>
        </w:rPr>
        <w:t xml:space="preserve">, 13(1). Available at: </w:t>
      </w:r>
      <w:hyperlink r:id="rId23" w:history="1">
        <w:r w:rsidRPr="006827E3">
          <w:rPr>
            <w:rStyle w:val="Hyperlink"/>
            <w:rFonts w:ascii="Arial" w:hAnsi="Arial" w:cs="Arial"/>
            <w:sz w:val="24"/>
            <w:szCs w:val="24"/>
          </w:rPr>
          <w:t>https://doi.org/10.1177/21582440231164034</w:t>
        </w:r>
      </w:hyperlink>
      <w:r w:rsidRPr="006827E3">
        <w:rPr>
          <w:rFonts w:ascii="Arial" w:hAnsi="Arial" w:cs="Arial"/>
          <w:sz w:val="24"/>
          <w:szCs w:val="24"/>
        </w:rPr>
        <w:t xml:space="preserve">. </w:t>
      </w:r>
    </w:p>
    <w:p w14:paraId="0B62402E"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Cialdini, R. (1984) </w:t>
      </w:r>
      <w:r w:rsidRPr="006827E3">
        <w:rPr>
          <w:rFonts w:ascii="Arial" w:hAnsi="Arial" w:cs="Arial"/>
          <w:i/>
          <w:iCs/>
          <w:sz w:val="24"/>
          <w:szCs w:val="24"/>
          <w:lang w:val="en-IN"/>
        </w:rPr>
        <w:t>Influence: the psychology of persuasion</w:t>
      </w:r>
      <w:r w:rsidRPr="006827E3">
        <w:rPr>
          <w:rFonts w:ascii="Arial" w:hAnsi="Arial" w:cs="Arial"/>
          <w:sz w:val="24"/>
          <w:szCs w:val="24"/>
          <w:lang w:val="en-IN"/>
        </w:rPr>
        <w:t>. Harper Collins.</w:t>
      </w:r>
    </w:p>
    <w:p w14:paraId="5344DF74"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Conde, R. and Casais, B. (2023) 'Micro, macro and mega-influencers on Instagram: the power of persuasion via the parasocial relationship', </w:t>
      </w:r>
      <w:r w:rsidRPr="006827E3">
        <w:rPr>
          <w:rFonts w:ascii="Arial" w:hAnsi="Arial" w:cs="Arial"/>
          <w:i/>
          <w:iCs/>
          <w:sz w:val="24"/>
          <w:szCs w:val="24"/>
          <w:lang w:val="en-IN"/>
        </w:rPr>
        <w:t>Journal of Business Research</w:t>
      </w:r>
      <w:r w:rsidRPr="006827E3">
        <w:rPr>
          <w:rFonts w:ascii="Arial" w:hAnsi="Arial" w:cs="Arial"/>
          <w:sz w:val="24"/>
          <w:szCs w:val="24"/>
          <w:lang w:val="en-IN"/>
        </w:rPr>
        <w:t xml:space="preserve">, 158, 113708. Available at: </w:t>
      </w:r>
      <w:hyperlink r:id="rId24" w:history="1">
        <w:r w:rsidRPr="006827E3">
          <w:rPr>
            <w:rStyle w:val="Hyperlink"/>
            <w:rFonts w:ascii="Arial" w:hAnsi="Arial" w:cs="Arial"/>
            <w:sz w:val="24"/>
            <w:szCs w:val="24"/>
            <w:lang w:val="en-IN"/>
          </w:rPr>
          <w:t>https://doi.org/10.1016/j.jbusres.2023.113708</w:t>
        </w:r>
      </w:hyperlink>
      <w:r w:rsidRPr="006827E3">
        <w:rPr>
          <w:rFonts w:ascii="Arial" w:hAnsi="Arial" w:cs="Arial"/>
          <w:sz w:val="24"/>
          <w:szCs w:val="24"/>
          <w:lang w:val="en-IN"/>
        </w:rPr>
        <w:t xml:space="preserve">. </w:t>
      </w:r>
    </w:p>
    <w:p w14:paraId="143D4E9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De Araujo, S.V.I., Dhaigude, A.S., Kamath, G.B., Pai, R.R., Nayak, S. and Ganesh, S. (2025) ‘Influencer credibility and consumer behavior: the mediating role of self-brand congruity and moderating role of involvement’, </w:t>
      </w:r>
      <w:r w:rsidRPr="006827E3">
        <w:rPr>
          <w:rFonts w:ascii="Arial" w:hAnsi="Arial" w:cs="Arial"/>
          <w:i/>
          <w:iCs/>
          <w:sz w:val="24"/>
          <w:szCs w:val="24"/>
          <w:lang w:val="en-IN"/>
        </w:rPr>
        <w:t>Cogent Business &amp; Management</w:t>
      </w:r>
      <w:r w:rsidRPr="006827E3">
        <w:rPr>
          <w:rFonts w:ascii="Arial" w:hAnsi="Arial" w:cs="Arial"/>
          <w:sz w:val="24"/>
          <w:szCs w:val="24"/>
          <w:lang w:val="en-IN"/>
        </w:rPr>
        <w:t xml:space="preserve">, 12(1). Available at: </w:t>
      </w:r>
      <w:hyperlink r:id="rId25" w:history="1">
        <w:r w:rsidRPr="006827E3">
          <w:rPr>
            <w:rStyle w:val="Hyperlink"/>
            <w:rFonts w:ascii="Arial" w:hAnsi="Arial" w:cs="Arial"/>
            <w:sz w:val="24"/>
            <w:szCs w:val="24"/>
            <w:lang w:val="en-IN"/>
          </w:rPr>
          <w:t>https://doi.org/10.1080/23311975.2025.2541040</w:t>
        </w:r>
      </w:hyperlink>
      <w:r w:rsidRPr="006827E3">
        <w:rPr>
          <w:rFonts w:ascii="Arial" w:hAnsi="Arial" w:cs="Arial"/>
          <w:sz w:val="24"/>
          <w:szCs w:val="24"/>
          <w:lang w:val="en-IN"/>
        </w:rPr>
        <w:t xml:space="preserve">. </w:t>
      </w:r>
    </w:p>
    <w:p w14:paraId="0EFBD9F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Duffek, B., Eisingerich, A.B., Merlo, O. and Lee, G. (2025) 'Authenticity in influencer marketing: how can influencers and brands work together to build and </w:t>
      </w:r>
      <w:r w:rsidRPr="006827E3">
        <w:rPr>
          <w:rFonts w:ascii="Arial" w:hAnsi="Arial" w:cs="Arial"/>
          <w:sz w:val="24"/>
          <w:szCs w:val="24"/>
        </w:rPr>
        <w:lastRenderedPageBreak/>
        <w:t xml:space="preserve">maintain influencer authenticity?', </w:t>
      </w:r>
      <w:r w:rsidRPr="006827E3">
        <w:rPr>
          <w:rFonts w:ascii="Arial" w:hAnsi="Arial" w:cs="Arial"/>
          <w:i/>
          <w:iCs/>
          <w:sz w:val="24"/>
          <w:szCs w:val="24"/>
        </w:rPr>
        <w:t>Journal of Marketing</w:t>
      </w:r>
      <w:r w:rsidRPr="006827E3">
        <w:rPr>
          <w:rFonts w:ascii="Arial" w:hAnsi="Arial" w:cs="Arial"/>
          <w:sz w:val="24"/>
          <w:szCs w:val="24"/>
        </w:rPr>
        <w:t xml:space="preserve">, 89(3), pp. 1–22. Available at: </w:t>
      </w:r>
      <w:hyperlink r:id="rId26" w:history="1">
        <w:r w:rsidRPr="006827E3">
          <w:rPr>
            <w:rStyle w:val="Hyperlink"/>
            <w:rFonts w:ascii="Arial" w:hAnsi="Arial" w:cs="Arial"/>
            <w:sz w:val="24"/>
            <w:szCs w:val="24"/>
          </w:rPr>
          <w:t>https://doi.org/10.1177/00222429251319786</w:t>
        </w:r>
      </w:hyperlink>
      <w:r w:rsidRPr="006827E3">
        <w:rPr>
          <w:rFonts w:ascii="Arial" w:hAnsi="Arial" w:cs="Arial"/>
          <w:sz w:val="24"/>
          <w:szCs w:val="24"/>
        </w:rPr>
        <w:t xml:space="preserve">. </w:t>
      </w:r>
    </w:p>
    <w:p w14:paraId="6EE55834"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Dwivedi, Y.K. et al. (2020) 'Setting the future of digital and social media marketing research: Perspectives and research propositions,' </w:t>
      </w:r>
      <w:r w:rsidRPr="006827E3">
        <w:rPr>
          <w:rFonts w:ascii="Arial" w:hAnsi="Arial" w:cs="Arial"/>
          <w:i/>
          <w:iCs/>
          <w:sz w:val="24"/>
          <w:szCs w:val="24"/>
          <w:lang w:val="en-IN"/>
        </w:rPr>
        <w:t>International Journal of Information Management</w:t>
      </w:r>
      <w:r w:rsidRPr="006827E3">
        <w:rPr>
          <w:rFonts w:ascii="Arial" w:hAnsi="Arial" w:cs="Arial"/>
          <w:sz w:val="24"/>
          <w:szCs w:val="24"/>
          <w:lang w:val="en-IN"/>
        </w:rPr>
        <w:t xml:space="preserve">, 59, p. 102168. </w:t>
      </w:r>
      <w:hyperlink r:id="rId27" w:history="1">
        <w:r w:rsidRPr="006827E3">
          <w:rPr>
            <w:rStyle w:val="Hyperlink"/>
            <w:rFonts w:ascii="Arial" w:hAnsi="Arial" w:cs="Arial"/>
            <w:sz w:val="24"/>
            <w:szCs w:val="24"/>
            <w:lang w:val="en-IN"/>
          </w:rPr>
          <w:t>https://doi.org/10.1016/j.ijinfomgt.2020.102168</w:t>
        </w:r>
      </w:hyperlink>
      <w:r w:rsidRPr="006827E3">
        <w:rPr>
          <w:rFonts w:ascii="Arial" w:hAnsi="Arial" w:cs="Arial"/>
          <w:sz w:val="24"/>
          <w:szCs w:val="24"/>
          <w:lang w:val="en-IN"/>
        </w:rPr>
        <w:t xml:space="preserve">. </w:t>
      </w:r>
    </w:p>
    <w:p w14:paraId="6F75B8AD"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Federal Trade Commission (FTC) (2023)</w:t>
      </w:r>
      <w:r w:rsidRPr="004310DC">
        <w:t xml:space="preserve"> </w:t>
      </w:r>
      <w:r w:rsidRPr="006827E3">
        <w:rPr>
          <w:rFonts w:ascii="Arial" w:hAnsi="Arial" w:cs="Arial"/>
          <w:i/>
          <w:iCs/>
          <w:sz w:val="24"/>
          <w:szCs w:val="24"/>
          <w:lang w:val="en-IN"/>
        </w:rPr>
        <w:t>16 CFR Part 255: Guides concerning use of endorsements and testimonials in advertising</w:t>
      </w:r>
      <w:r w:rsidRPr="006827E3">
        <w:rPr>
          <w:rFonts w:ascii="Arial" w:hAnsi="Arial" w:cs="Arial"/>
          <w:sz w:val="24"/>
          <w:szCs w:val="24"/>
          <w:lang w:val="en-IN"/>
        </w:rPr>
        <w:t xml:space="preserve">. Available at: </w:t>
      </w:r>
      <w:hyperlink r:id="rId28" w:history="1">
        <w:r w:rsidRPr="006827E3">
          <w:rPr>
            <w:rStyle w:val="Hyperlink"/>
            <w:rFonts w:ascii="Arial" w:hAnsi="Arial" w:cs="Arial"/>
            <w:sz w:val="24"/>
            <w:szCs w:val="24"/>
            <w:lang w:val="en-IN"/>
          </w:rPr>
          <w:t>https://www.ftc.gov/legal-library/browse/federal-register-notices/16-cfr-part-255-guides-concerning-use-endorsements-testimonials-advertising</w:t>
        </w:r>
      </w:hyperlink>
      <w:r w:rsidRPr="006827E3">
        <w:rPr>
          <w:rFonts w:ascii="Arial" w:hAnsi="Arial" w:cs="Arial"/>
          <w:sz w:val="24"/>
          <w:szCs w:val="24"/>
          <w:lang w:val="en-IN"/>
        </w:rPr>
        <w:t xml:space="preserve">  (Accessed: 19 March 2026). </w:t>
      </w:r>
    </w:p>
    <w:p w14:paraId="123AB35F"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France, S.L., Davcik, N.S. and Kazandjian, B.J. (2025) ‘Digital brand equity: The concept, antecedents, measurement, and future development’, </w:t>
      </w:r>
      <w:r w:rsidRPr="006827E3">
        <w:rPr>
          <w:rFonts w:ascii="Arial" w:hAnsi="Arial" w:cs="Arial"/>
          <w:i/>
          <w:iCs/>
          <w:sz w:val="24"/>
          <w:szCs w:val="24"/>
        </w:rPr>
        <w:t>Journal of Business Research</w:t>
      </w:r>
      <w:r w:rsidRPr="006827E3">
        <w:rPr>
          <w:rFonts w:ascii="Arial" w:hAnsi="Arial" w:cs="Arial"/>
          <w:sz w:val="24"/>
          <w:szCs w:val="24"/>
        </w:rPr>
        <w:t xml:space="preserve">, 192, p. 115273. Available at: </w:t>
      </w:r>
      <w:hyperlink r:id="rId29" w:history="1">
        <w:r w:rsidRPr="006827E3">
          <w:rPr>
            <w:rStyle w:val="Hyperlink"/>
            <w:rFonts w:ascii="Arial" w:hAnsi="Arial" w:cs="Arial"/>
            <w:sz w:val="24"/>
            <w:szCs w:val="24"/>
          </w:rPr>
          <w:t>https://doi.org/10.1016/j.jbusres.2025.115273</w:t>
        </w:r>
      </w:hyperlink>
      <w:r w:rsidRPr="006827E3">
        <w:rPr>
          <w:rFonts w:ascii="Arial" w:hAnsi="Arial" w:cs="Arial"/>
          <w:sz w:val="24"/>
          <w:szCs w:val="24"/>
        </w:rPr>
        <w:t xml:space="preserve">. </w:t>
      </w:r>
    </w:p>
    <w:p w14:paraId="04E8B70C"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Griva, R. and Jha, S. (2023) 'A comparative study of influencer marketing and traditional advertising', </w:t>
      </w:r>
      <w:r w:rsidRPr="006827E3">
        <w:rPr>
          <w:rFonts w:ascii="Arial" w:hAnsi="Arial" w:cs="Arial"/>
          <w:i/>
          <w:iCs/>
          <w:sz w:val="24"/>
          <w:szCs w:val="24"/>
        </w:rPr>
        <w:t>Open Access International Journal of Science and Engineering</w:t>
      </w:r>
      <w:r w:rsidRPr="006827E3">
        <w:rPr>
          <w:rFonts w:ascii="Arial" w:hAnsi="Arial" w:cs="Arial"/>
          <w:sz w:val="24"/>
          <w:szCs w:val="24"/>
        </w:rPr>
        <w:t xml:space="preserve">, 7(6), pp. 74–80. Available at: </w:t>
      </w:r>
      <w:hyperlink r:id="rId30" w:history="1">
        <w:r w:rsidRPr="006827E3">
          <w:rPr>
            <w:rStyle w:val="Hyperlink"/>
            <w:rFonts w:ascii="Arial" w:hAnsi="Arial" w:cs="Arial"/>
            <w:sz w:val="24"/>
            <w:szCs w:val="24"/>
          </w:rPr>
          <w:t>https://www.oaijse.com/VolumeArticles/FullTextPDF/1044_A_Comparative_Study_of_Influencer_Marketing_and_Traditional_Advertising_.pdf</w:t>
        </w:r>
      </w:hyperlink>
      <w:r w:rsidRPr="006827E3">
        <w:rPr>
          <w:rFonts w:ascii="Arial" w:hAnsi="Arial" w:cs="Arial"/>
          <w:sz w:val="24"/>
          <w:szCs w:val="24"/>
        </w:rPr>
        <w:t xml:space="preserve">  (Accessed: 15 May 2026). </w:t>
      </w:r>
    </w:p>
    <w:p w14:paraId="6EC2EE2B"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Gupta, P. and Verma, S. (2025) 'Influencer marketing: a comprehensive review and future research direction', </w:t>
      </w:r>
      <w:r w:rsidRPr="006827E3">
        <w:rPr>
          <w:rFonts w:ascii="Arial" w:hAnsi="Arial" w:cs="Arial"/>
          <w:i/>
          <w:iCs/>
          <w:sz w:val="24"/>
          <w:szCs w:val="24"/>
        </w:rPr>
        <w:t>South Asian Journal of Business and Management Cases</w:t>
      </w:r>
      <w:r w:rsidRPr="006827E3">
        <w:rPr>
          <w:rFonts w:ascii="Arial" w:hAnsi="Arial" w:cs="Arial"/>
          <w:sz w:val="24"/>
          <w:szCs w:val="24"/>
        </w:rPr>
        <w:t xml:space="preserve">, 14(3), pp. 284–310. Available at: </w:t>
      </w:r>
      <w:hyperlink r:id="rId31" w:history="1">
        <w:r w:rsidRPr="006827E3">
          <w:rPr>
            <w:rStyle w:val="Hyperlink"/>
            <w:rFonts w:ascii="Arial" w:hAnsi="Arial" w:cs="Arial"/>
            <w:sz w:val="24"/>
            <w:szCs w:val="24"/>
          </w:rPr>
          <w:t>https://doi.org/10.1177/22779779251393408</w:t>
        </w:r>
      </w:hyperlink>
      <w:r w:rsidRPr="006827E3">
        <w:rPr>
          <w:rFonts w:ascii="Arial" w:hAnsi="Arial" w:cs="Arial"/>
          <w:sz w:val="24"/>
          <w:szCs w:val="24"/>
        </w:rPr>
        <w:t xml:space="preserve">. </w:t>
      </w:r>
    </w:p>
    <w:p w14:paraId="6CF73F6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Han, J. and Balabanis, G. (2024) 'Meta-analysis of social media influencer impact: key antecedents and theoretical foundations', </w:t>
      </w:r>
      <w:r w:rsidRPr="006827E3">
        <w:rPr>
          <w:rFonts w:ascii="Arial" w:hAnsi="Arial" w:cs="Arial"/>
          <w:i/>
          <w:iCs/>
          <w:sz w:val="24"/>
          <w:szCs w:val="24"/>
        </w:rPr>
        <w:t>Psychology and Marketing</w:t>
      </w:r>
      <w:r w:rsidRPr="006827E3">
        <w:rPr>
          <w:rFonts w:ascii="Arial" w:hAnsi="Arial" w:cs="Arial"/>
          <w:sz w:val="24"/>
          <w:szCs w:val="24"/>
        </w:rPr>
        <w:t xml:space="preserve">, 41(2), pp. 394–426. Available at: </w:t>
      </w:r>
      <w:hyperlink r:id="rId32" w:history="1">
        <w:r w:rsidRPr="006827E3">
          <w:rPr>
            <w:rStyle w:val="Hyperlink"/>
            <w:rFonts w:ascii="Arial" w:hAnsi="Arial" w:cs="Arial"/>
            <w:sz w:val="24"/>
            <w:szCs w:val="24"/>
          </w:rPr>
          <w:t>https://doi.org/10.1002/mar.21927</w:t>
        </w:r>
      </w:hyperlink>
      <w:r w:rsidRPr="006827E3">
        <w:rPr>
          <w:rFonts w:ascii="Arial" w:hAnsi="Arial" w:cs="Arial"/>
          <w:sz w:val="24"/>
          <w:szCs w:val="24"/>
        </w:rPr>
        <w:t xml:space="preserve">. </w:t>
      </w:r>
    </w:p>
    <w:p w14:paraId="75AA4FC0"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Hasan, S., Zahid, H. and Qayyum, A. (2024) ‘Influencer authenticity and intention to co-create brand value: an investigation of central and peripheral pathways’, </w:t>
      </w:r>
      <w:r w:rsidRPr="006827E3">
        <w:rPr>
          <w:rFonts w:ascii="Arial" w:hAnsi="Arial" w:cs="Arial"/>
          <w:i/>
          <w:iCs/>
          <w:sz w:val="24"/>
          <w:szCs w:val="24"/>
          <w:lang w:val="en-IN"/>
        </w:rPr>
        <w:t>Cogent Business &amp; Management</w:t>
      </w:r>
      <w:r w:rsidRPr="006827E3">
        <w:rPr>
          <w:rFonts w:ascii="Arial" w:hAnsi="Arial" w:cs="Arial"/>
          <w:sz w:val="24"/>
          <w:szCs w:val="24"/>
          <w:lang w:val="en-IN"/>
        </w:rPr>
        <w:t xml:space="preserve">, 11(1). Available at: </w:t>
      </w:r>
      <w:hyperlink r:id="rId33" w:history="1">
        <w:r w:rsidRPr="006827E3">
          <w:rPr>
            <w:rStyle w:val="Hyperlink"/>
            <w:rFonts w:ascii="Arial" w:hAnsi="Arial" w:cs="Arial"/>
            <w:sz w:val="24"/>
            <w:szCs w:val="24"/>
            <w:lang w:val="en-IN"/>
          </w:rPr>
          <w:t>https://doi.org/10.1080/23311975.2024.2393236</w:t>
        </w:r>
      </w:hyperlink>
      <w:r w:rsidRPr="006827E3">
        <w:rPr>
          <w:rFonts w:ascii="Arial" w:hAnsi="Arial" w:cs="Arial"/>
          <w:sz w:val="24"/>
          <w:szCs w:val="24"/>
          <w:lang w:val="en-IN"/>
        </w:rPr>
        <w:t xml:space="preserve">. </w:t>
      </w:r>
    </w:p>
    <w:p w14:paraId="21C27189"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lastRenderedPageBreak/>
        <w:t xml:space="preserve">Hochstein, R.E., Harmeling, C.M. and Perko, T. (2023) ‘Toward a theory of consumer digital trust: Meta-analytic evidence of its role in the effectiveness of user-generated content’, </w:t>
      </w:r>
      <w:r w:rsidRPr="006827E3">
        <w:rPr>
          <w:rFonts w:ascii="Arial" w:eastAsia="Times New Roman" w:hAnsi="Arial" w:cs="Arial"/>
          <w:i/>
          <w:iCs/>
          <w:sz w:val="24"/>
          <w:szCs w:val="24"/>
          <w:lang w:val="en-IN" w:eastAsia="en-IN" w:bidi="ml-IN"/>
        </w:rPr>
        <w:t>Journal of the Academy of Marketing Science</w:t>
      </w:r>
      <w:r w:rsidRPr="006827E3">
        <w:rPr>
          <w:rFonts w:ascii="Arial" w:eastAsia="Times New Roman" w:hAnsi="Arial" w:cs="Arial"/>
          <w:sz w:val="24"/>
          <w:szCs w:val="24"/>
          <w:lang w:val="en-IN" w:eastAsia="en-IN" w:bidi="ml-IN"/>
        </w:rPr>
        <w:t xml:space="preserve">, 53(4), pp. 1034–1054. Available at: </w:t>
      </w:r>
      <w:hyperlink r:id="rId34" w:history="1">
        <w:r w:rsidRPr="006827E3">
          <w:rPr>
            <w:rStyle w:val="Hyperlink"/>
            <w:rFonts w:ascii="Arial" w:eastAsia="Times New Roman" w:hAnsi="Arial" w:cs="Arial"/>
            <w:sz w:val="24"/>
            <w:szCs w:val="24"/>
            <w:lang w:val="en-IN" w:eastAsia="en-IN" w:bidi="ml-IN"/>
          </w:rPr>
          <w:t>https://doi.org/10.1007/s11747-023-00982-y</w:t>
        </w:r>
      </w:hyperlink>
      <w:r w:rsidRPr="006827E3">
        <w:rPr>
          <w:rFonts w:ascii="Arial" w:eastAsia="Times New Roman" w:hAnsi="Arial" w:cs="Arial"/>
          <w:sz w:val="24"/>
          <w:szCs w:val="24"/>
          <w:lang w:val="en-IN" w:eastAsia="en-IN" w:bidi="ml-IN"/>
        </w:rPr>
        <w:t xml:space="preserve">. </w:t>
      </w:r>
      <w:r w:rsidRPr="006827E3">
        <w:rPr>
          <w:rFonts w:ascii="Arial" w:hAnsi="Arial" w:cs="Arial"/>
          <w:sz w:val="24"/>
          <w:szCs w:val="24"/>
          <w:lang w:val="en-IN"/>
        </w:rPr>
        <w:t xml:space="preserve"> </w:t>
      </w:r>
    </w:p>
    <w:p w14:paraId="4811344B"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Hovland, C.I. and Weiss, W. (1951) 'The influence of source credibility on communication effectiveness', </w:t>
      </w:r>
      <w:r w:rsidRPr="006827E3">
        <w:rPr>
          <w:rFonts w:ascii="Arial" w:hAnsi="Arial" w:cs="Arial"/>
          <w:i/>
          <w:iCs/>
          <w:sz w:val="24"/>
          <w:szCs w:val="24"/>
          <w:lang w:val="en-IN"/>
        </w:rPr>
        <w:t>Public Opinion Quarterly</w:t>
      </w:r>
      <w:r w:rsidRPr="006827E3">
        <w:rPr>
          <w:rFonts w:ascii="Arial" w:hAnsi="Arial" w:cs="Arial"/>
          <w:sz w:val="24"/>
          <w:szCs w:val="24"/>
          <w:lang w:val="en-IN"/>
        </w:rPr>
        <w:t xml:space="preserve">, 15(4), pp. 635-650. Available at: </w:t>
      </w:r>
      <w:hyperlink r:id="rId35" w:history="1">
        <w:r w:rsidRPr="006827E3">
          <w:rPr>
            <w:rStyle w:val="Hyperlink"/>
            <w:rFonts w:ascii="Arial" w:hAnsi="Arial" w:cs="Arial"/>
            <w:sz w:val="24"/>
            <w:szCs w:val="24"/>
            <w:lang w:val="en-IN"/>
          </w:rPr>
          <w:t>https://doi.org/10.1086/266350</w:t>
        </w:r>
      </w:hyperlink>
      <w:r w:rsidRPr="006827E3">
        <w:rPr>
          <w:rFonts w:ascii="Arial" w:hAnsi="Arial" w:cs="Arial"/>
          <w:sz w:val="24"/>
          <w:szCs w:val="24"/>
          <w:lang w:val="en-IN"/>
        </w:rPr>
        <w:t xml:space="preserve">. </w:t>
      </w:r>
    </w:p>
    <w:p w14:paraId="29278609"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Hsiao, Y.-H. and Lin, Y.-Y. (2025) ‘Decoding influencer marketing effectiveness on instagram: Insights from image, text, and influencer features’, </w:t>
      </w:r>
      <w:r w:rsidRPr="006827E3">
        <w:rPr>
          <w:rFonts w:ascii="Arial" w:hAnsi="Arial" w:cs="Arial"/>
          <w:i/>
          <w:iCs/>
          <w:sz w:val="24"/>
          <w:szCs w:val="24"/>
        </w:rPr>
        <w:t>Journal of Retailing and Consumer Services</w:t>
      </w:r>
      <w:r w:rsidRPr="006827E3">
        <w:rPr>
          <w:rFonts w:ascii="Arial" w:hAnsi="Arial" w:cs="Arial"/>
          <w:sz w:val="24"/>
          <w:szCs w:val="24"/>
        </w:rPr>
        <w:t xml:space="preserve">, 85, p. 104285. Available at: </w:t>
      </w:r>
      <w:hyperlink r:id="rId36" w:history="1">
        <w:r w:rsidRPr="006827E3">
          <w:rPr>
            <w:rStyle w:val="Hyperlink"/>
            <w:rFonts w:ascii="Arial" w:hAnsi="Arial" w:cs="Arial"/>
            <w:sz w:val="24"/>
            <w:szCs w:val="24"/>
          </w:rPr>
          <w:t>https://doi.org/10.1016/j.jretconser.2025.104285</w:t>
        </w:r>
      </w:hyperlink>
      <w:r w:rsidRPr="006827E3">
        <w:rPr>
          <w:rFonts w:ascii="Arial" w:hAnsi="Arial" w:cs="Arial"/>
          <w:sz w:val="24"/>
          <w:szCs w:val="24"/>
        </w:rPr>
        <w:t xml:space="preserve">. </w:t>
      </w:r>
    </w:p>
    <w:p w14:paraId="6C4DD7E4"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Hu, K., Kim, C. and Kang, E.Y. (2025) ‘Cross-Cultural Analysis of Influencer Marketing: Meta-Analysis and Meta-Regression of factors and Effects’, </w:t>
      </w:r>
      <w:r w:rsidRPr="006827E3">
        <w:rPr>
          <w:rFonts w:ascii="Arial" w:hAnsi="Arial" w:cs="Arial"/>
          <w:i/>
          <w:iCs/>
          <w:sz w:val="24"/>
          <w:szCs w:val="24"/>
        </w:rPr>
        <w:t>Journal of Current Issues &amp; Research in Advertising</w:t>
      </w:r>
      <w:r w:rsidRPr="006827E3">
        <w:rPr>
          <w:rFonts w:ascii="Arial" w:hAnsi="Arial" w:cs="Arial"/>
          <w:sz w:val="24"/>
          <w:szCs w:val="24"/>
        </w:rPr>
        <w:t xml:space="preserve">, pp. 1–26. Available at: </w:t>
      </w:r>
      <w:hyperlink r:id="rId37" w:history="1">
        <w:r w:rsidRPr="006827E3">
          <w:rPr>
            <w:rStyle w:val="Hyperlink"/>
            <w:rFonts w:ascii="Arial" w:hAnsi="Arial" w:cs="Arial"/>
            <w:sz w:val="24"/>
            <w:szCs w:val="24"/>
          </w:rPr>
          <w:t>https://doi.org/10.1080/10641734.2025.2529006</w:t>
        </w:r>
      </w:hyperlink>
      <w:r w:rsidRPr="006827E3">
        <w:rPr>
          <w:rFonts w:ascii="Arial" w:hAnsi="Arial" w:cs="Arial"/>
          <w:sz w:val="24"/>
          <w:szCs w:val="24"/>
        </w:rPr>
        <w:t xml:space="preserve">. </w:t>
      </w:r>
    </w:p>
    <w:p w14:paraId="016030C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Impression Digital (2025) </w:t>
      </w:r>
      <w:r w:rsidRPr="006827E3">
        <w:rPr>
          <w:rFonts w:ascii="Arial" w:hAnsi="Arial" w:cs="Arial"/>
          <w:i/>
          <w:iCs/>
          <w:sz w:val="24"/>
          <w:szCs w:val="24"/>
        </w:rPr>
        <w:t>Leveraging UGC in 2025: shaping the future of brand engagement</w:t>
      </w:r>
      <w:r w:rsidRPr="006827E3">
        <w:rPr>
          <w:rFonts w:ascii="Arial" w:hAnsi="Arial" w:cs="Arial"/>
          <w:sz w:val="24"/>
          <w:szCs w:val="24"/>
        </w:rPr>
        <w:t xml:space="preserve">. Available at: </w:t>
      </w:r>
      <w:hyperlink r:id="rId38" w:history="1">
        <w:r w:rsidRPr="006827E3">
          <w:rPr>
            <w:rStyle w:val="Hyperlink"/>
            <w:rFonts w:ascii="Arial" w:hAnsi="Arial" w:cs="Arial"/>
            <w:sz w:val="24"/>
            <w:szCs w:val="24"/>
          </w:rPr>
          <w:t>https://www.impressiondigital.com/blog/ugc-trends-insights-and-examples/</w:t>
        </w:r>
      </w:hyperlink>
      <w:r w:rsidRPr="006827E3">
        <w:rPr>
          <w:rFonts w:ascii="Arial" w:hAnsi="Arial" w:cs="Arial"/>
          <w:sz w:val="24"/>
          <w:szCs w:val="24"/>
        </w:rPr>
        <w:t xml:space="preserve">  (Accessed: 17 March 2026).</w:t>
      </w:r>
    </w:p>
    <w:p w14:paraId="623B176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Influencer Marketing Hub (2026) </w:t>
      </w:r>
      <w:r w:rsidRPr="006827E3">
        <w:rPr>
          <w:rFonts w:ascii="Arial" w:hAnsi="Arial" w:cs="Arial"/>
          <w:i/>
          <w:iCs/>
          <w:sz w:val="24"/>
          <w:szCs w:val="24"/>
        </w:rPr>
        <w:t>Influencer marketing benchmark report 2026</w:t>
      </w:r>
      <w:r w:rsidRPr="006827E3">
        <w:rPr>
          <w:rFonts w:ascii="Arial" w:hAnsi="Arial" w:cs="Arial"/>
          <w:sz w:val="24"/>
          <w:szCs w:val="24"/>
        </w:rPr>
        <w:t xml:space="preserve">. Available at: </w:t>
      </w:r>
      <w:hyperlink r:id="rId39" w:history="1">
        <w:r w:rsidRPr="006827E3">
          <w:rPr>
            <w:rStyle w:val="Hyperlink"/>
            <w:rFonts w:ascii="Arial" w:hAnsi="Arial" w:cs="Arial"/>
            <w:sz w:val="24"/>
            <w:szCs w:val="24"/>
          </w:rPr>
          <w:t>https://influencermarketinghub.com/influencer-marketing-benchmark-report/</w:t>
        </w:r>
      </w:hyperlink>
      <w:r w:rsidRPr="006827E3">
        <w:rPr>
          <w:rFonts w:ascii="Arial" w:hAnsi="Arial" w:cs="Arial"/>
          <w:sz w:val="24"/>
          <w:szCs w:val="24"/>
        </w:rPr>
        <w:t xml:space="preserve"> (Accessed: 2 March 2026).</w:t>
      </w:r>
    </w:p>
    <w:p w14:paraId="0FFCD81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Jain, S. (2024) 'An analysis of the influence of user generated content (UGC) on brand perception and consumer engagement in digital marketing strategies', </w:t>
      </w:r>
      <w:r w:rsidRPr="006827E3">
        <w:rPr>
          <w:rFonts w:ascii="Arial" w:hAnsi="Arial" w:cs="Arial"/>
          <w:i/>
          <w:iCs/>
          <w:sz w:val="24"/>
          <w:szCs w:val="24"/>
        </w:rPr>
        <w:t>SSRN</w:t>
      </w:r>
      <w:r w:rsidRPr="006827E3">
        <w:rPr>
          <w:rFonts w:ascii="Arial" w:hAnsi="Arial" w:cs="Arial"/>
          <w:sz w:val="24"/>
          <w:szCs w:val="24"/>
        </w:rPr>
        <w:t xml:space="preserve">. Available at: </w:t>
      </w:r>
      <w:hyperlink r:id="rId40" w:history="1">
        <w:r w:rsidRPr="006827E3">
          <w:rPr>
            <w:rStyle w:val="Hyperlink"/>
            <w:rFonts w:ascii="Arial" w:hAnsi="Arial" w:cs="Arial"/>
            <w:sz w:val="24"/>
            <w:szCs w:val="24"/>
          </w:rPr>
          <w:t>https://papers.ssrn.com/sol3/papers.cfm?abstract_id=4781464</w:t>
        </w:r>
      </w:hyperlink>
      <w:r w:rsidRPr="006827E3">
        <w:rPr>
          <w:rFonts w:ascii="Arial" w:hAnsi="Arial" w:cs="Arial"/>
          <w:sz w:val="24"/>
          <w:szCs w:val="24"/>
        </w:rPr>
        <w:t xml:space="preserve">  (Accessed: 2 March 2026).</w:t>
      </w:r>
    </w:p>
    <w:p w14:paraId="71FA5586"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Javed, S., Rashidin, M.S. and Jian, W. (2024) ‘Effects of heuristic and systematic cues on perceived content credibility of Sina Weibo influencers: the moderating role of involvement’, </w:t>
      </w:r>
      <w:r w:rsidRPr="006827E3">
        <w:rPr>
          <w:rFonts w:ascii="Arial" w:hAnsi="Arial" w:cs="Arial"/>
          <w:i/>
          <w:iCs/>
          <w:sz w:val="24"/>
          <w:szCs w:val="24"/>
          <w:lang w:val="en-IN"/>
        </w:rPr>
        <w:t>Humanities and Social Sciences Communications</w:t>
      </w:r>
      <w:r w:rsidRPr="006827E3">
        <w:rPr>
          <w:rFonts w:ascii="Arial" w:hAnsi="Arial" w:cs="Arial"/>
          <w:sz w:val="24"/>
          <w:szCs w:val="24"/>
          <w:lang w:val="en-IN"/>
        </w:rPr>
        <w:t xml:space="preserve">, 11(1). Available at: </w:t>
      </w:r>
      <w:hyperlink r:id="rId41" w:history="1">
        <w:r w:rsidRPr="006827E3">
          <w:rPr>
            <w:rStyle w:val="Hyperlink"/>
            <w:rFonts w:ascii="Arial" w:hAnsi="Arial" w:cs="Arial"/>
            <w:sz w:val="24"/>
            <w:szCs w:val="24"/>
            <w:lang w:val="en-IN"/>
          </w:rPr>
          <w:t>https://doi.org/10.1057/s41599-024-04107-w</w:t>
        </w:r>
      </w:hyperlink>
      <w:r w:rsidRPr="006827E3">
        <w:rPr>
          <w:rFonts w:ascii="Arial" w:hAnsi="Arial" w:cs="Arial"/>
          <w:sz w:val="24"/>
          <w:szCs w:val="24"/>
          <w:lang w:val="en-IN"/>
        </w:rPr>
        <w:t xml:space="preserve">. </w:t>
      </w:r>
    </w:p>
    <w:p w14:paraId="2BAFE2DA"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Jia, W., Fu, L. and Dai, Y. (2023) ‘Increasing trust in influencer marketing: The effects of sponsorship disclosure and endorser type’, </w:t>
      </w:r>
      <w:r w:rsidRPr="006827E3">
        <w:rPr>
          <w:rFonts w:ascii="Arial" w:hAnsi="Arial" w:cs="Arial"/>
          <w:i/>
          <w:iCs/>
          <w:sz w:val="24"/>
          <w:szCs w:val="24"/>
          <w:lang w:val="en-IN"/>
        </w:rPr>
        <w:t xml:space="preserve">Journal of Promotion </w:t>
      </w:r>
      <w:r w:rsidRPr="006827E3">
        <w:rPr>
          <w:rFonts w:ascii="Arial" w:hAnsi="Arial" w:cs="Arial"/>
          <w:i/>
          <w:iCs/>
          <w:sz w:val="24"/>
          <w:szCs w:val="24"/>
          <w:lang w:val="en-IN"/>
        </w:rPr>
        <w:lastRenderedPageBreak/>
        <w:t>Management</w:t>
      </w:r>
      <w:r w:rsidRPr="006827E3">
        <w:rPr>
          <w:rFonts w:ascii="Arial" w:hAnsi="Arial" w:cs="Arial"/>
          <w:sz w:val="24"/>
          <w:szCs w:val="24"/>
          <w:lang w:val="en-IN"/>
        </w:rPr>
        <w:t xml:space="preserve">, 30(4), pp. 615–638. Available at: </w:t>
      </w:r>
      <w:hyperlink r:id="rId42" w:history="1">
        <w:r w:rsidRPr="006827E3">
          <w:rPr>
            <w:rStyle w:val="Hyperlink"/>
            <w:rFonts w:ascii="Arial" w:hAnsi="Arial" w:cs="Arial"/>
            <w:sz w:val="24"/>
            <w:szCs w:val="24"/>
            <w:lang w:val="en-IN"/>
          </w:rPr>
          <w:t>https://doi.org/10.1080/10496491.2023.2289925</w:t>
        </w:r>
      </w:hyperlink>
      <w:r w:rsidRPr="006827E3">
        <w:rPr>
          <w:rFonts w:ascii="Arial" w:hAnsi="Arial" w:cs="Arial"/>
          <w:sz w:val="24"/>
          <w:szCs w:val="24"/>
          <w:lang w:val="en-IN"/>
        </w:rPr>
        <w:t xml:space="preserve">. </w:t>
      </w:r>
    </w:p>
    <w:p w14:paraId="159E91B3"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Keller, K.L. (1993) 'Conceptualizing, measuring, and managing customer-based brand equity', </w:t>
      </w:r>
      <w:r w:rsidRPr="006827E3">
        <w:rPr>
          <w:rFonts w:ascii="Arial" w:hAnsi="Arial" w:cs="Arial"/>
          <w:i/>
          <w:iCs/>
          <w:sz w:val="24"/>
          <w:szCs w:val="24"/>
        </w:rPr>
        <w:t>Journal of Marketing</w:t>
      </w:r>
      <w:r w:rsidRPr="006827E3">
        <w:rPr>
          <w:rFonts w:ascii="Arial" w:hAnsi="Arial" w:cs="Arial"/>
          <w:sz w:val="24"/>
          <w:szCs w:val="24"/>
        </w:rPr>
        <w:t xml:space="preserve">, 57(1), pp. 1–22. Available at: </w:t>
      </w:r>
      <w:hyperlink r:id="rId43" w:history="1">
        <w:r w:rsidRPr="006827E3">
          <w:rPr>
            <w:rStyle w:val="Hyperlink"/>
            <w:rFonts w:ascii="Arial" w:hAnsi="Arial" w:cs="Arial"/>
            <w:sz w:val="24"/>
            <w:szCs w:val="24"/>
          </w:rPr>
          <w:t>https://doi.org/10.1177/002224299305700101</w:t>
        </w:r>
      </w:hyperlink>
      <w:r w:rsidRPr="006827E3">
        <w:rPr>
          <w:rFonts w:ascii="Arial" w:hAnsi="Arial" w:cs="Arial"/>
          <w:sz w:val="24"/>
          <w:szCs w:val="24"/>
        </w:rPr>
        <w:t xml:space="preserve">. </w:t>
      </w:r>
    </w:p>
    <w:p w14:paraId="3A9DE43C"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Khalfallah, D. and Keller, V. (2025) ‘Authenticity, ethics, and transparency in virtual influencer marketing: A cross-cultural analysis of consumer trust and engagement: A systematic literature review’, </w:t>
      </w:r>
      <w:r w:rsidRPr="006827E3">
        <w:rPr>
          <w:rFonts w:ascii="Arial" w:hAnsi="Arial" w:cs="Arial"/>
          <w:i/>
          <w:iCs/>
          <w:sz w:val="24"/>
          <w:szCs w:val="24"/>
        </w:rPr>
        <w:t>Acta Psychologica</w:t>
      </w:r>
      <w:r w:rsidRPr="006827E3">
        <w:rPr>
          <w:rFonts w:ascii="Arial" w:hAnsi="Arial" w:cs="Arial"/>
          <w:sz w:val="24"/>
          <w:szCs w:val="24"/>
        </w:rPr>
        <w:t xml:space="preserve">, 260, p. 105573. Available at: </w:t>
      </w:r>
      <w:hyperlink r:id="rId44" w:history="1">
        <w:r w:rsidRPr="006827E3">
          <w:rPr>
            <w:rStyle w:val="Hyperlink"/>
            <w:rFonts w:ascii="Arial" w:hAnsi="Arial" w:cs="Arial"/>
            <w:sz w:val="24"/>
            <w:szCs w:val="24"/>
          </w:rPr>
          <w:t>https://doi.org/10.1016/j.actpsy.2025.105573</w:t>
        </w:r>
      </w:hyperlink>
      <w:r w:rsidRPr="006827E3">
        <w:rPr>
          <w:rFonts w:ascii="Arial" w:hAnsi="Arial" w:cs="Arial"/>
          <w:sz w:val="24"/>
          <w:szCs w:val="24"/>
        </w:rPr>
        <w:t xml:space="preserve">. </w:t>
      </w:r>
    </w:p>
    <w:p w14:paraId="5649B0E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Kilumile, J.W., John, J.K. and Mtebe, B.C. (2025) ‘I would purchase what I co-create! How fashion influencer credibility sways consumer purchase intention’, </w:t>
      </w:r>
      <w:r w:rsidRPr="006827E3">
        <w:rPr>
          <w:rFonts w:ascii="Arial" w:hAnsi="Arial" w:cs="Arial"/>
          <w:i/>
          <w:iCs/>
          <w:sz w:val="24"/>
          <w:szCs w:val="24"/>
        </w:rPr>
        <w:t>Cogent Business &amp; Management</w:t>
      </w:r>
      <w:r w:rsidRPr="006827E3">
        <w:rPr>
          <w:rFonts w:ascii="Arial" w:hAnsi="Arial" w:cs="Arial"/>
          <w:sz w:val="24"/>
          <w:szCs w:val="24"/>
        </w:rPr>
        <w:t xml:space="preserve">, 12(1). Available at: </w:t>
      </w:r>
      <w:hyperlink r:id="rId45" w:history="1">
        <w:r w:rsidRPr="006827E3">
          <w:rPr>
            <w:rStyle w:val="Hyperlink"/>
            <w:rFonts w:ascii="Arial" w:hAnsi="Arial" w:cs="Arial"/>
            <w:sz w:val="24"/>
            <w:szCs w:val="24"/>
          </w:rPr>
          <w:t>https://doi.org/10.1080/23311975.2025.2582882</w:t>
        </w:r>
      </w:hyperlink>
      <w:r w:rsidRPr="006827E3">
        <w:rPr>
          <w:rFonts w:ascii="Arial" w:hAnsi="Arial" w:cs="Arial"/>
          <w:sz w:val="24"/>
          <w:szCs w:val="24"/>
        </w:rPr>
        <w:t xml:space="preserve">. </w:t>
      </w:r>
    </w:p>
    <w:p w14:paraId="641394D5"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Kim, D. and Wang, Z. (2024) ‘Social media influencer vs. virtual influencer: The mediating role of source credibility and authenticity in advertising effectiveness within AI influencer marketing’, </w:t>
      </w:r>
      <w:r w:rsidRPr="006827E3">
        <w:rPr>
          <w:rFonts w:ascii="Arial" w:eastAsia="Times New Roman" w:hAnsi="Arial" w:cs="Arial"/>
          <w:i/>
          <w:iCs/>
          <w:sz w:val="24"/>
          <w:szCs w:val="24"/>
          <w:lang w:val="en-IN" w:eastAsia="en-IN" w:bidi="ml-IN"/>
        </w:rPr>
        <w:t>Computers in Human Behavior Artificial Humans</w:t>
      </w:r>
      <w:r w:rsidRPr="006827E3">
        <w:rPr>
          <w:rFonts w:ascii="Arial" w:eastAsia="Times New Roman" w:hAnsi="Arial" w:cs="Arial"/>
          <w:sz w:val="24"/>
          <w:szCs w:val="24"/>
          <w:lang w:val="en-IN" w:eastAsia="en-IN" w:bidi="ml-IN"/>
        </w:rPr>
        <w:t xml:space="preserve">, 2(2), p. 100100. Available at: </w:t>
      </w:r>
      <w:hyperlink r:id="rId46" w:history="1">
        <w:r w:rsidRPr="006827E3">
          <w:rPr>
            <w:rStyle w:val="Hyperlink"/>
            <w:rFonts w:ascii="Arial" w:eastAsia="Times New Roman" w:hAnsi="Arial" w:cs="Arial"/>
            <w:sz w:val="24"/>
            <w:szCs w:val="24"/>
            <w:lang w:val="en-IN" w:eastAsia="en-IN" w:bidi="ml-IN"/>
          </w:rPr>
          <w:t>https://doi.org/10.1016/j.chbah.2024.100100</w:t>
        </w:r>
      </w:hyperlink>
      <w:r w:rsidRPr="006827E3">
        <w:rPr>
          <w:rFonts w:ascii="Arial" w:eastAsia="Times New Roman" w:hAnsi="Arial" w:cs="Arial"/>
          <w:sz w:val="24"/>
          <w:szCs w:val="24"/>
          <w:lang w:val="en-IN" w:eastAsia="en-IN" w:bidi="ml-IN"/>
        </w:rPr>
        <w:t xml:space="preserve">.  </w:t>
      </w:r>
    </w:p>
    <w:p w14:paraId="315BDA5C"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Knoll, J. and Matthes, J. (2017) 'The effectiveness of celebrity endorsements: a meta-analysis', </w:t>
      </w:r>
      <w:r w:rsidRPr="006827E3">
        <w:rPr>
          <w:rFonts w:ascii="Arial" w:hAnsi="Arial" w:cs="Arial"/>
          <w:i/>
          <w:iCs/>
          <w:sz w:val="24"/>
          <w:szCs w:val="24"/>
        </w:rPr>
        <w:t>Journal of the Academy of Marketing Science</w:t>
      </w:r>
      <w:r w:rsidRPr="006827E3">
        <w:rPr>
          <w:rFonts w:ascii="Arial" w:hAnsi="Arial" w:cs="Arial"/>
          <w:sz w:val="24"/>
          <w:szCs w:val="24"/>
        </w:rPr>
        <w:t xml:space="preserve">, 45(1), pp. 55–75. Available at: </w:t>
      </w:r>
      <w:hyperlink r:id="rId47" w:history="1">
        <w:r w:rsidRPr="006827E3">
          <w:rPr>
            <w:rStyle w:val="Hyperlink"/>
            <w:rFonts w:ascii="Arial" w:hAnsi="Arial" w:cs="Arial"/>
            <w:sz w:val="24"/>
            <w:szCs w:val="24"/>
          </w:rPr>
          <w:t>https://doi.org/10.1007/s11747-016-0503-8</w:t>
        </w:r>
      </w:hyperlink>
      <w:r w:rsidRPr="006827E3">
        <w:rPr>
          <w:rFonts w:ascii="Arial" w:hAnsi="Arial" w:cs="Arial"/>
          <w:sz w:val="24"/>
          <w:szCs w:val="24"/>
        </w:rPr>
        <w:t xml:space="preserve"> </w:t>
      </w:r>
    </w:p>
    <w:p w14:paraId="2BD4C5FA"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Krowinska, A. and Dineva, D. (2025) ‘The role and forms of social media branded content driving active customer engagement behaviours’, </w:t>
      </w:r>
      <w:r w:rsidRPr="006827E3">
        <w:rPr>
          <w:rFonts w:ascii="Arial" w:hAnsi="Arial" w:cs="Arial"/>
          <w:i/>
          <w:iCs/>
          <w:sz w:val="24"/>
          <w:szCs w:val="24"/>
        </w:rPr>
        <w:t>Journal of Marketing Management</w:t>
      </w:r>
      <w:r w:rsidRPr="006827E3">
        <w:rPr>
          <w:rFonts w:ascii="Arial" w:hAnsi="Arial" w:cs="Arial"/>
          <w:sz w:val="24"/>
          <w:szCs w:val="24"/>
        </w:rPr>
        <w:t xml:space="preserve">, 41(9–10), pp. 1030–1060. Available at: </w:t>
      </w:r>
      <w:hyperlink r:id="rId48" w:history="1">
        <w:r w:rsidRPr="006827E3">
          <w:rPr>
            <w:rStyle w:val="Hyperlink"/>
            <w:rFonts w:ascii="Arial" w:hAnsi="Arial" w:cs="Arial"/>
            <w:sz w:val="24"/>
            <w:szCs w:val="24"/>
          </w:rPr>
          <w:t>https://doi.org/10.1080/0267257x.2025.2544808</w:t>
        </w:r>
      </w:hyperlink>
      <w:r w:rsidRPr="006827E3">
        <w:rPr>
          <w:rFonts w:ascii="Arial" w:hAnsi="Arial" w:cs="Arial"/>
          <w:sz w:val="24"/>
          <w:szCs w:val="24"/>
        </w:rPr>
        <w:t xml:space="preserve">. </w:t>
      </w:r>
    </w:p>
    <w:p w14:paraId="1CBBD766"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Kumar, A. and Jibril, A.B. (2025) 'Exploring the landscape of influencer marketing research: a systematic review and bibliometric analysis', </w:t>
      </w:r>
      <w:r w:rsidRPr="006827E3">
        <w:rPr>
          <w:rFonts w:ascii="Arial" w:hAnsi="Arial" w:cs="Arial"/>
          <w:i/>
          <w:iCs/>
          <w:sz w:val="24"/>
          <w:szCs w:val="24"/>
        </w:rPr>
        <w:t>SAGE Open</w:t>
      </w:r>
      <w:r w:rsidRPr="006827E3">
        <w:rPr>
          <w:rFonts w:ascii="Arial" w:hAnsi="Arial" w:cs="Arial"/>
          <w:sz w:val="24"/>
          <w:szCs w:val="24"/>
        </w:rPr>
        <w:t xml:space="preserve">, 15(1). Available at: </w:t>
      </w:r>
      <w:hyperlink r:id="rId49" w:history="1">
        <w:r w:rsidRPr="006827E3">
          <w:rPr>
            <w:rStyle w:val="Hyperlink"/>
            <w:rFonts w:ascii="Arial" w:hAnsi="Arial" w:cs="Arial"/>
            <w:sz w:val="24"/>
            <w:szCs w:val="24"/>
          </w:rPr>
          <w:t>https://doi.org/10.1177/21582440251364040</w:t>
        </w:r>
      </w:hyperlink>
      <w:r w:rsidRPr="006827E3">
        <w:rPr>
          <w:rFonts w:ascii="Arial" w:hAnsi="Arial" w:cs="Arial"/>
          <w:sz w:val="24"/>
          <w:szCs w:val="24"/>
        </w:rPr>
        <w:t xml:space="preserve">. </w:t>
      </w:r>
    </w:p>
    <w:p w14:paraId="030F471F"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Kumar, R. (2024) 'Analysing the effectiveness of micro-influencer marketing compared to traditional celebrity endorsements’, </w:t>
      </w:r>
      <w:r w:rsidRPr="006827E3">
        <w:rPr>
          <w:rFonts w:ascii="Arial" w:hAnsi="Arial" w:cs="Arial"/>
          <w:i/>
          <w:iCs/>
          <w:sz w:val="24"/>
          <w:szCs w:val="24"/>
        </w:rPr>
        <w:t>Innovation and Integrative Research Center Journal</w:t>
      </w:r>
      <w:r w:rsidRPr="006827E3">
        <w:rPr>
          <w:rFonts w:ascii="Arial" w:hAnsi="Arial" w:cs="Arial"/>
          <w:sz w:val="24"/>
          <w:szCs w:val="24"/>
        </w:rPr>
        <w:t xml:space="preserve">, 2(6), pp. 278–294. Available at: </w:t>
      </w:r>
      <w:hyperlink r:id="rId50" w:history="1">
        <w:r w:rsidRPr="006827E3">
          <w:rPr>
            <w:rStyle w:val="Hyperlink"/>
            <w:rFonts w:ascii="Arial" w:hAnsi="Arial" w:cs="Arial"/>
            <w:sz w:val="24"/>
            <w:szCs w:val="24"/>
          </w:rPr>
          <w:t>https://iircj.org/wp-content/uploads/2024/07/29.-Analysing-the-effectiveness-of-micro-influencer-marketing-compared-to-traditional-celebrity-endorsements-1.pdf</w:t>
        </w:r>
      </w:hyperlink>
      <w:r w:rsidRPr="006827E3">
        <w:rPr>
          <w:rFonts w:ascii="Arial" w:hAnsi="Arial" w:cs="Arial"/>
          <w:sz w:val="24"/>
          <w:szCs w:val="24"/>
        </w:rPr>
        <w:t xml:space="preserve">  (Accessed: 19 March 2026).</w:t>
      </w:r>
    </w:p>
    <w:p w14:paraId="7C282C47"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lastRenderedPageBreak/>
        <w:t xml:space="preserve">Lee, J., Walter, N., Hayes, J.L. and Golan, G.J. (2024) ‘Do Influencers Influence? A Meta-Analytic comparison of celebrities and social media influencers effects’, </w:t>
      </w:r>
      <w:r w:rsidRPr="006827E3">
        <w:rPr>
          <w:rFonts w:ascii="Arial" w:eastAsia="Times New Roman" w:hAnsi="Arial" w:cs="Arial"/>
          <w:i/>
          <w:iCs/>
          <w:sz w:val="24"/>
          <w:szCs w:val="24"/>
          <w:lang w:val="en-IN" w:eastAsia="en-IN" w:bidi="ml-IN"/>
        </w:rPr>
        <w:t>Social Media + Society</w:t>
      </w:r>
      <w:r w:rsidRPr="006827E3">
        <w:rPr>
          <w:rFonts w:ascii="Arial" w:eastAsia="Times New Roman" w:hAnsi="Arial" w:cs="Arial"/>
          <w:sz w:val="24"/>
          <w:szCs w:val="24"/>
          <w:lang w:val="en-IN" w:eastAsia="en-IN" w:bidi="ml-IN"/>
        </w:rPr>
        <w:t xml:space="preserve">, 10(3). Available at: </w:t>
      </w:r>
      <w:hyperlink r:id="rId51" w:history="1">
        <w:r w:rsidRPr="006827E3">
          <w:rPr>
            <w:rStyle w:val="Hyperlink"/>
            <w:rFonts w:ascii="Arial" w:eastAsia="Times New Roman" w:hAnsi="Arial" w:cs="Arial"/>
            <w:sz w:val="24"/>
            <w:szCs w:val="24"/>
            <w:lang w:val="en-IN" w:eastAsia="en-IN" w:bidi="ml-IN"/>
          </w:rPr>
          <w:t>https://doi.org/10.1177/20563051241269269</w:t>
        </w:r>
      </w:hyperlink>
      <w:r w:rsidRPr="006827E3">
        <w:rPr>
          <w:rFonts w:ascii="Arial" w:eastAsia="Times New Roman" w:hAnsi="Arial" w:cs="Arial"/>
          <w:sz w:val="24"/>
          <w:szCs w:val="24"/>
          <w:lang w:val="en-IN" w:eastAsia="en-IN" w:bidi="ml-IN"/>
        </w:rPr>
        <w:t xml:space="preserve">. </w:t>
      </w:r>
    </w:p>
    <w:p w14:paraId="51F1D563"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Mardon, R., Cocker, H. and Daunt, K. (2023) ‘How social media influencers impact consumer collectives: An Embeddedness perspective’, </w:t>
      </w:r>
      <w:r w:rsidRPr="006827E3">
        <w:rPr>
          <w:rFonts w:ascii="Arial" w:hAnsi="Arial" w:cs="Arial"/>
          <w:i/>
          <w:iCs/>
          <w:sz w:val="24"/>
          <w:szCs w:val="24"/>
          <w:lang w:val="en-IN"/>
        </w:rPr>
        <w:t>Journal of Consumer Research</w:t>
      </w:r>
      <w:r w:rsidRPr="006827E3">
        <w:rPr>
          <w:rFonts w:ascii="Arial" w:hAnsi="Arial" w:cs="Arial"/>
          <w:sz w:val="24"/>
          <w:szCs w:val="24"/>
          <w:lang w:val="en-IN"/>
        </w:rPr>
        <w:t xml:space="preserve">, 50(3), pp. 617–644. Available at: </w:t>
      </w:r>
      <w:hyperlink r:id="rId52" w:history="1">
        <w:r w:rsidRPr="006827E3">
          <w:rPr>
            <w:rStyle w:val="Hyperlink"/>
            <w:rFonts w:ascii="Arial" w:hAnsi="Arial" w:cs="Arial"/>
            <w:sz w:val="24"/>
            <w:szCs w:val="24"/>
            <w:lang w:val="en-IN"/>
          </w:rPr>
          <w:t>https://doi.org/10.1093/jcr/ucad003</w:t>
        </w:r>
      </w:hyperlink>
      <w:r w:rsidRPr="006827E3">
        <w:rPr>
          <w:rFonts w:ascii="Arial" w:hAnsi="Arial" w:cs="Arial"/>
          <w:sz w:val="24"/>
          <w:szCs w:val="24"/>
          <w:lang w:val="en-IN"/>
        </w:rPr>
        <w:t xml:space="preserve">. </w:t>
      </w:r>
    </w:p>
    <w:p w14:paraId="459420D7"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Migkos, S.P., Giannakopoulos, N.T. and Sakas, D.P. (2025) ‘Impact of influencer marketing on consumer behavior and online shopping preferences’, </w:t>
      </w:r>
      <w:r w:rsidRPr="006827E3">
        <w:rPr>
          <w:rFonts w:ascii="Arial" w:hAnsi="Arial" w:cs="Arial"/>
          <w:i/>
          <w:iCs/>
          <w:sz w:val="24"/>
          <w:szCs w:val="24"/>
        </w:rPr>
        <w:t>Journal of Theoretical and Applied Electronic Commerce Research</w:t>
      </w:r>
      <w:r w:rsidRPr="006827E3">
        <w:rPr>
          <w:rFonts w:ascii="Arial" w:hAnsi="Arial" w:cs="Arial"/>
          <w:sz w:val="24"/>
          <w:szCs w:val="24"/>
        </w:rPr>
        <w:t xml:space="preserve">, 20(2), p. 111. Available at: </w:t>
      </w:r>
      <w:hyperlink r:id="rId53" w:history="1">
        <w:r w:rsidRPr="006827E3">
          <w:rPr>
            <w:rStyle w:val="Hyperlink"/>
            <w:rFonts w:ascii="Arial" w:hAnsi="Arial" w:cs="Arial"/>
            <w:sz w:val="24"/>
            <w:szCs w:val="24"/>
          </w:rPr>
          <w:t>https://doi.org/10.3390/jtaer20020111</w:t>
        </w:r>
      </w:hyperlink>
      <w:r w:rsidRPr="006827E3">
        <w:rPr>
          <w:rFonts w:ascii="Arial" w:hAnsi="Arial" w:cs="Arial"/>
          <w:sz w:val="24"/>
          <w:szCs w:val="24"/>
        </w:rPr>
        <w:t xml:space="preserve">. </w:t>
      </w:r>
    </w:p>
    <w:p w14:paraId="5EBCA4D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Niu, Y. (2025) 'The impact of user-generated content on consumer trust and brand loyalty', </w:t>
      </w:r>
      <w:r w:rsidRPr="006827E3">
        <w:rPr>
          <w:rFonts w:ascii="Arial" w:hAnsi="Arial" w:cs="Arial"/>
          <w:i/>
          <w:iCs/>
          <w:sz w:val="24"/>
          <w:szCs w:val="24"/>
          <w:lang w:val="en-IN"/>
        </w:rPr>
        <w:t>Advances in Economics, Management and Political Sciences</w:t>
      </w:r>
      <w:r w:rsidRPr="006827E3">
        <w:rPr>
          <w:rFonts w:ascii="Arial" w:hAnsi="Arial" w:cs="Arial"/>
          <w:sz w:val="24"/>
          <w:szCs w:val="24"/>
          <w:lang w:val="en-IN"/>
        </w:rPr>
        <w:t xml:space="preserve">, 161(1), pp. 141-146. Available at: </w:t>
      </w:r>
      <w:hyperlink r:id="rId54" w:history="1">
        <w:r w:rsidRPr="006827E3">
          <w:rPr>
            <w:rStyle w:val="Hyperlink"/>
            <w:rFonts w:ascii="Arial" w:hAnsi="Arial" w:cs="Arial"/>
            <w:sz w:val="24"/>
            <w:szCs w:val="24"/>
            <w:lang w:val="en-IN"/>
          </w:rPr>
          <w:t>https://doi.org/10.54254/2754-1169/2025.19906</w:t>
        </w:r>
      </w:hyperlink>
      <w:r w:rsidRPr="006827E3">
        <w:rPr>
          <w:rFonts w:ascii="Arial" w:hAnsi="Arial" w:cs="Arial"/>
          <w:sz w:val="24"/>
          <w:szCs w:val="24"/>
          <w:lang w:val="en-IN"/>
        </w:rPr>
        <w:t xml:space="preserve">. </w:t>
      </w:r>
    </w:p>
    <w:p w14:paraId="060C5939"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Ni</w:t>
      </w:r>
      <w:r w:rsidRPr="006827E3">
        <w:rPr>
          <w:rFonts w:ascii="Cambria Math" w:hAnsi="Cambria Math" w:cs="Cambria Math"/>
          <w:sz w:val="24"/>
          <w:szCs w:val="24"/>
          <w:lang w:val="en-IN"/>
        </w:rPr>
        <w:t>‐</w:t>
      </w:r>
      <w:r w:rsidRPr="006827E3">
        <w:rPr>
          <w:rFonts w:ascii="Arial" w:hAnsi="Arial" w:cs="Arial"/>
          <w:sz w:val="24"/>
          <w:szCs w:val="24"/>
          <w:lang w:val="en-IN"/>
        </w:rPr>
        <w:t xml:space="preserve">Ying, M., Tu, G., Su, Y., Matute, J. and Derqui, B. (2025) ‘Advancing sustainable consumption in the green skincare sector: Examining celebrity endorsements through the theory of planned Behavior and source credibility Theory’, </w:t>
      </w:r>
      <w:r w:rsidRPr="006827E3">
        <w:rPr>
          <w:rFonts w:ascii="Arial" w:hAnsi="Arial" w:cs="Arial"/>
          <w:i/>
          <w:iCs/>
          <w:sz w:val="24"/>
          <w:szCs w:val="24"/>
          <w:lang w:val="en-IN"/>
        </w:rPr>
        <w:t>Sustainable Development</w:t>
      </w:r>
      <w:r w:rsidRPr="006827E3">
        <w:rPr>
          <w:rFonts w:ascii="Arial" w:hAnsi="Arial" w:cs="Arial"/>
          <w:sz w:val="24"/>
          <w:szCs w:val="24"/>
          <w:lang w:val="en-IN"/>
        </w:rPr>
        <w:t xml:space="preserve">, 34(2), pp. 1936–1951. Available at: </w:t>
      </w:r>
      <w:hyperlink r:id="rId55" w:history="1">
        <w:r w:rsidRPr="006827E3">
          <w:rPr>
            <w:rStyle w:val="Hyperlink"/>
            <w:rFonts w:ascii="Arial" w:hAnsi="Arial" w:cs="Arial"/>
            <w:sz w:val="24"/>
            <w:szCs w:val="24"/>
            <w:lang w:val="en-IN"/>
          </w:rPr>
          <w:t>https://doi.org/10.1002/sd.70417</w:t>
        </w:r>
      </w:hyperlink>
      <w:r w:rsidRPr="006827E3">
        <w:rPr>
          <w:rFonts w:ascii="Arial" w:hAnsi="Arial" w:cs="Arial"/>
          <w:sz w:val="24"/>
          <w:szCs w:val="24"/>
          <w:lang w:val="en-IN"/>
        </w:rPr>
        <w:t xml:space="preserve">. </w:t>
      </w:r>
    </w:p>
    <w:p w14:paraId="22C78B0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OECD (2026) </w:t>
      </w:r>
      <w:r w:rsidRPr="006827E3">
        <w:rPr>
          <w:rFonts w:ascii="Arial" w:hAnsi="Arial" w:cs="Arial"/>
          <w:i/>
          <w:iCs/>
          <w:sz w:val="24"/>
          <w:szCs w:val="24"/>
        </w:rPr>
        <w:t>Local Retail, global trends, OECD studies on SMEs and entrepreneurship</w:t>
      </w:r>
      <w:r w:rsidRPr="006827E3">
        <w:rPr>
          <w:rFonts w:ascii="Arial" w:hAnsi="Arial" w:cs="Arial"/>
          <w:sz w:val="24"/>
          <w:szCs w:val="24"/>
        </w:rPr>
        <w:t xml:space="preserve">. Available at: </w:t>
      </w:r>
      <w:hyperlink r:id="rId56" w:history="1">
        <w:r w:rsidRPr="006827E3">
          <w:rPr>
            <w:rStyle w:val="Hyperlink"/>
            <w:rFonts w:ascii="Arial" w:hAnsi="Arial" w:cs="Arial"/>
            <w:sz w:val="24"/>
            <w:szCs w:val="24"/>
          </w:rPr>
          <w:t>https://doi.org/10.1787/55e2edec-en</w:t>
        </w:r>
      </w:hyperlink>
      <w:r w:rsidRPr="006827E3">
        <w:rPr>
          <w:rFonts w:ascii="Arial" w:hAnsi="Arial" w:cs="Arial"/>
          <w:sz w:val="24"/>
          <w:szCs w:val="24"/>
        </w:rPr>
        <w:t xml:space="preserve">. </w:t>
      </w:r>
    </w:p>
    <w:p w14:paraId="5C2CF1D7"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Pan, M., Blut, M., Ghiassaleh, A. and Lee, Z.W.Y. (2025) ‘Influencer marketing effectiveness: A meta-analytic review’, </w:t>
      </w:r>
      <w:r w:rsidRPr="006827E3">
        <w:rPr>
          <w:rFonts w:ascii="Arial" w:hAnsi="Arial" w:cs="Arial"/>
          <w:i/>
          <w:iCs/>
          <w:sz w:val="24"/>
          <w:szCs w:val="24"/>
        </w:rPr>
        <w:t>Journal of the Academy of Marketing Science</w:t>
      </w:r>
      <w:r w:rsidRPr="006827E3">
        <w:rPr>
          <w:rFonts w:ascii="Arial" w:hAnsi="Arial" w:cs="Arial"/>
          <w:sz w:val="24"/>
          <w:szCs w:val="24"/>
        </w:rPr>
        <w:t xml:space="preserve">, 53(1), pp. 52–78. Available at: </w:t>
      </w:r>
      <w:hyperlink r:id="rId57" w:history="1">
        <w:r w:rsidRPr="006827E3">
          <w:rPr>
            <w:rStyle w:val="Hyperlink"/>
            <w:rFonts w:ascii="Arial" w:hAnsi="Arial" w:cs="Arial"/>
            <w:sz w:val="24"/>
            <w:szCs w:val="24"/>
          </w:rPr>
          <w:t>https://doi.org/10.1007/s11747-024-01052-7</w:t>
        </w:r>
      </w:hyperlink>
      <w:r w:rsidRPr="006827E3">
        <w:rPr>
          <w:rFonts w:ascii="Arial" w:hAnsi="Arial" w:cs="Arial"/>
          <w:sz w:val="24"/>
          <w:szCs w:val="24"/>
        </w:rPr>
        <w:t xml:space="preserve">. </w:t>
      </w:r>
    </w:p>
    <w:p w14:paraId="4346B9B2"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Patel, K., Arroyo-Cañada, F.-J. and Gil-Lafuente, J. (2023) ‘Decision-making in choosing an effective celebrity endorsement strategy using fuzzy Forgotten Effects: a cross-cultural study’, </w:t>
      </w:r>
      <w:r w:rsidRPr="006827E3">
        <w:rPr>
          <w:rFonts w:ascii="Arial" w:hAnsi="Arial" w:cs="Arial"/>
          <w:i/>
          <w:iCs/>
          <w:sz w:val="24"/>
          <w:szCs w:val="24"/>
        </w:rPr>
        <w:t>Foreign Trade Review</w:t>
      </w:r>
      <w:r w:rsidRPr="006827E3">
        <w:rPr>
          <w:rFonts w:ascii="Arial" w:hAnsi="Arial" w:cs="Arial"/>
          <w:sz w:val="24"/>
          <w:szCs w:val="24"/>
        </w:rPr>
        <w:t xml:space="preserve">, 61(2), pp. 139–166. Available at: </w:t>
      </w:r>
      <w:hyperlink r:id="rId58" w:history="1">
        <w:r w:rsidRPr="006827E3">
          <w:rPr>
            <w:rStyle w:val="Hyperlink"/>
            <w:rFonts w:ascii="Arial" w:hAnsi="Arial" w:cs="Arial"/>
            <w:sz w:val="24"/>
            <w:szCs w:val="24"/>
          </w:rPr>
          <w:t>https://doi.org/10.1177/00157325231214046</w:t>
        </w:r>
      </w:hyperlink>
      <w:r w:rsidRPr="006827E3">
        <w:rPr>
          <w:rFonts w:ascii="Arial" w:hAnsi="Arial" w:cs="Arial"/>
          <w:sz w:val="24"/>
          <w:szCs w:val="24"/>
        </w:rPr>
        <w:t xml:space="preserve">. </w:t>
      </w:r>
    </w:p>
    <w:p w14:paraId="0B4EAD6C"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lastRenderedPageBreak/>
        <w:t xml:space="preserve">Paul, J. et al. (2024) 'Digital transformation: a multidisciplinary perspective and future research agenda', </w:t>
      </w:r>
      <w:r w:rsidRPr="006827E3">
        <w:rPr>
          <w:rFonts w:ascii="Arial" w:hAnsi="Arial" w:cs="Arial"/>
          <w:i/>
          <w:iCs/>
          <w:sz w:val="24"/>
          <w:szCs w:val="24"/>
        </w:rPr>
        <w:t>International Journal of Consumer Studies</w:t>
      </w:r>
      <w:r w:rsidRPr="006827E3">
        <w:rPr>
          <w:rFonts w:ascii="Arial" w:hAnsi="Arial" w:cs="Arial"/>
          <w:sz w:val="24"/>
          <w:szCs w:val="24"/>
        </w:rPr>
        <w:t xml:space="preserve">, 48(2). Available at: </w:t>
      </w:r>
      <w:hyperlink r:id="rId59" w:history="1">
        <w:r w:rsidRPr="006827E3">
          <w:rPr>
            <w:rStyle w:val="Hyperlink"/>
            <w:rFonts w:ascii="Arial" w:hAnsi="Arial" w:cs="Arial"/>
            <w:sz w:val="24"/>
            <w:szCs w:val="24"/>
          </w:rPr>
          <w:t>https://doi.org/10.1111/ijcs.13015</w:t>
        </w:r>
      </w:hyperlink>
      <w:r w:rsidRPr="006827E3">
        <w:rPr>
          <w:rFonts w:ascii="Arial" w:hAnsi="Arial" w:cs="Arial"/>
          <w:sz w:val="24"/>
          <w:szCs w:val="24"/>
        </w:rPr>
        <w:t xml:space="preserve">. </w:t>
      </w:r>
    </w:p>
    <w:p w14:paraId="645FADD9"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Peggiani, G. and Lamberti, L. (2026) ‘Beyond the post: Crafting influencer marketing strategies across the funnel’, </w:t>
      </w:r>
      <w:r w:rsidRPr="006827E3">
        <w:rPr>
          <w:rFonts w:ascii="Arial" w:hAnsi="Arial" w:cs="Arial"/>
          <w:i/>
          <w:iCs/>
          <w:sz w:val="24"/>
          <w:szCs w:val="24"/>
        </w:rPr>
        <w:t>Journal of Business Research</w:t>
      </w:r>
      <w:r w:rsidRPr="006827E3">
        <w:rPr>
          <w:rFonts w:ascii="Arial" w:hAnsi="Arial" w:cs="Arial"/>
          <w:sz w:val="24"/>
          <w:szCs w:val="24"/>
        </w:rPr>
        <w:t xml:space="preserve">, 207, p. 116037. Available at: </w:t>
      </w:r>
      <w:hyperlink r:id="rId60" w:history="1">
        <w:r w:rsidRPr="006827E3">
          <w:rPr>
            <w:rStyle w:val="Hyperlink"/>
            <w:rFonts w:ascii="Arial" w:hAnsi="Arial" w:cs="Arial"/>
            <w:sz w:val="24"/>
            <w:szCs w:val="24"/>
          </w:rPr>
          <w:t>https://doi.org/10.1016/j.jbusres.2026.116037</w:t>
        </w:r>
      </w:hyperlink>
      <w:r w:rsidRPr="006827E3">
        <w:rPr>
          <w:rFonts w:ascii="Arial" w:hAnsi="Arial" w:cs="Arial"/>
          <w:sz w:val="24"/>
          <w:szCs w:val="24"/>
        </w:rPr>
        <w:t xml:space="preserve">. </w:t>
      </w:r>
    </w:p>
    <w:p w14:paraId="2E87250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Petkovska, M. (2025) </w:t>
      </w:r>
      <w:r w:rsidRPr="006827E3">
        <w:rPr>
          <w:rFonts w:ascii="Arial" w:hAnsi="Arial" w:cs="Arial"/>
          <w:i/>
          <w:iCs/>
          <w:sz w:val="24"/>
          <w:szCs w:val="24"/>
        </w:rPr>
        <w:t>What is undermining trust in B2B influencer marketing?</w:t>
      </w:r>
      <w:r w:rsidRPr="006827E3">
        <w:rPr>
          <w:rFonts w:ascii="Arial" w:hAnsi="Arial" w:cs="Arial"/>
          <w:sz w:val="24"/>
          <w:szCs w:val="24"/>
        </w:rPr>
        <w:t xml:space="preserve"> Available at: </w:t>
      </w:r>
      <w:hyperlink r:id="rId61" w:history="1">
        <w:r w:rsidRPr="006827E3">
          <w:rPr>
            <w:rStyle w:val="Hyperlink"/>
            <w:rFonts w:ascii="Arial" w:hAnsi="Arial" w:cs="Arial"/>
            <w:sz w:val="24"/>
            <w:szCs w:val="24"/>
          </w:rPr>
          <w:t>https://blog.gaggleamp.com/why-influencer-marketing-is-tough-to-trust</w:t>
        </w:r>
      </w:hyperlink>
      <w:r w:rsidRPr="006827E3">
        <w:rPr>
          <w:rFonts w:ascii="Arial" w:hAnsi="Arial" w:cs="Arial"/>
          <w:sz w:val="24"/>
          <w:szCs w:val="24"/>
        </w:rPr>
        <w:t xml:space="preserve">  (Accessed: 15 May 2026).</w:t>
      </w:r>
    </w:p>
    <w:p w14:paraId="11A40AF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Rajput, A. and Gandhi, A. (2024) ‘The branding power of social media influencers: an interactive marketing approach’, </w:t>
      </w:r>
      <w:r w:rsidRPr="006827E3">
        <w:rPr>
          <w:rFonts w:ascii="Arial" w:hAnsi="Arial" w:cs="Arial"/>
          <w:i/>
          <w:iCs/>
          <w:sz w:val="24"/>
          <w:szCs w:val="24"/>
          <w:lang w:val="en-IN"/>
        </w:rPr>
        <w:t>Cogent Business &amp; Management</w:t>
      </w:r>
      <w:r w:rsidRPr="006827E3">
        <w:rPr>
          <w:rFonts w:ascii="Arial" w:hAnsi="Arial" w:cs="Arial"/>
          <w:sz w:val="24"/>
          <w:szCs w:val="24"/>
          <w:lang w:val="en-IN"/>
        </w:rPr>
        <w:t xml:space="preserve">, 11(1). Available at: </w:t>
      </w:r>
      <w:hyperlink r:id="rId62" w:history="1">
        <w:r w:rsidRPr="006827E3">
          <w:rPr>
            <w:rStyle w:val="Hyperlink"/>
            <w:rFonts w:ascii="Arial" w:hAnsi="Arial" w:cs="Arial"/>
            <w:sz w:val="24"/>
            <w:szCs w:val="24"/>
            <w:lang w:val="en-IN"/>
          </w:rPr>
          <w:t>https://doi.org/10.1080/23311975.2024.2380807</w:t>
        </w:r>
      </w:hyperlink>
      <w:r w:rsidRPr="006827E3">
        <w:rPr>
          <w:rFonts w:ascii="Arial" w:hAnsi="Arial" w:cs="Arial"/>
          <w:sz w:val="24"/>
          <w:szCs w:val="24"/>
          <w:lang w:val="en-IN"/>
        </w:rPr>
        <w:t xml:space="preserve">. </w:t>
      </w:r>
    </w:p>
    <w:p w14:paraId="5D45202F"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Ren, S., Karimi, S., Velázquez, A.B. and Cai, J. (2022) ‘Endorsement effectiveness of different social media influencers: The moderating effect of brand competence and warmth’, </w:t>
      </w:r>
      <w:r w:rsidRPr="006827E3">
        <w:rPr>
          <w:rFonts w:ascii="Arial" w:hAnsi="Arial" w:cs="Arial"/>
          <w:i/>
          <w:iCs/>
          <w:sz w:val="24"/>
          <w:szCs w:val="24"/>
        </w:rPr>
        <w:t>Journal of Business Research</w:t>
      </w:r>
      <w:r w:rsidRPr="006827E3">
        <w:rPr>
          <w:rFonts w:ascii="Arial" w:hAnsi="Arial" w:cs="Arial"/>
          <w:sz w:val="24"/>
          <w:szCs w:val="24"/>
        </w:rPr>
        <w:t xml:space="preserve">, 156, p. 113476. Available at: </w:t>
      </w:r>
      <w:hyperlink r:id="rId63" w:history="1">
        <w:r w:rsidRPr="006827E3">
          <w:rPr>
            <w:rStyle w:val="Hyperlink"/>
            <w:rFonts w:ascii="Arial" w:hAnsi="Arial" w:cs="Arial"/>
            <w:sz w:val="24"/>
            <w:szCs w:val="24"/>
          </w:rPr>
          <w:t>https://doi.org/10.1016/j.jbusres.2022.113476</w:t>
        </w:r>
      </w:hyperlink>
      <w:r w:rsidRPr="006827E3">
        <w:rPr>
          <w:rFonts w:ascii="Arial" w:hAnsi="Arial" w:cs="Arial"/>
          <w:sz w:val="24"/>
          <w:szCs w:val="24"/>
        </w:rPr>
        <w:t xml:space="preserve">. </w:t>
      </w:r>
    </w:p>
    <w:p w14:paraId="3FF09A58"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Rialti, R., Zollo, L., Kim, K. and Yoon, S. (2024) 'Mega-influencers and brand dynamics: shaping attitudes toward leading and challenger brands through electronic word of mouth', </w:t>
      </w:r>
      <w:r w:rsidRPr="006827E3">
        <w:rPr>
          <w:rFonts w:ascii="Arial" w:hAnsi="Arial" w:cs="Arial"/>
          <w:i/>
          <w:iCs/>
          <w:sz w:val="24"/>
          <w:szCs w:val="24"/>
          <w:lang w:val="en-IN"/>
        </w:rPr>
        <w:t>Psychology and Marketing</w:t>
      </w:r>
      <w:r w:rsidRPr="006827E3">
        <w:rPr>
          <w:rFonts w:ascii="Arial" w:hAnsi="Arial" w:cs="Arial"/>
          <w:sz w:val="24"/>
          <w:szCs w:val="24"/>
          <w:lang w:val="en-IN"/>
        </w:rPr>
        <w:t xml:space="preserve">, 41(12), pp. 3041–3059. Available at: </w:t>
      </w:r>
      <w:hyperlink r:id="rId64" w:history="1">
        <w:r w:rsidRPr="006827E3">
          <w:rPr>
            <w:rStyle w:val="Hyperlink"/>
            <w:rFonts w:ascii="Arial" w:hAnsi="Arial" w:cs="Arial"/>
            <w:sz w:val="24"/>
            <w:szCs w:val="24"/>
            <w:lang w:val="en-IN"/>
          </w:rPr>
          <w:t>https://doi.org/10.1002/mar.22102</w:t>
        </w:r>
      </w:hyperlink>
      <w:r w:rsidRPr="006827E3">
        <w:rPr>
          <w:rFonts w:ascii="Arial" w:hAnsi="Arial" w:cs="Arial"/>
          <w:sz w:val="24"/>
          <w:szCs w:val="24"/>
          <w:lang w:val="en-IN"/>
        </w:rPr>
        <w:t xml:space="preserve">. </w:t>
      </w:r>
    </w:p>
    <w:p w14:paraId="0C5DF1B2"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Rosengren, S., Campbell, C. and Farrell, J.R. (2025) ‘The Next Age of Retailing: Learning from Influencers’ Strategies’, </w:t>
      </w:r>
      <w:r w:rsidRPr="006827E3">
        <w:rPr>
          <w:rFonts w:ascii="Arial" w:hAnsi="Arial" w:cs="Arial"/>
          <w:i/>
          <w:iCs/>
          <w:sz w:val="24"/>
          <w:szCs w:val="24"/>
          <w:lang w:val="en-IN"/>
        </w:rPr>
        <w:t>NIM Marketing Intelligence Review</w:t>
      </w:r>
      <w:r w:rsidRPr="006827E3">
        <w:rPr>
          <w:rFonts w:ascii="Arial" w:hAnsi="Arial" w:cs="Arial"/>
          <w:sz w:val="24"/>
          <w:szCs w:val="24"/>
          <w:lang w:val="en-IN"/>
        </w:rPr>
        <w:t xml:space="preserve">, 17(1), pp. 18–23. Available at: </w:t>
      </w:r>
      <w:hyperlink r:id="rId65" w:history="1">
        <w:r w:rsidRPr="006827E3">
          <w:rPr>
            <w:rStyle w:val="Hyperlink"/>
            <w:rFonts w:ascii="Arial" w:hAnsi="Arial" w:cs="Arial"/>
            <w:sz w:val="24"/>
            <w:szCs w:val="24"/>
            <w:lang w:val="en-IN"/>
          </w:rPr>
          <w:t>https://doi.org/10.2478/nimmir-2025-0003</w:t>
        </w:r>
      </w:hyperlink>
      <w:r w:rsidRPr="006827E3">
        <w:rPr>
          <w:rFonts w:ascii="Arial" w:hAnsi="Arial" w:cs="Arial"/>
          <w:sz w:val="24"/>
          <w:szCs w:val="24"/>
          <w:lang w:val="en-IN"/>
        </w:rPr>
        <w:t xml:space="preserve">. </w:t>
      </w:r>
    </w:p>
    <w:p w14:paraId="0B0DF755"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Sargent, S. (2025) </w:t>
      </w:r>
      <w:r w:rsidRPr="006827E3">
        <w:rPr>
          <w:rFonts w:ascii="Arial" w:hAnsi="Arial" w:cs="Arial"/>
          <w:i/>
          <w:iCs/>
          <w:sz w:val="24"/>
          <w:szCs w:val="24"/>
          <w:lang w:val="en-IN"/>
        </w:rPr>
        <w:t>Dissecting Nike's social media strategy: lessons in influencer marketing and driving culture</w:t>
      </w:r>
      <w:r w:rsidRPr="006827E3">
        <w:rPr>
          <w:rFonts w:ascii="Arial" w:hAnsi="Arial" w:cs="Arial"/>
          <w:sz w:val="24"/>
          <w:szCs w:val="24"/>
          <w:lang w:val="en-IN"/>
        </w:rPr>
        <w:t xml:space="preserve">. Available at: </w:t>
      </w:r>
      <w:hyperlink r:id="rId66" w:history="1">
        <w:r w:rsidRPr="006827E3">
          <w:rPr>
            <w:rStyle w:val="Hyperlink"/>
            <w:rFonts w:ascii="Arial" w:hAnsi="Arial" w:cs="Arial"/>
            <w:sz w:val="24"/>
            <w:szCs w:val="24"/>
            <w:lang w:val="en-IN"/>
          </w:rPr>
          <w:t>https://sproutsocial.com/insights/nike-social-media-strategy/</w:t>
        </w:r>
      </w:hyperlink>
      <w:r w:rsidRPr="006827E3">
        <w:rPr>
          <w:rFonts w:ascii="Arial" w:hAnsi="Arial" w:cs="Arial"/>
          <w:sz w:val="24"/>
          <w:szCs w:val="24"/>
          <w:lang w:val="en-IN"/>
        </w:rPr>
        <w:t xml:space="preserve"> (Accessed: 19 March 2026).</w:t>
      </w:r>
    </w:p>
    <w:p w14:paraId="31D63E2A"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Saunders, M., Lewis, P. and Thornhill, A. (2023) </w:t>
      </w:r>
      <w:r w:rsidRPr="006827E3">
        <w:rPr>
          <w:rFonts w:ascii="Arial" w:hAnsi="Arial" w:cs="Arial"/>
          <w:i/>
          <w:iCs/>
          <w:sz w:val="24"/>
          <w:szCs w:val="24"/>
        </w:rPr>
        <w:t>Research methods for business students</w:t>
      </w:r>
      <w:r w:rsidRPr="006827E3">
        <w:rPr>
          <w:rFonts w:ascii="Arial" w:hAnsi="Arial" w:cs="Arial"/>
          <w:sz w:val="24"/>
          <w:szCs w:val="24"/>
        </w:rPr>
        <w:t>. 9th edn. Pearson.</w:t>
      </w:r>
    </w:p>
    <w:p w14:paraId="53ED98E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Schouten, A.P., Janssen, L. and Verspaget, M. (2019) ‘Celebrity vs. Influencer endorsements in advertising: the role of identification, credibility, and Product-Endorser fit’, </w:t>
      </w:r>
      <w:r w:rsidRPr="006827E3">
        <w:rPr>
          <w:rFonts w:ascii="Arial" w:hAnsi="Arial" w:cs="Arial"/>
          <w:i/>
          <w:iCs/>
          <w:sz w:val="24"/>
          <w:szCs w:val="24"/>
          <w:lang w:val="en-IN"/>
        </w:rPr>
        <w:t>International Journal of Advertising</w:t>
      </w:r>
      <w:r w:rsidRPr="006827E3">
        <w:rPr>
          <w:rFonts w:ascii="Arial" w:hAnsi="Arial" w:cs="Arial"/>
          <w:sz w:val="24"/>
          <w:szCs w:val="24"/>
          <w:lang w:val="en-IN"/>
        </w:rPr>
        <w:t xml:space="preserve">, 39(2), pp. 258–281. Available at: </w:t>
      </w:r>
      <w:hyperlink r:id="rId67" w:history="1">
        <w:r w:rsidRPr="006827E3">
          <w:rPr>
            <w:rStyle w:val="Hyperlink"/>
            <w:rFonts w:ascii="Arial" w:hAnsi="Arial" w:cs="Arial"/>
            <w:sz w:val="24"/>
            <w:szCs w:val="24"/>
            <w:lang w:val="en-IN"/>
          </w:rPr>
          <w:t>https://doi.org/10.1080/02650487.2019.1634898</w:t>
        </w:r>
      </w:hyperlink>
      <w:r w:rsidRPr="006827E3">
        <w:rPr>
          <w:rFonts w:ascii="Arial" w:hAnsi="Arial" w:cs="Arial"/>
          <w:sz w:val="24"/>
          <w:szCs w:val="24"/>
          <w:lang w:val="en-IN"/>
        </w:rPr>
        <w:t xml:space="preserve">. </w:t>
      </w:r>
    </w:p>
    <w:p w14:paraId="5D0ECF46"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lastRenderedPageBreak/>
        <w:t xml:space="preserve">Shamim, K. and Azam, M. (2024) ‘The power of social media influencers: unveiling the impact on consumers’ impulse buying behaviour’, </w:t>
      </w:r>
      <w:r w:rsidRPr="006827E3">
        <w:rPr>
          <w:rFonts w:ascii="Arial" w:hAnsi="Arial" w:cs="Arial"/>
          <w:i/>
          <w:iCs/>
          <w:sz w:val="24"/>
          <w:szCs w:val="24"/>
        </w:rPr>
        <w:t>Humanities and Social Sciences Communications</w:t>
      </w:r>
      <w:r w:rsidRPr="006827E3">
        <w:rPr>
          <w:rFonts w:ascii="Arial" w:hAnsi="Arial" w:cs="Arial"/>
          <w:sz w:val="24"/>
          <w:szCs w:val="24"/>
        </w:rPr>
        <w:t xml:space="preserve">, 11(1). Available at: </w:t>
      </w:r>
      <w:hyperlink r:id="rId68" w:history="1">
        <w:r w:rsidRPr="006827E3">
          <w:rPr>
            <w:rStyle w:val="Hyperlink"/>
            <w:rFonts w:ascii="Arial" w:hAnsi="Arial" w:cs="Arial"/>
            <w:sz w:val="24"/>
            <w:szCs w:val="24"/>
          </w:rPr>
          <w:t>https://doi.org/10.1057/s41599-024-03796-7</w:t>
        </w:r>
      </w:hyperlink>
      <w:r w:rsidRPr="006827E3">
        <w:rPr>
          <w:rFonts w:ascii="Arial" w:hAnsi="Arial" w:cs="Arial"/>
          <w:sz w:val="24"/>
          <w:szCs w:val="24"/>
        </w:rPr>
        <w:t xml:space="preserve">. </w:t>
      </w:r>
    </w:p>
    <w:p w14:paraId="1C32919D"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Sheridan, N. (2024) </w:t>
      </w:r>
      <w:r w:rsidRPr="006827E3">
        <w:rPr>
          <w:rFonts w:ascii="Arial" w:hAnsi="Arial" w:cs="Arial"/>
          <w:i/>
          <w:iCs/>
          <w:sz w:val="24"/>
          <w:szCs w:val="24"/>
          <w:lang w:val="en-IN"/>
        </w:rPr>
        <w:t>ASOS digital marketing strategy: trend-led content, influencers, and Gen Z growth</w:t>
      </w:r>
      <w:r w:rsidRPr="006827E3">
        <w:rPr>
          <w:rFonts w:ascii="Arial" w:hAnsi="Arial" w:cs="Arial"/>
          <w:sz w:val="24"/>
          <w:szCs w:val="24"/>
          <w:lang w:val="en-IN"/>
        </w:rPr>
        <w:t xml:space="preserve">. Available at: </w:t>
      </w:r>
      <w:hyperlink r:id="rId69" w:history="1">
        <w:r w:rsidRPr="006827E3">
          <w:rPr>
            <w:rStyle w:val="Hyperlink"/>
            <w:rFonts w:ascii="Arial" w:hAnsi="Arial" w:cs="Arial"/>
            <w:sz w:val="24"/>
            <w:szCs w:val="24"/>
            <w:lang w:val="en-IN"/>
          </w:rPr>
          <w:t>https://www.latterly.org/asos-digital-marketing-strategy/</w:t>
        </w:r>
      </w:hyperlink>
      <w:r w:rsidRPr="006827E3">
        <w:rPr>
          <w:rFonts w:ascii="Arial" w:hAnsi="Arial" w:cs="Arial"/>
          <w:sz w:val="24"/>
          <w:szCs w:val="24"/>
          <w:lang w:val="en-IN"/>
        </w:rPr>
        <w:t xml:space="preserve"> (Accessed: 19 March 2026). </w:t>
      </w:r>
    </w:p>
    <w:p w14:paraId="5B08FE10"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Shetty, N.K., Singh, P., Mallikarjuna, Y. and Hiremath, Y. (2024) “The Power of User-Generated Content: Elevating consumers’ brand perception, purchase, and Post-Purchase behavior in the food and beverage industry,” </w:t>
      </w:r>
      <w:r w:rsidRPr="006827E3">
        <w:rPr>
          <w:rFonts w:ascii="Arial" w:hAnsi="Arial" w:cs="Arial"/>
          <w:i/>
          <w:iCs/>
          <w:sz w:val="24"/>
          <w:szCs w:val="24"/>
          <w:lang w:val="en-IN"/>
        </w:rPr>
        <w:t>European Economics Letters</w:t>
      </w:r>
      <w:r w:rsidRPr="006827E3">
        <w:rPr>
          <w:rFonts w:ascii="Arial" w:hAnsi="Arial" w:cs="Arial"/>
          <w:sz w:val="24"/>
          <w:szCs w:val="24"/>
          <w:lang w:val="en-IN"/>
        </w:rPr>
        <w:t xml:space="preserve">, 4(4). Available at: </w:t>
      </w:r>
      <w:hyperlink r:id="rId70" w:history="1">
        <w:r w:rsidRPr="006827E3">
          <w:rPr>
            <w:rStyle w:val="Hyperlink"/>
            <w:rFonts w:ascii="Arial" w:hAnsi="Arial" w:cs="Arial"/>
            <w:sz w:val="24"/>
            <w:szCs w:val="24"/>
            <w:lang w:val="en-IN"/>
          </w:rPr>
          <w:t>https://doi.org/10.52783/eel.v14i4.2346</w:t>
        </w:r>
      </w:hyperlink>
      <w:r w:rsidRPr="006827E3">
        <w:rPr>
          <w:rFonts w:ascii="Arial" w:hAnsi="Arial" w:cs="Arial"/>
          <w:sz w:val="24"/>
          <w:szCs w:val="24"/>
          <w:lang w:val="en-IN"/>
        </w:rPr>
        <w:t xml:space="preserve">.  </w:t>
      </w:r>
    </w:p>
    <w:p w14:paraId="03079757"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Simmons, G. and Durkin, M. (2023) 'Expanding understanding of brand value co-creation on social media from an S-D logic perspective: introducing structuration theory', </w:t>
      </w:r>
      <w:r w:rsidRPr="006827E3">
        <w:rPr>
          <w:rFonts w:ascii="Arial" w:hAnsi="Arial" w:cs="Arial"/>
          <w:i/>
          <w:iCs/>
          <w:sz w:val="24"/>
          <w:szCs w:val="24"/>
          <w:lang w:val="en-IN"/>
        </w:rPr>
        <w:t>Marketing Theory</w:t>
      </w:r>
      <w:r w:rsidRPr="006827E3">
        <w:rPr>
          <w:rFonts w:ascii="Arial" w:hAnsi="Arial" w:cs="Arial"/>
          <w:sz w:val="24"/>
          <w:szCs w:val="24"/>
          <w:lang w:val="en-IN"/>
        </w:rPr>
        <w:t xml:space="preserve">, 23(4), pp. 607–629. Available at: </w:t>
      </w:r>
      <w:hyperlink r:id="rId71" w:history="1">
        <w:r w:rsidRPr="006827E3">
          <w:rPr>
            <w:rStyle w:val="Hyperlink"/>
            <w:rFonts w:ascii="Arial" w:hAnsi="Arial" w:cs="Arial"/>
            <w:sz w:val="24"/>
            <w:szCs w:val="24"/>
            <w:lang w:val="en-IN"/>
          </w:rPr>
          <w:t>https://doi.org/10.1177/14705931231165098</w:t>
        </w:r>
      </w:hyperlink>
      <w:r w:rsidRPr="006827E3">
        <w:rPr>
          <w:rFonts w:ascii="Arial" w:hAnsi="Arial" w:cs="Arial"/>
          <w:sz w:val="24"/>
          <w:szCs w:val="24"/>
          <w:lang w:val="en-IN"/>
        </w:rPr>
        <w:t xml:space="preserve">. </w:t>
      </w:r>
    </w:p>
    <w:p w14:paraId="55458AD1"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Snyder, H. (2019) 'Literature review as a research methodology: an overview and guidelines', </w:t>
      </w:r>
      <w:r w:rsidRPr="006827E3">
        <w:rPr>
          <w:rFonts w:ascii="Arial" w:eastAsia="Times New Roman" w:hAnsi="Arial" w:cs="Arial"/>
          <w:i/>
          <w:iCs/>
          <w:sz w:val="24"/>
          <w:szCs w:val="24"/>
          <w:lang w:val="en-IN" w:eastAsia="en-IN" w:bidi="ml-IN"/>
        </w:rPr>
        <w:t>Journal of Business Research</w:t>
      </w:r>
      <w:r w:rsidRPr="006827E3">
        <w:rPr>
          <w:rFonts w:ascii="Arial" w:eastAsia="Times New Roman" w:hAnsi="Arial" w:cs="Arial"/>
          <w:sz w:val="24"/>
          <w:szCs w:val="24"/>
          <w:lang w:val="en-IN" w:eastAsia="en-IN" w:bidi="ml-IN"/>
        </w:rPr>
        <w:t xml:space="preserve">, 104, pp. 333–339. Available at: </w:t>
      </w:r>
      <w:hyperlink r:id="rId72" w:history="1">
        <w:r w:rsidRPr="006827E3">
          <w:rPr>
            <w:rFonts w:ascii="Arial" w:eastAsia="Times New Roman" w:hAnsi="Arial" w:cs="Arial"/>
            <w:color w:val="0000FF"/>
            <w:sz w:val="24"/>
            <w:szCs w:val="24"/>
            <w:u w:val="single"/>
            <w:lang w:val="en-IN" w:eastAsia="en-IN" w:bidi="ml-IN"/>
          </w:rPr>
          <w:t>https://doi.org/10.1016/j.jbusres.2019.07.039</w:t>
        </w:r>
      </w:hyperlink>
      <w:r w:rsidRPr="006827E3">
        <w:rPr>
          <w:rFonts w:ascii="Arial" w:eastAsia="Times New Roman" w:hAnsi="Arial" w:cs="Arial"/>
          <w:sz w:val="24"/>
          <w:szCs w:val="24"/>
          <w:lang w:val="en-IN" w:eastAsia="en-IN" w:bidi="ml-IN"/>
        </w:rPr>
        <w:t xml:space="preserve">. </w:t>
      </w:r>
    </w:p>
    <w:p w14:paraId="67EB6631"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Statista (2024) </w:t>
      </w:r>
      <w:r w:rsidRPr="006827E3">
        <w:rPr>
          <w:rFonts w:ascii="Arial" w:hAnsi="Arial" w:cs="Arial"/>
          <w:i/>
          <w:iCs/>
          <w:sz w:val="24"/>
          <w:szCs w:val="24"/>
          <w:lang w:val="en-IN"/>
        </w:rPr>
        <w:t>Share of Gen Z shoppers who discovered a new product or brand on social media and purchased it in 2023 and 2024</w:t>
      </w:r>
      <w:r w:rsidRPr="006827E3">
        <w:rPr>
          <w:rFonts w:ascii="Arial" w:hAnsi="Arial" w:cs="Arial"/>
          <w:sz w:val="24"/>
          <w:szCs w:val="24"/>
          <w:lang w:val="en-IN"/>
        </w:rPr>
        <w:t xml:space="preserve">. Available at: </w:t>
      </w:r>
      <w:hyperlink r:id="rId73" w:history="1">
        <w:r w:rsidRPr="006827E3">
          <w:rPr>
            <w:rStyle w:val="Hyperlink"/>
            <w:rFonts w:ascii="Arial" w:hAnsi="Arial" w:cs="Arial"/>
            <w:sz w:val="24"/>
            <w:szCs w:val="24"/>
            <w:lang w:val="en-IN"/>
          </w:rPr>
          <w:t>https://www.statista.com/statistics/1455391/shoppers-social-media-discovery-and-purchase-worldwide/</w:t>
        </w:r>
      </w:hyperlink>
      <w:r w:rsidRPr="006827E3">
        <w:rPr>
          <w:rFonts w:ascii="Arial" w:hAnsi="Arial" w:cs="Arial"/>
          <w:sz w:val="24"/>
          <w:szCs w:val="24"/>
          <w:lang w:val="en-IN"/>
        </w:rPr>
        <w:t xml:space="preserve"> (Accessed: 19 March 2026). </w:t>
      </w:r>
    </w:p>
    <w:p w14:paraId="7057A06A"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lang w:val="en-IN"/>
        </w:rPr>
      </w:pPr>
      <w:r w:rsidRPr="006827E3">
        <w:rPr>
          <w:rFonts w:ascii="Arial" w:hAnsi="Arial" w:cs="Arial"/>
          <w:sz w:val="24"/>
          <w:szCs w:val="24"/>
          <w:lang w:val="en-IN"/>
        </w:rPr>
        <w:t xml:space="preserve">Theodorakopoulos, L., Theodoropoulou, A. and Klavdianos, C. (2025) ‘Interactive viral marketing through big data analytics, influencer networks, AI integration, and ethical dimensions’, </w:t>
      </w:r>
      <w:r w:rsidRPr="006827E3">
        <w:rPr>
          <w:rFonts w:ascii="Arial" w:hAnsi="Arial" w:cs="Arial"/>
          <w:i/>
          <w:iCs/>
          <w:sz w:val="24"/>
          <w:szCs w:val="24"/>
          <w:lang w:val="en-IN"/>
        </w:rPr>
        <w:t>Journal of Theoretical and Applied Electronic Commerce Research</w:t>
      </w:r>
      <w:r w:rsidRPr="006827E3">
        <w:rPr>
          <w:rFonts w:ascii="Arial" w:hAnsi="Arial" w:cs="Arial"/>
          <w:sz w:val="24"/>
          <w:szCs w:val="24"/>
          <w:lang w:val="en-IN"/>
        </w:rPr>
        <w:t xml:space="preserve">, 20(2), p. 115. Available at: </w:t>
      </w:r>
      <w:hyperlink r:id="rId74" w:history="1">
        <w:r w:rsidRPr="006827E3">
          <w:rPr>
            <w:rStyle w:val="Hyperlink"/>
            <w:rFonts w:ascii="Arial" w:hAnsi="Arial" w:cs="Arial"/>
            <w:sz w:val="24"/>
            <w:szCs w:val="24"/>
            <w:lang w:val="en-IN"/>
          </w:rPr>
          <w:t>https://doi.org/10.3390/jtaer20020115</w:t>
        </w:r>
      </w:hyperlink>
      <w:r w:rsidRPr="006827E3">
        <w:rPr>
          <w:rFonts w:ascii="Arial" w:hAnsi="Arial" w:cs="Arial"/>
          <w:sz w:val="24"/>
          <w:szCs w:val="24"/>
          <w:lang w:val="en-IN"/>
        </w:rPr>
        <w:t xml:space="preserve">. </w:t>
      </w:r>
    </w:p>
    <w:p w14:paraId="6CB1FEF6" w14:textId="77777777" w:rsidR="006827E3" w:rsidRPr="006827E3" w:rsidRDefault="006827E3" w:rsidP="006827E3">
      <w:pPr>
        <w:pStyle w:val="ListParagraph"/>
        <w:numPr>
          <w:ilvl w:val="0"/>
          <w:numId w:val="9"/>
        </w:numPr>
        <w:spacing w:after="0" w:line="360" w:lineRule="auto"/>
        <w:ind w:left="540"/>
        <w:jc w:val="both"/>
        <w:rPr>
          <w:rFonts w:ascii="Arial" w:eastAsia="Times New Roman" w:hAnsi="Arial" w:cs="Arial"/>
          <w:sz w:val="24"/>
          <w:szCs w:val="24"/>
          <w:lang w:val="en-IN" w:eastAsia="en-IN" w:bidi="ml-IN"/>
        </w:rPr>
      </w:pPr>
      <w:r w:rsidRPr="006827E3">
        <w:rPr>
          <w:rFonts w:ascii="Arial" w:eastAsia="Times New Roman" w:hAnsi="Arial" w:cs="Arial"/>
          <w:sz w:val="24"/>
          <w:szCs w:val="24"/>
          <w:lang w:val="en-IN" w:eastAsia="en-IN" w:bidi="ml-IN"/>
        </w:rPr>
        <w:t xml:space="preserve">Tranfield, D., Denyer, D. and Smart, P. (2003) 'Towards a methodology for developing evidence-informed management knowledge by means of systematic review', </w:t>
      </w:r>
      <w:r w:rsidRPr="006827E3">
        <w:rPr>
          <w:rFonts w:ascii="Arial" w:eastAsia="Times New Roman" w:hAnsi="Arial" w:cs="Arial"/>
          <w:i/>
          <w:iCs/>
          <w:sz w:val="24"/>
          <w:szCs w:val="24"/>
          <w:lang w:val="en-IN" w:eastAsia="en-IN" w:bidi="ml-IN"/>
        </w:rPr>
        <w:t>British Journal of Management</w:t>
      </w:r>
      <w:r w:rsidRPr="006827E3">
        <w:rPr>
          <w:rFonts w:ascii="Arial" w:eastAsia="Times New Roman" w:hAnsi="Arial" w:cs="Arial"/>
          <w:sz w:val="24"/>
          <w:szCs w:val="24"/>
          <w:lang w:val="en-IN" w:eastAsia="en-IN" w:bidi="ml-IN"/>
        </w:rPr>
        <w:t xml:space="preserve">, 14(3), pp. 207–222. Available at: </w:t>
      </w:r>
      <w:hyperlink r:id="rId75" w:history="1">
        <w:r w:rsidRPr="006827E3">
          <w:rPr>
            <w:rFonts w:ascii="Arial" w:eastAsia="Times New Roman" w:hAnsi="Arial" w:cs="Arial"/>
            <w:color w:val="0000FF"/>
            <w:sz w:val="24"/>
            <w:szCs w:val="24"/>
            <w:u w:val="single"/>
            <w:lang w:val="en-IN" w:eastAsia="en-IN" w:bidi="ml-IN"/>
          </w:rPr>
          <w:t>https://doi.org/10.1111/1467-8551.00375</w:t>
        </w:r>
      </w:hyperlink>
      <w:r w:rsidRPr="006827E3">
        <w:rPr>
          <w:rFonts w:ascii="Arial" w:eastAsia="Times New Roman" w:hAnsi="Arial" w:cs="Arial"/>
          <w:sz w:val="24"/>
          <w:szCs w:val="24"/>
          <w:lang w:val="en-IN" w:eastAsia="en-IN" w:bidi="ml-IN"/>
        </w:rPr>
        <w:t>.</w:t>
      </w:r>
    </w:p>
    <w:p w14:paraId="038F1856"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van Reijmersdal, E.A., Walet, M. and Gudmundsdottir, A. (2024) 'Influencer marketing: explaining the effects of influencer self-presentation strategies on </w:t>
      </w:r>
      <w:r w:rsidRPr="006827E3">
        <w:rPr>
          <w:rFonts w:ascii="Arial" w:hAnsi="Arial" w:cs="Arial"/>
          <w:sz w:val="24"/>
          <w:szCs w:val="24"/>
        </w:rPr>
        <w:lastRenderedPageBreak/>
        <w:t xml:space="preserve">brand responses through source credibility', </w:t>
      </w:r>
      <w:r w:rsidRPr="006827E3">
        <w:rPr>
          <w:rFonts w:ascii="Arial" w:hAnsi="Arial" w:cs="Arial"/>
          <w:i/>
          <w:iCs/>
          <w:sz w:val="24"/>
          <w:szCs w:val="24"/>
        </w:rPr>
        <w:t>Marketing Intelligence and Planning</w:t>
      </w:r>
      <w:r w:rsidRPr="006827E3">
        <w:rPr>
          <w:rFonts w:ascii="Arial" w:hAnsi="Arial" w:cs="Arial"/>
          <w:sz w:val="24"/>
          <w:szCs w:val="24"/>
        </w:rPr>
        <w:t xml:space="preserve">, 42(7), pp. 1214–1233. Available at: </w:t>
      </w:r>
      <w:hyperlink r:id="rId76" w:history="1">
        <w:r w:rsidRPr="006827E3">
          <w:rPr>
            <w:rStyle w:val="Hyperlink"/>
            <w:rFonts w:ascii="Arial" w:hAnsi="Arial" w:cs="Arial"/>
            <w:sz w:val="24"/>
            <w:szCs w:val="24"/>
          </w:rPr>
          <w:t>https://doi.org/10.1108/MIP-03-2023-0125</w:t>
        </w:r>
      </w:hyperlink>
      <w:r w:rsidRPr="006827E3">
        <w:rPr>
          <w:rFonts w:ascii="Arial" w:hAnsi="Arial" w:cs="Arial"/>
          <w:sz w:val="24"/>
          <w:szCs w:val="24"/>
        </w:rPr>
        <w:t xml:space="preserve">. </w:t>
      </w:r>
    </w:p>
    <w:p w14:paraId="2BCE35C0"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lang w:val="en-IN"/>
        </w:rPr>
        <w:t xml:space="preserve">Vargo, S.L. and Lusch, R.F. (2004) 'Evolving to a new dominant logic for marketing', </w:t>
      </w:r>
      <w:r w:rsidRPr="006827E3">
        <w:rPr>
          <w:rFonts w:ascii="Arial" w:hAnsi="Arial" w:cs="Arial"/>
          <w:i/>
          <w:iCs/>
          <w:sz w:val="24"/>
          <w:szCs w:val="24"/>
          <w:lang w:val="en-IN"/>
        </w:rPr>
        <w:t>Journal of Marketing</w:t>
      </w:r>
      <w:r w:rsidRPr="006827E3">
        <w:rPr>
          <w:rFonts w:ascii="Arial" w:hAnsi="Arial" w:cs="Arial"/>
          <w:sz w:val="24"/>
          <w:szCs w:val="24"/>
          <w:lang w:val="en-IN"/>
        </w:rPr>
        <w:t xml:space="preserve">, 68(1), pp. 1-17. Available at: </w:t>
      </w:r>
      <w:hyperlink r:id="rId77" w:history="1">
        <w:r w:rsidRPr="006827E3">
          <w:rPr>
            <w:rStyle w:val="Hyperlink"/>
            <w:rFonts w:ascii="Arial" w:hAnsi="Arial" w:cs="Arial"/>
            <w:sz w:val="24"/>
            <w:szCs w:val="24"/>
            <w:lang w:val="en-IN"/>
          </w:rPr>
          <w:t>https://doi.org/10.1509/jmkg.68.1.1.24036</w:t>
        </w:r>
      </w:hyperlink>
      <w:r w:rsidRPr="006827E3">
        <w:rPr>
          <w:rFonts w:ascii="Arial" w:hAnsi="Arial" w:cs="Arial"/>
          <w:sz w:val="24"/>
          <w:szCs w:val="24"/>
          <w:lang w:val="en-IN"/>
        </w:rPr>
        <w:t>.</w:t>
      </w:r>
    </w:p>
    <w:p w14:paraId="01765A7F"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Vrontis, D. et al. (2021) 'Social media influencer marketing: A systematic review, integrative framework and future research agenda,' </w:t>
      </w:r>
      <w:r w:rsidRPr="006827E3">
        <w:rPr>
          <w:rFonts w:ascii="Arial" w:hAnsi="Arial" w:cs="Arial"/>
          <w:i/>
          <w:iCs/>
          <w:sz w:val="24"/>
          <w:szCs w:val="24"/>
        </w:rPr>
        <w:t>International Journal of Consumer Studies</w:t>
      </w:r>
      <w:r w:rsidRPr="006827E3">
        <w:rPr>
          <w:rFonts w:ascii="Arial" w:hAnsi="Arial" w:cs="Arial"/>
          <w:sz w:val="24"/>
          <w:szCs w:val="24"/>
        </w:rPr>
        <w:t xml:space="preserve">, 45(4), pp. 617–644. </w:t>
      </w:r>
      <w:hyperlink r:id="rId78" w:history="1">
        <w:r w:rsidRPr="006827E3">
          <w:rPr>
            <w:rStyle w:val="Hyperlink"/>
            <w:rFonts w:ascii="Arial" w:hAnsi="Arial" w:cs="Arial"/>
            <w:sz w:val="24"/>
            <w:szCs w:val="24"/>
          </w:rPr>
          <w:t>https://doi.org/10.1111/ijcs.12647</w:t>
        </w:r>
      </w:hyperlink>
      <w:r w:rsidRPr="006827E3">
        <w:rPr>
          <w:rFonts w:ascii="Arial" w:hAnsi="Arial" w:cs="Arial"/>
          <w:sz w:val="24"/>
          <w:szCs w:val="24"/>
        </w:rPr>
        <w:t xml:space="preserve">. </w:t>
      </w:r>
    </w:p>
    <w:p w14:paraId="347A799A"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Wang, J., Ma, Y., Min, L., Geng, J. and Xiao, Y. (2025) ‘The impact of social media fashion influencers’ relatability on purchase intention: The mediating role of perceived emotional value and moderating role of consumer expertise’, </w:t>
      </w:r>
      <w:r w:rsidRPr="006827E3">
        <w:rPr>
          <w:rFonts w:ascii="Arial" w:hAnsi="Arial" w:cs="Arial"/>
          <w:i/>
          <w:iCs/>
          <w:sz w:val="24"/>
          <w:szCs w:val="24"/>
        </w:rPr>
        <w:t>Acta Psychologica</w:t>
      </w:r>
      <w:r w:rsidRPr="006827E3">
        <w:rPr>
          <w:rFonts w:ascii="Arial" w:hAnsi="Arial" w:cs="Arial"/>
          <w:sz w:val="24"/>
          <w:szCs w:val="24"/>
        </w:rPr>
        <w:t xml:space="preserve">, 258, p. 105174. Available at: </w:t>
      </w:r>
      <w:hyperlink r:id="rId79" w:history="1">
        <w:r w:rsidRPr="006827E3">
          <w:rPr>
            <w:rStyle w:val="Hyperlink"/>
            <w:rFonts w:ascii="Arial" w:hAnsi="Arial" w:cs="Arial"/>
            <w:sz w:val="24"/>
            <w:szCs w:val="24"/>
          </w:rPr>
          <w:t>https://doi.org/10.1016/j.actpsy.2025.105174</w:t>
        </w:r>
      </w:hyperlink>
      <w:r w:rsidRPr="006827E3">
        <w:rPr>
          <w:rFonts w:ascii="Arial" w:hAnsi="Arial" w:cs="Arial"/>
          <w:sz w:val="24"/>
          <w:szCs w:val="24"/>
        </w:rPr>
        <w:t xml:space="preserve">. </w:t>
      </w:r>
    </w:p>
    <w:p w14:paraId="5997DD04"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World Federation of Advertisers (WFA) (2025) </w:t>
      </w:r>
      <w:r w:rsidRPr="006827E3">
        <w:rPr>
          <w:rFonts w:ascii="Arial" w:hAnsi="Arial" w:cs="Arial"/>
          <w:i/>
          <w:iCs/>
          <w:sz w:val="24"/>
          <w:szCs w:val="24"/>
        </w:rPr>
        <w:t>More than half of multinational brands plan to boost influencer market spend</w:t>
      </w:r>
      <w:r w:rsidRPr="006827E3">
        <w:rPr>
          <w:rFonts w:ascii="Arial" w:hAnsi="Arial" w:cs="Arial"/>
          <w:sz w:val="24"/>
          <w:szCs w:val="24"/>
        </w:rPr>
        <w:t xml:space="preserve">. Available at: </w:t>
      </w:r>
      <w:hyperlink r:id="rId80" w:history="1">
        <w:r w:rsidRPr="006827E3">
          <w:rPr>
            <w:rStyle w:val="Hyperlink"/>
            <w:rFonts w:ascii="Arial" w:hAnsi="Arial" w:cs="Arial"/>
            <w:sz w:val="24"/>
            <w:szCs w:val="24"/>
          </w:rPr>
          <w:t>https://wfanet.org/knowledge/item/2025/03/27/more-than-half-of-multinational-brands-plan-to-boost-influencer-market-spend</w:t>
        </w:r>
      </w:hyperlink>
      <w:r w:rsidRPr="006827E3">
        <w:rPr>
          <w:rFonts w:ascii="Arial" w:hAnsi="Arial" w:cs="Arial"/>
          <w:sz w:val="24"/>
          <w:szCs w:val="24"/>
        </w:rPr>
        <w:t xml:space="preserve"> (Accessed: 15 May 2026).</w:t>
      </w:r>
    </w:p>
    <w:p w14:paraId="4806644C" w14:textId="77777777" w:rsidR="006827E3" w:rsidRPr="006827E3" w:rsidRDefault="006827E3" w:rsidP="006827E3">
      <w:pPr>
        <w:pStyle w:val="ListParagraph"/>
        <w:numPr>
          <w:ilvl w:val="0"/>
          <w:numId w:val="9"/>
        </w:numPr>
        <w:spacing w:line="360" w:lineRule="auto"/>
        <w:ind w:left="540"/>
        <w:jc w:val="both"/>
        <w:rPr>
          <w:rFonts w:ascii="Arial" w:hAnsi="Arial" w:cs="Arial"/>
          <w:sz w:val="24"/>
          <w:szCs w:val="24"/>
        </w:rPr>
      </w:pPr>
      <w:r w:rsidRPr="006827E3">
        <w:rPr>
          <w:rFonts w:ascii="Arial" w:hAnsi="Arial" w:cs="Arial"/>
          <w:sz w:val="24"/>
          <w:szCs w:val="24"/>
        </w:rPr>
        <w:t xml:space="preserve">Yao, Y., Liu, Q. and Guo, M. (2025) ‘Virtual influencers in brand image recovery: A comparative study of younger and older brands after celebrity endorsement crises’, </w:t>
      </w:r>
      <w:r w:rsidRPr="006827E3">
        <w:rPr>
          <w:rFonts w:ascii="Arial" w:hAnsi="Arial" w:cs="Arial"/>
          <w:i/>
          <w:iCs/>
          <w:sz w:val="24"/>
          <w:szCs w:val="24"/>
        </w:rPr>
        <w:t>Journal of Retailing and Consumer Services</w:t>
      </w:r>
      <w:r w:rsidRPr="006827E3">
        <w:rPr>
          <w:rFonts w:ascii="Arial" w:hAnsi="Arial" w:cs="Arial"/>
          <w:sz w:val="24"/>
          <w:szCs w:val="24"/>
        </w:rPr>
        <w:t xml:space="preserve">, 86, p. 104316. Available at: </w:t>
      </w:r>
      <w:hyperlink r:id="rId81" w:history="1">
        <w:r w:rsidRPr="006827E3">
          <w:rPr>
            <w:rStyle w:val="Hyperlink"/>
            <w:rFonts w:ascii="Arial" w:hAnsi="Arial" w:cs="Arial"/>
            <w:sz w:val="24"/>
            <w:szCs w:val="24"/>
          </w:rPr>
          <w:t>https://doi.org/10.1016/j.jretconser.2025.104316</w:t>
        </w:r>
      </w:hyperlink>
      <w:r w:rsidRPr="006827E3">
        <w:rPr>
          <w:rFonts w:ascii="Arial" w:hAnsi="Arial" w:cs="Arial"/>
          <w:sz w:val="24"/>
          <w:szCs w:val="24"/>
        </w:rPr>
        <w:t>.</w:t>
      </w:r>
    </w:p>
    <w:p w14:paraId="32A21B86"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1006A971"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6A9F0BA5"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728EB099"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6719E0DB"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66D41463"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711F0A34"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4ED770D7"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3A10BD00"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2F2F7B1F" w14:textId="77777777" w:rsidR="006E5DFB" w:rsidRDefault="006E5DFB" w:rsidP="006E5DFB">
      <w:pPr>
        <w:spacing w:after="0" w:line="360" w:lineRule="auto"/>
        <w:jc w:val="both"/>
        <w:rPr>
          <w:rFonts w:ascii="Arial" w:eastAsia="Times New Roman" w:hAnsi="Arial" w:cs="Arial"/>
          <w:sz w:val="24"/>
          <w:szCs w:val="24"/>
          <w:lang w:val="en-IN" w:eastAsia="en-IN" w:bidi="ml-IN"/>
        </w:rPr>
      </w:pPr>
    </w:p>
    <w:p w14:paraId="748AF704" w14:textId="77777777" w:rsidR="006827E3" w:rsidRDefault="006827E3" w:rsidP="006E5DFB">
      <w:pPr>
        <w:spacing w:after="0" w:line="360" w:lineRule="auto"/>
        <w:jc w:val="both"/>
        <w:rPr>
          <w:rFonts w:ascii="Arial" w:eastAsia="Times New Roman" w:hAnsi="Arial" w:cs="Arial"/>
          <w:sz w:val="24"/>
          <w:szCs w:val="24"/>
          <w:lang w:val="en-IN" w:eastAsia="en-IN" w:bidi="ml-IN"/>
        </w:rPr>
      </w:pPr>
    </w:p>
    <w:p w14:paraId="2A1F2F56" w14:textId="4D13D9AD" w:rsidR="006E5DFB" w:rsidRPr="00003F69" w:rsidRDefault="006E5DFB" w:rsidP="00003F69">
      <w:pPr>
        <w:pStyle w:val="Heading1"/>
        <w:spacing w:line="360" w:lineRule="auto"/>
        <w:rPr>
          <w:rFonts w:ascii="Arial" w:hAnsi="Arial" w:cs="Arial"/>
          <w:b/>
          <w:bCs/>
          <w:color w:val="000000" w:themeColor="text1"/>
          <w:sz w:val="24"/>
          <w:szCs w:val="24"/>
        </w:rPr>
      </w:pPr>
      <w:bookmarkStart w:id="61" w:name="_Toc229774382"/>
      <w:r w:rsidRPr="00003F69">
        <w:rPr>
          <w:rFonts w:ascii="Arial" w:hAnsi="Arial" w:cs="Arial"/>
          <w:b/>
          <w:bCs/>
          <w:color w:val="000000" w:themeColor="text1"/>
          <w:sz w:val="24"/>
          <w:szCs w:val="24"/>
        </w:rPr>
        <w:lastRenderedPageBreak/>
        <w:t>Appendix</w:t>
      </w:r>
      <w:bookmarkEnd w:id="61"/>
      <w:r>
        <w:rPr>
          <w:rFonts w:ascii="Arial" w:hAnsi="Arial" w:cs="Arial"/>
          <w:b/>
          <w:bCs/>
          <w:color w:val="000000" w:themeColor="text1"/>
          <w:sz w:val="24"/>
          <w:szCs w:val="24"/>
        </w:rPr>
        <w:fldChar w:fldCharType="begin"/>
      </w:r>
      <w:r w:rsidRPr="00003F69">
        <w:rPr>
          <w:rFonts w:ascii="Arial" w:hAnsi="Arial" w:cs="Arial"/>
          <w:b/>
          <w:bCs/>
          <w:color w:val="000000" w:themeColor="text1"/>
          <w:sz w:val="24"/>
          <w:szCs w:val="24"/>
        </w:rPr>
        <w:instrText xml:space="preserve"> LINK Excel.SheetBinaryMacroEnabled.12 "C:\\Users\\LENOVO\\Downloads\\casp-checklist-questions-aaker-1991-10.csv" "casp-checklist-questions-aaker-!R1C1:R11C14" \a \f 4 \h </w:instrText>
      </w:r>
      <w:r w:rsidR="00003F69">
        <w:rPr>
          <w:rFonts w:ascii="Arial" w:hAnsi="Arial" w:cs="Arial"/>
          <w:b/>
          <w:bCs/>
          <w:color w:val="000000" w:themeColor="text1"/>
          <w:sz w:val="24"/>
          <w:szCs w:val="24"/>
        </w:rPr>
        <w:instrText xml:space="preserve"> \* MERGEFORMAT </w:instrText>
      </w:r>
      <w:r>
        <w:rPr>
          <w:rFonts w:ascii="Arial" w:hAnsi="Arial" w:cs="Arial"/>
          <w:b/>
          <w:bCs/>
          <w:color w:val="000000" w:themeColor="text1"/>
          <w:sz w:val="24"/>
          <w:szCs w:val="24"/>
        </w:rPr>
        <w:fldChar w:fldCharType="separate"/>
      </w:r>
    </w:p>
    <w:p w14:paraId="0967AEF7" w14:textId="6BFAE1FE" w:rsidR="006E5DFB" w:rsidRPr="00011834" w:rsidRDefault="006E5DFB" w:rsidP="00011834">
      <w:pPr>
        <w:spacing w:before="100" w:beforeAutospacing="1" w:after="100" w:afterAutospacing="1" w:line="240" w:lineRule="auto"/>
        <w:jc w:val="both"/>
        <w:outlineLvl w:val="0"/>
        <w:rPr>
          <w:rFonts w:ascii="Arial" w:eastAsia="Times New Roman" w:hAnsi="Arial" w:cs="Arial"/>
          <w:b/>
          <w:bCs/>
          <w:sz w:val="24"/>
          <w:szCs w:val="24"/>
          <w:lang w:val="en-IN" w:eastAsia="en-IN" w:bidi="ml-IN"/>
        </w:rPr>
      </w:pPr>
      <w:r>
        <w:rPr>
          <w:rFonts w:ascii="Arial" w:eastAsia="Times New Roman" w:hAnsi="Arial" w:cs="Arial"/>
          <w:sz w:val="24"/>
          <w:szCs w:val="24"/>
          <w:lang w:val="en-IN" w:eastAsia="en-IN" w:bidi="ml-IN"/>
        </w:rPr>
        <w:fldChar w:fldCharType="end"/>
      </w:r>
      <w:bookmarkStart w:id="62" w:name="_Toc229774383"/>
      <w:r w:rsidR="00011834" w:rsidRPr="00011834">
        <w:rPr>
          <w:rFonts w:ascii="Arial" w:eastAsia="Times New Roman" w:hAnsi="Arial" w:cs="Arial"/>
          <w:b/>
          <w:bCs/>
          <w:sz w:val="24"/>
          <w:szCs w:val="24"/>
          <w:lang w:val="en-IN" w:eastAsia="en-IN" w:bidi="ml-IN"/>
        </w:rPr>
        <w:t xml:space="preserve">Appendix </w:t>
      </w:r>
      <w:r w:rsidRPr="00011834">
        <w:rPr>
          <w:rFonts w:ascii="Arial" w:eastAsia="Times New Roman" w:hAnsi="Arial" w:cs="Arial"/>
          <w:b/>
          <w:bCs/>
          <w:sz w:val="24"/>
          <w:szCs w:val="24"/>
          <w:lang w:val="en-IN" w:eastAsia="en-IN" w:bidi="ml-IN"/>
        </w:rPr>
        <w:t>1</w:t>
      </w:r>
      <w:r w:rsidR="00011834" w:rsidRPr="00011834">
        <w:rPr>
          <w:rFonts w:ascii="Arial" w:eastAsia="Times New Roman" w:hAnsi="Arial" w:cs="Arial"/>
          <w:b/>
          <w:bCs/>
          <w:sz w:val="24"/>
          <w:szCs w:val="24"/>
          <w:lang w:val="en-IN" w:eastAsia="en-IN" w:bidi="ml-IN"/>
        </w:rPr>
        <w:t>:</w:t>
      </w:r>
      <w:r w:rsidRPr="00011834">
        <w:rPr>
          <w:rFonts w:ascii="Arial" w:eastAsia="Times New Roman" w:hAnsi="Arial" w:cs="Arial"/>
          <w:b/>
          <w:bCs/>
          <w:sz w:val="24"/>
          <w:szCs w:val="24"/>
          <w:lang w:val="en-IN" w:eastAsia="en-IN" w:bidi="ml-IN"/>
        </w:rPr>
        <w:t xml:space="preserve"> Data Extraction Table</w:t>
      </w:r>
      <w:bookmarkEnd w:id="62"/>
    </w:p>
    <w:tbl>
      <w:tblPr>
        <w:tblStyle w:val="TableGrid"/>
        <w:tblW w:w="0" w:type="auto"/>
        <w:tblLook w:val="04A0" w:firstRow="1" w:lastRow="0" w:firstColumn="1" w:lastColumn="0" w:noHBand="0" w:noVBand="1"/>
      </w:tblPr>
      <w:tblGrid>
        <w:gridCol w:w="1485"/>
        <w:gridCol w:w="1728"/>
        <w:gridCol w:w="1421"/>
        <w:gridCol w:w="2082"/>
        <w:gridCol w:w="2300"/>
      </w:tblGrid>
      <w:tr w:rsidR="006E5DFB" w14:paraId="451F85E6" w14:textId="77777777" w:rsidTr="006E5DFB">
        <w:tc>
          <w:tcPr>
            <w:tcW w:w="1485" w:type="dxa"/>
            <w:vAlign w:val="center"/>
          </w:tcPr>
          <w:p w14:paraId="69B00076" w14:textId="77777777" w:rsidR="006E5DFB" w:rsidRPr="000B6068" w:rsidRDefault="006E5DFB" w:rsidP="006E5DFB">
            <w:pPr>
              <w:rPr>
                <w:rFonts w:ascii="Arial" w:hAnsi="Arial" w:cs="Arial"/>
                <w:sz w:val="18"/>
                <w:szCs w:val="18"/>
              </w:rPr>
            </w:pPr>
            <w:r w:rsidRPr="000B6068">
              <w:rPr>
                <w:rFonts w:ascii="Arial" w:hAnsi="Arial" w:cs="Arial"/>
                <w:b/>
                <w:bCs/>
                <w:sz w:val="18"/>
                <w:szCs w:val="18"/>
              </w:rPr>
              <w:t>Author(s), Year</w:t>
            </w:r>
          </w:p>
        </w:tc>
        <w:tc>
          <w:tcPr>
            <w:tcW w:w="1728" w:type="dxa"/>
            <w:vAlign w:val="center"/>
          </w:tcPr>
          <w:p w14:paraId="200E9AB1" w14:textId="77777777" w:rsidR="006E5DFB" w:rsidRPr="000B6068" w:rsidRDefault="006E5DFB" w:rsidP="006E5DFB">
            <w:pPr>
              <w:rPr>
                <w:rFonts w:ascii="Arial" w:hAnsi="Arial" w:cs="Arial"/>
                <w:sz w:val="18"/>
                <w:szCs w:val="18"/>
              </w:rPr>
            </w:pPr>
            <w:r w:rsidRPr="000B6068">
              <w:rPr>
                <w:rFonts w:ascii="Arial" w:hAnsi="Arial" w:cs="Arial"/>
                <w:b/>
                <w:bCs/>
                <w:sz w:val="18"/>
                <w:szCs w:val="18"/>
              </w:rPr>
              <w:t>Research Focus</w:t>
            </w:r>
          </w:p>
        </w:tc>
        <w:tc>
          <w:tcPr>
            <w:tcW w:w="1421" w:type="dxa"/>
            <w:vAlign w:val="center"/>
          </w:tcPr>
          <w:p w14:paraId="6B513A63" w14:textId="77777777" w:rsidR="006E5DFB" w:rsidRPr="000B6068" w:rsidRDefault="006E5DFB" w:rsidP="006E5DFB">
            <w:pPr>
              <w:rPr>
                <w:rFonts w:ascii="Arial" w:hAnsi="Arial" w:cs="Arial"/>
                <w:sz w:val="18"/>
                <w:szCs w:val="18"/>
              </w:rPr>
            </w:pPr>
            <w:r w:rsidRPr="000B6068">
              <w:rPr>
                <w:rFonts w:ascii="Arial" w:hAnsi="Arial" w:cs="Arial"/>
                <w:b/>
                <w:bCs/>
                <w:sz w:val="18"/>
                <w:szCs w:val="18"/>
              </w:rPr>
              <w:t>Key Theoretical Frameworks</w:t>
            </w:r>
          </w:p>
        </w:tc>
        <w:tc>
          <w:tcPr>
            <w:tcW w:w="2082" w:type="dxa"/>
            <w:vAlign w:val="center"/>
          </w:tcPr>
          <w:p w14:paraId="2639C9C0" w14:textId="77777777" w:rsidR="006E5DFB" w:rsidRPr="000B6068" w:rsidRDefault="006E5DFB" w:rsidP="006E5DFB">
            <w:pPr>
              <w:rPr>
                <w:rFonts w:ascii="Arial" w:hAnsi="Arial" w:cs="Arial"/>
                <w:sz w:val="18"/>
                <w:szCs w:val="18"/>
              </w:rPr>
            </w:pPr>
            <w:r w:rsidRPr="000B6068">
              <w:rPr>
                <w:rFonts w:ascii="Arial" w:hAnsi="Arial" w:cs="Arial"/>
                <w:b/>
                <w:bCs/>
                <w:sz w:val="18"/>
                <w:szCs w:val="18"/>
              </w:rPr>
              <w:t>Main Findings</w:t>
            </w:r>
          </w:p>
        </w:tc>
        <w:tc>
          <w:tcPr>
            <w:tcW w:w="2300" w:type="dxa"/>
            <w:vAlign w:val="center"/>
          </w:tcPr>
          <w:p w14:paraId="11FD7FE1" w14:textId="77777777" w:rsidR="006E5DFB" w:rsidRPr="000B6068" w:rsidRDefault="006E5DFB" w:rsidP="006E5DFB">
            <w:pPr>
              <w:rPr>
                <w:rFonts w:ascii="Arial" w:hAnsi="Arial" w:cs="Arial"/>
                <w:sz w:val="18"/>
                <w:szCs w:val="18"/>
              </w:rPr>
            </w:pPr>
            <w:r w:rsidRPr="000B6068">
              <w:rPr>
                <w:rFonts w:ascii="Arial" w:hAnsi="Arial" w:cs="Arial"/>
                <w:b/>
                <w:bCs/>
                <w:sz w:val="18"/>
                <w:szCs w:val="18"/>
              </w:rPr>
              <w:t>Relevance to RQs</w:t>
            </w:r>
          </w:p>
        </w:tc>
      </w:tr>
      <w:tr w:rsidR="006E5DFB" w14:paraId="68084A8B" w14:textId="77777777" w:rsidTr="006E5DFB">
        <w:tc>
          <w:tcPr>
            <w:tcW w:w="1485" w:type="dxa"/>
            <w:vAlign w:val="center"/>
          </w:tcPr>
          <w:p w14:paraId="65609401"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Aaker, 1991</w:t>
            </w:r>
          </w:p>
        </w:tc>
        <w:tc>
          <w:tcPr>
            <w:tcW w:w="1728" w:type="dxa"/>
            <w:vAlign w:val="center"/>
          </w:tcPr>
          <w:p w14:paraId="451AE732" w14:textId="77777777" w:rsidR="006E5DFB" w:rsidRPr="000B6068" w:rsidRDefault="006E5DFB" w:rsidP="006E5DFB">
            <w:pPr>
              <w:rPr>
                <w:rFonts w:ascii="Arial" w:hAnsi="Arial" w:cs="Arial"/>
                <w:sz w:val="18"/>
                <w:szCs w:val="18"/>
              </w:rPr>
            </w:pPr>
            <w:r w:rsidRPr="000B6068">
              <w:rPr>
                <w:rFonts w:ascii="Arial" w:hAnsi="Arial" w:cs="Arial"/>
                <w:sz w:val="18"/>
                <w:szCs w:val="18"/>
              </w:rPr>
              <w:t>Brand equity dimensions in marketing strategy</w:t>
            </w:r>
          </w:p>
        </w:tc>
        <w:tc>
          <w:tcPr>
            <w:tcW w:w="1421" w:type="dxa"/>
            <w:vAlign w:val="center"/>
          </w:tcPr>
          <w:p w14:paraId="3424342B" w14:textId="77777777" w:rsidR="006E5DFB" w:rsidRPr="000B6068" w:rsidRDefault="006E5DFB" w:rsidP="006E5DFB">
            <w:pPr>
              <w:rPr>
                <w:rFonts w:ascii="Arial" w:hAnsi="Arial" w:cs="Arial"/>
                <w:sz w:val="18"/>
                <w:szCs w:val="18"/>
              </w:rPr>
            </w:pPr>
            <w:r w:rsidRPr="000B6068">
              <w:rPr>
                <w:rFonts w:ascii="Arial" w:hAnsi="Arial" w:cs="Arial"/>
                <w:sz w:val="18"/>
                <w:szCs w:val="18"/>
              </w:rPr>
              <w:t>Brand Equity Theory</w:t>
            </w:r>
          </w:p>
        </w:tc>
        <w:tc>
          <w:tcPr>
            <w:tcW w:w="2082" w:type="dxa"/>
            <w:vAlign w:val="center"/>
          </w:tcPr>
          <w:p w14:paraId="6BF228A4" w14:textId="77777777" w:rsidR="006E5DFB" w:rsidRPr="000B6068" w:rsidRDefault="006E5DFB" w:rsidP="006E5DFB">
            <w:pPr>
              <w:rPr>
                <w:rFonts w:ascii="Arial" w:hAnsi="Arial" w:cs="Arial"/>
                <w:sz w:val="18"/>
                <w:szCs w:val="18"/>
              </w:rPr>
            </w:pPr>
            <w:r w:rsidRPr="000B6068">
              <w:rPr>
                <w:rFonts w:ascii="Arial" w:hAnsi="Arial" w:cs="Arial"/>
                <w:sz w:val="18"/>
                <w:szCs w:val="18"/>
              </w:rPr>
              <w:t>Defined equity as awareness, associations, perceived quality, loyalty</w:t>
            </w:r>
          </w:p>
        </w:tc>
        <w:tc>
          <w:tcPr>
            <w:tcW w:w="2300" w:type="dxa"/>
            <w:vAlign w:val="center"/>
          </w:tcPr>
          <w:p w14:paraId="440DFF4F" w14:textId="77777777" w:rsidR="006E5DFB" w:rsidRPr="000B6068" w:rsidRDefault="006E5DFB" w:rsidP="006E5DFB">
            <w:pPr>
              <w:rPr>
                <w:rFonts w:ascii="Arial" w:hAnsi="Arial" w:cs="Arial"/>
                <w:sz w:val="18"/>
                <w:szCs w:val="18"/>
              </w:rPr>
            </w:pPr>
            <w:r w:rsidRPr="000B6068">
              <w:rPr>
                <w:rFonts w:ascii="Arial" w:hAnsi="Arial" w:cs="Arial"/>
                <w:sz w:val="18"/>
                <w:szCs w:val="18"/>
              </w:rPr>
              <w:t>RQ2 &amp; RQ3 (brand equity implications of UGIC vs. ambassadors)</w:t>
            </w:r>
          </w:p>
        </w:tc>
      </w:tr>
      <w:tr w:rsidR="006E5DFB" w14:paraId="457B3E56" w14:textId="77777777" w:rsidTr="006E5DFB">
        <w:tc>
          <w:tcPr>
            <w:tcW w:w="1485" w:type="dxa"/>
            <w:vAlign w:val="center"/>
          </w:tcPr>
          <w:p w14:paraId="2120B653"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Keller, 1993</w:t>
            </w:r>
          </w:p>
        </w:tc>
        <w:tc>
          <w:tcPr>
            <w:tcW w:w="1728" w:type="dxa"/>
            <w:vAlign w:val="center"/>
          </w:tcPr>
          <w:p w14:paraId="7EFF6358" w14:textId="77777777" w:rsidR="006E5DFB" w:rsidRPr="000B6068" w:rsidRDefault="006E5DFB" w:rsidP="006E5DFB">
            <w:pPr>
              <w:rPr>
                <w:rFonts w:ascii="Arial" w:hAnsi="Arial" w:cs="Arial"/>
                <w:sz w:val="18"/>
                <w:szCs w:val="18"/>
              </w:rPr>
            </w:pPr>
            <w:r w:rsidRPr="000B6068">
              <w:rPr>
                <w:rFonts w:ascii="Arial" w:hAnsi="Arial" w:cs="Arial"/>
                <w:sz w:val="18"/>
                <w:szCs w:val="18"/>
              </w:rPr>
              <w:t>Customer</w:t>
            </w:r>
            <w:r w:rsidRPr="000B6068">
              <w:rPr>
                <w:rFonts w:ascii="Arial" w:hAnsi="Arial" w:cs="Arial"/>
                <w:sz w:val="18"/>
                <w:szCs w:val="18"/>
              </w:rPr>
              <w:noBreakHyphen/>
              <w:t>Based Brand Equity (CBBE)</w:t>
            </w:r>
          </w:p>
        </w:tc>
        <w:tc>
          <w:tcPr>
            <w:tcW w:w="1421" w:type="dxa"/>
            <w:vAlign w:val="center"/>
          </w:tcPr>
          <w:p w14:paraId="269314F7" w14:textId="77777777" w:rsidR="006E5DFB" w:rsidRPr="000B6068" w:rsidRDefault="006E5DFB" w:rsidP="006E5DFB">
            <w:pPr>
              <w:rPr>
                <w:rFonts w:ascii="Arial" w:hAnsi="Arial" w:cs="Arial"/>
                <w:sz w:val="18"/>
                <w:szCs w:val="18"/>
              </w:rPr>
            </w:pPr>
            <w:r w:rsidRPr="000B6068">
              <w:rPr>
                <w:rFonts w:ascii="Arial" w:hAnsi="Arial" w:cs="Arial"/>
                <w:sz w:val="18"/>
                <w:szCs w:val="18"/>
              </w:rPr>
              <w:t>Brand Equity Theory</w:t>
            </w:r>
          </w:p>
        </w:tc>
        <w:tc>
          <w:tcPr>
            <w:tcW w:w="2082" w:type="dxa"/>
            <w:vAlign w:val="center"/>
          </w:tcPr>
          <w:p w14:paraId="73981414" w14:textId="77777777" w:rsidR="006E5DFB" w:rsidRPr="000B6068" w:rsidRDefault="006E5DFB" w:rsidP="006E5DFB">
            <w:pPr>
              <w:rPr>
                <w:rFonts w:ascii="Arial" w:hAnsi="Arial" w:cs="Arial"/>
                <w:sz w:val="18"/>
                <w:szCs w:val="18"/>
              </w:rPr>
            </w:pPr>
            <w:r w:rsidRPr="000B6068">
              <w:rPr>
                <w:rFonts w:ascii="Arial" w:hAnsi="Arial" w:cs="Arial"/>
                <w:sz w:val="18"/>
                <w:szCs w:val="18"/>
              </w:rPr>
              <w:t>Equity resides in consumer perceptions; associations central</w:t>
            </w:r>
          </w:p>
        </w:tc>
        <w:tc>
          <w:tcPr>
            <w:tcW w:w="2300" w:type="dxa"/>
            <w:vAlign w:val="center"/>
          </w:tcPr>
          <w:p w14:paraId="2C4746FE" w14:textId="77777777" w:rsidR="006E5DFB" w:rsidRPr="000B6068" w:rsidRDefault="006E5DFB" w:rsidP="006E5DFB">
            <w:pPr>
              <w:rPr>
                <w:rFonts w:ascii="Arial" w:hAnsi="Arial" w:cs="Arial"/>
                <w:sz w:val="18"/>
                <w:szCs w:val="18"/>
              </w:rPr>
            </w:pPr>
            <w:r w:rsidRPr="000B6068">
              <w:rPr>
                <w:rFonts w:ascii="Arial" w:hAnsi="Arial" w:cs="Arial"/>
                <w:sz w:val="18"/>
                <w:szCs w:val="18"/>
              </w:rPr>
              <w:t>RQ2 (UGIC vs. ambassador impact on associations/perceptions)</w:t>
            </w:r>
          </w:p>
        </w:tc>
      </w:tr>
      <w:tr w:rsidR="006E5DFB" w14:paraId="2BA4FDF2" w14:textId="77777777" w:rsidTr="006E5DFB">
        <w:tc>
          <w:tcPr>
            <w:tcW w:w="1485" w:type="dxa"/>
            <w:vAlign w:val="center"/>
          </w:tcPr>
          <w:p w14:paraId="24134EB2"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Hovland &amp; Weiss, 1951</w:t>
            </w:r>
          </w:p>
        </w:tc>
        <w:tc>
          <w:tcPr>
            <w:tcW w:w="1728" w:type="dxa"/>
            <w:vAlign w:val="center"/>
          </w:tcPr>
          <w:p w14:paraId="13BEDA42"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in persuasion</w:t>
            </w:r>
          </w:p>
        </w:tc>
        <w:tc>
          <w:tcPr>
            <w:tcW w:w="1421" w:type="dxa"/>
            <w:vAlign w:val="center"/>
          </w:tcPr>
          <w:p w14:paraId="1BC7D66B"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Theory</w:t>
            </w:r>
          </w:p>
        </w:tc>
        <w:tc>
          <w:tcPr>
            <w:tcW w:w="2082" w:type="dxa"/>
            <w:vAlign w:val="center"/>
          </w:tcPr>
          <w:p w14:paraId="5C798270" w14:textId="77777777" w:rsidR="006E5DFB" w:rsidRPr="000B6068" w:rsidRDefault="006E5DFB" w:rsidP="006E5DFB">
            <w:pPr>
              <w:rPr>
                <w:rFonts w:ascii="Arial" w:hAnsi="Arial" w:cs="Arial"/>
                <w:sz w:val="18"/>
                <w:szCs w:val="18"/>
              </w:rPr>
            </w:pPr>
            <w:r w:rsidRPr="000B6068">
              <w:rPr>
                <w:rFonts w:ascii="Arial" w:hAnsi="Arial" w:cs="Arial"/>
                <w:sz w:val="18"/>
                <w:szCs w:val="18"/>
              </w:rPr>
              <w:t>Expertise, trustworthiness, attractiveness drive persuasion</w:t>
            </w:r>
          </w:p>
        </w:tc>
        <w:tc>
          <w:tcPr>
            <w:tcW w:w="2300" w:type="dxa"/>
            <w:vAlign w:val="center"/>
          </w:tcPr>
          <w:p w14:paraId="3C8DEC0A" w14:textId="77777777" w:rsidR="006E5DFB" w:rsidRPr="000B6068" w:rsidRDefault="006E5DFB" w:rsidP="006E5DFB">
            <w:pPr>
              <w:rPr>
                <w:rFonts w:ascii="Arial" w:hAnsi="Arial" w:cs="Arial"/>
                <w:sz w:val="18"/>
                <w:szCs w:val="18"/>
              </w:rPr>
            </w:pPr>
            <w:r w:rsidRPr="000B6068">
              <w:rPr>
                <w:rFonts w:ascii="Arial" w:hAnsi="Arial" w:cs="Arial"/>
                <w:sz w:val="18"/>
                <w:szCs w:val="18"/>
              </w:rPr>
              <w:t>RQ2 (credibility differences between ambassadors vs. influencers)</w:t>
            </w:r>
          </w:p>
        </w:tc>
      </w:tr>
      <w:tr w:rsidR="006E5DFB" w14:paraId="301FD082" w14:textId="77777777" w:rsidTr="006E5DFB">
        <w:tc>
          <w:tcPr>
            <w:tcW w:w="1485" w:type="dxa"/>
            <w:vAlign w:val="center"/>
          </w:tcPr>
          <w:p w14:paraId="73AEFD3C"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Lee et al., 2024</w:t>
            </w:r>
          </w:p>
        </w:tc>
        <w:tc>
          <w:tcPr>
            <w:tcW w:w="1728" w:type="dxa"/>
            <w:vAlign w:val="center"/>
          </w:tcPr>
          <w:p w14:paraId="1B35DC36" w14:textId="77777777" w:rsidR="006E5DFB" w:rsidRPr="000B6068" w:rsidRDefault="006E5DFB" w:rsidP="006E5DFB">
            <w:pPr>
              <w:rPr>
                <w:rFonts w:ascii="Arial" w:hAnsi="Arial" w:cs="Arial"/>
                <w:sz w:val="18"/>
                <w:szCs w:val="18"/>
              </w:rPr>
            </w:pPr>
            <w:r w:rsidRPr="000B6068">
              <w:rPr>
                <w:rFonts w:ascii="Arial" w:hAnsi="Arial" w:cs="Arial"/>
                <w:sz w:val="18"/>
                <w:szCs w:val="18"/>
              </w:rPr>
              <w:t>Comparative effectiveness of influencers vs. celebrities</w:t>
            </w:r>
          </w:p>
        </w:tc>
        <w:tc>
          <w:tcPr>
            <w:tcW w:w="1421" w:type="dxa"/>
            <w:vAlign w:val="center"/>
          </w:tcPr>
          <w:p w14:paraId="7C4DCF5E"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Theory</w:t>
            </w:r>
          </w:p>
        </w:tc>
        <w:tc>
          <w:tcPr>
            <w:tcW w:w="2082" w:type="dxa"/>
            <w:vAlign w:val="center"/>
          </w:tcPr>
          <w:p w14:paraId="50193B7D" w14:textId="77777777" w:rsidR="006E5DFB" w:rsidRPr="000B6068" w:rsidRDefault="006E5DFB" w:rsidP="006E5DFB">
            <w:pPr>
              <w:rPr>
                <w:rFonts w:ascii="Arial" w:hAnsi="Arial" w:cs="Arial"/>
                <w:sz w:val="18"/>
                <w:szCs w:val="18"/>
              </w:rPr>
            </w:pPr>
            <w:r w:rsidRPr="000B6068">
              <w:rPr>
                <w:rFonts w:ascii="Arial" w:hAnsi="Arial" w:cs="Arial"/>
                <w:sz w:val="18"/>
                <w:szCs w:val="18"/>
              </w:rPr>
              <w:t>Influencers comparable to celebrities; superior to brand</w:t>
            </w:r>
            <w:r w:rsidRPr="000B6068">
              <w:rPr>
                <w:rFonts w:ascii="Arial" w:hAnsi="Arial" w:cs="Arial"/>
                <w:sz w:val="18"/>
                <w:szCs w:val="18"/>
              </w:rPr>
              <w:noBreakHyphen/>
              <w:t>only messages</w:t>
            </w:r>
          </w:p>
        </w:tc>
        <w:tc>
          <w:tcPr>
            <w:tcW w:w="2300" w:type="dxa"/>
            <w:vAlign w:val="center"/>
          </w:tcPr>
          <w:p w14:paraId="730C0B71" w14:textId="77777777" w:rsidR="006E5DFB" w:rsidRPr="000B6068" w:rsidRDefault="006E5DFB" w:rsidP="006E5DFB">
            <w:pPr>
              <w:rPr>
                <w:rFonts w:ascii="Arial" w:hAnsi="Arial" w:cs="Arial"/>
                <w:sz w:val="18"/>
                <w:szCs w:val="18"/>
              </w:rPr>
            </w:pPr>
            <w:r w:rsidRPr="000B6068">
              <w:rPr>
                <w:rFonts w:ascii="Arial" w:hAnsi="Arial" w:cs="Arial"/>
                <w:sz w:val="18"/>
                <w:szCs w:val="18"/>
              </w:rPr>
              <w:t>RQ2 &amp; RQ3 (comparative effectiveness, strategic implications)</w:t>
            </w:r>
          </w:p>
        </w:tc>
      </w:tr>
      <w:tr w:rsidR="006E5DFB" w14:paraId="15E9A518" w14:textId="77777777" w:rsidTr="006E5DFB">
        <w:tc>
          <w:tcPr>
            <w:tcW w:w="1485" w:type="dxa"/>
            <w:vAlign w:val="center"/>
          </w:tcPr>
          <w:p w14:paraId="4F8ED8C7"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Han &amp; Balabanis, 2024</w:t>
            </w:r>
          </w:p>
        </w:tc>
        <w:tc>
          <w:tcPr>
            <w:tcW w:w="1728" w:type="dxa"/>
            <w:vAlign w:val="center"/>
          </w:tcPr>
          <w:p w14:paraId="361F240F" w14:textId="77777777" w:rsidR="006E5DFB" w:rsidRPr="000B6068" w:rsidRDefault="006E5DFB" w:rsidP="006E5DFB">
            <w:pPr>
              <w:rPr>
                <w:rFonts w:ascii="Arial" w:hAnsi="Arial" w:cs="Arial"/>
                <w:sz w:val="18"/>
                <w:szCs w:val="18"/>
              </w:rPr>
            </w:pPr>
            <w:r w:rsidRPr="000B6068">
              <w:rPr>
                <w:rFonts w:ascii="Arial" w:hAnsi="Arial" w:cs="Arial"/>
                <w:sz w:val="18"/>
                <w:szCs w:val="18"/>
              </w:rPr>
              <w:t>Antecedents of influencer impact</w:t>
            </w:r>
          </w:p>
        </w:tc>
        <w:tc>
          <w:tcPr>
            <w:tcW w:w="1421" w:type="dxa"/>
            <w:vAlign w:val="center"/>
          </w:tcPr>
          <w:p w14:paraId="63B71E27"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Theory, Authenticity</w:t>
            </w:r>
          </w:p>
        </w:tc>
        <w:tc>
          <w:tcPr>
            <w:tcW w:w="2082" w:type="dxa"/>
            <w:vAlign w:val="center"/>
          </w:tcPr>
          <w:p w14:paraId="030C9BAF" w14:textId="77777777" w:rsidR="006E5DFB" w:rsidRPr="000B6068" w:rsidRDefault="006E5DFB" w:rsidP="006E5DFB">
            <w:pPr>
              <w:rPr>
                <w:rFonts w:ascii="Arial" w:hAnsi="Arial" w:cs="Arial"/>
                <w:sz w:val="18"/>
                <w:szCs w:val="18"/>
              </w:rPr>
            </w:pPr>
            <w:r w:rsidRPr="000B6068">
              <w:rPr>
                <w:rFonts w:ascii="Arial" w:hAnsi="Arial" w:cs="Arial"/>
                <w:sz w:val="18"/>
                <w:szCs w:val="18"/>
              </w:rPr>
              <w:t>Credibility, authenticity, congruence drive engagement/purchase intention</w:t>
            </w:r>
          </w:p>
        </w:tc>
        <w:tc>
          <w:tcPr>
            <w:tcW w:w="2300" w:type="dxa"/>
            <w:vAlign w:val="center"/>
          </w:tcPr>
          <w:p w14:paraId="15BD3010" w14:textId="77777777" w:rsidR="006E5DFB" w:rsidRPr="000B6068" w:rsidRDefault="006E5DFB" w:rsidP="006E5DFB">
            <w:pPr>
              <w:rPr>
                <w:rFonts w:ascii="Arial" w:hAnsi="Arial" w:cs="Arial"/>
                <w:sz w:val="18"/>
                <w:szCs w:val="18"/>
              </w:rPr>
            </w:pPr>
            <w:r w:rsidRPr="000B6068">
              <w:rPr>
                <w:rFonts w:ascii="Arial" w:hAnsi="Arial" w:cs="Arial"/>
                <w:sz w:val="18"/>
                <w:szCs w:val="18"/>
              </w:rPr>
              <w:t>RQ2 &amp; RQ4 (drivers of UGIC effectiveness, adaptation)</w:t>
            </w:r>
          </w:p>
        </w:tc>
      </w:tr>
      <w:tr w:rsidR="006E5DFB" w14:paraId="0C54460E" w14:textId="77777777" w:rsidTr="006E5DFB">
        <w:tc>
          <w:tcPr>
            <w:tcW w:w="1485" w:type="dxa"/>
            <w:vAlign w:val="center"/>
          </w:tcPr>
          <w:p w14:paraId="3F6F3494"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Barari et al., 2025</w:t>
            </w:r>
          </w:p>
        </w:tc>
        <w:tc>
          <w:tcPr>
            <w:tcW w:w="1728" w:type="dxa"/>
            <w:vAlign w:val="center"/>
          </w:tcPr>
          <w:p w14:paraId="2840E7B6" w14:textId="77777777" w:rsidR="006E5DFB" w:rsidRPr="000B6068" w:rsidRDefault="006E5DFB" w:rsidP="006E5DFB">
            <w:pPr>
              <w:rPr>
                <w:rFonts w:ascii="Arial" w:hAnsi="Arial" w:cs="Arial"/>
                <w:sz w:val="18"/>
                <w:szCs w:val="18"/>
              </w:rPr>
            </w:pPr>
            <w:r w:rsidRPr="000B6068">
              <w:rPr>
                <w:rFonts w:ascii="Arial" w:hAnsi="Arial" w:cs="Arial"/>
                <w:sz w:val="18"/>
                <w:szCs w:val="18"/>
              </w:rPr>
              <w:t>Mechanisms and moderators of influencer effectiveness</w:t>
            </w:r>
          </w:p>
        </w:tc>
        <w:tc>
          <w:tcPr>
            <w:tcW w:w="1421" w:type="dxa"/>
            <w:vAlign w:val="center"/>
          </w:tcPr>
          <w:p w14:paraId="5D05F1B4" w14:textId="77777777" w:rsidR="006E5DFB" w:rsidRPr="000B6068" w:rsidRDefault="006E5DFB" w:rsidP="006E5DFB">
            <w:pPr>
              <w:rPr>
                <w:rFonts w:ascii="Arial" w:hAnsi="Arial" w:cs="Arial"/>
                <w:sz w:val="18"/>
                <w:szCs w:val="18"/>
              </w:rPr>
            </w:pPr>
            <w:r w:rsidRPr="000B6068">
              <w:rPr>
                <w:rFonts w:ascii="Arial" w:hAnsi="Arial" w:cs="Arial"/>
                <w:sz w:val="18"/>
                <w:szCs w:val="18"/>
              </w:rPr>
              <w:t>Strategic marketing frameworks</w:t>
            </w:r>
          </w:p>
        </w:tc>
        <w:tc>
          <w:tcPr>
            <w:tcW w:w="2082" w:type="dxa"/>
            <w:vAlign w:val="center"/>
          </w:tcPr>
          <w:p w14:paraId="48167642" w14:textId="77777777" w:rsidR="006E5DFB" w:rsidRPr="000B6068" w:rsidRDefault="006E5DFB" w:rsidP="006E5DFB">
            <w:pPr>
              <w:rPr>
                <w:rFonts w:ascii="Arial" w:hAnsi="Arial" w:cs="Arial"/>
                <w:sz w:val="18"/>
                <w:szCs w:val="18"/>
              </w:rPr>
            </w:pPr>
            <w:r w:rsidRPr="000B6068">
              <w:rPr>
                <w:rFonts w:ascii="Arial" w:hAnsi="Arial" w:cs="Arial"/>
                <w:sz w:val="18"/>
                <w:szCs w:val="18"/>
              </w:rPr>
              <w:t>Moderators shape effectiveness; hybrid strategies optimal</w:t>
            </w:r>
          </w:p>
        </w:tc>
        <w:tc>
          <w:tcPr>
            <w:tcW w:w="2300" w:type="dxa"/>
            <w:vAlign w:val="center"/>
          </w:tcPr>
          <w:p w14:paraId="20C3A316" w14:textId="77777777" w:rsidR="006E5DFB" w:rsidRPr="000B6068" w:rsidRDefault="006E5DFB" w:rsidP="006E5DFB">
            <w:pPr>
              <w:rPr>
                <w:rFonts w:ascii="Arial" w:hAnsi="Arial" w:cs="Arial"/>
                <w:sz w:val="18"/>
                <w:szCs w:val="18"/>
              </w:rPr>
            </w:pPr>
            <w:r w:rsidRPr="000B6068">
              <w:rPr>
                <w:rFonts w:ascii="Arial" w:hAnsi="Arial" w:cs="Arial"/>
                <w:sz w:val="18"/>
                <w:szCs w:val="18"/>
              </w:rPr>
              <w:t>RQ3 &amp; RQ4 (risks/opportunities, hybrid adaptation)</w:t>
            </w:r>
          </w:p>
        </w:tc>
      </w:tr>
      <w:tr w:rsidR="006E5DFB" w14:paraId="3981FA18" w14:textId="77777777" w:rsidTr="006E5DFB">
        <w:tc>
          <w:tcPr>
            <w:tcW w:w="1485" w:type="dxa"/>
            <w:vAlign w:val="center"/>
          </w:tcPr>
          <w:p w14:paraId="1810505E"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Borges</w:t>
            </w:r>
            <w:r w:rsidRPr="000B6068">
              <w:rPr>
                <w:rStyle w:val="Strong"/>
                <w:rFonts w:ascii="Arial" w:hAnsi="Arial" w:cs="Arial"/>
                <w:sz w:val="18"/>
                <w:szCs w:val="18"/>
              </w:rPr>
              <w:noBreakHyphen/>
              <w:t>Tiago et al., 2023</w:t>
            </w:r>
          </w:p>
        </w:tc>
        <w:tc>
          <w:tcPr>
            <w:tcW w:w="1728" w:type="dxa"/>
            <w:vAlign w:val="center"/>
          </w:tcPr>
          <w:p w14:paraId="44E7F25A" w14:textId="77777777" w:rsidR="006E5DFB" w:rsidRPr="000B6068" w:rsidRDefault="006E5DFB" w:rsidP="006E5DFB">
            <w:pPr>
              <w:rPr>
                <w:rFonts w:ascii="Arial" w:hAnsi="Arial" w:cs="Arial"/>
                <w:sz w:val="18"/>
                <w:szCs w:val="18"/>
              </w:rPr>
            </w:pPr>
            <w:r w:rsidRPr="000B6068">
              <w:rPr>
                <w:rFonts w:ascii="Arial" w:hAnsi="Arial" w:cs="Arial"/>
                <w:sz w:val="18"/>
                <w:szCs w:val="18"/>
              </w:rPr>
              <w:t>Scale of influencer endorsement (mega vs. macro)</w:t>
            </w:r>
          </w:p>
        </w:tc>
        <w:tc>
          <w:tcPr>
            <w:tcW w:w="1421" w:type="dxa"/>
            <w:vAlign w:val="center"/>
          </w:tcPr>
          <w:p w14:paraId="1149361F" w14:textId="77777777" w:rsidR="006E5DFB" w:rsidRPr="000B6068" w:rsidRDefault="006E5DFB" w:rsidP="006E5DFB">
            <w:pPr>
              <w:rPr>
                <w:rFonts w:ascii="Arial" w:hAnsi="Arial" w:cs="Arial"/>
                <w:sz w:val="18"/>
                <w:szCs w:val="18"/>
              </w:rPr>
            </w:pPr>
            <w:r w:rsidRPr="000B6068">
              <w:rPr>
                <w:rFonts w:ascii="Arial" w:hAnsi="Arial" w:cs="Arial"/>
                <w:sz w:val="18"/>
                <w:szCs w:val="18"/>
              </w:rPr>
              <w:t>Brand Equity Theory</w:t>
            </w:r>
          </w:p>
        </w:tc>
        <w:tc>
          <w:tcPr>
            <w:tcW w:w="2082" w:type="dxa"/>
            <w:vAlign w:val="center"/>
          </w:tcPr>
          <w:p w14:paraId="40AE0B6B" w14:textId="77777777" w:rsidR="006E5DFB" w:rsidRPr="000B6068" w:rsidRDefault="006E5DFB" w:rsidP="006E5DFB">
            <w:pPr>
              <w:rPr>
                <w:rFonts w:ascii="Arial" w:hAnsi="Arial" w:cs="Arial"/>
                <w:sz w:val="18"/>
                <w:szCs w:val="18"/>
              </w:rPr>
            </w:pPr>
            <w:r w:rsidRPr="000B6068">
              <w:rPr>
                <w:rFonts w:ascii="Arial" w:hAnsi="Arial" w:cs="Arial"/>
                <w:sz w:val="18"/>
                <w:szCs w:val="18"/>
              </w:rPr>
              <w:t>Macro vs. mega differ in credibility and brand equity impact</w:t>
            </w:r>
          </w:p>
        </w:tc>
        <w:tc>
          <w:tcPr>
            <w:tcW w:w="2300" w:type="dxa"/>
            <w:vAlign w:val="center"/>
          </w:tcPr>
          <w:p w14:paraId="6FF8DEA3" w14:textId="77777777" w:rsidR="006E5DFB" w:rsidRPr="000B6068" w:rsidRDefault="006E5DFB" w:rsidP="006E5DFB">
            <w:pPr>
              <w:rPr>
                <w:rFonts w:ascii="Arial" w:hAnsi="Arial" w:cs="Arial"/>
                <w:sz w:val="18"/>
                <w:szCs w:val="18"/>
              </w:rPr>
            </w:pPr>
            <w:r w:rsidRPr="000B6068">
              <w:rPr>
                <w:rFonts w:ascii="Arial" w:hAnsi="Arial" w:cs="Arial"/>
                <w:sz w:val="18"/>
                <w:szCs w:val="18"/>
              </w:rPr>
              <w:t>RQ1 &amp; RQ2 (scale of influencer vs. ambassador effectiveness)</w:t>
            </w:r>
          </w:p>
        </w:tc>
      </w:tr>
      <w:tr w:rsidR="006E5DFB" w14:paraId="1D0D5391" w14:textId="77777777" w:rsidTr="006E5DFB">
        <w:tc>
          <w:tcPr>
            <w:tcW w:w="1485" w:type="dxa"/>
            <w:vAlign w:val="center"/>
          </w:tcPr>
          <w:p w14:paraId="4A642D54"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Kim &amp; Wang, 2024</w:t>
            </w:r>
          </w:p>
        </w:tc>
        <w:tc>
          <w:tcPr>
            <w:tcW w:w="1728" w:type="dxa"/>
            <w:vAlign w:val="center"/>
          </w:tcPr>
          <w:p w14:paraId="002BDBB7" w14:textId="77777777" w:rsidR="006E5DFB" w:rsidRPr="000B6068" w:rsidRDefault="006E5DFB" w:rsidP="006E5DFB">
            <w:pPr>
              <w:rPr>
                <w:rFonts w:ascii="Arial" w:hAnsi="Arial" w:cs="Arial"/>
                <w:sz w:val="18"/>
                <w:szCs w:val="18"/>
              </w:rPr>
            </w:pPr>
            <w:r w:rsidRPr="000B6068">
              <w:rPr>
                <w:rFonts w:ascii="Arial" w:hAnsi="Arial" w:cs="Arial"/>
                <w:sz w:val="18"/>
                <w:szCs w:val="18"/>
              </w:rPr>
              <w:t>Human vs. virtual influencers</w:t>
            </w:r>
          </w:p>
        </w:tc>
        <w:tc>
          <w:tcPr>
            <w:tcW w:w="1421" w:type="dxa"/>
            <w:vAlign w:val="center"/>
          </w:tcPr>
          <w:p w14:paraId="2D98BA0C"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Theory, Authenticity</w:t>
            </w:r>
          </w:p>
        </w:tc>
        <w:tc>
          <w:tcPr>
            <w:tcW w:w="2082" w:type="dxa"/>
            <w:vAlign w:val="center"/>
          </w:tcPr>
          <w:p w14:paraId="57262B89" w14:textId="77777777" w:rsidR="006E5DFB" w:rsidRPr="000B6068" w:rsidRDefault="006E5DFB" w:rsidP="006E5DFB">
            <w:pPr>
              <w:rPr>
                <w:rFonts w:ascii="Arial" w:hAnsi="Arial" w:cs="Arial"/>
                <w:sz w:val="18"/>
                <w:szCs w:val="18"/>
              </w:rPr>
            </w:pPr>
            <w:r w:rsidRPr="000B6068">
              <w:rPr>
                <w:rFonts w:ascii="Arial" w:hAnsi="Arial" w:cs="Arial"/>
                <w:sz w:val="18"/>
                <w:szCs w:val="18"/>
              </w:rPr>
              <w:t>Credibility/authenticity mediate effectiveness; virtual vs. human differences</w:t>
            </w:r>
          </w:p>
        </w:tc>
        <w:tc>
          <w:tcPr>
            <w:tcW w:w="2300" w:type="dxa"/>
            <w:vAlign w:val="center"/>
          </w:tcPr>
          <w:p w14:paraId="6E611270" w14:textId="77777777" w:rsidR="006E5DFB" w:rsidRPr="000B6068" w:rsidRDefault="006E5DFB" w:rsidP="006E5DFB">
            <w:pPr>
              <w:rPr>
                <w:rFonts w:ascii="Arial" w:hAnsi="Arial" w:cs="Arial"/>
                <w:sz w:val="18"/>
                <w:szCs w:val="18"/>
              </w:rPr>
            </w:pPr>
            <w:r w:rsidRPr="000B6068">
              <w:rPr>
                <w:rFonts w:ascii="Arial" w:hAnsi="Arial" w:cs="Arial"/>
                <w:sz w:val="18"/>
                <w:szCs w:val="18"/>
              </w:rPr>
              <w:t>RQ2 &amp; RQ3 (credibility/authenticity in UGIC effectiveness)</w:t>
            </w:r>
          </w:p>
        </w:tc>
      </w:tr>
      <w:tr w:rsidR="006E5DFB" w14:paraId="69A821E6" w14:textId="77777777" w:rsidTr="006E5DFB">
        <w:tc>
          <w:tcPr>
            <w:tcW w:w="1485" w:type="dxa"/>
            <w:vAlign w:val="center"/>
          </w:tcPr>
          <w:p w14:paraId="234BA557"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Arora, 2025</w:t>
            </w:r>
          </w:p>
        </w:tc>
        <w:tc>
          <w:tcPr>
            <w:tcW w:w="1728" w:type="dxa"/>
            <w:vAlign w:val="center"/>
          </w:tcPr>
          <w:p w14:paraId="2812AEE8" w14:textId="77777777" w:rsidR="006E5DFB" w:rsidRPr="000B6068" w:rsidRDefault="006E5DFB" w:rsidP="006E5DFB">
            <w:pPr>
              <w:rPr>
                <w:rFonts w:ascii="Arial" w:hAnsi="Arial" w:cs="Arial"/>
                <w:sz w:val="18"/>
                <w:szCs w:val="18"/>
              </w:rPr>
            </w:pPr>
            <w:r w:rsidRPr="000B6068">
              <w:rPr>
                <w:rFonts w:ascii="Arial" w:hAnsi="Arial" w:cs="Arial"/>
                <w:sz w:val="18"/>
                <w:szCs w:val="18"/>
              </w:rPr>
              <w:t>Celebrities vs. micro</w:t>
            </w:r>
            <w:r w:rsidRPr="000B6068">
              <w:rPr>
                <w:rFonts w:ascii="Arial" w:hAnsi="Arial" w:cs="Arial"/>
                <w:sz w:val="18"/>
                <w:szCs w:val="18"/>
              </w:rPr>
              <w:noBreakHyphen/>
              <w:t>influencers</w:t>
            </w:r>
          </w:p>
        </w:tc>
        <w:tc>
          <w:tcPr>
            <w:tcW w:w="1421" w:type="dxa"/>
            <w:vAlign w:val="center"/>
          </w:tcPr>
          <w:p w14:paraId="6FCCCBE0" w14:textId="77777777" w:rsidR="006E5DFB" w:rsidRPr="000B6068" w:rsidRDefault="006E5DFB" w:rsidP="006E5DFB">
            <w:pPr>
              <w:rPr>
                <w:rFonts w:ascii="Arial" w:hAnsi="Arial" w:cs="Arial"/>
                <w:sz w:val="18"/>
                <w:szCs w:val="18"/>
              </w:rPr>
            </w:pPr>
            <w:r w:rsidRPr="000B6068">
              <w:rPr>
                <w:rFonts w:ascii="Arial" w:hAnsi="Arial" w:cs="Arial"/>
                <w:sz w:val="18"/>
                <w:szCs w:val="18"/>
              </w:rPr>
              <w:t>Source Credibility Theory</w:t>
            </w:r>
          </w:p>
        </w:tc>
        <w:tc>
          <w:tcPr>
            <w:tcW w:w="2082" w:type="dxa"/>
            <w:vAlign w:val="center"/>
          </w:tcPr>
          <w:p w14:paraId="1EB64929" w14:textId="77777777" w:rsidR="006E5DFB" w:rsidRPr="000B6068" w:rsidRDefault="006E5DFB" w:rsidP="006E5DFB">
            <w:pPr>
              <w:rPr>
                <w:rFonts w:ascii="Arial" w:hAnsi="Arial" w:cs="Arial"/>
                <w:sz w:val="18"/>
                <w:szCs w:val="18"/>
              </w:rPr>
            </w:pPr>
            <w:r w:rsidRPr="000B6068">
              <w:rPr>
                <w:rFonts w:ascii="Arial" w:hAnsi="Arial" w:cs="Arial"/>
                <w:sz w:val="18"/>
                <w:szCs w:val="18"/>
              </w:rPr>
              <w:t>Micro</w:t>
            </w:r>
            <w:r w:rsidRPr="000B6068">
              <w:rPr>
                <w:rFonts w:ascii="Arial" w:hAnsi="Arial" w:cs="Arial"/>
                <w:sz w:val="18"/>
                <w:szCs w:val="18"/>
              </w:rPr>
              <w:noBreakHyphen/>
              <w:t>influencers outperform celebrities in trust and purchase intention</w:t>
            </w:r>
          </w:p>
        </w:tc>
        <w:tc>
          <w:tcPr>
            <w:tcW w:w="2300" w:type="dxa"/>
            <w:vAlign w:val="center"/>
          </w:tcPr>
          <w:p w14:paraId="52217C3D" w14:textId="77777777" w:rsidR="006E5DFB" w:rsidRPr="000B6068" w:rsidRDefault="006E5DFB" w:rsidP="006E5DFB">
            <w:pPr>
              <w:rPr>
                <w:rFonts w:ascii="Arial" w:hAnsi="Arial" w:cs="Arial"/>
                <w:sz w:val="18"/>
                <w:szCs w:val="18"/>
              </w:rPr>
            </w:pPr>
            <w:r w:rsidRPr="000B6068">
              <w:rPr>
                <w:rFonts w:ascii="Arial" w:hAnsi="Arial" w:cs="Arial"/>
                <w:sz w:val="18"/>
                <w:szCs w:val="18"/>
              </w:rPr>
              <w:t>RQ1 &amp; RQ2 (shift drivers, comparative trust outcomes)</w:t>
            </w:r>
          </w:p>
        </w:tc>
      </w:tr>
      <w:tr w:rsidR="006E5DFB" w14:paraId="16377385" w14:textId="77777777" w:rsidTr="006E5DFB">
        <w:tc>
          <w:tcPr>
            <w:tcW w:w="1485" w:type="dxa"/>
            <w:vAlign w:val="center"/>
          </w:tcPr>
          <w:p w14:paraId="72296A6A"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Griva &amp; Jha, 202</w:t>
            </w:r>
            <w:r>
              <w:rPr>
                <w:rStyle w:val="Strong"/>
                <w:rFonts w:ascii="Arial" w:hAnsi="Arial" w:cs="Arial"/>
                <w:sz w:val="18"/>
                <w:szCs w:val="18"/>
              </w:rPr>
              <w:t>3</w:t>
            </w:r>
          </w:p>
        </w:tc>
        <w:tc>
          <w:tcPr>
            <w:tcW w:w="1728" w:type="dxa"/>
            <w:vAlign w:val="center"/>
          </w:tcPr>
          <w:p w14:paraId="39E459FF" w14:textId="77777777" w:rsidR="006E5DFB" w:rsidRPr="000B6068" w:rsidRDefault="006E5DFB" w:rsidP="006E5DFB">
            <w:pPr>
              <w:rPr>
                <w:rFonts w:ascii="Arial" w:hAnsi="Arial" w:cs="Arial"/>
                <w:sz w:val="18"/>
                <w:szCs w:val="18"/>
              </w:rPr>
            </w:pPr>
            <w:r w:rsidRPr="000B6068">
              <w:rPr>
                <w:rFonts w:ascii="Arial" w:hAnsi="Arial" w:cs="Arial"/>
                <w:sz w:val="18"/>
                <w:szCs w:val="18"/>
              </w:rPr>
              <w:t>Comparative effects of influencer vs. traditional advertising</w:t>
            </w:r>
          </w:p>
        </w:tc>
        <w:tc>
          <w:tcPr>
            <w:tcW w:w="1421" w:type="dxa"/>
            <w:vAlign w:val="center"/>
          </w:tcPr>
          <w:p w14:paraId="085D5E49" w14:textId="77777777" w:rsidR="006E5DFB" w:rsidRPr="000B6068" w:rsidRDefault="006E5DFB" w:rsidP="006E5DFB">
            <w:pPr>
              <w:rPr>
                <w:rFonts w:ascii="Arial" w:hAnsi="Arial" w:cs="Arial"/>
                <w:sz w:val="18"/>
                <w:szCs w:val="18"/>
              </w:rPr>
            </w:pPr>
            <w:r w:rsidRPr="000B6068">
              <w:rPr>
                <w:rFonts w:ascii="Arial" w:hAnsi="Arial" w:cs="Arial"/>
                <w:sz w:val="18"/>
                <w:szCs w:val="18"/>
              </w:rPr>
              <w:t>Brand Equity, Consumer Trust</w:t>
            </w:r>
          </w:p>
        </w:tc>
        <w:tc>
          <w:tcPr>
            <w:tcW w:w="2082" w:type="dxa"/>
            <w:vAlign w:val="center"/>
          </w:tcPr>
          <w:p w14:paraId="00F6D769" w14:textId="77777777" w:rsidR="006E5DFB" w:rsidRPr="000B6068" w:rsidRDefault="006E5DFB" w:rsidP="006E5DFB">
            <w:pPr>
              <w:rPr>
                <w:rFonts w:ascii="Arial" w:hAnsi="Arial" w:cs="Arial"/>
                <w:sz w:val="18"/>
                <w:szCs w:val="18"/>
              </w:rPr>
            </w:pPr>
            <w:r w:rsidRPr="000B6068">
              <w:rPr>
                <w:rFonts w:ascii="Arial" w:hAnsi="Arial" w:cs="Arial"/>
                <w:sz w:val="18"/>
                <w:szCs w:val="18"/>
              </w:rPr>
              <w:t>Influencer marketing enhances trust and loyalty more than traditional advertising</w:t>
            </w:r>
          </w:p>
        </w:tc>
        <w:tc>
          <w:tcPr>
            <w:tcW w:w="2300" w:type="dxa"/>
            <w:vAlign w:val="center"/>
          </w:tcPr>
          <w:p w14:paraId="18B29629" w14:textId="77777777" w:rsidR="006E5DFB" w:rsidRPr="000B6068" w:rsidRDefault="006E5DFB" w:rsidP="006E5DFB">
            <w:pPr>
              <w:rPr>
                <w:rFonts w:ascii="Arial" w:hAnsi="Arial" w:cs="Arial"/>
                <w:sz w:val="18"/>
                <w:szCs w:val="18"/>
              </w:rPr>
            </w:pPr>
            <w:r w:rsidRPr="000B6068">
              <w:rPr>
                <w:rFonts w:ascii="Arial" w:hAnsi="Arial" w:cs="Arial"/>
                <w:sz w:val="18"/>
                <w:szCs w:val="18"/>
              </w:rPr>
              <w:t>RQ2 &amp; RQ3 (brand equity, consumer trust outcomes)</w:t>
            </w:r>
          </w:p>
        </w:tc>
      </w:tr>
      <w:tr w:rsidR="006E5DFB" w14:paraId="10AD65DC" w14:textId="77777777" w:rsidTr="006E5DFB">
        <w:tc>
          <w:tcPr>
            <w:tcW w:w="1485" w:type="dxa"/>
            <w:vAlign w:val="center"/>
          </w:tcPr>
          <w:p w14:paraId="68578560" w14:textId="77777777" w:rsidR="006E5DFB" w:rsidRPr="000B6068" w:rsidRDefault="006E5DFB" w:rsidP="006E5DFB">
            <w:pPr>
              <w:rPr>
                <w:rFonts w:ascii="Arial" w:hAnsi="Arial" w:cs="Arial"/>
                <w:sz w:val="18"/>
                <w:szCs w:val="18"/>
              </w:rPr>
            </w:pPr>
            <w:r w:rsidRPr="000B6068">
              <w:rPr>
                <w:rStyle w:val="Strong"/>
                <w:rFonts w:ascii="Arial" w:hAnsi="Arial" w:cs="Arial"/>
                <w:sz w:val="18"/>
                <w:szCs w:val="18"/>
              </w:rPr>
              <w:t>Hochstein et al., 2023</w:t>
            </w:r>
          </w:p>
        </w:tc>
        <w:tc>
          <w:tcPr>
            <w:tcW w:w="1728" w:type="dxa"/>
            <w:vAlign w:val="center"/>
          </w:tcPr>
          <w:p w14:paraId="00A4A416" w14:textId="77777777" w:rsidR="006E5DFB" w:rsidRPr="000B6068" w:rsidRDefault="006E5DFB" w:rsidP="006E5DFB">
            <w:pPr>
              <w:rPr>
                <w:rFonts w:ascii="Arial" w:hAnsi="Arial" w:cs="Arial"/>
                <w:sz w:val="18"/>
                <w:szCs w:val="18"/>
              </w:rPr>
            </w:pPr>
            <w:r w:rsidRPr="000B6068">
              <w:rPr>
                <w:rFonts w:ascii="Arial" w:hAnsi="Arial" w:cs="Arial"/>
                <w:sz w:val="18"/>
                <w:szCs w:val="18"/>
              </w:rPr>
              <w:t>UGC and digital trust</w:t>
            </w:r>
          </w:p>
        </w:tc>
        <w:tc>
          <w:tcPr>
            <w:tcW w:w="1421" w:type="dxa"/>
            <w:vAlign w:val="center"/>
          </w:tcPr>
          <w:p w14:paraId="47378083" w14:textId="77777777" w:rsidR="006E5DFB" w:rsidRPr="000B6068" w:rsidRDefault="006E5DFB" w:rsidP="006E5DFB">
            <w:pPr>
              <w:rPr>
                <w:rFonts w:ascii="Arial" w:hAnsi="Arial" w:cs="Arial"/>
                <w:sz w:val="18"/>
                <w:szCs w:val="18"/>
              </w:rPr>
            </w:pPr>
            <w:r w:rsidRPr="000B6068">
              <w:rPr>
                <w:rFonts w:ascii="Arial" w:hAnsi="Arial" w:cs="Arial"/>
                <w:sz w:val="18"/>
                <w:szCs w:val="18"/>
              </w:rPr>
              <w:t>Relationship Marketing, Co</w:t>
            </w:r>
            <w:r w:rsidRPr="000B6068">
              <w:rPr>
                <w:rFonts w:ascii="Arial" w:hAnsi="Arial" w:cs="Arial"/>
                <w:sz w:val="18"/>
                <w:szCs w:val="18"/>
              </w:rPr>
              <w:noBreakHyphen/>
              <w:t>creation</w:t>
            </w:r>
          </w:p>
        </w:tc>
        <w:tc>
          <w:tcPr>
            <w:tcW w:w="2082" w:type="dxa"/>
            <w:vAlign w:val="center"/>
          </w:tcPr>
          <w:p w14:paraId="3749F4FD" w14:textId="77777777" w:rsidR="006E5DFB" w:rsidRPr="000B6068" w:rsidRDefault="006E5DFB" w:rsidP="006E5DFB">
            <w:pPr>
              <w:rPr>
                <w:rFonts w:ascii="Arial" w:hAnsi="Arial" w:cs="Arial"/>
                <w:sz w:val="18"/>
                <w:szCs w:val="18"/>
              </w:rPr>
            </w:pPr>
            <w:r w:rsidRPr="000B6068">
              <w:rPr>
                <w:rFonts w:ascii="Arial" w:hAnsi="Arial" w:cs="Arial"/>
                <w:sz w:val="18"/>
                <w:szCs w:val="18"/>
              </w:rPr>
              <w:t>UGC builds digital trust; enhances loyalty and co</w:t>
            </w:r>
            <w:r w:rsidRPr="000B6068">
              <w:rPr>
                <w:rFonts w:ascii="Arial" w:hAnsi="Arial" w:cs="Arial"/>
                <w:sz w:val="18"/>
                <w:szCs w:val="18"/>
              </w:rPr>
              <w:noBreakHyphen/>
              <w:t>creation</w:t>
            </w:r>
          </w:p>
        </w:tc>
        <w:tc>
          <w:tcPr>
            <w:tcW w:w="2300" w:type="dxa"/>
            <w:vAlign w:val="center"/>
          </w:tcPr>
          <w:p w14:paraId="2B485338" w14:textId="77777777" w:rsidR="006E5DFB" w:rsidRPr="000B6068" w:rsidRDefault="006E5DFB" w:rsidP="006E5DFB">
            <w:pPr>
              <w:keepNext/>
              <w:rPr>
                <w:rFonts w:ascii="Arial" w:hAnsi="Arial" w:cs="Arial"/>
                <w:sz w:val="18"/>
                <w:szCs w:val="18"/>
              </w:rPr>
            </w:pPr>
            <w:r w:rsidRPr="000B6068">
              <w:rPr>
                <w:rFonts w:ascii="Arial" w:hAnsi="Arial" w:cs="Arial"/>
                <w:sz w:val="18"/>
                <w:szCs w:val="18"/>
              </w:rPr>
              <w:t>RQ2 &amp; RQ4 (UGIC trust, relationship marketing adaptation)</w:t>
            </w:r>
          </w:p>
        </w:tc>
      </w:tr>
    </w:tbl>
    <w:p w14:paraId="67296C94" w14:textId="77777777" w:rsidR="006E5DFB" w:rsidRDefault="006E5DFB" w:rsidP="006E5DFB">
      <w:pPr>
        <w:pStyle w:val="Caption"/>
        <w:rPr>
          <w:rFonts w:ascii="Arial" w:eastAsia="Times New Roman" w:hAnsi="Arial" w:cs="Arial"/>
          <w:sz w:val="24"/>
          <w:szCs w:val="24"/>
          <w:lang w:val="en-IN" w:eastAsia="en-IN" w:bidi="ml-IN"/>
        </w:rPr>
      </w:pPr>
    </w:p>
    <w:p w14:paraId="3B376ACB" w14:textId="77777777" w:rsidR="006E5DFB" w:rsidRDefault="006E5DFB" w:rsidP="006E5DFB">
      <w:pPr>
        <w:rPr>
          <w:lang w:val="en-IN" w:eastAsia="en-IN" w:bidi="ml-IN"/>
        </w:rPr>
      </w:pPr>
    </w:p>
    <w:p w14:paraId="5808BF58" w14:textId="77777777" w:rsidR="006E5DFB" w:rsidRDefault="006E5DFB" w:rsidP="006E5DFB">
      <w:pPr>
        <w:rPr>
          <w:lang w:val="en-IN" w:eastAsia="en-IN" w:bidi="ml-IN"/>
        </w:rPr>
      </w:pPr>
    </w:p>
    <w:p w14:paraId="62A16563" w14:textId="77777777" w:rsidR="006E5DFB" w:rsidRDefault="006E5DFB" w:rsidP="006E5DFB">
      <w:pPr>
        <w:rPr>
          <w:lang w:val="en-IN" w:eastAsia="en-IN" w:bidi="ml-IN"/>
        </w:rPr>
      </w:pPr>
    </w:p>
    <w:p w14:paraId="64BB7FAC" w14:textId="72122329" w:rsidR="006E5DFB" w:rsidRDefault="006E5DFB" w:rsidP="006E5DFB">
      <w:pPr>
        <w:rPr>
          <w:lang w:val="en-IN" w:eastAsia="en-IN" w:bidi="ml-IN"/>
        </w:rPr>
      </w:pPr>
    </w:p>
    <w:p w14:paraId="081DDB3B" w14:textId="77777777" w:rsidR="006E5DFB" w:rsidRDefault="006E5DFB" w:rsidP="006E5DFB">
      <w:pPr>
        <w:rPr>
          <w:lang w:val="en-IN" w:eastAsia="en-IN" w:bidi="ml-IN"/>
        </w:rPr>
      </w:pPr>
    </w:p>
    <w:p w14:paraId="7C700F91" w14:textId="06CB4B99" w:rsidR="006E5DFB" w:rsidRDefault="006E5DFB" w:rsidP="00011834">
      <w:pPr>
        <w:spacing w:before="100" w:beforeAutospacing="1" w:after="100" w:afterAutospacing="1" w:line="240" w:lineRule="auto"/>
        <w:jc w:val="both"/>
        <w:outlineLvl w:val="0"/>
        <w:rPr>
          <w:rFonts w:ascii="Arial" w:eastAsia="Times New Roman" w:hAnsi="Arial" w:cs="Arial"/>
          <w:b/>
          <w:bCs/>
          <w:sz w:val="24"/>
          <w:szCs w:val="24"/>
          <w:lang w:val="en-IN" w:eastAsia="en-IN" w:bidi="ml-IN"/>
        </w:rPr>
      </w:pPr>
      <w:bookmarkStart w:id="63" w:name="_Toc229774384"/>
      <w:r w:rsidRPr="00011834">
        <w:rPr>
          <w:rFonts w:ascii="Arial" w:eastAsia="Times New Roman" w:hAnsi="Arial" w:cs="Arial"/>
          <w:b/>
          <w:bCs/>
          <w:noProof/>
          <w:sz w:val="24"/>
          <w:szCs w:val="24"/>
          <w:lang w:val="en-IN" w:eastAsia="en-IN" w:bidi="ml-IN"/>
        </w:rPr>
        <w:lastRenderedPageBreak/>
        <w:drawing>
          <wp:anchor distT="0" distB="0" distL="114300" distR="114300" simplePos="0" relativeHeight="251680768" behindDoc="1" locked="0" layoutInCell="1" allowOverlap="1" wp14:anchorId="7B21F832" wp14:editId="52A6B6E4">
            <wp:simplePos x="0" y="0"/>
            <wp:positionH relativeFrom="margin">
              <wp:align>left</wp:align>
            </wp:positionH>
            <wp:positionV relativeFrom="paragraph">
              <wp:posOffset>350520</wp:posOffset>
            </wp:positionV>
            <wp:extent cx="6024880" cy="2446020"/>
            <wp:effectExtent l="0" t="0" r="0" b="0"/>
            <wp:wrapTight wrapText="bothSides">
              <wp:wrapPolygon edited="0">
                <wp:start x="0" y="0"/>
                <wp:lineTo x="0" y="21364"/>
                <wp:lineTo x="21513" y="21364"/>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4880" cy="2446020"/>
                    </a:xfrm>
                    <a:prstGeom prst="rect">
                      <a:avLst/>
                    </a:prstGeom>
                    <a:noFill/>
                  </pic:spPr>
                </pic:pic>
              </a:graphicData>
            </a:graphic>
            <wp14:sizeRelH relativeFrom="margin">
              <wp14:pctWidth>0</wp14:pctWidth>
            </wp14:sizeRelH>
            <wp14:sizeRelV relativeFrom="margin">
              <wp14:pctHeight>0</wp14:pctHeight>
            </wp14:sizeRelV>
          </wp:anchor>
        </w:drawing>
      </w:r>
      <w:r w:rsidR="00011834">
        <w:rPr>
          <w:rFonts w:ascii="Arial" w:eastAsia="Times New Roman" w:hAnsi="Arial" w:cs="Arial"/>
          <w:b/>
          <w:bCs/>
          <w:sz w:val="24"/>
          <w:szCs w:val="24"/>
          <w:lang w:val="en-IN" w:eastAsia="en-IN" w:bidi="ml-IN"/>
        </w:rPr>
        <w:t xml:space="preserve">Appendix </w:t>
      </w:r>
      <w:r w:rsidRPr="00E13954">
        <w:rPr>
          <w:rFonts w:ascii="Arial" w:eastAsia="Times New Roman" w:hAnsi="Arial" w:cs="Arial"/>
          <w:b/>
          <w:bCs/>
          <w:sz w:val="24"/>
          <w:szCs w:val="24"/>
          <w:lang w:val="en-IN" w:eastAsia="en-IN" w:bidi="ml-IN"/>
        </w:rPr>
        <w:t>2</w:t>
      </w:r>
      <w:r w:rsidR="00011834">
        <w:rPr>
          <w:rFonts w:ascii="Arial" w:eastAsia="Times New Roman" w:hAnsi="Arial" w:cs="Arial"/>
          <w:b/>
          <w:bCs/>
          <w:sz w:val="24"/>
          <w:szCs w:val="24"/>
          <w:lang w:val="en-IN" w:eastAsia="en-IN" w:bidi="ml-IN"/>
        </w:rPr>
        <w:t>:</w:t>
      </w:r>
      <w:r w:rsidRPr="00E13954">
        <w:rPr>
          <w:rFonts w:ascii="Arial" w:eastAsia="Times New Roman" w:hAnsi="Arial" w:cs="Arial"/>
          <w:b/>
          <w:bCs/>
          <w:sz w:val="24"/>
          <w:szCs w:val="24"/>
          <w:lang w:val="en-IN" w:eastAsia="en-IN" w:bidi="ml-IN"/>
        </w:rPr>
        <w:t xml:space="preserve"> Critical Appraisal Checklist</w:t>
      </w:r>
      <w:r>
        <w:rPr>
          <w:rFonts w:ascii="Arial" w:eastAsia="Times New Roman" w:hAnsi="Arial" w:cs="Arial"/>
          <w:b/>
          <w:bCs/>
          <w:sz w:val="24"/>
          <w:szCs w:val="24"/>
          <w:lang w:val="en-IN" w:eastAsia="en-IN" w:bidi="ml-IN"/>
        </w:rPr>
        <w:t xml:space="preserve"> (CASP)</w:t>
      </w:r>
      <w:bookmarkEnd w:id="63"/>
    </w:p>
    <w:p w14:paraId="4A23D556" w14:textId="5BBC2C04" w:rsidR="0054707A" w:rsidRPr="00011834" w:rsidRDefault="0054707A" w:rsidP="00011834">
      <w:pPr>
        <w:spacing w:line="360" w:lineRule="auto"/>
        <w:jc w:val="both"/>
        <w:rPr>
          <w:rFonts w:ascii="Arial" w:hAnsi="Arial" w:cs="Arial"/>
          <w:sz w:val="24"/>
          <w:szCs w:val="24"/>
        </w:rPr>
      </w:pPr>
    </w:p>
    <w:p w14:paraId="196BF622" w14:textId="77777777" w:rsidR="00011834" w:rsidRPr="00011834" w:rsidRDefault="00011834" w:rsidP="00011834">
      <w:pPr>
        <w:spacing w:before="100" w:beforeAutospacing="1" w:after="100" w:afterAutospacing="1" w:line="240" w:lineRule="auto"/>
        <w:jc w:val="both"/>
        <w:outlineLvl w:val="0"/>
        <w:rPr>
          <w:rFonts w:ascii="Arial" w:eastAsia="Times New Roman" w:hAnsi="Arial" w:cs="Arial"/>
          <w:b/>
          <w:bCs/>
          <w:sz w:val="24"/>
          <w:szCs w:val="24"/>
          <w:lang w:val="en-IN" w:eastAsia="en-IN" w:bidi="ml-IN"/>
        </w:rPr>
      </w:pPr>
      <w:bookmarkStart w:id="64" w:name="_Toc229774385"/>
      <w:r w:rsidRPr="00011834">
        <w:rPr>
          <w:rFonts w:ascii="Arial" w:eastAsia="Times New Roman" w:hAnsi="Arial" w:cs="Arial"/>
          <w:b/>
          <w:bCs/>
          <w:sz w:val="24"/>
          <w:szCs w:val="24"/>
          <w:lang w:val="en-IN" w:eastAsia="en-IN" w:bidi="ml-IN"/>
        </w:rPr>
        <w:t>Appendix 3: Thematic Analysis Process Tables</w:t>
      </w:r>
      <w:bookmarkEnd w:id="64"/>
    </w:p>
    <w:p w14:paraId="4D2F6D42" w14:textId="29FD3D0A" w:rsidR="00011834" w:rsidRPr="00011834" w:rsidRDefault="00070CAA" w:rsidP="00011834">
      <w:pPr>
        <w:spacing w:before="100" w:beforeAutospacing="1" w:after="100" w:afterAutospacing="1" w:line="360" w:lineRule="auto"/>
        <w:jc w:val="both"/>
        <w:rPr>
          <w:rFonts w:ascii="Arial" w:eastAsia="Times New Roman" w:hAnsi="Arial" w:cs="Arial"/>
          <w:color w:val="000000" w:themeColor="text1"/>
          <w:sz w:val="24"/>
          <w:szCs w:val="24"/>
          <w:lang w:val="en-IN" w:eastAsia="en-IN" w:bidi="ml-IN"/>
        </w:rPr>
      </w:pPr>
      <w:r w:rsidRPr="00070CAA">
        <w:rPr>
          <w:rFonts w:ascii="Arial" w:eastAsia="Times New Roman" w:hAnsi="Arial" w:cs="Arial"/>
          <w:color w:val="000000" w:themeColor="text1"/>
          <w:sz w:val="24"/>
          <w:szCs w:val="24"/>
          <w:lang w:val="en-IN" w:eastAsia="en-IN" w:bidi="ml-IN"/>
        </w:rPr>
        <w:t>The three main phases of thematic analysis, following Braun and Clarke (2006), are described in the following three tables for the eleven sources that make up the systematic literature review data set. Table A3.1 is the raw data extraction and initial coding for Stage 1. Table A3.2 shows the sub-themes that were created from the clustered codes in Stage 2. Table A3.3 shows how the themes from Stage 3 were consolidated into the four thematic clusters reported in Chapter 4.</w:t>
      </w:r>
    </w:p>
    <w:p w14:paraId="2F7F6714" w14:textId="6387151D" w:rsidR="00011834" w:rsidRPr="00011834" w:rsidRDefault="00011834" w:rsidP="00011834">
      <w:pPr>
        <w:pStyle w:val="NoSpacing"/>
        <w:spacing w:line="360" w:lineRule="auto"/>
        <w:jc w:val="both"/>
        <w:rPr>
          <w:rFonts w:ascii="Arial" w:hAnsi="Arial" w:cs="Arial"/>
          <w:b/>
          <w:bCs/>
          <w:sz w:val="24"/>
          <w:szCs w:val="24"/>
          <w:lang w:val="en-IN" w:eastAsia="en-IN" w:bidi="ml-IN"/>
        </w:rPr>
      </w:pPr>
      <w:r w:rsidRPr="00011834">
        <w:rPr>
          <w:rFonts w:ascii="Arial" w:hAnsi="Arial" w:cs="Arial"/>
          <w:b/>
          <w:bCs/>
          <w:sz w:val="24"/>
          <w:szCs w:val="24"/>
          <w:lang w:val="en-IN" w:eastAsia="en-IN" w:bidi="ml-IN"/>
        </w:rPr>
        <w:t>Stage 1: Raw Data Extraction and Initial Coding</w:t>
      </w:r>
    </w:p>
    <w:p w14:paraId="45A22589" w14:textId="114A145E" w:rsidR="00011834" w:rsidRPr="00011834" w:rsidRDefault="00070CAA" w:rsidP="00011834">
      <w:pPr>
        <w:pStyle w:val="NoSpacing"/>
        <w:spacing w:line="360" w:lineRule="auto"/>
        <w:jc w:val="both"/>
        <w:rPr>
          <w:rFonts w:eastAsia="Times New Roman"/>
          <w:color w:val="000000" w:themeColor="text1"/>
          <w:lang w:val="en-IN" w:eastAsia="en-IN" w:bidi="ml-IN"/>
        </w:rPr>
      </w:pPr>
      <w:r w:rsidRPr="00070CAA">
        <w:rPr>
          <w:rFonts w:ascii="Arial" w:eastAsia="Times New Roman" w:hAnsi="Arial" w:cs="Arial"/>
          <w:color w:val="000000" w:themeColor="text1"/>
          <w:sz w:val="24"/>
          <w:szCs w:val="24"/>
          <w:lang w:val="en-IN" w:eastAsia="en-IN" w:bidi="ml-IN"/>
        </w:rPr>
        <w:t>The following table shows the evidence extracted or paraphrased from each of the eleven sources, and the first descriptive code given during the first pass of manual coding.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4"/>
        <w:gridCol w:w="4479"/>
        <w:gridCol w:w="2533"/>
      </w:tblGrid>
      <w:tr w:rsidR="00011834" w:rsidRPr="00011834" w14:paraId="4BC06710" w14:textId="77777777" w:rsidTr="00011834">
        <w:trPr>
          <w:tblHeader/>
          <w:tblCellSpacing w:w="15" w:type="dxa"/>
        </w:trPr>
        <w:tc>
          <w:tcPr>
            <w:tcW w:w="0" w:type="auto"/>
            <w:vAlign w:val="center"/>
            <w:hideMark/>
          </w:tcPr>
          <w:p w14:paraId="7886C63E"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Source</w:t>
            </w:r>
          </w:p>
        </w:tc>
        <w:tc>
          <w:tcPr>
            <w:tcW w:w="0" w:type="auto"/>
            <w:vAlign w:val="center"/>
            <w:hideMark/>
          </w:tcPr>
          <w:p w14:paraId="657031AE"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Relevant Extract / Key Evidence</w:t>
            </w:r>
          </w:p>
        </w:tc>
        <w:tc>
          <w:tcPr>
            <w:tcW w:w="0" w:type="auto"/>
            <w:vAlign w:val="center"/>
            <w:hideMark/>
          </w:tcPr>
          <w:p w14:paraId="1C2ED57A"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Initial Code</w:t>
            </w:r>
          </w:p>
        </w:tc>
      </w:tr>
      <w:tr w:rsidR="00011834" w:rsidRPr="00011834" w14:paraId="094966CD" w14:textId="77777777" w:rsidTr="00011834">
        <w:trPr>
          <w:tblCellSpacing w:w="15" w:type="dxa"/>
        </w:trPr>
        <w:tc>
          <w:tcPr>
            <w:tcW w:w="0" w:type="auto"/>
            <w:vAlign w:val="center"/>
            <w:hideMark/>
          </w:tcPr>
          <w:p w14:paraId="2F3E9E1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Aaker (1991)</w:t>
            </w:r>
          </w:p>
        </w:tc>
        <w:tc>
          <w:tcPr>
            <w:tcW w:w="0" w:type="auto"/>
            <w:vAlign w:val="center"/>
            <w:hideMark/>
          </w:tcPr>
          <w:p w14:paraId="1042B01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Brand equity is a multidimensional construct encompassing awareness, perceived quality, associations, and loyalty, all of which are susceptible to shifts in communications strategy.</w:t>
            </w:r>
          </w:p>
        </w:tc>
        <w:tc>
          <w:tcPr>
            <w:tcW w:w="0" w:type="auto"/>
            <w:vAlign w:val="center"/>
            <w:hideMark/>
          </w:tcPr>
          <w:p w14:paraId="6969575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Brand equity dimensions; communications strategy impact</w:t>
            </w:r>
          </w:p>
        </w:tc>
      </w:tr>
      <w:tr w:rsidR="00011834" w:rsidRPr="00011834" w14:paraId="60F43B06" w14:textId="77777777" w:rsidTr="00011834">
        <w:trPr>
          <w:tblCellSpacing w:w="15" w:type="dxa"/>
        </w:trPr>
        <w:tc>
          <w:tcPr>
            <w:tcW w:w="0" w:type="auto"/>
            <w:vAlign w:val="center"/>
            <w:hideMark/>
          </w:tcPr>
          <w:p w14:paraId="5FF97C0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Keller (1993)</w:t>
            </w:r>
          </w:p>
        </w:tc>
        <w:tc>
          <w:tcPr>
            <w:tcW w:w="0" w:type="auto"/>
            <w:vAlign w:val="center"/>
            <w:hideMark/>
          </w:tcPr>
          <w:p w14:paraId="0118AD5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Consumer-based brand equity is built through consistent cognitive and affective brand-consumer interactions over time.</w:t>
            </w:r>
          </w:p>
        </w:tc>
        <w:tc>
          <w:tcPr>
            <w:tcW w:w="0" w:type="auto"/>
            <w:vAlign w:val="center"/>
            <w:hideMark/>
          </w:tcPr>
          <w:p w14:paraId="2ABE489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CBBE; brand-consumer interaction; consistency</w:t>
            </w:r>
          </w:p>
        </w:tc>
      </w:tr>
      <w:tr w:rsidR="00011834" w:rsidRPr="00011834" w14:paraId="41A56155" w14:textId="77777777" w:rsidTr="00011834">
        <w:trPr>
          <w:tblCellSpacing w:w="15" w:type="dxa"/>
        </w:trPr>
        <w:tc>
          <w:tcPr>
            <w:tcW w:w="0" w:type="auto"/>
            <w:vAlign w:val="center"/>
            <w:hideMark/>
          </w:tcPr>
          <w:p w14:paraId="14893CE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Hovland &amp; Weiss (1951)</w:t>
            </w:r>
          </w:p>
        </w:tc>
        <w:tc>
          <w:tcPr>
            <w:tcW w:w="0" w:type="auto"/>
            <w:vAlign w:val="center"/>
            <w:hideMark/>
          </w:tcPr>
          <w:p w14:paraId="6FF2DC8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Source credibility, comprised of expertise and trustworthiness, determines the persuasive impact of a communicator's message.</w:t>
            </w:r>
          </w:p>
        </w:tc>
        <w:tc>
          <w:tcPr>
            <w:tcW w:w="0" w:type="auto"/>
            <w:vAlign w:val="center"/>
            <w:hideMark/>
          </w:tcPr>
          <w:p w14:paraId="5303537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Source credibility; expertise; trustworthiness; persuasion</w:t>
            </w:r>
          </w:p>
        </w:tc>
      </w:tr>
      <w:tr w:rsidR="00011834" w:rsidRPr="00011834" w14:paraId="163AA3F7" w14:textId="77777777" w:rsidTr="00011834">
        <w:trPr>
          <w:tblCellSpacing w:w="15" w:type="dxa"/>
        </w:trPr>
        <w:tc>
          <w:tcPr>
            <w:tcW w:w="0" w:type="auto"/>
            <w:vAlign w:val="center"/>
            <w:hideMark/>
          </w:tcPr>
          <w:p w14:paraId="0093CBB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Gupta &amp; Verma (2025)</w:t>
            </w:r>
          </w:p>
        </w:tc>
        <w:tc>
          <w:tcPr>
            <w:tcW w:w="0" w:type="auto"/>
            <w:vAlign w:val="center"/>
            <w:hideMark/>
          </w:tcPr>
          <w:p w14:paraId="40FA795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Social media proliferation and the democratisation of content creation are the primary structural forces reshaping global brand marketing.</w:t>
            </w:r>
          </w:p>
        </w:tc>
        <w:tc>
          <w:tcPr>
            <w:tcW w:w="0" w:type="auto"/>
            <w:vAlign w:val="center"/>
            <w:hideMark/>
          </w:tcPr>
          <w:p w14:paraId="640E5E0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Democratisation of content; structural shift; platform dominance</w:t>
            </w:r>
          </w:p>
        </w:tc>
      </w:tr>
      <w:tr w:rsidR="00011834" w:rsidRPr="00011834" w14:paraId="6EF9C42E" w14:textId="77777777" w:rsidTr="00011834">
        <w:trPr>
          <w:tblCellSpacing w:w="15" w:type="dxa"/>
        </w:trPr>
        <w:tc>
          <w:tcPr>
            <w:tcW w:w="0" w:type="auto"/>
            <w:vAlign w:val="center"/>
            <w:hideMark/>
          </w:tcPr>
          <w:p w14:paraId="62B0F7A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lastRenderedPageBreak/>
              <w:t>Kumar &amp; Jibril (2025)</w:t>
            </w:r>
          </w:p>
        </w:tc>
        <w:tc>
          <w:tcPr>
            <w:tcW w:w="0" w:type="auto"/>
            <w:vAlign w:val="center"/>
            <w:hideMark/>
          </w:tcPr>
          <w:p w14:paraId="3A1968A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Influencer marketing research has grown exponentially since 2018, with retail and fashion sectors consistently at the centre of scholarly attention.</w:t>
            </w:r>
          </w:p>
        </w:tc>
        <w:tc>
          <w:tcPr>
            <w:tcW w:w="0" w:type="auto"/>
            <w:vAlign w:val="center"/>
            <w:hideMark/>
          </w:tcPr>
          <w:p w14:paraId="7BCFD3B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Growth of influencer research; retail and fashion centrality</w:t>
            </w:r>
          </w:p>
        </w:tc>
      </w:tr>
      <w:tr w:rsidR="00011834" w:rsidRPr="00011834" w14:paraId="0A0F193C" w14:textId="77777777" w:rsidTr="00011834">
        <w:trPr>
          <w:tblCellSpacing w:w="15" w:type="dxa"/>
        </w:trPr>
        <w:tc>
          <w:tcPr>
            <w:tcW w:w="0" w:type="auto"/>
            <w:vAlign w:val="center"/>
            <w:hideMark/>
          </w:tcPr>
          <w:p w14:paraId="7EE81B9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Arora (2025)</w:t>
            </w:r>
          </w:p>
        </w:tc>
        <w:tc>
          <w:tcPr>
            <w:tcW w:w="0" w:type="auto"/>
            <w:vAlign w:val="center"/>
            <w:hideMark/>
          </w:tcPr>
          <w:p w14:paraId="2978161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Micro-influencers generate outcomes comparable to celebrity ambassadors at substantially lower financial investment.</w:t>
            </w:r>
          </w:p>
        </w:tc>
        <w:tc>
          <w:tcPr>
            <w:tcW w:w="0" w:type="auto"/>
            <w:vAlign w:val="center"/>
            <w:hideMark/>
          </w:tcPr>
          <w:p w14:paraId="7EF4A29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Cost-effectiveness of micro-influencers; budget reallocation</w:t>
            </w:r>
          </w:p>
        </w:tc>
      </w:tr>
      <w:tr w:rsidR="00011834" w:rsidRPr="00011834" w14:paraId="29F271B0" w14:textId="77777777" w:rsidTr="00011834">
        <w:trPr>
          <w:tblCellSpacing w:w="15" w:type="dxa"/>
        </w:trPr>
        <w:tc>
          <w:tcPr>
            <w:tcW w:w="0" w:type="auto"/>
            <w:vAlign w:val="center"/>
            <w:hideMark/>
          </w:tcPr>
          <w:p w14:paraId="0047CF4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Barari, Eisend &amp; Jain (2025)</w:t>
            </w:r>
          </w:p>
        </w:tc>
        <w:tc>
          <w:tcPr>
            <w:tcW w:w="0" w:type="auto"/>
            <w:vAlign w:val="center"/>
            <w:hideMark/>
          </w:tcPr>
          <w:p w14:paraId="5DE72D9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Audience size, content type, and platform context moderate whether UGIC investment translates into measurable brand equity gains.</w:t>
            </w:r>
          </w:p>
        </w:tc>
        <w:tc>
          <w:tcPr>
            <w:tcW w:w="0" w:type="auto"/>
            <w:vAlign w:val="center"/>
            <w:hideMark/>
          </w:tcPr>
          <w:p w14:paraId="08CC8AB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Moderating variables; equity measurement; platform context</w:t>
            </w:r>
          </w:p>
        </w:tc>
      </w:tr>
      <w:tr w:rsidR="00011834" w:rsidRPr="00011834" w14:paraId="06FDA0C5" w14:textId="77777777" w:rsidTr="00011834">
        <w:trPr>
          <w:tblCellSpacing w:w="15" w:type="dxa"/>
        </w:trPr>
        <w:tc>
          <w:tcPr>
            <w:tcW w:w="0" w:type="auto"/>
            <w:vAlign w:val="center"/>
            <w:hideMark/>
          </w:tcPr>
          <w:p w14:paraId="5500334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Lee et al. (2024)</w:t>
            </w:r>
          </w:p>
        </w:tc>
        <w:tc>
          <w:tcPr>
            <w:tcW w:w="0" w:type="auto"/>
            <w:vAlign w:val="center"/>
            <w:hideMark/>
          </w:tcPr>
          <w:p w14:paraId="03BCB39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Social media influencers produce advertising effects comparable to traditional celebrity endorsers, with superior penetration into algorithmically curated feeds.</w:t>
            </w:r>
          </w:p>
        </w:tc>
        <w:tc>
          <w:tcPr>
            <w:tcW w:w="0" w:type="auto"/>
            <w:vAlign w:val="center"/>
            <w:hideMark/>
          </w:tcPr>
          <w:p w14:paraId="79427E8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Influencer vs. celebrity effectiveness; algorithmic reach; organic amplification</w:t>
            </w:r>
          </w:p>
        </w:tc>
      </w:tr>
      <w:tr w:rsidR="00011834" w:rsidRPr="00011834" w14:paraId="6F61C4B8" w14:textId="77777777" w:rsidTr="00011834">
        <w:trPr>
          <w:tblCellSpacing w:w="15" w:type="dxa"/>
        </w:trPr>
        <w:tc>
          <w:tcPr>
            <w:tcW w:w="0" w:type="auto"/>
            <w:vAlign w:val="center"/>
            <w:hideMark/>
          </w:tcPr>
          <w:p w14:paraId="4B0D6C3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Han &amp; Balabanis (2024)</w:t>
            </w:r>
          </w:p>
        </w:tc>
        <w:tc>
          <w:tcPr>
            <w:tcW w:w="0" w:type="auto"/>
            <w:vAlign w:val="center"/>
            <w:hideMark/>
          </w:tcPr>
          <w:p w14:paraId="5CFDAB8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Credibility, authenticity, and brand-influencer congruence are the three most robust antecedents of consumer engagement and purchase intention.</w:t>
            </w:r>
          </w:p>
        </w:tc>
        <w:tc>
          <w:tcPr>
            <w:tcW w:w="0" w:type="auto"/>
            <w:vAlign w:val="center"/>
            <w:hideMark/>
          </w:tcPr>
          <w:p w14:paraId="0AAB7986"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Credibility antecedents; authenticity; congruence; engagement</w:t>
            </w:r>
          </w:p>
        </w:tc>
      </w:tr>
      <w:tr w:rsidR="00011834" w:rsidRPr="00011834" w14:paraId="66F63683" w14:textId="77777777" w:rsidTr="00011834">
        <w:trPr>
          <w:tblCellSpacing w:w="15" w:type="dxa"/>
        </w:trPr>
        <w:tc>
          <w:tcPr>
            <w:tcW w:w="0" w:type="auto"/>
            <w:vAlign w:val="center"/>
            <w:hideMark/>
          </w:tcPr>
          <w:p w14:paraId="14C4CC2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Hochstein, Harmeling &amp; Perko (2023)</w:t>
            </w:r>
          </w:p>
        </w:tc>
        <w:tc>
          <w:tcPr>
            <w:tcW w:w="0" w:type="auto"/>
            <w:vAlign w:val="center"/>
            <w:hideMark/>
          </w:tcPr>
          <w:p w14:paraId="5CD8605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User-generated content builds digital trust more effectively than brand-generated content, functioning as an antecedent of brand loyalty.</w:t>
            </w:r>
          </w:p>
        </w:tc>
        <w:tc>
          <w:tcPr>
            <w:tcW w:w="0" w:type="auto"/>
            <w:vAlign w:val="center"/>
            <w:hideMark/>
          </w:tcPr>
          <w:p w14:paraId="73F3B1B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Digital trust; UGC vs. brand content; loyalty antecedent</w:t>
            </w:r>
          </w:p>
        </w:tc>
      </w:tr>
      <w:tr w:rsidR="00011834" w:rsidRPr="00011834" w14:paraId="280C3485" w14:textId="77777777" w:rsidTr="00011834">
        <w:trPr>
          <w:tblCellSpacing w:w="15" w:type="dxa"/>
        </w:trPr>
        <w:tc>
          <w:tcPr>
            <w:tcW w:w="0" w:type="auto"/>
            <w:vAlign w:val="center"/>
            <w:hideMark/>
          </w:tcPr>
          <w:p w14:paraId="0E9628D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Borges-Tiago, Santiago &amp; Tiago (2022)</w:t>
            </w:r>
          </w:p>
        </w:tc>
        <w:tc>
          <w:tcPr>
            <w:tcW w:w="0" w:type="auto"/>
            <w:vAlign w:val="center"/>
            <w:hideMark/>
          </w:tcPr>
          <w:p w14:paraId="31AA87F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Macro-influencers produce stronger brand awareness effects, whilst micro-influencers generate superior trust transfer outcomes.</w:t>
            </w:r>
          </w:p>
        </w:tc>
        <w:tc>
          <w:tcPr>
            <w:tcW w:w="0" w:type="auto"/>
            <w:vAlign w:val="center"/>
            <w:hideMark/>
          </w:tcPr>
          <w:p w14:paraId="762FEFB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Influencer tiering; awareness vs. trust; portfolio approach</w:t>
            </w:r>
          </w:p>
        </w:tc>
      </w:tr>
      <w:tr w:rsidR="00011834" w:rsidRPr="00011834" w14:paraId="2054BBBD" w14:textId="77777777" w:rsidTr="00011834">
        <w:trPr>
          <w:tblCellSpacing w:w="15" w:type="dxa"/>
        </w:trPr>
        <w:tc>
          <w:tcPr>
            <w:tcW w:w="0" w:type="auto"/>
            <w:vAlign w:val="center"/>
            <w:hideMark/>
          </w:tcPr>
          <w:p w14:paraId="7747A1A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Kim &amp; Wang (2024)</w:t>
            </w:r>
          </w:p>
        </w:tc>
        <w:tc>
          <w:tcPr>
            <w:tcW w:w="0" w:type="auto"/>
            <w:vAlign w:val="center"/>
            <w:hideMark/>
          </w:tcPr>
          <w:p w14:paraId="1211DE5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Perceived authenticity and source credibility mediate advertising effectiveness even in AI-generated virtual influencer contexts.</w:t>
            </w:r>
          </w:p>
        </w:tc>
        <w:tc>
          <w:tcPr>
            <w:tcW w:w="0" w:type="auto"/>
            <w:vAlign w:val="center"/>
            <w:hideMark/>
          </w:tcPr>
          <w:p w14:paraId="528A57B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Virtual influencers; authenticity mediation; AI-generated content</w:t>
            </w:r>
          </w:p>
        </w:tc>
      </w:tr>
      <w:tr w:rsidR="00011834" w:rsidRPr="00011834" w14:paraId="412B9944" w14:textId="77777777" w:rsidTr="00011834">
        <w:trPr>
          <w:tblCellSpacing w:w="15" w:type="dxa"/>
        </w:trPr>
        <w:tc>
          <w:tcPr>
            <w:tcW w:w="0" w:type="auto"/>
            <w:vAlign w:val="center"/>
            <w:hideMark/>
          </w:tcPr>
          <w:p w14:paraId="6DB2FF7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Van Reijmersdal, Walet &amp; Gudmundsdottir (2024)</w:t>
            </w:r>
          </w:p>
        </w:tc>
        <w:tc>
          <w:tcPr>
            <w:tcW w:w="0" w:type="auto"/>
            <w:vAlign w:val="center"/>
            <w:hideMark/>
          </w:tcPr>
          <w:p w14:paraId="06FFBF8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Personal disclosure and lifestyle congruence generate more source credibility transfer than the professional staging typical of brand ambassador contracts.</w:t>
            </w:r>
          </w:p>
        </w:tc>
        <w:tc>
          <w:tcPr>
            <w:tcW w:w="0" w:type="auto"/>
            <w:vAlign w:val="center"/>
            <w:hideMark/>
          </w:tcPr>
          <w:p w14:paraId="1C63F14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Self-presentation; disclosure; lifestyle congruence; credibility transfer</w:t>
            </w:r>
          </w:p>
        </w:tc>
      </w:tr>
      <w:tr w:rsidR="00011834" w:rsidRPr="00011834" w14:paraId="36374DAB" w14:textId="77777777" w:rsidTr="00011834">
        <w:trPr>
          <w:tblCellSpacing w:w="15" w:type="dxa"/>
        </w:trPr>
        <w:tc>
          <w:tcPr>
            <w:tcW w:w="0" w:type="auto"/>
            <w:vAlign w:val="center"/>
            <w:hideMark/>
          </w:tcPr>
          <w:p w14:paraId="40A39E3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Petkovska (2025)</w:t>
            </w:r>
          </w:p>
        </w:tc>
        <w:tc>
          <w:tcPr>
            <w:tcW w:w="0" w:type="auto"/>
            <w:vAlign w:val="center"/>
            <w:hideMark/>
          </w:tcPr>
          <w:p w14:paraId="5FF8AB7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Decentralisation of brand messaging constitutes a governance risk specific to UGIC; informality and narrative variability threaten brand equity management at scale.</w:t>
            </w:r>
          </w:p>
        </w:tc>
        <w:tc>
          <w:tcPr>
            <w:tcW w:w="0" w:type="auto"/>
            <w:vAlign w:val="center"/>
            <w:hideMark/>
          </w:tcPr>
          <w:p w14:paraId="61D7FDF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Governance risk; decentralisation; narrative variability; brand control</w:t>
            </w:r>
          </w:p>
        </w:tc>
      </w:tr>
      <w:tr w:rsidR="00011834" w:rsidRPr="00011834" w14:paraId="66FE1730" w14:textId="77777777" w:rsidTr="00011834">
        <w:trPr>
          <w:tblCellSpacing w:w="15" w:type="dxa"/>
        </w:trPr>
        <w:tc>
          <w:tcPr>
            <w:tcW w:w="0" w:type="auto"/>
            <w:vAlign w:val="center"/>
            <w:hideMark/>
          </w:tcPr>
          <w:p w14:paraId="02AB578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Griva &amp; Jha (2023)</w:t>
            </w:r>
          </w:p>
        </w:tc>
        <w:tc>
          <w:tcPr>
            <w:tcW w:w="0" w:type="auto"/>
            <w:vAlign w:val="center"/>
            <w:hideMark/>
          </w:tcPr>
          <w:p w14:paraId="024A086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Influencer marketing generates significantly higher consumer trust and brand loyalty than equivalent expenditure on traditional advertising channels.</w:t>
            </w:r>
          </w:p>
        </w:tc>
        <w:tc>
          <w:tcPr>
            <w:tcW w:w="0" w:type="auto"/>
            <w:vAlign w:val="center"/>
            <w:hideMark/>
          </w:tcPr>
          <w:p w14:paraId="6D300A0A" w14:textId="77777777" w:rsidR="00011834" w:rsidRPr="00011834" w:rsidRDefault="00011834" w:rsidP="00524E90">
            <w:pPr>
              <w:keepNext/>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Trust differential; loyalty; influencer vs. traditional advertising ROI</w:t>
            </w:r>
          </w:p>
        </w:tc>
      </w:tr>
    </w:tbl>
    <w:p w14:paraId="6D2094D3" w14:textId="095B1380" w:rsidR="00011834" w:rsidRPr="006176A0" w:rsidRDefault="00011834" w:rsidP="006176A0">
      <w:pPr>
        <w:pStyle w:val="Caption"/>
        <w:jc w:val="center"/>
        <w:rPr>
          <w:rFonts w:ascii="Arial" w:hAnsi="Arial" w:cs="Arial"/>
          <w:b/>
          <w:bCs/>
          <w:i w:val="0"/>
          <w:iCs w:val="0"/>
          <w:color w:val="000000" w:themeColor="text1"/>
          <w:sz w:val="24"/>
          <w:szCs w:val="24"/>
          <w:lang w:val="en-US"/>
        </w:rPr>
      </w:pPr>
      <w:r w:rsidRPr="00011834">
        <w:rPr>
          <w:rFonts w:ascii="Arial" w:hAnsi="Arial" w:cs="Arial"/>
          <w:b/>
          <w:bCs/>
          <w:i w:val="0"/>
          <w:iCs w:val="0"/>
          <w:color w:val="000000" w:themeColor="text1"/>
          <w:sz w:val="24"/>
          <w:szCs w:val="24"/>
        </w:rPr>
        <w:t>Table A3.</w:t>
      </w:r>
      <w:r w:rsidRPr="00011834">
        <w:rPr>
          <w:rFonts w:ascii="Arial" w:hAnsi="Arial" w:cs="Arial"/>
          <w:b/>
          <w:bCs/>
          <w:i w:val="0"/>
          <w:iCs w:val="0"/>
          <w:color w:val="000000" w:themeColor="text1"/>
          <w:sz w:val="24"/>
          <w:szCs w:val="24"/>
        </w:rPr>
        <w:fldChar w:fldCharType="begin"/>
      </w:r>
      <w:r w:rsidRPr="00011834">
        <w:rPr>
          <w:rFonts w:ascii="Arial" w:hAnsi="Arial" w:cs="Arial"/>
          <w:b/>
          <w:bCs/>
          <w:i w:val="0"/>
          <w:iCs w:val="0"/>
          <w:color w:val="000000" w:themeColor="text1"/>
          <w:sz w:val="24"/>
          <w:szCs w:val="24"/>
        </w:rPr>
        <w:instrText xml:space="preserve"> SEQ Table_A3. \* ARABIC </w:instrText>
      </w:r>
      <w:r w:rsidRPr="00011834">
        <w:rPr>
          <w:rFonts w:ascii="Arial" w:hAnsi="Arial" w:cs="Arial"/>
          <w:b/>
          <w:bCs/>
          <w:i w:val="0"/>
          <w:iCs w:val="0"/>
          <w:color w:val="000000" w:themeColor="text1"/>
          <w:sz w:val="24"/>
          <w:szCs w:val="24"/>
        </w:rPr>
        <w:fldChar w:fldCharType="separate"/>
      </w:r>
      <w:r w:rsidR="006176A0">
        <w:rPr>
          <w:rFonts w:ascii="Arial" w:hAnsi="Arial" w:cs="Arial"/>
          <w:b/>
          <w:bCs/>
          <w:i w:val="0"/>
          <w:iCs w:val="0"/>
          <w:noProof/>
          <w:color w:val="000000" w:themeColor="text1"/>
          <w:sz w:val="24"/>
          <w:szCs w:val="24"/>
        </w:rPr>
        <w:t>1</w:t>
      </w:r>
      <w:r w:rsidRPr="00011834">
        <w:rPr>
          <w:rFonts w:ascii="Arial" w:hAnsi="Arial" w:cs="Arial"/>
          <w:b/>
          <w:bCs/>
          <w:i w:val="0"/>
          <w:iCs w:val="0"/>
          <w:color w:val="000000" w:themeColor="text1"/>
          <w:sz w:val="24"/>
          <w:szCs w:val="24"/>
        </w:rPr>
        <w:fldChar w:fldCharType="end"/>
      </w:r>
      <w:r w:rsidRPr="00011834">
        <w:rPr>
          <w:rFonts w:ascii="Arial" w:hAnsi="Arial" w:cs="Arial"/>
          <w:b/>
          <w:bCs/>
          <w:i w:val="0"/>
          <w:iCs w:val="0"/>
          <w:color w:val="000000" w:themeColor="text1"/>
          <w:sz w:val="24"/>
          <w:szCs w:val="24"/>
          <w:lang w:val="en-US"/>
        </w:rPr>
        <w:t>: Raw Data Extraction and Initial Coding</w:t>
      </w:r>
    </w:p>
    <w:p w14:paraId="0D114EB4" w14:textId="29239785" w:rsidR="00011834" w:rsidRPr="00011834" w:rsidRDefault="00011834" w:rsidP="00011834">
      <w:pPr>
        <w:pStyle w:val="NoSpacing"/>
        <w:spacing w:line="360" w:lineRule="auto"/>
        <w:jc w:val="both"/>
        <w:rPr>
          <w:rFonts w:ascii="Arial" w:hAnsi="Arial" w:cs="Arial"/>
          <w:b/>
          <w:bCs/>
          <w:sz w:val="24"/>
          <w:szCs w:val="24"/>
          <w:lang w:val="en-IN" w:eastAsia="en-IN" w:bidi="ml-IN"/>
        </w:rPr>
      </w:pPr>
      <w:r w:rsidRPr="00011834">
        <w:rPr>
          <w:rFonts w:ascii="Arial" w:hAnsi="Arial" w:cs="Arial"/>
          <w:b/>
          <w:bCs/>
          <w:sz w:val="24"/>
          <w:szCs w:val="24"/>
          <w:lang w:val="en-IN" w:eastAsia="en-IN" w:bidi="ml-IN"/>
        </w:rPr>
        <w:t>Stage 2: Code Clustering and Sub-theme Generation</w:t>
      </w:r>
    </w:p>
    <w:p w14:paraId="6C050902" w14:textId="68961637" w:rsidR="00011834" w:rsidRPr="00011834" w:rsidRDefault="00070CAA" w:rsidP="00011834">
      <w:pPr>
        <w:pStyle w:val="NoSpacing"/>
        <w:spacing w:line="360" w:lineRule="auto"/>
        <w:jc w:val="both"/>
        <w:rPr>
          <w:rFonts w:ascii="Arial" w:eastAsia="Times New Roman" w:hAnsi="Arial" w:cs="Arial"/>
          <w:color w:val="000000" w:themeColor="text1"/>
          <w:sz w:val="24"/>
          <w:szCs w:val="24"/>
          <w:lang w:val="en-IN" w:eastAsia="en-IN" w:bidi="ml-IN"/>
        </w:rPr>
      </w:pPr>
      <w:r w:rsidRPr="00070CAA">
        <w:rPr>
          <w:rFonts w:ascii="Arial" w:eastAsia="Times New Roman" w:hAnsi="Arial" w:cs="Arial"/>
          <w:color w:val="000000" w:themeColor="text1"/>
          <w:sz w:val="24"/>
          <w:szCs w:val="24"/>
          <w:lang w:val="en-IN" w:eastAsia="en-IN" w:bidi="ml-IN"/>
        </w:rPr>
        <w:t>This table presents the initial codes assigned to each cluster, the sub-themes that were derived from these clusters, and the thematic categories to which each sub-theme was tentatively placed.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4"/>
        <w:gridCol w:w="1775"/>
        <w:gridCol w:w="2301"/>
        <w:gridCol w:w="1956"/>
      </w:tblGrid>
      <w:tr w:rsidR="00011834" w:rsidRPr="00011834" w14:paraId="0DC012DC" w14:textId="77777777" w:rsidTr="00011834">
        <w:trPr>
          <w:tblHeader/>
          <w:tblCellSpacing w:w="15" w:type="dxa"/>
        </w:trPr>
        <w:tc>
          <w:tcPr>
            <w:tcW w:w="0" w:type="auto"/>
            <w:vAlign w:val="center"/>
            <w:hideMark/>
          </w:tcPr>
          <w:p w14:paraId="183785B8" w14:textId="77777777" w:rsidR="00011834" w:rsidRPr="00011834" w:rsidRDefault="00011834" w:rsidP="00524E9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Clustered Initial Codes</w:t>
            </w:r>
          </w:p>
        </w:tc>
        <w:tc>
          <w:tcPr>
            <w:tcW w:w="0" w:type="auto"/>
            <w:vAlign w:val="center"/>
            <w:hideMark/>
          </w:tcPr>
          <w:p w14:paraId="25119E37" w14:textId="77777777" w:rsidR="00011834" w:rsidRPr="00011834" w:rsidRDefault="00011834" w:rsidP="00524E9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Supporting Sources</w:t>
            </w:r>
          </w:p>
        </w:tc>
        <w:tc>
          <w:tcPr>
            <w:tcW w:w="0" w:type="auto"/>
            <w:vAlign w:val="center"/>
            <w:hideMark/>
          </w:tcPr>
          <w:p w14:paraId="2FEF6A90" w14:textId="77777777" w:rsidR="00011834" w:rsidRPr="00011834" w:rsidRDefault="00011834" w:rsidP="00524E9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Sub-theme</w:t>
            </w:r>
          </w:p>
        </w:tc>
        <w:tc>
          <w:tcPr>
            <w:tcW w:w="0" w:type="auto"/>
            <w:vAlign w:val="center"/>
            <w:hideMark/>
          </w:tcPr>
          <w:p w14:paraId="0ED7F433" w14:textId="77777777" w:rsidR="00011834" w:rsidRPr="00011834" w:rsidRDefault="00011834" w:rsidP="00524E9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Emerging Theme</w:t>
            </w:r>
          </w:p>
        </w:tc>
      </w:tr>
      <w:tr w:rsidR="00011834" w:rsidRPr="00011834" w14:paraId="60ACB465" w14:textId="77777777" w:rsidTr="00011834">
        <w:trPr>
          <w:tblCellSpacing w:w="15" w:type="dxa"/>
        </w:trPr>
        <w:tc>
          <w:tcPr>
            <w:tcW w:w="0" w:type="auto"/>
            <w:vAlign w:val="center"/>
            <w:hideMark/>
          </w:tcPr>
          <w:p w14:paraId="1CA03C9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Democratisation of content creation; structural shift to platform-based media; exponential growth of influencer research</w:t>
            </w:r>
          </w:p>
        </w:tc>
        <w:tc>
          <w:tcPr>
            <w:tcW w:w="0" w:type="auto"/>
            <w:vAlign w:val="center"/>
            <w:hideMark/>
          </w:tcPr>
          <w:p w14:paraId="4A414F5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Gupta &amp; Verma (2025); Kumar &amp; Jibril (2025)</w:t>
            </w:r>
          </w:p>
        </w:tc>
        <w:tc>
          <w:tcPr>
            <w:tcW w:w="0" w:type="auto"/>
            <w:vAlign w:val="center"/>
            <w:hideMark/>
          </w:tcPr>
          <w:p w14:paraId="468C7D7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Platform-driven structural change in brand marketing</w:t>
            </w:r>
          </w:p>
        </w:tc>
        <w:tc>
          <w:tcPr>
            <w:tcW w:w="0" w:type="auto"/>
            <w:vAlign w:val="center"/>
            <w:hideMark/>
          </w:tcPr>
          <w:p w14:paraId="16B60A1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485BA51F" w14:textId="77777777" w:rsidTr="00011834">
        <w:trPr>
          <w:tblCellSpacing w:w="15" w:type="dxa"/>
        </w:trPr>
        <w:tc>
          <w:tcPr>
            <w:tcW w:w="0" w:type="auto"/>
            <w:vAlign w:val="center"/>
            <w:hideMark/>
          </w:tcPr>
          <w:p w14:paraId="5C91637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Cost-effectiveness of micro-influencers; budget reallocation from celebrity to UGIC; comparable advertising outcomes</w:t>
            </w:r>
          </w:p>
        </w:tc>
        <w:tc>
          <w:tcPr>
            <w:tcW w:w="0" w:type="auto"/>
            <w:vAlign w:val="center"/>
            <w:hideMark/>
          </w:tcPr>
          <w:p w14:paraId="50A12E0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Arora (2025); Barari et al. (2025); Lee et al. (2024)</w:t>
            </w:r>
          </w:p>
        </w:tc>
        <w:tc>
          <w:tcPr>
            <w:tcW w:w="0" w:type="auto"/>
            <w:vAlign w:val="center"/>
            <w:hideMark/>
          </w:tcPr>
          <w:p w14:paraId="526FE16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Cost-benefit asymmetry favouring UGIC</w:t>
            </w:r>
          </w:p>
        </w:tc>
        <w:tc>
          <w:tcPr>
            <w:tcW w:w="0" w:type="auto"/>
            <w:vAlign w:val="center"/>
            <w:hideMark/>
          </w:tcPr>
          <w:p w14:paraId="2926962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7CBF5D9F" w14:textId="77777777" w:rsidTr="00011834">
        <w:trPr>
          <w:tblCellSpacing w:w="15" w:type="dxa"/>
        </w:trPr>
        <w:tc>
          <w:tcPr>
            <w:tcW w:w="0" w:type="auto"/>
            <w:vAlign w:val="center"/>
            <w:hideMark/>
          </w:tcPr>
          <w:p w14:paraId="7EDA644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Consumer preference for peer recommendations; declining trust in traditional advertising; digital trust antecedents</w:t>
            </w:r>
          </w:p>
        </w:tc>
        <w:tc>
          <w:tcPr>
            <w:tcW w:w="0" w:type="auto"/>
            <w:vAlign w:val="center"/>
            <w:hideMark/>
          </w:tcPr>
          <w:p w14:paraId="1B453B8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Hochstein et al. (2023); Borges-Tiago et al. (2022)</w:t>
            </w:r>
          </w:p>
        </w:tc>
        <w:tc>
          <w:tcPr>
            <w:tcW w:w="0" w:type="auto"/>
            <w:vAlign w:val="center"/>
            <w:hideMark/>
          </w:tcPr>
          <w:p w14:paraId="4A0A689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Consumer scepticism towards traditional brand communications</w:t>
            </w:r>
          </w:p>
        </w:tc>
        <w:tc>
          <w:tcPr>
            <w:tcW w:w="0" w:type="auto"/>
            <w:vAlign w:val="center"/>
            <w:hideMark/>
          </w:tcPr>
          <w:p w14:paraId="0C5A3C13"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5E4C4E41" w14:textId="77777777" w:rsidTr="00011834">
        <w:trPr>
          <w:tblCellSpacing w:w="15" w:type="dxa"/>
        </w:trPr>
        <w:tc>
          <w:tcPr>
            <w:tcW w:w="0" w:type="auto"/>
            <w:vAlign w:val="center"/>
            <w:hideMark/>
          </w:tcPr>
          <w:p w14:paraId="547789D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lastRenderedPageBreak/>
              <w:t>Source credibility; expertise; trustworthiness; persuasion effects</w:t>
            </w:r>
          </w:p>
        </w:tc>
        <w:tc>
          <w:tcPr>
            <w:tcW w:w="0" w:type="auto"/>
            <w:vAlign w:val="center"/>
            <w:hideMark/>
          </w:tcPr>
          <w:p w14:paraId="08F0826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Hovland &amp; Weiss (1951); Han &amp; Balabanis (2024)</w:t>
            </w:r>
          </w:p>
        </w:tc>
        <w:tc>
          <w:tcPr>
            <w:tcW w:w="0" w:type="auto"/>
            <w:vAlign w:val="center"/>
            <w:hideMark/>
          </w:tcPr>
          <w:p w14:paraId="0DC6ABB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Source Credibility Theory applied to UGIC context</w:t>
            </w:r>
          </w:p>
        </w:tc>
        <w:tc>
          <w:tcPr>
            <w:tcW w:w="0" w:type="auto"/>
            <w:vAlign w:val="center"/>
            <w:hideMark/>
          </w:tcPr>
          <w:p w14:paraId="19B560B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30A4F40E" w14:textId="77777777" w:rsidTr="00011834">
        <w:trPr>
          <w:tblCellSpacing w:w="15" w:type="dxa"/>
        </w:trPr>
        <w:tc>
          <w:tcPr>
            <w:tcW w:w="0" w:type="auto"/>
            <w:vAlign w:val="center"/>
            <w:hideMark/>
          </w:tcPr>
          <w:p w14:paraId="3063048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Perceived authenticity; lifestyle congruence; personal disclosure; self-presentation strategies</w:t>
            </w:r>
          </w:p>
        </w:tc>
        <w:tc>
          <w:tcPr>
            <w:tcW w:w="0" w:type="auto"/>
            <w:vAlign w:val="center"/>
            <w:hideMark/>
          </w:tcPr>
          <w:p w14:paraId="61B1A4F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Van Reijmersdal et al. (2024); Arora (2025); Kim &amp; Wang (2024)</w:t>
            </w:r>
          </w:p>
        </w:tc>
        <w:tc>
          <w:tcPr>
            <w:tcW w:w="0" w:type="auto"/>
            <w:vAlign w:val="center"/>
            <w:hideMark/>
          </w:tcPr>
          <w:p w14:paraId="77130746"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Authenticity as mediating mechanism of consumer response</w:t>
            </w:r>
          </w:p>
        </w:tc>
        <w:tc>
          <w:tcPr>
            <w:tcW w:w="0" w:type="auto"/>
            <w:vAlign w:val="center"/>
            <w:hideMark/>
          </w:tcPr>
          <w:p w14:paraId="300AFD5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4ED728D1" w14:textId="77777777" w:rsidTr="00011834">
        <w:trPr>
          <w:tblCellSpacing w:w="15" w:type="dxa"/>
        </w:trPr>
        <w:tc>
          <w:tcPr>
            <w:tcW w:w="0" w:type="auto"/>
            <w:vAlign w:val="center"/>
            <w:hideMark/>
          </w:tcPr>
          <w:p w14:paraId="4333789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Engagement rates; purchase intention; trust transfer; brand loyalty outcomes</w:t>
            </w:r>
          </w:p>
        </w:tc>
        <w:tc>
          <w:tcPr>
            <w:tcW w:w="0" w:type="auto"/>
            <w:vAlign w:val="center"/>
            <w:hideMark/>
          </w:tcPr>
          <w:p w14:paraId="28A5A826"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Lee et al. (2024); Griva &amp; Jha (2023); Borges-Tiago et al. (2022)</w:t>
            </w:r>
          </w:p>
        </w:tc>
        <w:tc>
          <w:tcPr>
            <w:tcW w:w="0" w:type="auto"/>
            <w:vAlign w:val="center"/>
            <w:hideMark/>
          </w:tcPr>
          <w:p w14:paraId="7630803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Differential consumer engagement outcomes of UGIC vs. traditional endorsement</w:t>
            </w:r>
          </w:p>
        </w:tc>
        <w:tc>
          <w:tcPr>
            <w:tcW w:w="0" w:type="auto"/>
            <w:vAlign w:val="center"/>
            <w:hideMark/>
          </w:tcPr>
          <w:p w14:paraId="3DB4741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208684D7" w14:textId="77777777" w:rsidTr="00011834">
        <w:trPr>
          <w:tblCellSpacing w:w="15" w:type="dxa"/>
        </w:trPr>
        <w:tc>
          <w:tcPr>
            <w:tcW w:w="0" w:type="auto"/>
            <w:vAlign w:val="center"/>
            <w:hideMark/>
          </w:tcPr>
          <w:p w14:paraId="2F45C12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Brand equity dimensions; CBBE model; brand-consumer interaction; consistency</w:t>
            </w:r>
          </w:p>
        </w:tc>
        <w:tc>
          <w:tcPr>
            <w:tcW w:w="0" w:type="auto"/>
            <w:vAlign w:val="center"/>
            <w:hideMark/>
          </w:tcPr>
          <w:p w14:paraId="2210C0B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Aaker (1991); Keller (1993); Hochstein et al. (2023)</w:t>
            </w:r>
          </w:p>
        </w:tc>
        <w:tc>
          <w:tcPr>
            <w:tcW w:w="0" w:type="auto"/>
            <w:vAlign w:val="center"/>
            <w:hideMark/>
          </w:tcPr>
          <w:p w14:paraId="77BE703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UGIC impact on brand equity constructs</w:t>
            </w:r>
          </w:p>
        </w:tc>
        <w:tc>
          <w:tcPr>
            <w:tcW w:w="0" w:type="auto"/>
            <w:vAlign w:val="center"/>
            <w:hideMark/>
          </w:tcPr>
          <w:p w14:paraId="5FE2F2B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3165B763" w14:textId="77777777" w:rsidTr="00011834">
        <w:trPr>
          <w:tblCellSpacing w:w="15" w:type="dxa"/>
        </w:trPr>
        <w:tc>
          <w:tcPr>
            <w:tcW w:w="0" w:type="auto"/>
            <w:vAlign w:val="center"/>
            <w:hideMark/>
          </w:tcPr>
          <w:p w14:paraId="63A2F99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Governance risk; decentralisation of messaging; narrative variability; regulatory compliance</w:t>
            </w:r>
          </w:p>
        </w:tc>
        <w:tc>
          <w:tcPr>
            <w:tcW w:w="0" w:type="auto"/>
            <w:vAlign w:val="center"/>
            <w:hideMark/>
          </w:tcPr>
          <w:p w14:paraId="7E4D9BE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Petkovska (2025); Lee et al. (2024); Gupta &amp; Verma (2025)</w:t>
            </w:r>
          </w:p>
        </w:tc>
        <w:tc>
          <w:tcPr>
            <w:tcW w:w="0" w:type="auto"/>
            <w:vAlign w:val="center"/>
            <w:hideMark/>
          </w:tcPr>
          <w:p w14:paraId="0263A1E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Governance and reputational risk of decentralised UGIC</w:t>
            </w:r>
          </w:p>
        </w:tc>
        <w:tc>
          <w:tcPr>
            <w:tcW w:w="0" w:type="auto"/>
            <w:vAlign w:val="center"/>
            <w:hideMark/>
          </w:tcPr>
          <w:p w14:paraId="4347B7D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0F632780" w14:textId="77777777" w:rsidTr="00011834">
        <w:trPr>
          <w:tblCellSpacing w:w="15" w:type="dxa"/>
        </w:trPr>
        <w:tc>
          <w:tcPr>
            <w:tcW w:w="0" w:type="auto"/>
            <w:vAlign w:val="center"/>
            <w:hideMark/>
          </w:tcPr>
          <w:p w14:paraId="2639257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Moderating variables (audience size, content type, platform); equity measurement challenges</w:t>
            </w:r>
          </w:p>
        </w:tc>
        <w:tc>
          <w:tcPr>
            <w:tcW w:w="0" w:type="auto"/>
            <w:vAlign w:val="center"/>
            <w:hideMark/>
          </w:tcPr>
          <w:p w14:paraId="795FDBB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Barari et al. (2025); Han &amp; Balabanis (2024)</w:t>
            </w:r>
          </w:p>
        </w:tc>
        <w:tc>
          <w:tcPr>
            <w:tcW w:w="0" w:type="auto"/>
            <w:vAlign w:val="center"/>
            <w:hideMark/>
          </w:tcPr>
          <w:p w14:paraId="6D7BE06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Conditionality of UGIC equity effects</w:t>
            </w:r>
          </w:p>
        </w:tc>
        <w:tc>
          <w:tcPr>
            <w:tcW w:w="0" w:type="auto"/>
            <w:vAlign w:val="center"/>
            <w:hideMark/>
          </w:tcPr>
          <w:p w14:paraId="445BC36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656698B9" w14:textId="77777777" w:rsidTr="00011834">
        <w:trPr>
          <w:tblCellSpacing w:w="15" w:type="dxa"/>
        </w:trPr>
        <w:tc>
          <w:tcPr>
            <w:tcW w:w="0" w:type="auto"/>
            <w:vAlign w:val="center"/>
            <w:hideMark/>
          </w:tcPr>
          <w:p w14:paraId="69EF030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Hybrid influencer strategy; portfolio approach across influencer tiers; long-term relational structures</w:t>
            </w:r>
          </w:p>
        </w:tc>
        <w:tc>
          <w:tcPr>
            <w:tcW w:w="0" w:type="auto"/>
            <w:vAlign w:val="center"/>
            <w:hideMark/>
          </w:tcPr>
          <w:p w14:paraId="115355B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Barari et al. (2025); Borges-Tiago et al. (2022)</w:t>
            </w:r>
          </w:p>
        </w:tc>
        <w:tc>
          <w:tcPr>
            <w:tcW w:w="0" w:type="auto"/>
            <w:vAlign w:val="center"/>
            <w:hideMark/>
          </w:tcPr>
          <w:p w14:paraId="450B4BB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Hybrid marketing as optimal strategic model</w:t>
            </w:r>
          </w:p>
        </w:tc>
        <w:tc>
          <w:tcPr>
            <w:tcW w:w="0" w:type="auto"/>
            <w:vAlign w:val="center"/>
            <w:hideMark/>
          </w:tcPr>
          <w:p w14:paraId="5D642183"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r w:rsidR="00011834" w:rsidRPr="00011834" w14:paraId="2A98DF85" w14:textId="77777777" w:rsidTr="00011834">
        <w:trPr>
          <w:tblCellSpacing w:w="15" w:type="dxa"/>
        </w:trPr>
        <w:tc>
          <w:tcPr>
            <w:tcW w:w="0" w:type="auto"/>
            <w:vAlign w:val="center"/>
            <w:hideMark/>
          </w:tcPr>
          <w:p w14:paraId="2BFDCDE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Co-creation logic; relationship marketing alignment; UGIC as brand value creation</w:t>
            </w:r>
          </w:p>
        </w:tc>
        <w:tc>
          <w:tcPr>
            <w:tcW w:w="0" w:type="auto"/>
            <w:vAlign w:val="center"/>
            <w:hideMark/>
          </w:tcPr>
          <w:p w14:paraId="42D0981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Hochstein et al. (2023)</w:t>
            </w:r>
          </w:p>
        </w:tc>
        <w:tc>
          <w:tcPr>
            <w:tcW w:w="0" w:type="auto"/>
            <w:vAlign w:val="center"/>
            <w:hideMark/>
          </w:tcPr>
          <w:p w14:paraId="57688D2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Co-creation and collaborative brand equity development</w:t>
            </w:r>
          </w:p>
        </w:tc>
        <w:tc>
          <w:tcPr>
            <w:tcW w:w="0" w:type="auto"/>
            <w:vAlign w:val="center"/>
            <w:hideMark/>
          </w:tcPr>
          <w:p w14:paraId="60FB7A8A"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r w:rsidR="00011834" w:rsidRPr="00011834" w14:paraId="5AC3B357" w14:textId="77777777" w:rsidTr="00011834">
        <w:trPr>
          <w:tblCellSpacing w:w="15" w:type="dxa"/>
        </w:trPr>
        <w:tc>
          <w:tcPr>
            <w:tcW w:w="0" w:type="auto"/>
            <w:vAlign w:val="center"/>
            <w:hideMark/>
          </w:tcPr>
          <w:p w14:paraId="45C3AD8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Data-driven partner selection; formal measurement frameworks; governance mechanisms</w:t>
            </w:r>
          </w:p>
        </w:tc>
        <w:tc>
          <w:tcPr>
            <w:tcW w:w="0" w:type="auto"/>
            <w:vAlign w:val="center"/>
            <w:hideMark/>
          </w:tcPr>
          <w:p w14:paraId="7EE6224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Kumar &amp; Jibril (2025); Gupta &amp; Verma (2025)</w:t>
            </w:r>
          </w:p>
        </w:tc>
        <w:tc>
          <w:tcPr>
            <w:tcW w:w="0" w:type="auto"/>
            <w:vAlign w:val="center"/>
            <w:hideMark/>
          </w:tcPr>
          <w:p w14:paraId="5DBE347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Institutionalised UGIC management capabilities</w:t>
            </w:r>
          </w:p>
        </w:tc>
        <w:tc>
          <w:tcPr>
            <w:tcW w:w="0" w:type="auto"/>
            <w:vAlign w:val="center"/>
            <w:hideMark/>
          </w:tcPr>
          <w:p w14:paraId="64EFB370" w14:textId="77777777" w:rsidR="00011834" w:rsidRPr="00011834" w:rsidRDefault="00011834" w:rsidP="00524E90">
            <w:pPr>
              <w:keepNext/>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bl>
    <w:p w14:paraId="20C400C6" w14:textId="19532AD9" w:rsidR="00011834" w:rsidRPr="00011834" w:rsidRDefault="00011834" w:rsidP="00011834">
      <w:pPr>
        <w:pStyle w:val="Caption"/>
        <w:jc w:val="center"/>
        <w:rPr>
          <w:rFonts w:ascii="Arial" w:eastAsia="Times New Roman" w:hAnsi="Arial" w:cs="Arial"/>
          <w:b/>
          <w:bCs/>
          <w:i w:val="0"/>
          <w:iCs w:val="0"/>
          <w:color w:val="000000" w:themeColor="text1"/>
          <w:sz w:val="24"/>
          <w:szCs w:val="24"/>
          <w:lang w:val="en-IN" w:eastAsia="en-IN" w:bidi="ml-IN"/>
        </w:rPr>
      </w:pPr>
      <w:r w:rsidRPr="00011834">
        <w:rPr>
          <w:rFonts w:ascii="Arial" w:hAnsi="Arial" w:cs="Arial"/>
          <w:b/>
          <w:bCs/>
          <w:i w:val="0"/>
          <w:iCs w:val="0"/>
          <w:color w:val="000000" w:themeColor="text1"/>
          <w:sz w:val="24"/>
          <w:szCs w:val="24"/>
        </w:rPr>
        <w:t>Table A3.</w:t>
      </w:r>
      <w:r w:rsidRPr="00011834">
        <w:rPr>
          <w:rFonts w:ascii="Arial" w:hAnsi="Arial" w:cs="Arial"/>
          <w:b/>
          <w:bCs/>
          <w:i w:val="0"/>
          <w:iCs w:val="0"/>
          <w:color w:val="000000" w:themeColor="text1"/>
          <w:sz w:val="24"/>
          <w:szCs w:val="24"/>
        </w:rPr>
        <w:fldChar w:fldCharType="begin"/>
      </w:r>
      <w:r w:rsidRPr="00011834">
        <w:rPr>
          <w:rFonts w:ascii="Arial" w:hAnsi="Arial" w:cs="Arial"/>
          <w:b/>
          <w:bCs/>
          <w:i w:val="0"/>
          <w:iCs w:val="0"/>
          <w:color w:val="000000" w:themeColor="text1"/>
          <w:sz w:val="24"/>
          <w:szCs w:val="24"/>
        </w:rPr>
        <w:instrText xml:space="preserve"> SEQ Table_A3. \* ARABIC </w:instrText>
      </w:r>
      <w:r w:rsidRPr="00011834">
        <w:rPr>
          <w:rFonts w:ascii="Arial" w:hAnsi="Arial" w:cs="Arial"/>
          <w:b/>
          <w:bCs/>
          <w:i w:val="0"/>
          <w:iCs w:val="0"/>
          <w:color w:val="000000" w:themeColor="text1"/>
          <w:sz w:val="24"/>
          <w:szCs w:val="24"/>
        </w:rPr>
        <w:fldChar w:fldCharType="separate"/>
      </w:r>
      <w:r w:rsidR="006176A0">
        <w:rPr>
          <w:rFonts w:ascii="Arial" w:hAnsi="Arial" w:cs="Arial"/>
          <w:b/>
          <w:bCs/>
          <w:i w:val="0"/>
          <w:iCs w:val="0"/>
          <w:noProof/>
          <w:color w:val="000000" w:themeColor="text1"/>
          <w:sz w:val="24"/>
          <w:szCs w:val="24"/>
        </w:rPr>
        <w:t>2</w:t>
      </w:r>
      <w:r w:rsidRPr="00011834">
        <w:rPr>
          <w:rFonts w:ascii="Arial" w:hAnsi="Arial" w:cs="Arial"/>
          <w:b/>
          <w:bCs/>
          <w:i w:val="0"/>
          <w:iCs w:val="0"/>
          <w:color w:val="000000" w:themeColor="text1"/>
          <w:sz w:val="24"/>
          <w:szCs w:val="24"/>
        </w:rPr>
        <w:fldChar w:fldCharType="end"/>
      </w:r>
      <w:r w:rsidRPr="00011834">
        <w:rPr>
          <w:rFonts w:ascii="Arial" w:hAnsi="Arial" w:cs="Arial"/>
          <w:b/>
          <w:bCs/>
          <w:i w:val="0"/>
          <w:iCs w:val="0"/>
          <w:color w:val="000000" w:themeColor="text1"/>
          <w:sz w:val="24"/>
          <w:szCs w:val="24"/>
          <w:lang w:val="en-US"/>
        </w:rPr>
        <w:t>: Code Clustering and Sub-theme Generation</w:t>
      </w:r>
    </w:p>
    <w:p w14:paraId="1A5E828D" w14:textId="2A7DD730" w:rsidR="00011834" w:rsidRPr="00011834" w:rsidRDefault="00011834" w:rsidP="00011834">
      <w:pPr>
        <w:pStyle w:val="NoSpacing"/>
        <w:spacing w:line="360" w:lineRule="auto"/>
        <w:jc w:val="both"/>
        <w:rPr>
          <w:rFonts w:ascii="Arial" w:hAnsi="Arial" w:cs="Arial"/>
          <w:b/>
          <w:bCs/>
          <w:sz w:val="24"/>
          <w:szCs w:val="24"/>
          <w:lang w:val="en-IN" w:eastAsia="en-IN" w:bidi="ml-IN"/>
        </w:rPr>
      </w:pPr>
      <w:r w:rsidRPr="00011834">
        <w:rPr>
          <w:rFonts w:ascii="Arial" w:hAnsi="Arial" w:cs="Arial"/>
          <w:b/>
          <w:bCs/>
          <w:sz w:val="24"/>
          <w:szCs w:val="24"/>
          <w:lang w:val="en-IN" w:eastAsia="en-IN" w:bidi="ml-IN"/>
        </w:rPr>
        <w:t>Stage 3: Sub-theme Consolidation and Final Theme Definition</w:t>
      </w:r>
    </w:p>
    <w:p w14:paraId="36C30DCD" w14:textId="773FB926" w:rsidR="00011834" w:rsidRPr="00011834" w:rsidRDefault="00070CAA" w:rsidP="00011834">
      <w:pPr>
        <w:pStyle w:val="NoSpacing"/>
        <w:spacing w:line="360" w:lineRule="auto"/>
        <w:jc w:val="both"/>
        <w:rPr>
          <w:rFonts w:ascii="Arial" w:hAnsi="Arial" w:cs="Arial"/>
          <w:sz w:val="24"/>
          <w:szCs w:val="24"/>
          <w:lang w:val="en-IN" w:eastAsia="en-IN" w:bidi="ml-IN"/>
        </w:rPr>
      </w:pPr>
      <w:r w:rsidRPr="00070CAA">
        <w:rPr>
          <w:rFonts w:ascii="Arial" w:hAnsi="Arial" w:cs="Arial"/>
          <w:sz w:val="24"/>
          <w:szCs w:val="24"/>
          <w:lang w:val="en-IN" w:eastAsia="en-IN" w:bidi="ml-IN"/>
        </w:rPr>
        <w:t>This table provides the last step in thematic synthesis, where sub-themes were reviewed and consolidated into the four final thematic clusters reported in Chapter 4, and descriptive statements articulate the substantive content of each theme.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1548"/>
        <w:gridCol w:w="3742"/>
        <w:gridCol w:w="1696"/>
      </w:tblGrid>
      <w:tr w:rsidR="00011834" w:rsidRPr="00011834" w14:paraId="48E14BBC" w14:textId="77777777" w:rsidTr="00011834">
        <w:trPr>
          <w:tblHeader/>
          <w:tblCellSpacing w:w="15" w:type="dxa"/>
        </w:trPr>
        <w:tc>
          <w:tcPr>
            <w:tcW w:w="0" w:type="auto"/>
            <w:vAlign w:val="center"/>
            <w:hideMark/>
          </w:tcPr>
          <w:p w14:paraId="73F53C40"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Grouped Sub-themes</w:t>
            </w:r>
          </w:p>
        </w:tc>
        <w:tc>
          <w:tcPr>
            <w:tcW w:w="0" w:type="auto"/>
            <w:vAlign w:val="center"/>
            <w:hideMark/>
          </w:tcPr>
          <w:p w14:paraId="221547BB"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Key Supporting Sources</w:t>
            </w:r>
          </w:p>
        </w:tc>
        <w:tc>
          <w:tcPr>
            <w:tcW w:w="0" w:type="auto"/>
            <w:vAlign w:val="center"/>
            <w:hideMark/>
          </w:tcPr>
          <w:p w14:paraId="256D9ABD"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Thematic Description</w:t>
            </w:r>
          </w:p>
        </w:tc>
        <w:tc>
          <w:tcPr>
            <w:tcW w:w="0" w:type="auto"/>
            <w:vAlign w:val="center"/>
            <w:hideMark/>
          </w:tcPr>
          <w:p w14:paraId="78D61B46" w14:textId="77777777" w:rsidR="00011834" w:rsidRPr="00011834" w:rsidRDefault="00011834" w:rsidP="006176A0">
            <w:pPr>
              <w:spacing w:after="0" w:line="240" w:lineRule="auto"/>
              <w:jc w:val="center"/>
              <w:rPr>
                <w:rFonts w:ascii="Arial" w:eastAsia="Times New Roman" w:hAnsi="Arial" w:cs="Arial"/>
                <w:b/>
                <w:bCs/>
                <w:color w:val="000000" w:themeColor="text1"/>
                <w:sz w:val="18"/>
                <w:szCs w:val="18"/>
                <w:lang w:val="en-IN" w:eastAsia="en-IN" w:bidi="ml-IN"/>
              </w:rPr>
            </w:pPr>
            <w:r w:rsidRPr="00011834">
              <w:rPr>
                <w:rFonts w:ascii="Arial" w:eastAsia="Times New Roman" w:hAnsi="Arial" w:cs="Arial"/>
                <w:b/>
                <w:bCs/>
                <w:color w:val="000000" w:themeColor="text1"/>
                <w:sz w:val="18"/>
                <w:szCs w:val="18"/>
                <w:lang w:val="en-IN" w:eastAsia="en-IN" w:bidi="ml-IN"/>
              </w:rPr>
              <w:t>Final Theme</w:t>
            </w:r>
          </w:p>
        </w:tc>
      </w:tr>
      <w:tr w:rsidR="00011834" w:rsidRPr="00011834" w14:paraId="2428937A" w14:textId="77777777" w:rsidTr="00011834">
        <w:trPr>
          <w:tblCellSpacing w:w="15" w:type="dxa"/>
        </w:trPr>
        <w:tc>
          <w:tcPr>
            <w:tcW w:w="0" w:type="auto"/>
            <w:vAlign w:val="center"/>
            <w:hideMark/>
          </w:tcPr>
          <w:p w14:paraId="0623362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Platform-driven structural change in brand marketing</w:t>
            </w:r>
          </w:p>
        </w:tc>
        <w:tc>
          <w:tcPr>
            <w:tcW w:w="0" w:type="auto"/>
            <w:vAlign w:val="center"/>
            <w:hideMark/>
          </w:tcPr>
          <w:p w14:paraId="0FE13B4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Gupta &amp; Verma (2025); Kumar &amp; Jibril (2025)</w:t>
            </w:r>
          </w:p>
        </w:tc>
        <w:tc>
          <w:tcPr>
            <w:tcW w:w="0" w:type="auto"/>
            <w:vAlign w:val="center"/>
            <w:hideMark/>
          </w:tcPr>
          <w:p w14:paraId="4EAAF23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Social media proliferation and the democratisation of content creation have fundamentally altered consumer media consumption patterns, redirecting brand marketing investment towards platform-based, creator-led environments.</w:t>
            </w:r>
          </w:p>
        </w:tc>
        <w:tc>
          <w:tcPr>
            <w:tcW w:w="0" w:type="auto"/>
            <w:vAlign w:val="center"/>
            <w:hideMark/>
          </w:tcPr>
          <w:p w14:paraId="0F1B44B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386D1FAF" w14:textId="77777777" w:rsidTr="00011834">
        <w:trPr>
          <w:tblCellSpacing w:w="15" w:type="dxa"/>
        </w:trPr>
        <w:tc>
          <w:tcPr>
            <w:tcW w:w="0" w:type="auto"/>
            <w:vAlign w:val="center"/>
            <w:hideMark/>
          </w:tcPr>
          <w:p w14:paraId="43AE651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Cost-benefit asymmetry favouring UGIC</w:t>
            </w:r>
          </w:p>
        </w:tc>
        <w:tc>
          <w:tcPr>
            <w:tcW w:w="0" w:type="auto"/>
            <w:vAlign w:val="center"/>
            <w:hideMark/>
          </w:tcPr>
          <w:p w14:paraId="146A19C6"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Arora (2025); Lee et al. (2024); Barari et al. (2025)</w:t>
            </w:r>
          </w:p>
        </w:tc>
        <w:tc>
          <w:tcPr>
            <w:tcW w:w="0" w:type="auto"/>
            <w:vAlign w:val="center"/>
            <w:hideMark/>
          </w:tcPr>
          <w:p w14:paraId="456B8DA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Micro-influencers deliver comparable advertising outcomes to celebrity endorsers at substantially lower financial investment, accelerating the strategic reallocation of budgets away from traditional ambassador models.</w:t>
            </w:r>
          </w:p>
        </w:tc>
        <w:tc>
          <w:tcPr>
            <w:tcW w:w="0" w:type="auto"/>
            <w:vAlign w:val="center"/>
            <w:hideMark/>
          </w:tcPr>
          <w:p w14:paraId="4A263FD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604F7505" w14:textId="77777777" w:rsidTr="00011834">
        <w:trPr>
          <w:tblCellSpacing w:w="15" w:type="dxa"/>
        </w:trPr>
        <w:tc>
          <w:tcPr>
            <w:tcW w:w="0" w:type="auto"/>
            <w:vAlign w:val="center"/>
            <w:hideMark/>
          </w:tcPr>
          <w:p w14:paraId="4D6555F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lastRenderedPageBreak/>
              <w:t>Consumer scepticism towards traditional brand communications</w:t>
            </w:r>
          </w:p>
        </w:tc>
        <w:tc>
          <w:tcPr>
            <w:tcW w:w="0" w:type="auto"/>
            <w:vAlign w:val="center"/>
            <w:hideMark/>
          </w:tcPr>
          <w:p w14:paraId="439FB2F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Hochstein et al. (2023); Borges-Tiago et al. (2022)</w:t>
            </w:r>
          </w:p>
        </w:tc>
        <w:tc>
          <w:tcPr>
            <w:tcW w:w="0" w:type="auto"/>
            <w:vAlign w:val="center"/>
            <w:hideMark/>
          </w:tcPr>
          <w:p w14:paraId="60A12CC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Declining trust in brand-generated content drives consumer preference for peer-to-peer, authentic influencer recommendations over aspirational celebrity messaging.</w:t>
            </w:r>
          </w:p>
        </w:tc>
        <w:tc>
          <w:tcPr>
            <w:tcW w:w="0" w:type="auto"/>
            <w:vAlign w:val="center"/>
            <w:hideMark/>
          </w:tcPr>
          <w:p w14:paraId="223EDA7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1: Strategic Drivers of the Shift towards UGIC</w:t>
            </w:r>
          </w:p>
        </w:tc>
      </w:tr>
      <w:tr w:rsidR="00011834" w:rsidRPr="00011834" w14:paraId="6CCFAB94" w14:textId="77777777" w:rsidTr="00011834">
        <w:trPr>
          <w:tblCellSpacing w:w="15" w:type="dxa"/>
        </w:trPr>
        <w:tc>
          <w:tcPr>
            <w:tcW w:w="0" w:type="auto"/>
            <w:vAlign w:val="center"/>
            <w:hideMark/>
          </w:tcPr>
          <w:p w14:paraId="63493BB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Source Credibility Theory applied to UGIC context</w:t>
            </w:r>
          </w:p>
        </w:tc>
        <w:tc>
          <w:tcPr>
            <w:tcW w:w="0" w:type="auto"/>
            <w:vAlign w:val="center"/>
            <w:hideMark/>
          </w:tcPr>
          <w:p w14:paraId="0B8417A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Hovland &amp; Weiss (1951); Han &amp; Balabanis (2024)</w:t>
            </w:r>
          </w:p>
        </w:tc>
        <w:tc>
          <w:tcPr>
            <w:tcW w:w="0" w:type="auto"/>
            <w:vAlign w:val="center"/>
            <w:hideMark/>
          </w:tcPr>
          <w:p w14:paraId="658CEC9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Credibility, expertise, and trustworthiness, foundational to persuasion, remain operative in UGIC contexts but are conditioned by perceived authenticity and brand-influencer congruence.</w:t>
            </w:r>
          </w:p>
        </w:tc>
        <w:tc>
          <w:tcPr>
            <w:tcW w:w="0" w:type="auto"/>
            <w:vAlign w:val="center"/>
            <w:hideMark/>
          </w:tcPr>
          <w:p w14:paraId="6A5C2A4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53121075" w14:textId="77777777" w:rsidTr="00011834">
        <w:trPr>
          <w:tblCellSpacing w:w="15" w:type="dxa"/>
        </w:trPr>
        <w:tc>
          <w:tcPr>
            <w:tcW w:w="0" w:type="auto"/>
            <w:vAlign w:val="center"/>
            <w:hideMark/>
          </w:tcPr>
          <w:p w14:paraId="75F64446"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Authenticity as mediating mechanism of consumer response</w:t>
            </w:r>
          </w:p>
        </w:tc>
        <w:tc>
          <w:tcPr>
            <w:tcW w:w="0" w:type="auto"/>
            <w:vAlign w:val="center"/>
            <w:hideMark/>
          </w:tcPr>
          <w:p w14:paraId="03A626D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Van Reijmersdal et al. (2024); Kim &amp; Wang (2024); Arora (2025)</w:t>
            </w:r>
          </w:p>
        </w:tc>
        <w:tc>
          <w:tcPr>
            <w:tcW w:w="0" w:type="auto"/>
            <w:vAlign w:val="center"/>
            <w:hideMark/>
          </w:tcPr>
          <w:p w14:paraId="182CF83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Lifestyle congruence and personal disclosure mediate source credibility transfer more effectively than the professional staging typically associated with traditional brand ambassador contracts.</w:t>
            </w:r>
          </w:p>
        </w:tc>
        <w:tc>
          <w:tcPr>
            <w:tcW w:w="0" w:type="auto"/>
            <w:vAlign w:val="center"/>
            <w:hideMark/>
          </w:tcPr>
          <w:p w14:paraId="103B6EB0"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57DA5F2E" w14:textId="77777777" w:rsidTr="00011834">
        <w:trPr>
          <w:tblCellSpacing w:w="15" w:type="dxa"/>
        </w:trPr>
        <w:tc>
          <w:tcPr>
            <w:tcW w:w="0" w:type="auto"/>
            <w:vAlign w:val="center"/>
            <w:hideMark/>
          </w:tcPr>
          <w:p w14:paraId="770E2D05"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Differential consumer engagement outcomes of UGIC vs. traditional endorsement</w:t>
            </w:r>
          </w:p>
        </w:tc>
        <w:tc>
          <w:tcPr>
            <w:tcW w:w="0" w:type="auto"/>
            <w:vAlign w:val="center"/>
            <w:hideMark/>
          </w:tcPr>
          <w:p w14:paraId="75E214D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Lee et al. (2024); Griva &amp; Jha (2023); Borges-Tiago et al. (2022)</w:t>
            </w:r>
          </w:p>
        </w:tc>
        <w:tc>
          <w:tcPr>
            <w:tcW w:w="0" w:type="auto"/>
            <w:vAlign w:val="center"/>
            <w:hideMark/>
          </w:tcPr>
          <w:p w14:paraId="7D45ADC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UGIC generates trust and loyalty outcomes that are qualitatively distinct from the transactional attention produced by paid traditional media placements.</w:t>
            </w:r>
          </w:p>
        </w:tc>
        <w:tc>
          <w:tcPr>
            <w:tcW w:w="0" w:type="auto"/>
            <w:vAlign w:val="center"/>
            <w:hideMark/>
          </w:tcPr>
          <w:p w14:paraId="752998D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2: Authenticity, Source Credibility, and Consumer Engagement</w:t>
            </w:r>
          </w:p>
        </w:tc>
      </w:tr>
      <w:tr w:rsidR="00011834" w:rsidRPr="00011834" w14:paraId="417EAEE5" w14:textId="77777777" w:rsidTr="00011834">
        <w:trPr>
          <w:tblCellSpacing w:w="15" w:type="dxa"/>
        </w:trPr>
        <w:tc>
          <w:tcPr>
            <w:tcW w:w="0" w:type="auto"/>
            <w:vAlign w:val="center"/>
            <w:hideMark/>
          </w:tcPr>
          <w:p w14:paraId="6F823C2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UGIC impact on brand equity constructs</w:t>
            </w:r>
          </w:p>
        </w:tc>
        <w:tc>
          <w:tcPr>
            <w:tcW w:w="0" w:type="auto"/>
            <w:vAlign w:val="center"/>
            <w:hideMark/>
          </w:tcPr>
          <w:p w14:paraId="724A993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Aaker (1991); Keller (1993); Hochstein et al. (2023)</w:t>
            </w:r>
          </w:p>
        </w:tc>
        <w:tc>
          <w:tcPr>
            <w:tcW w:w="0" w:type="auto"/>
            <w:vAlign w:val="center"/>
            <w:hideMark/>
          </w:tcPr>
          <w:p w14:paraId="32E4559B"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UGIC positively affects awareness, associations, and loyalty dimensions of brand equity when execution quality and influencer-brand alignment are adequately maintained.</w:t>
            </w:r>
          </w:p>
        </w:tc>
        <w:tc>
          <w:tcPr>
            <w:tcW w:w="0" w:type="auto"/>
            <w:vAlign w:val="center"/>
            <w:hideMark/>
          </w:tcPr>
          <w:p w14:paraId="7CB4DC91"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60175508" w14:textId="77777777" w:rsidTr="00011834">
        <w:trPr>
          <w:tblCellSpacing w:w="15" w:type="dxa"/>
        </w:trPr>
        <w:tc>
          <w:tcPr>
            <w:tcW w:w="0" w:type="auto"/>
            <w:vAlign w:val="center"/>
            <w:hideMark/>
          </w:tcPr>
          <w:p w14:paraId="340869B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Governance and reputational risk of decentralised UGIC</w:t>
            </w:r>
          </w:p>
        </w:tc>
        <w:tc>
          <w:tcPr>
            <w:tcW w:w="0" w:type="auto"/>
            <w:vAlign w:val="center"/>
            <w:hideMark/>
          </w:tcPr>
          <w:p w14:paraId="41CCB294"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Petkovska (2025); Lee et al. (2024); Gupta &amp; Verma (2025)</w:t>
            </w:r>
          </w:p>
        </w:tc>
        <w:tc>
          <w:tcPr>
            <w:tcW w:w="0" w:type="auto"/>
            <w:vAlign w:val="center"/>
            <w:hideMark/>
          </w:tcPr>
          <w:p w14:paraId="64EB9F7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Decentralised, informal UGIC content creates narrative variability and regulatory non-compliance risks across multiple jurisdictions, representing a meaningful threat to brand equity management at scale.</w:t>
            </w:r>
          </w:p>
        </w:tc>
        <w:tc>
          <w:tcPr>
            <w:tcW w:w="0" w:type="auto"/>
            <w:vAlign w:val="center"/>
            <w:hideMark/>
          </w:tcPr>
          <w:p w14:paraId="3E51B84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7709869E" w14:textId="77777777" w:rsidTr="00011834">
        <w:trPr>
          <w:tblCellSpacing w:w="15" w:type="dxa"/>
        </w:trPr>
        <w:tc>
          <w:tcPr>
            <w:tcW w:w="0" w:type="auto"/>
            <w:vAlign w:val="center"/>
            <w:hideMark/>
          </w:tcPr>
          <w:p w14:paraId="7A25FA8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Conditionality of UGIC equity effects</w:t>
            </w:r>
          </w:p>
        </w:tc>
        <w:tc>
          <w:tcPr>
            <w:tcW w:w="0" w:type="auto"/>
            <w:vAlign w:val="center"/>
            <w:hideMark/>
          </w:tcPr>
          <w:p w14:paraId="1E0A13F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Barari et al. (2025); Han &amp; Balabanis (2024)</w:t>
            </w:r>
          </w:p>
        </w:tc>
        <w:tc>
          <w:tcPr>
            <w:tcW w:w="0" w:type="auto"/>
            <w:vAlign w:val="center"/>
            <w:hideMark/>
          </w:tcPr>
          <w:p w14:paraId="03ABF63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 extent to which UGIC investment translates into measurable equity gains is moderated by audience size, content type, platform context, and the degree of brand-influencer congruence.</w:t>
            </w:r>
          </w:p>
        </w:tc>
        <w:tc>
          <w:tcPr>
            <w:tcW w:w="0" w:type="auto"/>
            <w:vAlign w:val="center"/>
            <w:hideMark/>
          </w:tcPr>
          <w:p w14:paraId="77118AD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3: Brand Equity Implications, Risks, and Governance Challenges</w:t>
            </w:r>
          </w:p>
        </w:tc>
      </w:tr>
      <w:tr w:rsidR="00011834" w:rsidRPr="00011834" w14:paraId="2E103CBB" w14:textId="77777777" w:rsidTr="00011834">
        <w:trPr>
          <w:tblCellSpacing w:w="15" w:type="dxa"/>
        </w:trPr>
        <w:tc>
          <w:tcPr>
            <w:tcW w:w="0" w:type="auto"/>
            <w:vAlign w:val="center"/>
            <w:hideMark/>
          </w:tcPr>
          <w:p w14:paraId="437E541C"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Hybrid marketing as optimal strategic model</w:t>
            </w:r>
          </w:p>
        </w:tc>
        <w:tc>
          <w:tcPr>
            <w:tcW w:w="0" w:type="auto"/>
            <w:vAlign w:val="center"/>
            <w:hideMark/>
          </w:tcPr>
          <w:p w14:paraId="606D819F"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Barari et al. (2025); Borges-Tiago et al. (2022)</w:t>
            </w:r>
          </w:p>
        </w:tc>
        <w:tc>
          <w:tcPr>
            <w:tcW w:w="0" w:type="auto"/>
            <w:vAlign w:val="center"/>
            <w:hideMark/>
          </w:tcPr>
          <w:p w14:paraId="6412AD97"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Blending long-term, ambassador-like influencer relationships with the organic reach and authenticity of UGIC outperforms exclusive reliance on either model alone.</w:t>
            </w:r>
          </w:p>
        </w:tc>
        <w:tc>
          <w:tcPr>
            <w:tcW w:w="0" w:type="auto"/>
            <w:vAlign w:val="center"/>
            <w:hideMark/>
          </w:tcPr>
          <w:p w14:paraId="3B9A6B39"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r w:rsidR="00011834" w:rsidRPr="00011834" w14:paraId="2CD66500" w14:textId="77777777" w:rsidTr="00011834">
        <w:trPr>
          <w:tblCellSpacing w:w="15" w:type="dxa"/>
        </w:trPr>
        <w:tc>
          <w:tcPr>
            <w:tcW w:w="0" w:type="auto"/>
            <w:vAlign w:val="center"/>
            <w:hideMark/>
          </w:tcPr>
          <w:p w14:paraId="3FF68F4D"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Co-creation and collaborative brand value development</w:t>
            </w:r>
          </w:p>
        </w:tc>
        <w:tc>
          <w:tcPr>
            <w:tcW w:w="0" w:type="auto"/>
            <w:vAlign w:val="center"/>
            <w:hideMark/>
          </w:tcPr>
          <w:p w14:paraId="70E44DB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Hochstein et al. (2023)</w:t>
            </w:r>
          </w:p>
        </w:tc>
        <w:tc>
          <w:tcPr>
            <w:tcW w:w="0" w:type="auto"/>
            <w:vAlign w:val="center"/>
            <w:hideMark/>
          </w:tcPr>
          <w:p w14:paraId="01876AE3"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Conceptualising UGIC as collaborative brand co-creation, aligned with the theoretical logic of Relationship Marketing, yields superior long-term loyalty and equity outcomes compared with treating UGIC as a straightforward media placement vehicle.</w:t>
            </w:r>
          </w:p>
        </w:tc>
        <w:tc>
          <w:tcPr>
            <w:tcW w:w="0" w:type="auto"/>
            <w:vAlign w:val="center"/>
            <w:hideMark/>
          </w:tcPr>
          <w:p w14:paraId="431C397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r w:rsidR="00011834" w:rsidRPr="00011834" w14:paraId="6281B74F" w14:textId="77777777" w:rsidTr="00011834">
        <w:trPr>
          <w:tblCellSpacing w:w="15" w:type="dxa"/>
        </w:trPr>
        <w:tc>
          <w:tcPr>
            <w:tcW w:w="0" w:type="auto"/>
            <w:vAlign w:val="center"/>
            <w:hideMark/>
          </w:tcPr>
          <w:p w14:paraId="37ED8838"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Institutionalised UGIC management capabilities</w:t>
            </w:r>
          </w:p>
        </w:tc>
        <w:tc>
          <w:tcPr>
            <w:tcW w:w="0" w:type="auto"/>
            <w:vAlign w:val="center"/>
            <w:hideMark/>
          </w:tcPr>
          <w:p w14:paraId="2E8F904E"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Kumar &amp; Jibril (2025); Gupta &amp; Verma (2025)</w:t>
            </w:r>
          </w:p>
        </w:tc>
        <w:tc>
          <w:tcPr>
            <w:tcW w:w="0" w:type="auto"/>
            <w:vAlign w:val="center"/>
            <w:hideMark/>
          </w:tcPr>
          <w:p w14:paraId="549FD082" w14:textId="77777777" w:rsidR="00011834" w:rsidRPr="00011834" w:rsidRDefault="00011834" w:rsidP="00524E90">
            <w:pPr>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Data-driven partner selection, formal governance mechanisms, and rigorous measurement frameworks extending beyond follower counts are critical enablers of sustainable and strategically effective UGIC programmes.</w:t>
            </w:r>
          </w:p>
        </w:tc>
        <w:tc>
          <w:tcPr>
            <w:tcW w:w="0" w:type="auto"/>
            <w:vAlign w:val="center"/>
            <w:hideMark/>
          </w:tcPr>
          <w:p w14:paraId="120EF2B5" w14:textId="77777777" w:rsidR="00011834" w:rsidRPr="00011834" w:rsidRDefault="00011834" w:rsidP="00524E90">
            <w:pPr>
              <w:keepNext/>
              <w:spacing w:after="0" w:line="240" w:lineRule="auto"/>
              <w:rPr>
                <w:rFonts w:ascii="Arial" w:eastAsia="Times New Roman" w:hAnsi="Arial" w:cs="Arial"/>
                <w:color w:val="000000" w:themeColor="text1"/>
                <w:sz w:val="18"/>
                <w:szCs w:val="18"/>
                <w:lang w:val="en-IN" w:eastAsia="en-IN" w:bidi="ml-IN"/>
              </w:rPr>
            </w:pPr>
            <w:r w:rsidRPr="00011834">
              <w:rPr>
                <w:rFonts w:ascii="Arial" w:eastAsia="Times New Roman" w:hAnsi="Arial" w:cs="Arial"/>
                <w:color w:val="000000" w:themeColor="text1"/>
                <w:sz w:val="18"/>
                <w:szCs w:val="18"/>
                <w:lang w:val="en-IN" w:eastAsia="en-IN" w:bidi="ml-IN"/>
              </w:rPr>
              <w:t>Theme 4: Strategic Adaptation and Hybrid Marketing Approaches</w:t>
            </w:r>
          </w:p>
        </w:tc>
      </w:tr>
    </w:tbl>
    <w:p w14:paraId="25623C53" w14:textId="1FFB3090" w:rsidR="00011834" w:rsidRPr="00011834" w:rsidRDefault="006176A0" w:rsidP="006176A0">
      <w:pPr>
        <w:pStyle w:val="Caption"/>
        <w:jc w:val="center"/>
        <w:rPr>
          <w:rFonts w:ascii="Arial" w:eastAsia="Times New Roman" w:hAnsi="Arial" w:cs="Arial"/>
          <w:b/>
          <w:bCs/>
          <w:i w:val="0"/>
          <w:iCs w:val="0"/>
          <w:color w:val="000000" w:themeColor="text1"/>
          <w:sz w:val="24"/>
          <w:szCs w:val="24"/>
          <w:lang w:val="en-IN" w:eastAsia="en-IN" w:bidi="ml-IN"/>
        </w:rPr>
      </w:pPr>
      <w:r w:rsidRPr="006176A0">
        <w:rPr>
          <w:rFonts w:ascii="Arial" w:hAnsi="Arial" w:cs="Arial"/>
          <w:b/>
          <w:bCs/>
          <w:i w:val="0"/>
          <w:iCs w:val="0"/>
          <w:color w:val="000000" w:themeColor="text1"/>
          <w:sz w:val="24"/>
          <w:szCs w:val="24"/>
        </w:rPr>
        <w:t>Table A3.</w:t>
      </w:r>
      <w:r w:rsidRPr="006176A0">
        <w:rPr>
          <w:rFonts w:ascii="Arial" w:hAnsi="Arial" w:cs="Arial"/>
          <w:b/>
          <w:bCs/>
          <w:i w:val="0"/>
          <w:iCs w:val="0"/>
          <w:color w:val="000000" w:themeColor="text1"/>
          <w:sz w:val="24"/>
          <w:szCs w:val="24"/>
        </w:rPr>
        <w:fldChar w:fldCharType="begin"/>
      </w:r>
      <w:r w:rsidRPr="006176A0">
        <w:rPr>
          <w:rFonts w:ascii="Arial" w:hAnsi="Arial" w:cs="Arial"/>
          <w:b/>
          <w:bCs/>
          <w:i w:val="0"/>
          <w:iCs w:val="0"/>
          <w:color w:val="000000" w:themeColor="text1"/>
          <w:sz w:val="24"/>
          <w:szCs w:val="24"/>
        </w:rPr>
        <w:instrText xml:space="preserve"> SEQ Table_A3. \* ARABIC </w:instrText>
      </w:r>
      <w:r w:rsidRPr="006176A0">
        <w:rPr>
          <w:rFonts w:ascii="Arial" w:hAnsi="Arial" w:cs="Arial"/>
          <w:b/>
          <w:bCs/>
          <w:i w:val="0"/>
          <w:iCs w:val="0"/>
          <w:color w:val="000000" w:themeColor="text1"/>
          <w:sz w:val="24"/>
          <w:szCs w:val="24"/>
        </w:rPr>
        <w:fldChar w:fldCharType="separate"/>
      </w:r>
      <w:r w:rsidRPr="006176A0">
        <w:rPr>
          <w:rFonts w:ascii="Arial" w:hAnsi="Arial" w:cs="Arial"/>
          <w:b/>
          <w:bCs/>
          <w:i w:val="0"/>
          <w:iCs w:val="0"/>
          <w:noProof/>
          <w:color w:val="000000" w:themeColor="text1"/>
          <w:sz w:val="24"/>
          <w:szCs w:val="24"/>
        </w:rPr>
        <w:t>3</w:t>
      </w:r>
      <w:r w:rsidRPr="006176A0">
        <w:rPr>
          <w:rFonts w:ascii="Arial" w:hAnsi="Arial" w:cs="Arial"/>
          <w:b/>
          <w:bCs/>
          <w:i w:val="0"/>
          <w:iCs w:val="0"/>
          <w:color w:val="000000" w:themeColor="text1"/>
          <w:sz w:val="24"/>
          <w:szCs w:val="24"/>
        </w:rPr>
        <w:fldChar w:fldCharType="end"/>
      </w:r>
      <w:r w:rsidRPr="006176A0">
        <w:rPr>
          <w:rFonts w:ascii="Arial" w:hAnsi="Arial" w:cs="Arial"/>
          <w:b/>
          <w:bCs/>
          <w:i w:val="0"/>
          <w:iCs w:val="0"/>
          <w:color w:val="000000" w:themeColor="text1"/>
          <w:sz w:val="24"/>
          <w:szCs w:val="24"/>
          <w:lang w:val="en-US"/>
        </w:rPr>
        <w:t>:</w:t>
      </w:r>
      <w:r>
        <w:rPr>
          <w:rFonts w:ascii="Arial" w:hAnsi="Arial" w:cs="Arial"/>
          <w:b/>
          <w:bCs/>
          <w:i w:val="0"/>
          <w:iCs w:val="0"/>
          <w:color w:val="000000" w:themeColor="text1"/>
          <w:sz w:val="24"/>
          <w:szCs w:val="24"/>
          <w:lang w:val="en-US"/>
        </w:rPr>
        <w:t xml:space="preserve"> </w:t>
      </w:r>
      <w:r w:rsidRPr="006176A0">
        <w:rPr>
          <w:rFonts w:ascii="Arial" w:hAnsi="Arial" w:cs="Arial"/>
          <w:b/>
          <w:bCs/>
          <w:i w:val="0"/>
          <w:iCs w:val="0"/>
          <w:color w:val="000000" w:themeColor="text1"/>
          <w:sz w:val="24"/>
          <w:szCs w:val="24"/>
          <w:lang w:val="en-US"/>
        </w:rPr>
        <w:t>Sub-theme Consolidation and Final Theme Definition</w:t>
      </w:r>
    </w:p>
    <w:p w14:paraId="44B101D6" w14:textId="57935402" w:rsidR="00011834" w:rsidRPr="00011834" w:rsidRDefault="00070CAA" w:rsidP="00011834">
      <w:pPr>
        <w:spacing w:before="100" w:beforeAutospacing="1" w:after="100" w:afterAutospacing="1" w:line="360" w:lineRule="auto"/>
        <w:jc w:val="both"/>
        <w:rPr>
          <w:rFonts w:ascii="Arial" w:eastAsia="Times New Roman" w:hAnsi="Arial" w:cs="Arial"/>
          <w:color w:val="000000" w:themeColor="text1"/>
          <w:sz w:val="24"/>
          <w:szCs w:val="24"/>
          <w:lang w:val="en-IN" w:eastAsia="en-IN" w:bidi="ml-IN"/>
        </w:rPr>
      </w:pPr>
      <w:r w:rsidRPr="00070CAA">
        <w:rPr>
          <w:rFonts w:ascii="Arial" w:eastAsia="Times New Roman" w:hAnsi="Arial" w:cs="Arial"/>
          <w:color w:val="000000" w:themeColor="text1"/>
          <w:sz w:val="24"/>
          <w:szCs w:val="24"/>
          <w:lang w:val="en-IN" w:eastAsia="en-IN" w:bidi="ml-IN"/>
        </w:rPr>
        <w:t>Table A3.1, A3.2 and A3.3 are adapted from the manual coding process carried out as per Braun and Clarke (2006).</w:t>
      </w:r>
      <w:r w:rsidR="00011834" w:rsidRPr="00011834">
        <w:rPr>
          <w:rFonts w:ascii="Arial" w:eastAsia="Times New Roman" w:hAnsi="Arial" w:cs="Arial"/>
          <w:color w:val="000000" w:themeColor="text1"/>
          <w:sz w:val="24"/>
          <w:szCs w:val="24"/>
          <w:lang w:val="en-IN" w:eastAsia="en-IN" w:bidi="ml-IN"/>
        </w:rPr>
        <w:t xml:space="preserve"> </w:t>
      </w:r>
    </w:p>
    <w:p w14:paraId="379B0066" w14:textId="77777777" w:rsidR="0054707A" w:rsidRPr="00A861CB" w:rsidRDefault="0054707A" w:rsidP="0054707A">
      <w:pPr>
        <w:pStyle w:val="ListParagraph"/>
        <w:spacing w:line="360" w:lineRule="auto"/>
        <w:ind w:left="0"/>
        <w:jc w:val="both"/>
        <w:rPr>
          <w:rFonts w:ascii="Arial" w:hAnsi="Arial" w:cs="Arial"/>
          <w:sz w:val="24"/>
          <w:szCs w:val="24"/>
        </w:rPr>
      </w:pPr>
    </w:p>
    <w:sectPr w:rsidR="0054707A" w:rsidRPr="00A861CB" w:rsidSect="00361B11">
      <w:footerReference w:type="default" r:id="rId8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247C8" w14:textId="77777777" w:rsidR="00F3293F" w:rsidRDefault="00F3293F" w:rsidP="00733455">
      <w:pPr>
        <w:spacing w:after="0" w:line="240" w:lineRule="auto"/>
      </w:pPr>
      <w:r>
        <w:separator/>
      </w:r>
    </w:p>
  </w:endnote>
  <w:endnote w:type="continuationSeparator" w:id="0">
    <w:p w14:paraId="6EFC4340" w14:textId="77777777" w:rsidR="00F3293F" w:rsidRDefault="00F3293F" w:rsidP="00733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69322"/>
      <w:docPartObj>
        <w:docPartGallery w:val="Page Numbers (Bottom of Page)"/>
        <w:docPartUnique/>
      </w:docPartObj>
    </w:sdtPr>
    <w:sdtEndPr>
      <w:rPr>
        <w:noProof/>
      </w:rPr>
    </w:sdtEndPr>
    <w:sdtContent>
      <w:p w14:paraId="62B263AA" w14:textId="3B1A8C9E" w:rsidR="00C52022" w:rsidRDefault="00C520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F866C3" w14:textId="77777777" w:rsidR="00C52022" w:rsidRDefault="00C52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4998D" w14:textId="77777777" w:rsidR="00F3293F" w:rsidRDefault="00F3293F" w:rsidP="00733455">
      <w:pPr>
        <w:spacing w:after="0" w:line="240" w:lineRule="auto"/>
      </w:pPr>
      <w:r>
        <w:separator/>
      </w:r>
    </w:p>
  </w:footnote>
  <w:footnote w:type="continuationSeparator" w:id="0">
    <w:p w14:paraId="35D4B2F0" w14:textId="77777777" w:rsidR="00F3293F" w:rsidRDefault="00F3293F" w:rsidP="00733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78E4"/>
    <w:multiLevelType w:val="hybridMultilevel"/>
    <w:tmpl w:val="4CBC16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011F92"/>
    <w:multiLevelType w:val="hybridMultilevel"/>
    <w:tmpl w:val="968866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95BF0"/>
    <w:multiLevelType w:val="hybridMultilevel"/>
    <w:tmpl w:val="7E9E1A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426A37"/>
    <w:multiLevelType w:val="hybridMultilevel"/>
    <w:tmpl w:val="F6EC7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105064"/>
    <w:multiLevelType w:val="hybridMultilevel"/>
    <w:tmpl w:val="B7FA758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D45260"/>
    <w:multiLevelType w:val="hybridMultilevel"/>
    <w:tmpl w:val="C3F2A6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36A5D90"/>
    <w:multiLevelType w:val="hybridMultilevel"/>
    <w:tmpl w:val="5F688C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9590633"/>
    <w:multiLevelType w:val="hybridMultilevel"/>
    <w:tmpl w:val="ED20AA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5A4197"/>
    <w:multiLevelType w:val="hybridMultilevel"/>
    <w:tmpl w:val="08DADD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48113404">
    <w:abstractNumId w:val="22"/>
  </w:num>
  <w:num w:numId="2" w16cid:durableId="677119487">
    <w:abstractNumId w:val="20"/>
  </w:num>
  <w:num w:numId="3" w16cid:durableId="1891723815">
    <w:abstractNumId w:val="0"/>
  </w:num>
  <w:num w:numId="4" w16cid:durableId="609509888">
    <w:abstractNumId w:val="14"/>
  </w:num>
  <w:num w:numId="5" w16cid:durableId="550701303">
    <w:abstractNumId w:val="8"/>
  </w:num>
  <w:num w:numId="6" w16cid:durableId="392043125">
    <w:abstractNumId w:val="1"/>
  </w:num>
  <w:num w:numId="7" w16cid:durableId="132409876">
    <w:abstractNumId w:val="34"/>
  </w:num>
  <w:num w:numId="8" w16cid:durableId="2063096920">
    <w:abstractNumId w:val="23"/>
  </w:num>
  <w:num w:numId="9" w16cid:durableId="1391461529">
    <w:abstractNumId w:val="12"/>
  </w:num>
  <w:num w:numId="10" w16cid:durableId="1530139660">
    <w:abstractNumId w:val="15"/>
  </w:num>
  <w:num w:numId="11" w16cid:durableId="673842020">
    <w:abstractNumId w:val="27"/>
  </w:num>
  <w:num w:numId="12" w16cid:durableId="1177696324">
    <w:abstractNumId w:val="4"/>
  </w:num>
  <w:num w:numId="13" w16cid:durableId="1791320203">
    <w:abstractNumId w:val="32"/>
  </w:num>
  <w:num w:numId="14" w16cid:durableId="1765028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61281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25571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2293315">
    <w:abstractNumId w:val="5"/>
  </w:num>
  <w:num w:numId="18" w16cid:durableId="203835644">
    <w:abstractNumId w:val="10"/>
  </w:num>
  <w:num w:numId="19" w16cid:durableId="1613898095">
    <w:abstractNumId w:val="11"/>
  </w:num>
  <w:num w:numId="20" w16cid:durableId="1142968820">
    <w:abstractNumId w:val="30"/>
  </w:num>
  <w:num w:numId="21" w16cid:durableId="587277972">
    <w:abstractNumId w:val="28"/>
  </w:num>
  <w:num w:numId="22" w16cid:durableId="719012562">
    <w:abstractNumId w:val="29"/>
  </w:num>
  <w:num w:numId="23" w16cid:durableId="1915624645">
    <w:abstractNumId w:val="2"/>
  </w:num>
  <w:num w:numId="24" w16cid:durableId="673730275">
    <w:abstractNumId w:val="7"/>
  </w:num>
  <w:num w:numId="25" w16cid:durableId="988167163">
    <w:abstractNumId w:val="9"/>
  </w:num>
  <w:num w:numId="26" w16cid:durableId="2043436826">
    <w:abstractNumId w:val="16"/>
  </w:num>
  <w:num w:numId="27" w16cid:durableId="1483232862">
    <w:abstractNumId w:val="18"/>
  </w:num>
  <w:num w:numId="28" w16cid:durableId="1644113004">
    <w:abstractNumId w:val="31"/>
  </w:num>
  <w:num w:numId="29" w16cid:durableId="97920028">
    <w:abstractNumId w:val="6"/>
  </w:num>
  <w:num w:numId="30" w16cid:durableId="854001796">
    <w:abstractNumId w:val="19"/>
  </w:num>
  <w:num w:numId="31" w16cid:durableId="688484790">
    <w:abstractNumId w:val="26"/>
  </w:num>
  <w:num w:numId="32" w16cid:durableId="1430469185">
    <w:abstractNumId w:val="3"/>
  </w:num>
  <w:num w:numId="33" w16cid:durableId="642808366">
    <w:abstractNumId w:val="13"/>
  </w:num>
  <w:num w:numId="34" w16cid:durableId="2068800133">
    <w:abstractNumId w:val="17"/>
  </w:num>
  <w:num w:numId="35" w16cid:durableId="233590224">
    <w:abstractNumId w:val="33"/>
  </w:num>
  <w:num w:numId="36" w16cid:durableId="8327207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E5"/>
    <w:rsid w:val="00003F69"/>
    <w:rsid w:val="00011834"/>
    <w:rsid w:val="0004565A"/>
    <w:rsid w:val="0005585B"/>
    <w:rsid w:val="00070CAA"/>
    <w:rsid w:val="000A54BF"/>
    <w:rsid w:val="00191568"/>
    <w:rsid w:val="001A1653"/>
    <w:rsid w:val="001A285A"/>
    <w:rsid w:val="00264424"/>
    <w:rsid w:val="002F7591"/>
    <w:rsid w:val="00353CA2"/>
    <w:rsid w:val="00361B11"/>
    <w:rsid w:val="00381658"/>
    <w:rsid w:val="003A74BD"/>
    <w:rsid w:val="003E208F"/>
    <w:rsid w:val="003E3494"/>
    <w:rsid w:val="004031E6"/>
    <w:rsid w:val="00415E44"/>
    <w:rsid w:val="00460E7C"/>
    <w:rsid w:val="0046228C"/>
    <w:rsid w:val="00495CF2"/>
    <w:rsid w:val="004E37AE"/>
    <w:rsid w:val="00513CD4"/>
    <w:rsid w:val="00517149"/>
    <w:rsid w:val="00524E90"/>
    <w:rsid w:val="0054707A"/>
    <w:rsid w:val="005854E7"/>
    <w:rsid w:val="006176A0"/>
    <w:rsid w:val="006527C4"/>
    <w:rsid w:val="006827E3"/>
    <w:rsid w:val="006C279E"/>
    <w:rsid w:val="006C6E22"/>
    <w:rsid w:val="006D6AB6"/>
    <w:rsid w:val="006E5DFB"/>
    <w:rsid w:val="00701D34"/>
    <w:rsid w:val="00733052"/>
    <w:rsid w:val="00733455"/>
    <w:rsid w:val="00753527"/>
    <w:rsid w:val="007A79B6"/>
    <w:rsid w:val="0081502A"/>
    <w:rsid w:val="00817590"/>
    <w:rsid w:val="00864EC7"/>
    <w:rsid w:val="008F10BE"/>
    <w:rsid w:val="009041F4"/>
    <w:rsid w:val="00914EF0"/>
    <w:rsid w:val="009934FA"/>
    <w:rsid w:val="009C479C"/>
    <w:rsid w:val="00A2472F"/>
    <w:rsid w:val="00A861CB"/>
    <w:rsid w:val="00B332B1"/>
    <w:rsid w:val="00B71300"/>
    <w:rsid w:val="00BA3A05"/>
    <w:rsid w:val="00BB4EDA"/>
    <w:rsid w:val="00BC1D55"/>
    <w:rsid w:val="00BD2B1E"/>
    <w:rsid w:val="00BD32B5"/>
    <w:rsid w:val="00BD4C2D"/>
    <w:rsid w:val="00C1550C"/>
    <w:rsid w:val="00C52022"/>
    <w:rsid w:val="00C61511"/>
    <w:rsid w:val="00C75470"/>
    <w:rsid w:val="00C819E5"/>
    <w:rsid w:val="00C865C8"/>
    <w:rsid w:val="00C96FA5"/>
    <w:rsid w:val="00CE2C7C"/>
    <w:rsid w:val="00D2052D"/>
    <w:rsid w:val="00DA025F"/>
    <w:rsid w:val="00EF091C"/>
    <w:rsid w:val="00EF61B3"/>
    <w:rsid w:val="00F3293F"/>
    <w:rsid w:val="00F53311"/>
    <w:rsid w:val="00F953D1"/>
    <w:rsid w:val="00FE7288"/>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D5E2C"/>
  <w15:chartTrackingRefBased/>
  <w15:docId w15:val="{EA5770A4-3FF5-4437-8150-EAFBFC94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B11"/>
    <w:rPr>
      <w:lang w:val="en-GB"/>
    </w:rPr>
  </w:style>
  <w:style w:type="paragraph" w:styleId="Heading1">
    <w:name w:val="heading 1"/>
    <w:basedOn w:val="Normal"/>
    <w:next w:val="Normal"/>
    <w:link w:val="Heading1Char"/>
    <w:uiPriority w:val="99"/>
    <w:qFormat/>
    <w:rsid w:val="00003F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3F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F5331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85B"/>
    <w:pPr>
      <w:ind w:left="720"/>
      <w:contextualSpacing/>
    </w:pPr>
  </w:style>
  <w:style w:type="character" w:styleId="Hyperlink">
    <w:name w:val="Hyperlink"/>
    <w:basedOn w:val="DefaultParagraphFont"/>
    <w:uiPriority w:val="99"/>
    <w:unhideWhenUsed/>
    <w:rsid w:val="001A1653"/>
    <w:rPr>
      <w:color w:val="0563C1" w:themeColor="hyperlink"/>
      <w:u w:val="single"/>
    </w:rPr>
  </w:style>
  <w:style w:type="character" w:styleId="UnresolvedMention">
    <w:name w:val="Unresolved Mention"/>
    <w:basedOn w:val="DefaultParagraphFont"/>
    <w:uiPriority w:val="99"/>
    <w:semiHidden/>
    <w:unhideWhenUsed/>
    <w:rsid w:val="001A1653"/>
    <w:rPr>
      <w:color w:val="605E5C"/>
      <w:shd w:val="clear" w:color="auto" w:fill="E1DFDD"/>
    </w:rPr>
  </w:style>
  <w:style w:type="table" w:styleId="TableGrid">
    <w:name w:val="Table Grid"/>
    <w:basedOn w:val="TableNormal"/>
    <w:uiPriority w:val="39"/>
    <w:rsid w:val="006E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E5DFB"/>
    <w:rPr>
      <w:b/>
      <w:bCs/>
    </w:rPr>
  </w:style>
  <w:style w:type="paragraph" w:styleId="Caption">
    <w:name w:val="caption"/>
    <w:basedOn w:val="Normal"/>
    <w:next w:val="Normal"/>
    <w:uiPriority w:val="35"/>
    <w:unhideWhenUsed/>
    <w:qFormat/>
    <w:rsid w:val="006E5DF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9"/>
    <w:rsid w:val="00003F6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03F69"/>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003F69"/>
    <w:pPr>
      <w:outlineLvl w:val="9"/>
    </w:pPr>
    <w:rPr>
      <w:lang w:val="en-US"/>
    </w:rPr>
  </w:style>
  <w:style w:type="paragraph" w:styleId="TOC1">
    <w:name w:val="toc 1"/>
    <w:basedOn w:val="Normal"/>
    <w:next w:val="Normal"/>
    <w:autoRedefine/>
    <w:uiPriority w:val="39"/>
    <w:unhideWhenUsed/>
    <w:rsid w:val="00003F69"/>
    <w:pPr>
      <w:spacing w:after="100"/>
    </w:pPr>
  </w:style>
  <w:style w:type="paragraph" w:styleId="TOC2">
    <w:name w:val="toc 2"/>
    <w:basedOn w:val="Normal"/>
    <w:next w:val="Normal"/>
    <w:autoRedefine/>
    <w:uiPriority w:val="39"/>
    <w:unhideWhenUsed/>
    <w:rsid w:val="00003F69"/>
    <w:pPr>
      <w:spacing w:after="100"/>
      <w:ind w:left="220"/>
    </w:pPr>
  </w:style>
  <w:style w:type="paragraph" w:styleId="Header">
    <w:name w:val="header"/>
    <w:basedOn w:val="Normal"/>
    <w:link w:val="HeaderChar"/>
    <w:uiPriority w:val="99"/>
    <w:unhideWhenUsed/>
    <w:rsid w:val="007334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455"/>
    <w:rPr>
      <w:lang w:val="en-GB"/>
    </w:rPr>
  </w:style>
  <w:style w:type="paragraph" w:styleId="Footer">
    <w:name w:val="footer"/>
    <w:basedOn w:val="Normal"/>
    <w:link w:val="FooterChar"/>
    <w:uiPriority w:val="99"/>
    <w:unhideWhenUsed/>
    <w:rsid w:val="007334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455"/>
    <w:rPr>
      <w:lang w:val="en-GB"/>
    </w:rPr>
  </w:style>
  <w:style w:type="paragraph" w:styleId="NoSpacing">
    <w:name w:val="No Spacing"/>
    <w:uiPriority w:val="1"/>
    <w:qFormat/>
    <w:rsid w:val="00011834"/>
    <w:pPr>
      <w:spacing w:after="0" w:line="240" w:lineRule="auto"/>
    </w:pPr>
    <w:rPr>
      <w:lang w:val="en-GB"/>
    </w:rPr>
  </w:style>
  <w:style w:type="character" w:customStyle="1" w:styleId="Heading4Char">
    <w:name w:val="Heading 4 Char"/>
    <w:basedOn w:val="DefaultParagraphFont"/>
    <w:link w:val="Heading4"/>
    <w:uiPriority w:val="99"/>
    <w:rsid w:val="00F53311"/>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F53311"/>
  </w:style>
  <w:style w:type="paragraph" w:styleId="BodyText2">
    <w:name w:val="Body Text 2"/>
    <w:basedOn w:val="Normal"/>
    <w:link w:val="BodyText2Char"/>
    <w:uiPriority w:val="99"/>
    <w:rsid w:val="00F5331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53311"/>
    <w:rPr>
      <w:rFonts w:ascii="Times New Roman" w:eastAsia="Times New Roman" w:hAnsi="Times New Roman" w:cs="Times New Roman"/>
      <w:b/>
      <w:bCs/>
      <w:lang w:val="en-GB"/>
    </w:rPr>
  </w:style>
  <w:style w:type="paragraph" w:customStyle="1" w:styleId="deannah1">
    <w:name w:val="deannah1"/>
    <w:basedOn w:val="Normal"/>
    <w:uiPriority w:val="99"/>
    <w:rsid w:val="00F5331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5331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53311"/>
    <w:rPr>
      <w:rFonts w:ascii="Tahoma" w:eastAsia="Times New Roman" w:hAnsi="Tahoma" w:cs="Tahoma"/>
      <w:sz w:val="16"/>
      <w:szCs w:val="16"/>
      <w:lang w:val="en-GB"/>
    </w:rPr>
  </w:style>
  <w:style w:type="table" w:customStyle="1" w:styleId="TableGrid1">
    <w:name w:val="Table Grid1"/>
    <w:basedOn w:val="TableNormal"/>
    <w:next w:val="TableGrid"/>
    <w:uiPriority w:val="39"/>
    <w:rsid w:val="00F53311"/>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53311"/>
    <w:rPr>
      <w:color w:val="800080"/>
      <w:u w:val="single"/>
    </w:rPr>
  </w:style>
  <w:style w:type="paragraph" w:styleId="NormalWeb">
    <w:name w:val="Normal (Web)"/>
    <w:basedOn w:val="Normal"/>
    <w:uiPriority w:val="99"/>
    <w:rsid w:val="00F533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53311"/>
    <w:rPr>
      <w:color w:val="535353"/>
      <w:u w:val="single"/>
      <w:effect w:val="none"/>
    </w:rPr>
  </w:style>
  <w:style w:type="paragraph" w:customStyle="1" w:styleId="NormalWeb1">
    <w:name w:val="Normal (Web)1"/>
    <w:basedOn w:val="Normal"/>
    <w:uiPriority w:val="99"/>
    <w:rsid w:val="00F5331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53311"/>
  </w:style>
  <w:style w:type="character" w:styleId="CommentReference">
    <w:name w:val="annotation reference"/>
    <w:uiPriority w:val="99"/>
    <w:semiHidden/>
    <w:unhideWhenUsed/>
    <w:rsid w:val="00F53311"/>
    <w:rPr>
      <w:sz w:val="16"/>
      <w:szCs w:val="16"/>
    </w:rPr>
  </w:style>
  <w:style w:type="paragraph" w:styleId="CommentText">
    <w:name w:val="annotation text"/>
    <w:basedOn w:val="Normal"/>
    <w:link w:val="CommentTextChar"/>
    <w:uiPriority w:val="99"/>
    <w:semiHidden/>
    <w:unhideWhenUsed/>
    <w:rsid w:val="00F5331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5331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53311"/>
    <w:rPr>
      <w:b/>
      <w:bCs/>
    </w:rPr>
  </w:style>
  <w:style w:type="character" w:customStyle="1" w:styleId="CommentSubjectChar">
    <w:name w:val="Comment Subject Char"/>
    <w:basedOn w:val="CommentTextChar"/>
    <w:link w:val="CommentSubject"/>
    <w:uiPriority w:val="99"/>
    <w:semiHidden/>
    <w:rsid w:val="00F5331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00186">
      <w:bodyDiv w:val="1"/>
      <w:marLeft w:val="0"/>
      <w:marRight w:val="0"/>
      <w:marTop w:val="0"/>
      <w:marBottom w:val="0"/>
      <w:divBdr>
        <w:top w:val="none" w:sz="0" w:space="0" w:color="auto"/>
        <w:left w:val="none" w:sz="0" w:space="0" w:color="auto"/>
        <w:bottom w:val="none" w:sz="0" w:space="0" w:color="auto"/>
        <w:right w:val="none" w:sz="0" w:space="0" w:color="auto"/>
      </w:divBdr>
    </w:div>
    <w:div w:id="1051726910">
      <w:bodyDiv w:val="1"/>
      <w:marLeft w:val="0"/>
      <w:marRight w:val="0"/>
      <w:marTop w:val="0"/>
      <w:marBottom w:val="0"/>
      <w:divBdr>
        <w:top w:val="none" w:sz="0" w:space="0" w:color="auto"/>
        <w:left w:val="none" w:sz="0" w:space="0" w:color="auto"/>
        <w:bottom w:val="none" w:sz="0" w:space="0" w:color="auto"/>
        <w:right w:val="none" w:sz="0" w:space="0" w:color="auto"/>
      </w:divBdr>
    </w:div>
    <w:div w:id="1697923434">
      <w:bodyDiv w:val="1"/>
      <w:marLeft w:val="0"/>
      <w:marRight w:val="0"/>
      <w:marTop w:val="0"/>
      <w:marBottom w:val="0"/>
      <w:divBdr>
        <w:top w:val="none" w:sz="0" w:space="0" w:color="auto"/>
        <w:left w:val="none" w:sz="0" w:space="0" w:color="auto"/>
        <w:bottom w:val="none" w:sz="0" w:space="0" w:color="auto"/>
        <w:right w:val="none" w:sz="0" w:space="0" w:color="auto"/>
      </w:divBdr>
    </w:div>
    <w:div w:id="2061705011">
      <w:bodyDiv w:val="1"/>
      <w:marLeft w:val="0"/>
      <w:marRight w:val="0"/>
      <w:marTop w:val="0"/>
      <w:marBottom w:val="0"/>
      <w:divBdr>
        <w:top w:val="none" w:sz="0" w:space="0" w:color="auto"/>
        <w:left w:val="none" w:sz="0" w:space="0" w:color="auto"/>
        <w:bottom w:val="none" w:sz="0" w:space="0" w:color="auto"/>
        <w:right w:val="none" w:sz="0" w:space="0" w:color="auto"/>
      </w:divBdr>
      <w:divsChild>
        <w:div w:id="893929142">
          <w:marLeft w:val="0"/>
          <w:marRight w:val="0"/>
          <w:marTop w:val="0"/>
          <w:marBottom w:val="0"/>
          <w:divBdr>
            <w:top w:val="none" w:sz="0" w:space="0" w:color="auto"/>
            <w:left w:val="none" w:sz="0" w:space="0" w:color="auto"/>
            <w:bottom w:val="none" w:sz="0" w:space="0" w:color="auto"/>
            <w:right w:val="none" w:sz="0" w:space="0" w:color="auto"/>
          </w:divBdr>
        </w:div>
        <w:div w:id="131873201">
          <w:marLeft w:val="0"/>
          <w:marRight w:val="0"/>
          <w:marTop w:val="0"/>
          <w:marBottom w:val="0"/>
          <w:divBdr>
            <w:top w:val="none" w:sz="0" w:space="0" w:color="auto"/>
            <w:left w:val="none" w:sz="0" w:space="0" w:color="auto"/>
            <w:bottom w:val="none" w:sz="0" w:space="0" w:color="auto"/>
            <w:right w:val="none" w:sz="0" w:space="0" w:color="auto"/>
          </w:divBdr>
        </w:div>
        <w:div w:id="1834560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0222429251319786" TargetMode="External"/><Relationship Id="rId21" Type="http://schemas.openxmlformats.org/officeDocument/2006/relationships/hyperlink" Target="https://doi.org/10.1016/j.jretconser.2024.103831" TargetMode="External"/><Relationship Id="rId42" Type="http://schemas.openxmlformats.org/officeDocument/2006/relationships/hyperlink" Target="https://doi.org/10.1080/10496491.2023.2289925" TargetMode="External"/><Relationship Id="rId47" Type="http://schemas.openxmlformats.org/officeDocument/2006/relationships/hyperlink" Target="https://doi.org/10.1007/s11747-016-0503-8" TargetMode="External"/><Relationship Id="rId63" Type="http://schemas.openxmlformats.org/officeDocument/2006/relationships/hyperlink" Target="https://doi.org/10.1016/j.jbusres.2022.113476" TargetMode="External"/><Relationship Id="rId68" Type="http://schemas.openxmlformats.org/officeDocument/2006/relationships/hyperlink" Target="https://doi.org/10.1057/s41599-024-03796-7" TargetMode="External"/><Relationship Id="rId84" Type="http://schemas.openxmlformats.org/officeDocument/2006/relationships/fontTable" Target="fontTable.xml"/><Relationship Id="rId16" Type="http://schemas.openxmlformats.org/officeDocument/2006/relationships/hyperlink" Target="https://doi.org/10.1080/0267257x.2025.2554134" TargetMode="External"/><Relationship Id="rId11" Type="http://schemas.openxmlformats.org/officeDocument/2006/relationships/image" Target="media/image1.png"/><Relationship Id="rId32" Type="http://schemas.openxmlformats.org/officeDocument/2006/relationships/hyperlink" Target="https://doi.org/10.1002/mar.21927" TargetMode="External"/><Relationship Id="rId37" Type="http://schemas.openxmlformats.org/officeDocument/2006/relationships/hyperlink" Target="https://doi.org/10.1080/10641734.2025.2529006" TargetMode="External"/><Relationship Id="rId53" Type="http://schemas.openxmlformats.org/officeDocument/2006/relationships/hyperlink" Target="https://doi.org/10.3390/jtaer20020111" TargetMode="External"/><Relationship Id="rId58" Type="http://schemas.openxmlformats.org/officeDocument/2006/relationships/hyperlink" Target="https://doi.org/10.1177/00157325231214046" TargetMode="External"/><Relationship Id="rId74" Type="http://schemas.openxmlformats.org/officeDocument/2006/relationships/hyperlink" Target="https://doi.org/10.3390/jtaer20020115" TargetMode="External"/><Relationship Id="rId79" Type="http://schemas.openxmlformats.org/officeDocument/2006/relationships/hyperlink" Target="https://doi.org/10.1016/j.actpsy.2025.105174" TargetMode="External"/><Relationship Id="rId5" Type="http://schemas.openxmlformats.org/officeDocument/2006/relationships/webSettings" Target="webSettings.xml"/><Relationship Id="rId19" Type="http://schemas.openxmlformats.org/officeDocument/2006/relationships/hyperlink" Target="https://doi.org/10.1191/1478088706qp063oa" TargetMode="External"/><Relationship Id="rId14" Type="http://schemas.openxmlformats.org/officeDocument/2006/relationships/hyperlink" Target="https://www.abacademies.org/articles/investigating-the-role-of-influencer-marketing-on-purchase-intention-a-comparative-analysis-of-celebrities-vs-microinflu.pdf" TargetMode="External"/><Relationship Id="rId22" Type="http://schemas.openxmlformats.org/officeDocument/2006/relationships/hyperlink" Target="https://doi.org/10.1177/16094069231180160" TargetMode="External"/><Relationship Id="rId27" Type="http://schemas.openxmlformats.org/officeDocument/2006/relationships/hyperlink" Target="https://doi.org/10.1016/j.ijinfomgt.2020.102168" TargetMode="External"/><Relationship Id="rId30" Type="http://schemas.openxmlformats.org/officeDocument/2006/relationships/hyperlink" Target="https://www.oaijse.com/VolumeArticles/FullTextPDF/1044_A_Comparative_Study_of_Influencer_Marketing_and_Traditional_Advertising_.pdf" TargetMode="External"/><Relationship Id="rId35" Type="http://schemas.openxmlformats.org/officeDocument/2006/relationships/hyperlink" Target="https://doi.org/10.1086/266350" TargetMode="External"/><Relationship Id="rId43" Type="http://schemas.openxmlformats.org/officeDocument/2006/relationships/hyperlink" Target="https://doi.org/10.1177/002224299305700101" TargetMode="External"/><Relationship Id="rId48" Type="http://schemas.openxmlformats.org/officeDocument/2006/relationships/hyperlink" Target="https://doi.org/10.1080/0267257x.2025.2544808" TargetMode="External"/><Relationship Id="rId56" Type="http://schemas.openxmlformats.org/officeDocument/2006/relationships/hyperlink" Target="https://doi.org/10.1787/55e2edec-en" TargetMode="External"/><Relationship Id="rId64" Type="http://schemas.openxmlformats.org/officeDocument/2006/relationships/hyperlink" Target="https://doi.org/10.1002/mar.22102" TargetMode="External"/><Relationship Id="rId69" Type="http://schemas.openxmlformats.org/officeDocument/2006/relationships/hyperlink" Target="https://www.latterly.org/asos-digital-marketing-strategy/" TargetMode="External"/><Relationship Id="rId77" Type="http://schemas.openxmlformats.org/officeDocument/2006/relationships/hyperlink" Target="https://doi.org/10.1509/jmkg.68.1.1.24036" TargetMode="External"/><Relationship Id="rId8" Type="http://schemas.openxmlformats.org/officeDocument/2006/relationships/hyperlink" Target="file:///C:\Users\c.lohmann-hancock\AppData\Local\Microsoft\Windows\INetCache\REICoP-17-20-v3-Final.pdf" TargetMode="External"/><Relationship Id="rId51" Type="http://schemas.openxmlformats.org/officeDocument/2006/relationships/hyperlink" Target="https://doi.org/10.1177/20563051241269269" TargetMode="External"/><Relationship Id="rId72" Type="http://schemas.openxmlformats.org/officeDocument/2006/relationships/hyperlink" Target="https://doi.org/10.1016/j.jbusres.2019.07.039" TargetMode="External"/><Relationship Id="rId80" Type="http://schemas.openxmlformats.org/officeDocument/2006/relationships/hyperlink" Target="https://wfanet.org/knowledge/item/2025/03/27/more-than-half-of-multinational-brands-plan-to-boost-influencer-market-spend"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515/roms-2023-0118" TargetMode="External"/><Relationship Id="rId17" Type="http://schemas.openxmlformats.org/officeDocument/2006/relationships/hyperlink" Target="https://doi.org/10.1016/j.jbusres.2024.115123" TargetMode="External"/><Relationship Id="rId25" Type="http://schemas.openxmlformats.org/officeDocument/2006/relationships/hyperlink" Target="https://doi.org/10.1080/23311975.2025.2541040" TargetMode="External"/><Relationship Id="rId33" Type="http://schemas.openxmlformats.org/officeDocument/2006/relationships/hyperlink" Target="https://doi.org/10.1080/23311975.2024.2393236" TargetMode="External"/><Relationship Id="rId38" Type="http://schemas.openxmlformats.org/officeDocument/2006/relationships/hyperlink" Target="https://www.impressiondigital.com/blog/ugc-trends-insights-and-examples/" TargetMode="External"/><Relationship Id="rId46" Type="http://schemas.openxmlformats.org/officeDocument/2006/relationships/hyperlink" Target="https://doi.org/10.1016/j.chbah.2024.100100" TargetMode="External"/><Relationship Id="rId59" Type="http://schemas.openxmlformats.org/officeDocument/2006/relationships/hyperlink" Target="https://doi.org/10.1111/ijcs.13015" TargetMode="External"/><Relationship Id="rId67" Type="http://schemas.openxmlformats.org/officeDocument/2006/relationships/hyperlink" Target="https://doi.org/10.1080/02650487.2019.1634898" TargetMode="External"/><Relationship Id="rId20" Type="http://schemas.openxmlformats.org/officeDocument/2006/relationships/hyperlink" Target="https://casp-uk.net/casp-tools-checklists/qualitative-studies-checklist/" TargetMode="External"/><Relationship Id="rId41" Type="http://schemas.openxmlformats.org/officeDocument/2006/relationships/hyperlink" Target="https://doi.org/10.1057/s41599-024-04107-w" TargetMode="External"/><Relationship Id="rId54" Type="http://schemas.openxmlformats.org/officeDocument/2006/relationships/hyperlink" Target="https://doi.org/10.54254/2754-1169/2025.19906" TargetMode="External"/><Relationship Id="rId62" Type="http://schemas.openxmlformats.org/officeDocument/2006/relationships/hyperlink" Target="https://doi.org/10.1080/23311975.2024.2380807" TargetMode="External"/><Relationship Id="rId70" Type="http://schemas.openxmlformats.org/officeDocument/2006/relationships/hyperlink" Target="https://doi.org/10.52783/eel.v14i4.2346" TargetMode="External"/><Relationship Id="rId75" Type="http://schemas.openxmlformats.org/officeDocument/2006/relationships/hyperlink" Target="https://doi.org/10.1111/1467-8551.00375"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1747-025-01107-3" TargetMode="External"/><Relationship Id="rId23" Type="http://schemas.openxmlformats.org/officeDocument/2006/relationships/hyperlink" Target="https://doi.org/10.1177/21582440231164034" TargetMode="External"/><Relationship Id="rId28" Type="http://schemas.openxmlformats.org/officeDocument/2006/relationships/hyperlink" Target="https://www.ftc.gov/legal-library/browse/federal-register-notices/16-cfr-part-255-guides-concerning-use-endorsements-testimonials-advertising" TargetMode="External"/><Relationship Id="rId36" Type="http://schemas.openxmlformats.org/officeDocument/2006/relationships/hyperlink" Target="https://doi.org/10.1016/j.jretconser.2025.104285" TargetMode="External"/><Relationship Id="rId49" Type="http://schemas.openxmlformats.org/officeDocument/2006/relationships/hyperlink" Target="https://doi.org/10.1177/21582440251364040" TargetMode="External"/><Relationship Id="rId57" Type="http://schemas.openxmlformats.org/officeDocument/2006/relationships/hyperlink" Target="https://doi.org/10.1007/s11747-024-01052-7" TargetMode="External"/><Relationship Id="rId10" Type="http://schemas.openxmlformats.org/officeDocument/2006/relationships/hyperlink" Target="https://www.uwtsd.ac.uk/research/research-ethics/" TargetMode="External"/><Relationship Id="rId31" Type="http://schemas.openxmlformats.org/officeDocument/2006/relationships/hyperlink" Target="https://doi.org/10.1177/22779779251393408" TargetMode="External"/><Relationship Id="rId44" Type="http://schemas.openxmlformats.org/officeDocument/2006/relationships/hyperlink" Target="https://doi.org/10.1016/j.actpsy.2025.105573" TargetMode="External"/><Relationship Id="rId52" Type="http://schemas.openxmlformats.org/officeDocument/2006/relationships/hyperlink" Target="https://doi.org/10.1093/jcr/ucad003" TargetMode="External"/><Relationship Id="rId60" Type="http://schemas.openxmlformats.org/officeDocument/2006/relationships/hyperlink" Target="https://doi.org/10.1016/j.jbusres.2026.116037" TargetMode="External"/><Relationship Id="rId65" Type="http://schemas.openxmlformats.org/officeDocument/2006/relationships/hyperlink" Target="https://doi.org/10.2478/nimmir-2025-0003" TargetMode="External"/><Relationship Id="rId73" Type="http://schemas.openxmlformats.org/officeDocument/2006/relationships/hyperlink" Target="https://www.statista.com/statistics/1455391/shoppers-social-media-discovery-and-purchase-worldwide/" TargetMode="External"/><Relationship Id="rId78" Type="http://schemas.openxmlformats.org/officeDocument/2006/relationships/hyperlink" Target="https://doi.org/10.1111/ijcs.12647" TargetMode="External"/><Relationship Id="rId81" Type="http://schemas.openxmlformats.org/officeDocument/2006/relationships/hyperlink" Target="https://doi.org/10.1016/j.jretconser.2025.104316"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doi.org/10.1007/s11196-025-10290-z" TargetMode="External"/><Relationship Id="rId18" Type="http://schemas.openxmlformats.org/officeDocument/2006/relationships/hyperlink" Target="https://doi.org/10.1016/j.jbusres.2022.113606" TargetMode="External"/><Relationship Id="rId39" Type="http://schemas.openxmlformats.org/officeDocument/2006/relationships/hyperlink" Target="https://influencermarketinghub.com/influencer-marketing-benchmark-report/" TargetMode="External"/><Relationship Id="rId34" Type="http://schemas.openxmlformats.org/officeDocument/2006/relationships/hyperlink" Target="https://doi.org/10.1007/s11747-023-00982-y" TargetMode="External"/><Relationship Id="rId50" Type="http://schemas.openxmlformats.org/officeDocument/2006/relationships/hyperlink" Target="https://iircj.org/wp-content/uploads/2024/07/29.-Analysing-the-effectiveness-of-micro-influencer-marketing-compared-to-traditional-celebrity-endorsements-1.pdf" TargetMode="External"/><Relationship Id="rId55" Type="http://schemas.openxmlformats.org/officeDocument/2006/relationships/hyperlink" Target="https://doi.org/10.1002/sd.70417" TargetMode="External"/><Relationship Id="rId76" Type="http://schemas.openxmlformats.org/officeDocument/2006/relationships/hyperlink" Target="https://doi.org/10.1108/MIP-03-2023-0125" TargetMode="External"/><Relationship Id="rId7" Type="http://schemas.openxmlformats.org/officeDocument/2006/relationships/endnotes" Target="endnotes.xml"/><Relationship Id="rId71" Type="http://schemas.openxmlformats.org/officeDocument/2006/relationships/hyperlink" Target="https://doi.org/10.1177/14705931231165098" TargetMode="External"/><Relationship Id="rId2" Type="http://schemas.openxmlformats.org/officeDocument/2006/relationships/numbering" Target="numbering.xml"/><Relationship Id="rId29" Type="http://schemas.openxmlformats.org/officeDocument/2006/relationships/hyperlink" Target="https://doi.org/10.1016/j.jbusres.2025.115273" TargetMode="External"/><Relationship Id="rId24" Type="http://schemas.openxmlformats.org/officeDocument/2006/relationships/hyperlink" Target="https://doi.org/10.1016/j.jbusres.2023.113708" TargetMode="External"/><Relationship Id="rId40" Type="http://schemas.openxmlformats.org/officeDocument/2006/relationships/hyperlink" Target="https://papers.ssrn.com/sol3/papers.cfm?abstract_id=4781464" TargetMode="External"/><Relationship Id="rId45" Type="http://schemas.openxmlformats.org/officeDocument/2006/relationships/hyperlink" Target="https://doi.org/10.1080/23311975.2025.2582882" TargetMode="External"/><Relationship Id="rId66" Type="http://schemas.openxmlformats.org/officeDocument/2006/relationships/hyperlink" Target="https://sproutsocial.com/insights/nike-social-media-strategy/" TargetMode="External"/><Relationship Id="rId61" Type="http://schemas.openxmlformats.org/officeDocument/2006/relationships/hyperlink" Target="https://blog.gaggleamp.com/why-influencer-marketing-is-tough-to-trust" TargetMode="External"/><Relationship Id="rId8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CEC3D-C580-445E-B7F1-79E943BC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Pages>
  <Words>27364</Words>
  <Characters>155979</Characters>
  <Application>Microsoft Office Word</Application>
  <DocSecurity>0</DocSecurity>
  <Lines>1299</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Vimal Edayilvila Vijayan (2409023)</cp:lastModifiedBy>
  <cp:revision>135</cp:revision>
  <dcterms:created xsi:type="dcterms:W3CDTF">2026-03-17T05:48:00Z</dcterms:created>
  <dcterms:modified xsi:type="dcterms:W3CDTF">2026-05-26T23:12:00Z</dcterms:modified>
</cp:coreProperties>
</file>