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er"/>
        <w:rPr>
          <w:rFonts w:ascii="Calibri" w:hAnsi="Calibri"/>
          <w:b/>
          <w:b/>
          <w:bCs/>
        </w:rPr>
      </w:pPr>
      <w:r>
        <w:rPr>
          <w:b/>
          <w:bCs/>
        </w:rPr>
      </w:r>
    </w:p>
    <w:p>
      <w:pPr>
        <w:pStyle w:val="Normal"/>
        <w:rPr>
          <w:color w:val="000000"/>
          <w:sz w:val="24"/>
          <w:szCs w:val="24"/>
        </w:rPr>
      </w:pPr>
      <w:r>
        <w:rPr>
          <w:color w:val="000000"/>
          <w:sz w:val="24"/>
          <w:szCs w:val="24"/>
        </w:rPr>
      </w:r>
    </w:p>
    <w:p>
      <w:pPr>
        <w:pStyle w:val="Normal"/>
        <w:jc w:val="center"/>
        <w:rPr>
          <w:rFonts w:ascii="Calibri" w:hAnsi="Calibri"/>
          <w:b/>
          <w:b/>
          <w:bCs/>
        </w:rPr>
      </w:pPr>
      <w:r>
        <w:rPr>
          <w:b/>
          <w:bCs/>
        </w:rPr>
      </w:r>
    </w:p>
    <w:p>
      <w:pPr>
        <w:pStyle w:val="Header"/>
        <w:rPr>
          <w:rFonts w:ascii="Calibri" w:hAnsi="Calibri"/>
          <w:b/>
          <w:b/>
          <w:bCs/>
          <w:color w:val="000000"/>
          <w:sz w:val="36"/>
          <w:szCs w:val="36"/>
        </w:rPr>
      </w:pPr>
      <w:r>
        <w:rPr>
          <w:b/>
          <w:bCs/>
          <w:color w:val="000000"/>
          <w:sz w:val="36"/>
          <w:szCs w:val="36"/>
        </w:rPr>
      </w:r>
    </w:p>
    <w:p>
      <w:pPr>
        <w:pStyle w:val="Normal"/>
        <w:rPr>
          <w:rFonts w:ascii="Calibri" w:hAnsi="Calibri"/>
          <w:color w:val="000000"/>
          <w:sz w:val="36"/>
          <w:szCs w:val="36"/>
        </w:rPr>
      </w:pPr>
      <w:r>
        <w:rPr>
          <w:color w:val="000000"/>
          <w:sz w:val="36"/>
          <w:szCs w:val="36"/>
        </w:rPr>
      </w:r>
    </w:p>
    <w:p>
      <w:pPr>
        <w:pStyle w:val="Normal"/>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b/>
          <w:b/>
          <w:i/>
          <w:i/>
          <w:sz w:val="24"/>
          <w:szCs w:val="24"/>
        </w:rPr>
      </w:pPr>
      <w:r>
        <w:rPr>
          <w:rFonts w:cs="Times New Roman" w:ascii="Times New Roman" w:hAnsi="Times New Roman"/>
          <w:b/>
          <w:i/>
          <w:sz w:val="24"/>
          <w:szCs w:val="24"/>
        </w:rPr>
        <w:t>Introduction</w:t>
      </w:r>
    </w:p>
    <w:p>
      <w:pPr>
        <w:pStyle w:val="Normal"/>
        <w:rPr>
          <w:rFonts w:ascii="Times New Roman" w:hAnsi="Times New Roman" w:cs="Times New Roman"/>
          <w:sz w:val="24"/>
          <w:szCs w:val="24"/>
        </w:rPr>
      </w:pPr>
      <w:r>
        <w:rPr>
          <w:rFonts w:cs="Times New Roman" w:ascii="Times New Roman" w:hAnsi="Times New Roman"/>
          <w:sz w:val="24"/>
          <w:szCs w:val="24"/>
        </w:rPr>
        <w:t xml:space="preserve">This report will be prepared on the basis of public consultations related to different members of the community, and it is important to focus on different business processes. The community project selected as the main community involvement activity is related to community involvement and their preferences where the study focus on their civil needs and wants. The report aims to focus on M&amp;S community transformation programme as it aims to deliver public services for fixing the social crisis such as unemployment, mental health and wellbeing etc. It was executed because the citizens in UK face severe issues in terms of poverty, loneliness, and skills lack so M&amp;S consider the community outreach activities. It’s been stated that social environments as well as activities are important for understanding the importance of different functionality, which is necessary to guarantee that all functional areas that are vital for improving productive capacity and the competitive edge of the business organisation (Guillaume et al., 2021). </w:t>
      </w:r>
    </w:p>
    <w:p>
      <w:pPr>
        <w:pStyle w:val="Normal"/>
        <w:rPr>
          <w:rFonts w:ascii="Times New Roman" w:hAnsi="Times New Roman" w:cs="Times New Roman"/>
          <w:sz w:val="24"/>
          <w:szCs w:val="24"/>
        </w:rPr>
      </w:pPr>
      <w:r>
        <w:rPr>
          <w:rFonts w:cs="Times New Roman" w:ascii="Times New Roman" w:hAnsi="Times New Roman"/>
          <w:sz w:val="24"/>
          <w:szCs w:val="24"/>
        </w:rPr>
        <w:t>While conducting an analysis of the project, this research will place an emphasis on having a thorough understanding of community engagement. This study will also place more emphasis on creating the many techniques that are necessary for increasing the degree of community participation. This is one of the most important topics that will be covered in this assignment, as being active on social media will contribute to the development of collaboration that is necessary to increase the overall productivity of the company while improving the quality of production and customer’s engagement. Community involvement activities are also linked to geographical vicinity and specific interests, which will aid individuals in understanding both environmental and behavioural changes (Pullen, Khimeche and Galvin, 2018).</w:t>
      </w:r>
    </w:p>
    <w:p>
      <w:pPr>
        <w:pStyle w:val="Normal"/>
        <w:rPr>
          <w:rFonts w:ascii="Times New Roman" w:hAnsi="Times New Roman" w:cs="Times New Roman"/>
          <w:b/>
          <w:b/>
          <w:i/>
          <w:i/>
          <w:sz w:val="24"/>
          <w:szCs w:val="24"/>
        </w:rPr>
      </w:pPr>
      <w:r>
        <w:rPr>
          <w:rFonts w:cs="Times New Roman" w:ascii="Times New Roman" w:hAnsi="Times New Roman"/>
          <w:b/>
          <w:i/>
          <w:sz w:val="24"/>
          <w:szCs w:val="24"/>
        </w:rPr>
        <w:t>Main Body</w:t>
      </w:r>
    </w:p>
    <w:p>
      <w:pPr>
        <w:pStyle w:val="Normal"/>
        <w:rPr>
          <w:rFonts w:ascii="Times New Roman" w:hAnsi="Times New Roman" w:cs="Times New Roman"/>
          <w:i/>
          <w:i/>
          <w:sz w:val="24"/>
          <w:szCs w:val="24"/>
        </w:rPr>
      </w:pPr>
      <w:r>
        <w:rPr>
          <w:rFonts w:cs="Times New Roman" w:ascii="Times New Roman" w:hAnsi="Times New Roman"/>
          <w:i/>
          <w:sz w:val="24"/>
          <w:szCs w:val="24"/>
        </w:rPr>
        <w:t>Analysis of Organizational Best Practices, Particularly Community Engagement and Stakeholder Involvement</w:t>
      </w:r>
    </w:p>
    <w:p>
      <w:pPr>
        <w:pStyle w:val="Normal"/>
        <w:rPr>
          <w:rFonts w:ascii="Times New Roman" w:hAnsi="Times New Roman" w:cs="Times New Roman"/>
          <w:sz w:val="24"/>
          <w:szCs w:val="24"/>
        </w:rPr>
      </w:pPr>
      <w:r>
        <w:rPr>
          <w:rFonts w:cs="Times New Roman" w:ascii="Times New Roman" w:hAnsi="Times New Roman"/>
          <w:sz w:val="24"/>
          <w:szCs w:val="24"/>
        </w:rPr>
        <w:t>As part of Plan A 2025, Marks &amp; Spencer has announced massive community reform efforts to support 1,000 communities, help 10 million people live happy and healthy lives, and turn the company into a thriving business (Fernández-Villacañas Marín, 2019). The organisational best practices enable the company to work with partners who help communities like local authorities help communities to attain measurable and beneficial change.</w:t>
      </w:r>
    </w:p>
    <w:p>
      <w:pPr>
        <w:pStyle w:val="Normal"/>
        <w:rPr>
          <w:rFonts w:ascii="Times New Roman" w:hAnsi="Times New Roman" w:cs="Times New Roman"/>
          <w:sz w:val="24"/>
          <w:szCs w:val="24"/>
        </w:rPr>
      </w:pPr>
      <w:r>
        <w:rPr>
          <w:rFonts w:cs="Times New Roman" w:ascii="Times New Roman" w:hAnsi="Times New Roman"/>
          <w:sz w:val="24"/>
          <w:szCs w:val="24"/>
        </w:rPr>
        <w:t>For the sake of social prosperity, Marks and Spencer's community change campaign was launched on 'Make it Matter Day,' where the company encourages the UK to use wise approach in every decision. The program was experienced in ten communities for over two years in 2017, and the company tried a series of advanced measures to address the most pressing problems or issues of the community, such as poverty, loneliness, mental health, well-being, skills lack and unemployment (Kratzke and Siegfried, 2021). With Marks &amp; Spencer's announcement of a new community transformation programme in 2017, the success metric be extended to another 100 locations by 2023, and the community togetherness must be spread over approximately 1,000 locations by 2025 (Grelck et al., 2019).</w:t>
      </w:r>
    </w:p>
    <w:p>
      <w:pPr>
        <w:pStyle w:val="Normal"/>
        <w:rPr>
          <w:rFonts w:ascii="Times New Roman" w:hAnsi="Times New Roman" w:cs="Times New Roman"/>
          <w:sz w:val="24"/>
          <w:szCs w:val="24"/>
        </w:rPr>
      </w:pPr>
      <w:r>
        <w:rPr>
          <w:rFonts w:cs="Times New Roman" w:ascii="Times New Roman" w:hAnsi="Times New Roman"/>
          <w:sz w:val="24"/>
          <w:szCs w:val="24"/>
        </w:rPr>
        <w:t>In addition, for almost 133 years, the organization has headed a movement that transforms society and profitable professions and plays a leading role in enabling communities and consumers to lead a healthy and happy life (Rodríguez and Inturias, 2018). Such practices allow the organisation stakeholders, especially the investors and workers witnessing increasing evidence that the community requires help from social service campaigns to accomplish good change through its extensive retail network in the United Kingdom. So M&amp;S’s stakeholders are enthusiastically focusing on it as the firm has examined what the community demands, which are the important concerns such as social inclusion, access to employable skills, and help for mental health difficulties, and they play a critical role in creating a difference in the lives of the community. The firm began with ten communities in order to learn, adapt, and establish an agile methodology that would allow it to service thousands more communities by 2025 (MAK, 2019). Bradford, the London greenbelts of Newham, Liverpool, Birmingham, Glasgow, Derry Londonderry, Middlesbrough, Rochdale, Norwich and Merthyr Tydfil are now part of the mature Marks &amp; Spencer community (Tolk, Harper and Mustafee, 2021). In all of these communities, the company studies programs developed in the region with the primary purpose of improving the well-being of citizens and communities through Social Innovation Partnerships to track and feel part of how citizens feel about their community - their optimism and togetherness to a community (Som and Ram, 2020).</w:t>
      </w:r>
    </w:p>
    <w:p>
      <w:pPr>
        <w:pStyle w:val="Normal"/>
        <w:rPr>
          <w:rFonts w:ascii="Times New Roman" w:hAnsi="Times New Roman" w:cs="Times New Roman"/>
          <w:i/>
          <w:i/>
          <w:color w:val="FF0000"/>
          <w:sz w:val="24"/>
          <w:szCs w:val="24"/>
        </w:rPr>
      </w:pPr>
      <w:r>
        <w:rPr>
          <w:rFonts w:cs="Times New Roman" w:ascii="Times New Roman" w:hAnsi="Times New Roman"/>
          <w:i/>
          <w:sz w:val="24"/>
          <w:szCs w:val="24"/>
        </w:rPr>
        <w:t>Relationship Between the Stakeholders and Strategies Suitable for Engagement</w:t>
      </w:r>
    </w:p>
    <w:p>
      <w:pPr>
        <w:pStyle w:val="Normal"/>
        <w:rPr>
          <w:rFonts w:ascii="Times New Roman" w:hAnsi="Times New Roman" w:cs="Times New Roman"/>
          <w:sz w:val="24"/>
          <w:szCs w:val="24"/>
          <w:highlight w:val="yellow"/>
        </w:rPr>
      </w:pPr>
      <w:r>
        <w:rPr>
          <w:rFonts w:cs="Times New Roman" w:ascii="Times New Roman" w:hAnsi="Times New Roman"/>
          <w:sz w:val="24"/>
          <w:szCs w:val="24"/>
        </w:rPr>
        <w:t>Sustainability is a lofty objective that will need, among other things, a new type of governance and decision-making process involving a vast number of stakeholders (Guillaume et al., 2021). In today's competitive and power-sharing environment, project managers must be efficient not just in project execution but also in ensuring that they enhance their abilities while managing project stakeholders and responding to their ever-changing expectations. According to MAK, (2019), stakeholders are a group of persons who may influence or are influenced by the achievement of the organization's goals.</w:t>
      </w:r>
    </w:p>
    <w:p>
      <w:pPr>
        <w:pStyle w:val="Normal"/>
        <w:rPr>
          <w:rFonts w:ascii="Times New Roman" w:hAnsi="Times New Roman" w:cs="Times New Roman"/>
          <w:sz w:val="24"/>
          <w:szCs w:val="24"/>
        </w:rPr>
      </w:pPr>
      <w:r>
        <w:rPr>
          <w:rFonts w:cs="Times New Roman" w:ascii="Times New Roman" w:hAnsi="Times New Roman"/>
          <w:sz w:val="24"/>
          <w:szCs w:val="24"/>
        </w:rPr>
        <w:t xml:space="preserve">As each project has varied aims and stakeholders, sustainable development will vary correspondingly. As Rodríguez and Inturias, (2018) agrees, there are two types of stakeholders: internal and external stakeholders. Internal stakeholders are those who actively participate in the execution of a project, such as project managers, whereas external stakeholders are those who are impacted by the project, such as investors. Stakeholder management is critical in every strategy formulation and execution process for ensuring sustainability as well as maximum advantages (Fernández-Villacañas Marín, 2019). Furthermore, in order for any plan to be successful, strategic managers must solicit the opinion of the project's stakeholders. Voth, and Sturtevant, (2022) argues that because different stakeholders have varying amounts of investment in strategy creation and implementation, they affect progress to varying degrees of success, indicating that a project cannot exist without stakeholders. </w:t>
      </w:r>
    </w:p>
    <w:p>
      <w:pPr>
        <w:pStyle w:val="Normal"/>
        <w:rPr>
          <w:rFonts w:ascii="Times New Roman" w:hAnsi="Times New Roman" w:cs="Times New Roman"/>
          <w:sz w:val="24"/>
          <w:szCs w:val="24"/>
        </w:rPr>
      </w:pPr>
      <w:r>
        <w:rPr>
          <w:rFonts w:cs="Times New Roman" w:ascii="Times New Roman" w:hAnsi="Times New Roman"/>
          <w:sz w:val="24"/>
          <w:szCs w:val="24"/>
        </w:rPr>
        <w:t xml:space="preserve">The corporation has increased its marketing initiatives on Facebook, Instagram, and Twitter. To handle a digital marketing crisis, the firm collaborated with e-Clincher to manage its social media platforms during a crisis (MAK, 2019). Marks &amp; Spencer's marketing department targets the young adults who faced severe crisis in the context of skills lack and unemployment that ultimately encourages the mental health and wellbeing concerns. M&amp;S primarily uses Instagram as its primary channel for the digital promotion of its products and services because the company have an idea that today youth prefer an Instagram instead of Facebook and Twitter. As a result, a significant amount of money is spent on marketing on Instagram TV. The majority of these social media sites have their own data analytics tools built in, allowing M&amp;S to track the development, performance, and engagement of ad campaigns (Grelck et al., 2019). </w:t>
      </w:r>
    </w:p>
    <w:p>
      <w:pPr>
        <w:pStyle w:val="Normal"/>
        <w:rPr>
          <w:rFonts w:ascii="Times New Roman" w:hAnsi="Times New Roman" w:cs="Times New Roman"/>
          <w:sz w:val="24"/>
          <w:szCs w:val="24"/>
        </w:rPr>
      </w:pPr>
      <w:r>
        <w:rPr>
          <w:rFonts w:cs="Times New Roman" w:ascii="Times New Roman" w:hAnsi="Times New Roman"/>
          <w:sz w:val="24"/>
          <w:szCs w:val="24"/>
        </w:rPr>
        <w:t>According to Som and Ram, (2020), there is no systematic approach to categorise various social media applications. Every day, new websites exist in cyberspace, thus any categorization method must accommodate for any new applications that may emerge. This indicates that social media platforms immensely support the M&amp;S project’s success where the workers utilise their interpersonal skills which encourages the aspect of effective communication and coordination and allow friendly environment (Rodríguez and Inturias, 2018). This endorse that the collaborative projects empower the community engagement where the young adult are motivated with the aspect of collaboration. As M&amp;S end goal IS to construct solid association with the clients, connection with them is important and for these online networking is required in order to support cooperation (Tolk, Harper and Mustafee, 2021).</w:t>
      </w:r>
    </w:p>
    <w:p>
      <w:pPr>
        <w:pStyle w:val="Normal"/>
        <w:rPr>
          <w:rFonts w:ascii="Times New Roman" w:hAnsi="Times New Roman" w:cs="Times New Roman"/>
          <w:i/>
          <w:i/>
          <w:sz w:val="24"/>
          <w:szCs w:val="24"/>
        </w:rPr>
      </w:pPr>
      <w:r>
        <w:rPr>
          <w:rFonts w:cs="Times New Roman" w:ascii="Times New Roman" w:hAnsi="Times New Roman"/>
          <w:i/>
          <w:sz w:val="24"/>
          <w:szCs w:val="24"/>
        </w:rPr>
        <w:t xml:space="preserve">Promote Community Participation, Collaboration, Diversity and Inclusion </w:t>
      </w:r>
    </w:p>
    <w:p>
      <w:pPr>
        <w:pStyle w:val="Normal"/>
        <w:rPr>
          <w:rFonts w:ascii="Times New Roman" w:hAnsi="Times New Roman" w:cs="Times New Roman"/>
          <w:sz w:val="24"/>
          <w:szCs w:val="24"/>
        </w:rPr>
      </w:pPr>
      <w:r>
        <w:rPr>
          <w:rFonts w:cs="Times New Roman" w:ascii="Times New Roman" w:hAnsi="Times New Roman"/>
          <w:sz w:val="24"/>
          <w:szCs w:val="24"/>
        </w:rPr>
        <w:t>Collaboration</w:t>
      </w:r>
    </w:p>
    <w:p>
      <w:pPr>
        <w:pStyle w:val="Normal"/>
        <w:rPr>
          <w:rFonts w:ascii="Times New Roman" w:hAnsi="Times New Roman" w:cs="Times New Roman"/>
          <w:sz w:val="24"/>
          <w:szCs w:val="24"/>
        </w:rPr>
      </w:pPr>
      <w:r>
        <w:rPr>
          <w:rFonts w:cs="Times New Roman" w:ascii="Times New Roman" w:hAnsi="Times New Roman"/>
          <w:sz w:val="24"/>
          <w:szCs w:val="24"/>
        </w:rPr>
        <w:t xml:space="preserve">The Royal British Legion is at the centre of a nationwide network that provides assistance to our Armed Forces community. For almost a century, they have offered assistance to active and former military people, as well as their families. Since 2012, M&amp;S has sold The Poppy Collection (mainly a line of Poppy jewellery), with all proceeds going to charity and shows the effective collaboration for the sake of community welfare (MAK, 2019). M&amp;S has raised almost £9 million to far through Sparks and other initiatives. These contributions enable the Royal British Legion to provide services such as Admiral Nurses, which provide assistance to members of the Armed Forces community living with dementia and their families. Every Remembrance Day, the M&amp;S also invite Royal British Legion volunteers to sell paper poppies in M&amp;S stores (Kratzke and Siegfried, 2021). </w:t>
      </w:r>
      <w:bookmarkStart w:id="0" w:name="_GoBack"/>
      <w:bookmarkEnd w:id="0"/>
    </w:p>
    <w:p>
      <w:pPr>
        <w:pStyle w:val="Normal"/>
        <w:rPr>
          <w:rFonts w:ascii="Times New Roman" w:hAnsi="Times New Roman" w:cs="Times New Roman"/>
          <w:sz w:val="24"/>
          <w:szCs w:val="24"/>
        </w:rPr>
      </w:pPr>
      <w:r>
        <w:rPr>
          <w:rFonts w:cs="Times New Roman" w:ascii="Times New Roman" w:hAnsi="Times New Roman"/>
          <w:sz w:val="24"/>
          <w:szCs w:val="24"/>
        </w:rPr>
        <w:t>Participation</w:t>
      </w:r>
    </w:p>
    <w:p>
      <w:pPr>
        <w:pStyle w:val="Normal"/>
        <w:rPr>
          <w:rFonts w:ascii="Times New Roman" w:hAnsi="Times New Roman" w:cs="Times New Roman"/>
          <w:sz w:val="24"/>
          <w:szCs w:val="24"/>
        </w:rPr>
      </w:pPr>
      <w:r>
        <w:rPr>
          <w:rFonts w:cs="Times New Roman" w:ascii="Times New Roman" w:hAnsi="Times New Roman"/>
          <w:sz w:val="24"/>
          <w:szCs w:val="24"/>
        </w:rPr>
        <w:t>M&amp;S puts an effort for the promotion of participation where they include the following activities:</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CV assistance, interview preparation, career counselling, and job experience for school pass outs (Voth, and Sturtevant, 2022). </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Assist food surplus organisations in purchasing cold bags and funding refrigerators so that they can manage volunteers to hold special events and redistribute fresh food throughout the year. Every year, Marks and Spencer serves around 30000 meals to persons living in poverty and the homeless in ten different sites (Fernández-Villacañas Marín, 2019). </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It organises frazzled cafés for those in need of assistance or who are stressed (Som and Ram, 2020). </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The firm gives assistance to youngsters in their first year of school, including around 10,000 pairs of plimsolls (Pullen, Khimeche and Galvin, 2018).</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Employee volunteering - Over the next 10 days, the officers will donate their time to more than 700 local community initiatives around the United Kingdom (Guillaume et al., 2021). </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A proposal to create one of the largest friendship groups in the area to combat isolation and loneliness by bringing customers, locals, and staff together through activities at Marks &amp; Spencer shops such as tea parties, a volunteer network phone pals, and walking clubs (Rodríguez and Inturias, 2018). </w:t>
      </w:r>
    </w:p>
    <w:p>
      <w:pPr>
        <w:pStyle w:val="Normal"/>
        <w:rPr>
          <w:rFonts w:ascii="Times New Roman" w:hAnsi="Times New Roman" w:cs="Times New Roman"/>
          <w:sz w:val="24"/>
          <w:szCs w:val="24"/>
        </w:rPr>
      </w:pPr>
      <w:r>
        <w:rPr>
          <w:rFonts w:cs="Times New Roman" w:ascii="Times New Roman" w:hAnsi="Times New Roman"/>
          <w:sz w:val="24"/>
          <w:szCs w:val="24"/>
        </w:rPr>
        <w:t xml:space="preserve">Diversion and Inclusion </w:t>
      </w:r>
    </w:p>
    <w:p>
      <w:pPr>
        <w:pStyle w:val="Normal"/>
        <w:rPr>
          <w:rFonts w:ascii="Times New Roman" w:hAnsi="Times New Roman" w:cs="Times New Roman"/>
          <w:sz w:val="24"/>
          <w:szCs w:val="24"/>
          <w:highlight w:val="yellow"/>
        </w:rPr>
      </w:pPr>
      <w:r>
        <w:rPr>
          <w:rFonts w:cs="Times New Roman" w:ascii="Times New Roman" w:hAnsi="Times New Roman"/>
          <w:sz w:val="24"/>
          <w:szCs w:val="24"/>
        </w:rPr>
        <w:t xml:space="preserve">M&amp;S puts an effort for the promotion of diversion and inclusion as the plan include the recruitment of people from different backgrounds having different languages and cultural values (Grelck et al., 2019). The incorporation of people from different cultures allow the M&amp;S to advance their organisational dynamics and it ultimately motivates the community engagement and development in terms of the skills enhancement and employment opportunities and also benefit for locals in England's seven communities (Tolk, Harper and Mustafee, 2021). </w:t>
      </w:r>
    </w:p>
    <w:p>
      <w:pPr>
        <w:pStyle w:val="Normal"/>
        <w:rPr>
          <w:rFonts w:ascii="Times New Roman" w:hAnsi="Times New Roman" w:cs="Times New Roman"/>
          <w:i/>
          <w:i/>
          <w:sz w:val="24"/>
          <w:szCs w:val="24"/>
        </w:rPr>
      </w:pPr>
      <w:r>
        <w:rPr>
          <w:rFonts w:cs="Times New Roman" w:ascii="Times New Roman" w:hAnsi="Times New Roman"/>
          <w:i/>
          <w:sz w:val="24"/>
          <w:szCs w:val="24"/>
        </w:rPr>
        <w:t>Community Engagement Practitioners Must Take a Forward-Looking Approach to Internal and External Factors Influencing Community Development</w:t>
      </w:r>
    </w:p>
    <w:p>
      <w:pPr>
        <w:pStyle w:val="Normal"/>
        <w:rPr>
          <w:rFonts w:ascii="Times New Roman" w:hAnsi="Times New Roman" w:cs="Times New Roman"/>
          <w:sz w:val="24"/>
          <w:szCs w:val="24"/>
        </w:rPr>
      </w:pPr>
      <w:r>
        <w:rPr>
          <w:rFonts w:cs="Times New Roman" w:ascii="Times New Roman" w:hAnsi="Times New Roman"/>
          <w:sz w:val="24"/>
          <w:szCs w:val="24"/>
        </w:rPr>
        <w:t>Community Engagement can be defined as the process by which people look for a place to work together in managing business activities that brings together groups of people from different geographic vicinity, which will help to understand people's specific interests when solving various problems that are necessary for the protection of human well-being (Pullen, Khimeche and Galvin, 2018). In other circumstances, community participation is seen as a necessary tool for comprehending behavioural and environmental changes that tend to impact organisational operations and, as a result, limit the efficacy of social programmes. The internal and external factors influencing the community development are human elements, social factors, environment and geography, and resources.</w:t>
      </w:r>
      <w:r>
        <w:rPr/>
        <w:t xml:space="preserve"> </w:t>
      </w:r>
      <w:r>
        <w:rPr>
          <w:rFonts w:cs="Times New Roman" w:ascii="Times New Roman" w:hAnsi="Times New Roman"/>
          <w:sz w:val="24"/>
          <w:szCs w:val="24"/>
        </w:rPr>
        <w:t xml:space="preserve">The most pressing problems or issues of the community, such as poverty, food wastage, sustainability problems immensely becoming the hurdle. The 2025 goal of community engagement practitioners is to support 1000 communities, become a zero-waste business, and help 10 million people live healthier and happier lives (Voth, and Sturtevant, 2022). The community engagement practitioners adopted the forward looking approach and develop the company's new commitments: </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By 2022, all of the company's packaging will be extensively recyclable (Grelck et al., 2019). </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By 2022, healthy items will account for at least half of all business food sales worldwide (Tolk, Harper and Mustafee, 2021). </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Assisting Marks &amp; Spencer executive staff throughout the world in administering 1 million hours of their work time in community volunteering between 2017 and 2025 (Guillaume et al., 2021). </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Cut food waste in half by 2025 (Kratzke and Siegfried, 2021). </w:t>
      </w:r>
    </w:p>
    <w:p>
      <w:pPr>
        <w:pStyle w:val="Normal"/>
        <w:rPr>
          <w:rFonts w:ascii="Times New Roman" w:hAnsi="Times New Roman" w:cs="Times New Roman"/>
          <w:sz w:val="24"/>
          <w:szCs w:val="24"/>
          <w:highlight w:val="yellow"/>
        </w:rPr>
      </w:pPr>
      <w:r>
        <w:rPr>
          <w:rFonts w:cs="Times New Roman" w:ascii="Times New Roman" w:hAnsi="Times New Roman"/>
          <w:sz w:val="24"/>
          <w:szCs w:val="24"/>
        </w:rPr>
        <w:t xml:space="preserve">• </w:t>
      </w:r>
      <w:r>
        <w:rPr>
          <w:rFonts w:cs="Times New Roman" w:ascii="Times New Roman" w:hAnsi="Times New Roman"/>
          <w:sz w:val="24"/>
          <w:szCs w:val="24"/>
        </w:rPr>
        <w:t xml:space="preserve">By 2025, all of the company's primary raw materials will be obtained from sustainable sources (Som and Ram, 2020).  </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Assisting in the collection of 25 million pounds for charities addressing mental health challenges, heart disease, dementia, loneliness, and cancer by 2025 (Fernández-Villacañas Marín, 2019). </w:t>
      </w:r>
    </w:p>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By 2030, the company's greenhouse gas emissions will be decreased by 80% in its activities, and emissions in the supply chain will be reduced by 13.3 million tonnes (Pullen, Khimeche and Galvin, 2018). </w:t>
      </w:r>
    </w:p>
    <w:p>
      <w:pPr>
        <w:pStyle w:val="Normal"/>
        <w:rPr>
          <w:rFonts w:ascii="Times New Roman" w:hAnsi="Times New Roman" w:cs="Times New Roman"/>
          <w:sz w:val="24"/>
          <w:szCs w:val="24"/>
        </w:rPr>
      </w:pPr>
      <w:r>
        <w:rPr>
          <w:rFonts w:cs="Times New Roman" w:ascii="Times New Roman" w:hAnsi="Times New Roman"/>
          <w:sz w:val="24"/>
          <w:szCs w:val="24"/>
        </w:rPr>
        <w:t>Marks &amp; Spencer announced in June the progress made in the implementation of Plan A 2025, commitments confirmed by independent auditors and the Marks &amp; Spencer audit team (Voth, and Sturtevant, 2022), where the community engagement practitioners are enthusiastically focusing to predict that M&amp;S make favourable efforts for the community development like appropriate restructurings, prosperity and other fundamental needs.</w:t>
      </w:r>
    </w:p>
    <w:p>
      <w:pPr>
        <w:pStyle w:val="Normal"/>
        <w:rPr>
          <w:rFonts w:ascii="Times New Roman" w:hAnsi="Times New Roman" w:cs="Times New Roman"/>
          <w:b/>
          <w:b/>
          <w:i/>
          <w:i/>
          <w:sz w:val="24"/>
          <w:szCs w:val="24"/>
        </w:rPr>
      </w:pPr>
      <w:r>
        <w:rPr>
          <w:rFonts w:cs="Times New Roman" w:ascii="Times New Roman" w:hAnsi="Times New Roman"/>
          <w:b/>
          <w:i/>
          <w:sz w:val="24"/>
          <w:szCs w:val="24"/>
        </w:rPr>
        <w:t>Conclusion</w:t>
      </w:r>
    </w:p>
    <w:p>
      <w:pPr>
        <w:pStyle w:val="Normal"/>
        <w:rPr>
          <w:rFonts w:ascii="Times New Roman" w:hAnsi="Times New Roman" w:cs="Times New Roman"/>
          <w:sz w:val="24"/>
          <w:szCs w:val="24"/>
        </w:rPr>
      </w:pPr>
      <w:r>
        <w:rPr>
          <w:rFonts w:cs="Times New Roman" w:ascii="Times New Roman" w:hAnsi="Times New Roman"/>
          <w:sz w:val="24"/>
          <w:szCs w:val="24"/>
        </w:rPr>
        <w:t>Community engagement is the process of working with different groups of people, usually close to the same place, with special interests or in similar circumstances, in order to address the general well-being of these people. Community participation is a strong and necessary strategy because it provides insight into behavioural and environmental changes with the goal of enhancing community members' overall health and living standards. It collaborates with various partners and coalitions to influence change and resource mobilisation, as well as to transform partner relationships and act as a catalyst for policy and programme reforms. The goal of community involvement is to help people develop and improve their abilities while also participating to the organization's operations. It had also been noted that public consultation is related to various collaborative and partnership activities that are important for fundraising and often affect the overall performance of the organization.</w:t>
      </w:r>
    </w:p>
    <w:p>
      <w:pPr>
        <w:pStyle w:val="Normal"/>
        <w:rPr>
          <w:rFonts w:ascii="Times New Roman" w:hAnsi="Times New Roman" w:cs="Times New Roman"/>
          <w:sz w:val="24"/>
          <w:szCs w:val="24"/>
        </w:rPr>
      </w:pPr>
      <w:r>
        <w:rPr>
          <w:rFonts w:cs="Times New Roman" w:ascii="Times New Roman" w:hAnsi="Times New Roman"/>
          <w:sz w:val="24"/>
          <w:szCs w:val="24"/>
        </w:rPr>
      </w:r>
      <w:r>
        <w:br w:type="page"/>
      </w:r>
    </w:p>
    <w:p>
      <w:pPr>
        <w:pStyle w:val="Normal"/>
        <w:jc w:val="center"/>
        <w:rPr>
          <w:rFonts w:ascii="Times New Roman" w:hAnsi="Times New Roman" w:cs="Times New Roman"/>
          <w:sz w:val="24"/>
          <w:szCs w:val="24"/>
        </w:rPr>
      </w:pPr>
      <w:r>
        <w:rPr>
          <w:rFonts w:cs="Times New Roman" w:ascii="Times New Roman" w:hAnsi="Times New Roman"/>
          <w:b/>
          <w:i/>
          <w:sz w:val="24"/>
          <w:szCs w:val="24"/>
        </w:rPr>
        <w:t>References</w:t>
      </w:r>
    </w:p>
    <w:p>
      <w:pPr>
        <w:pStyle w:val="Normal"/>
        <w:ind w:left="720" w:hanging="720"/>
        <w:rPr>
          <w:rFonts w:ascii="Times New Roman" w:hAnsi="Times New Roman" w:cs="Times New Roman"/>
          <w:sz w:val="24"/>
          <w:szCs w:val="24"/>
        </w:rPr>
      </w:pPr>
      <w:r>
        <w:rPr>
          <w:rFonts w:cs="Times New Roman" w:ascii="Times New Roman" w:hAnsi="Times New Roman"/>
          <w:sz w:val="24"/>
          <w:szCs w:val="24"/>
        </w:rPr>
        <w:t>Fernández-Villacañas Marín, M.A., 2019, December. The Transformation of the Modelling &amp; Simulation of Systems for the Training of the CAF: Design Requirements and New Functionalities. In </w:t>
      </w:r>
      <w:r>
        <w:rPr>
          <w:rFonts w:cs="Times New Roman" w:ascii="Times New Roman" w:hAnsi="Times New Roman"/>
          <w:i/>
          <w:iCs/>
          <w:sz w:val="24"/>
          <w:szCs w:val="24"/>
        </w:rPr>
        <w:t>International Conference on Applied Technologies</w:t>
      </w:r>
      <w:r>
        <w:rPr>
          <w:rFonts w:cs="Times New Roman" w:ascii="Times New Roman" w:hAnsi="Times New Roman"/>
          <w:sz w:val="24"/>
          <w:szCs w:val="24"/>
        </w:rPr>
        <w:t> (pp. 325-339). Springer, Cham.</w:t>
      </w:r>
    </w:p>
    <w:p>
      <w:pPr>
        <w:pStyle w:val="Normal"/>
        <w:ind w:left="720" w:hanging="720"/>
        <w:rPr>
          <w:rFonts w:ascii="Times New Roman" w:hAnsi="Times New Roman" w:cs="Times New Roman"/>
          <w:sz w:val="24"/>
          <w:szCs w:val="24"/>
        </w:rPr>
      </w:pPr>
      <w:r>
        <w:rPr>
          <w:rFonts w:cs="Times New Roman" w:ascii="Times New Roman" w:hAnsi="Times New Roman"/>
          <w:sz w:val="24"/>
          <w:szCs w:val="24"/>
        </w:rPr>
        <w:t>Grelck, C., Niewiadomska-Szynkiewicz, E., Aldinucci, M., Bracciali, A. and Larsson, E., 2019. Why high-performance modelling and simulation for big data applications matters. In </w:t>
      </w:r>
      <w:r>
        <w:rPr>
          <w:rFonts w:cs="Times New Roman" w:ascii="Times New Roman" w:hAnsi="Times New Roman"/>
          <w:i/>
          <w:iCs/>
          <w:sz w:val="24"/>
          <w:szCs w:val="24"/>
        </w:rPr>
        <w:t>High-Performance Modelling and Simulation for Big Data Applications</w:t>
      </w:r>
      <w:r>
        <w:rPr>
          <w:rFonts w:cs="Times New Roman" w:ascii="Times New Roman" w:hAnsi="Times New Roman"/>
          <w:sz w:val="24"/>
          <w:szCs w:val="24"/>
        </w:rPr>
        <w:t> (pp. 1-35). Springer, Cham.</w:t>
      </w:r>
    </w:p>
    <w:p>
      <w:pPr>
        <w:pStyle w:val="Normal"/>
        <w:ind w:left="720" w:hanging="720"/>
        <w:rPr>
          <w:rFonts w:ascii="Times New Roman" w:hAnsi="Times New Roman" w:cs="Times New Roman"/>
          <w:sz w:val="24"/>
          <w:szCs w:val="24"/>
        </w:rPr>
      </w:pPr>
      <w:r>
        <w:rPr>
          <w:rFonts w:cs="Times New Roman" w:ascii="Times New Roman" w:hAnsi="Times New Roman"/>
          <w:sz w:val="24"/>
          <w:szCs w:val="24"/>
        </w:rPr>
        <w:t>Guillaume, L.P., Thiesse, C., Delmas, C., Folco, C. and Goglio-Primard, K., 2021. Schneider Electric is Steering its Communities of Practice with the Communities@ Work Program. In </w:t>
      </w:r>
      <w:r>
        <w:rPr>
          <w:rFonts w:cs="Times New Roman" w:ascii="Times New Roman" w:hAnsi="Times New Roman"/>
          <w:i/>
          <w:iCs/>
          <w:sz w:val="24"/>
          <w:szCs w:val="24"/>
        </w:rPr>
        <w:t>COMMUNITIES OF INNOVATION: How Organizations Harness Collective Creativity and Build Resilience</w:t>
      </w:r>
      <w:r>
        <w:rPr>
          <w:rFonts w:cs="Times New Roman" w:ascii="Times New Roman" w:hAnsi="Times New Roman"/>
          <w:sz w:val="24"/>
          <w:szCs w:val="24"/>
        </w:rPr>
        <w:t> (pp. 69-92).</w:t>
      </w:r>
    </w:p>
    <w:p>
      <w:pPr>
        <w:pStyle w:val="Normal"/>
        <w:ind w:left="720" w:hanging="720"/>
        <w:rPr>
          <w:rFonts w:ascii="Times New Roman" w:hAnsi="Times New Roman" w:cs="Times New Roman"/>
          <w:sz w:val="24"/>
          <w:szCs w:val="24"/>
        </w:rPr>
      </w:pPr>
      <w:r>
        <w:rPr>
          <w:rFonts w:cs="Times New Roman" w:ascii="Times New Roman" w:hAnsi="Times New Roman"/>
          <w:sz w:val="24"/>
          <w:szCs w:val="24"/>
        </w:rPr>
        <w:t>Kratzke, N. and Siegfried, R., 2021. Towards cloud-native simulations–lessons learned from the front-line of cloud computing. </w:t>
      </w:r>
      <w:r>
        <w:rPr>
          <w:rFonts w:cs="Times New Roman" w:ascii="Times New Roman" w:hAnsi="Times New Roman"/>
          <w:i/>
          <w:iCs/>
          <w:sz w:val="24"/>
          <w:szCs w:val="24"/>
        </w:rPr>
        <w:t>The Journal of Defense Modeling and Simulation</w:t>
      </w:r>
      <w:r>
        <w:rPr>
          <w:rFonts w:cs="Times New Roman" w:ascii="Times New Roman" w:hAnsi="Times New Roman"/>
          <w:sz w:val="24"/>
          <w:szCs w:val="24"/>
        </w:rPr>
        <w:t>, </w:t>
      </w:r>
      <w:r>
        <w:rPr>
          <w:rFonts w:cs="Times New Roman" w:ascii="Times New Roman" w:hAnsi="Times New Roman"/>
          <w:i/>
          <w:iCs/>
          <w:sz w:val="24"/>
          <w:szCs w:val="24"/>
        </w:rPr>
        <w:t>18</w:t>
      </w:r>
      <w:r>
        <w:rPr>
          <w:rFonts w:cs="Times New Roman" w:ascii="Times New Roman" w:hAnsi="Times New Roman"/>
          <w:sz w:val="24"/>
          <w:szCs w:val="24"/>
        </w:rPr>
        <w:t>(1), pp.39-58.</w:t>
      </w:r>
    </w:p>
    <w:p>
      <w:pPr>
        <w:pStyle w:val="Normal"/>
        <w:ind w:left="720" w:hanging="720"/>
        <w:rPr>
          <w:rFonts w:ascii="Times New Roman" w:hAnsi="Times New Roman" w:cs="Times New Roman"/>
          <w:sz w:val="24"/>
          <w:szCs w:val="24"/>
        </w:rPr>
      </w:pPr>
      <w:r>
        <w:rPr>
          <w:rFonts w:cs="Times New Roman" w:ascii="Times New Roman" w:hAnsi="Times New Roman"/>
          <w:sz w:val="24"/>
          <w:szCs w:val="24"/>
        </w:rPr>
        <w:t>MAK, V., 2019. Command and Control System to Simulation System Interoperation: Development of the C2SIM Standard.</w:t>
      </w:r>
    </w:p>
    <w:p>
      <w:pPr>
        <w:pStyle w:val="Normal"/>
        <w:ind w:left="720" w:hanging="720"/>
        <w:rPr>
          <w:rFonts w:ascii="Times New Roman" w:hAnsi="Times New Roman" w:cs="Times New Roman"/>
          <w:sz w:val="24"/>
          <w:szCs w:val="24"/>
        </w:rPr>
      </w:pPr>
      <w:r>
        <w:rPr>
          <w:rFonts w:cs="Times New Roman" w:ascii="Times New Roman" w:hAnsi="Times New Roman"/>
          <w:sz w:val="24"/>
          <w:szCs w:val="24"/>
        </w:rPr>
        <w:t>Pullen, J.M., Khimeche, L. and Galvin, K., 2018. C2SIM in CWIX: Distributed Development and Testing for Multinational Interoperability. </w:t>
      </w:r>
      <w:r>
        <w:rPr>
          <w:rFonts w:cs="Times New Roman" w:ascii="Times New Roman" w:hAnsi="Times New Roman"/>
          <w:i/>
          <w:iCs/>
          <w:sz w:val="24"/>
          <w:szCs w:val="24"/>
        </w:rPr>
        <w:t>NATO Modelling and Simulation Group Simposium 2018</w:t>
      </w:r>
      <w:r>
        <w:rPr>
          <w:rFonts w:cs="Times New Roman" w:ascii="Times New Roman" w:hAnsi="Times New Roman"/>
          <w:sz w:val="24"/>
          <w:szCs w:val="24"/>
        </w:rPr>
        <w:t>.</w:t>
      </w:r>
    </w:p>
    <w:p>
      <w:pPr>
        <w:pStyle w:val="Normal"/>
        <w:ind w:left="720" w:hanging="720"/>
        <w:rPr>
          <w:rFonts w:ascii="Times New Roman" w:hAnsi="Times New Roman" w:cs="Times New Roman"/>
          <w:sz w:val="24"/>
          <w:szCs w:val="24"/>
        </w:rPr>
      </w:pPr>
      <w:r>
        <w:rPr>
          <w:rFonts w:cs="Times New Roman" w:ascii="Times New Roman" w:hAnsi="Times New Roman"/>
          <w:sz w:val="24"/>
          <w:szCs w:val="24"/>
        </w:rPr>
        <w:t>Rodríguez, I. and Inturias, M.L., 2018. Conflict transformation in indigenous peoples’ territories: doing environmental justice with a ‘decolonial turn’. </w:t>
      </w:r>
      <w:r>
        <w:rPr>
          <w:rFonts w:cs="Times New Roman" w:ascii="Times New Roman" w:hAnsi="Times New Roman"/>
          <w:i/>
          <w:iCs/>
          <w:sz w:val="24"/>
          <w:szCs w:val="24"/>
        </w:rPr>
        <w:t>Development Studies Research</w:t>
      </w:r>
      <w:r>
        <w:rPr>
          <w:rFonts w:cs="Times New Roman" w:ascii="Times New Roman" w:hAnsi="Times New Roman"/>
          <w:sz w:val="24"/>
          <w:szCs w:val="24"/>
        </w:rPr>
        <w:t>, </w:t>
      </w:r>
      <w:r>
        <w:rPr>
          <w:rFonts w:cs="Times New Roman" w:ascii="Times New Roman" w:hAnsi="Times New Roman"/>
          <w:i/>
          <w:iCs/>
          <w:sz w:val="24"/>
          <w:szCs w:val="24"/>
        </w:rPr>
        <w:t>5</w:t>
      </w:r>
      <w:r>
        <w:rPr>
          <w:rFonts w:cs="Times New Roman" w:ascii="Times New Roman" w:hAnsi="Times New Roman"/>
          <w:sz w:val="24"/>
          <w:szCs w:val="24"/>
        </w:rPr>
        <w:t>(1), pp.90-105.</w:t>
      </w:r>
    </w:p>
    <w:p>
      <w:pPr>
        <w:pStyle w:val="Normal"/>
        <w:ind w:left="720" w:hanging="720"/>
        <w:rPr>
          <w:rFonts w:ascii="Times New Roman" w:hAnsi="Times New Roman" w:cs="Times New Roman"/>
          <w:sz w:val="24"/>
          <w:szCs w:val="24"/>
        </w:rPr>
      </w:pPr>
      <w:r>
        <w:rPr>
          <w:rFonts w:cs="Times New Roman" w:ascii="Times New Roman" w:hAnsi="Times New Roman"/>
          <w:sz w:val="24"/>
          <w:szCs w:val="24"/>
        </w:rPr>
        <w:t>Som, S. and Ram, V., 2020. The inverted bank: How platforming helps exploit ecosystems. </w:t>
      </w:r>
      <w:r>
        <w:rPr>
          <w:rFonts w:cs="Times New Roman" w:ascii="Times New Roman" w:hAnsi="Times New Roman"/>
          <w:i/>
          <w:iCs/>
          <w:sz w:val="24"/>
          <w:szCs w:val="24"/>
        </w:rPr>
        <w:t>Journal of Digital Banking</w:t>
      </w:r>
      <w:r>
        <w:rPr>
          <w:rFonts w:cs="Times New Roman" w:ascii="Times New Roman" w:hAnsi="Times New Roman"/>
          <w:sz w:val="24"/>
          <w:szCs w:val="24"/>
        </w:rPr>
        <w:t>, </w:t>
      </w:r>
      <w:r>
        <w:rPr>
          <w:rFonts w:cs="Times New Roman" w:ascii="Times New Roman" w:hAnsi="Times New Roman"/>
          <w:i/>
          <w:iCs/>
          <w:sz w:val="24"/>
          <w:szCs w:val="24"/>
        </w:rPr>
        <w:t>5</w:t>
      </w:r>
      <w:r>
        <w:rPr>
          <w:rFonts w:cs="Times New Roman" w:ascii="Times New Roman" w:hAnsi="Times New Roman"/>
          <w:sz w:val="24"/>
          <w:szCs w:val="24"/>
        </w:rPr>
        <w:t>(1), pp.83-93.</w:t>
      </w:r>
    </w:p>
    <w:p>
      <w:pPr>
        <w:pStyle w:val="Normal"/>
        <w:ind w:left="720" w:hanging="720"/>
        <w:rPr>
          <w:rFonts w:ascii="Times New Roman" w:hAnsi="Times New Roman" w:cs="Times New Roman"/>
          <w:sz w:val="24"/>
          <w:szCs w:val="24"/>
        </w:rPr>
      </w:pPr>
      <w:r>
        <w:rPr>
          <w:rFonts w:cs="Times New Roman" w:ascii="Times New Roman" w:hAnsi="Times New Roman"/>
          <w:sz w:val="24"/>
          <w:szCs w:val="24"/>
        </w:rPr>
        <w:t>Tolk, A., Harper, A. and Mustafee, N., 2021. Hybrid models as transdisciplinary research enablers. </w:t>
      </w:r>
      <w:r>
        <w:rPr>
          <w:rFonts w:cs="Times New Roman" w:ascii="Times New Roman" w:hAnsi="Times New Roman"/>
          <w:i/>
          <w:iCs/>
          <w:sz w:val="24"/>
          <w:szCs w:val="24"/>
        </w:rPr>
        <w:t>European Journal of Operational Research</w:t>
      </w:r>
      <w:r>
        <w:rPr>
          <w:rFonts w:cs="Times New Roman" w:ascii="Times New Roman" w:hAnsi="Times New Roman"/>
          <w:sz w:val="24"/>
          <w:szCs w:val="24"/>
        </w:rPr>
        <w:t>, </w:t>
      </w:r>
      <w:r>
        <w:rPr>
          <w:rFonts w:cs="Times New Roman" w:ascii="Times New Roman" w:hAnsi="Times New Roman"/>
          <w:i/>
          <w:iCs/>
          <w:sz w:val="24"/>
          <w:szCs w:val="24"/>
        </w:rPr>
        <w:t>291</w:t>
      </w:r>
      <w:r>
        <w:rPr>
          <w:rFonts w:cs="Times New Roman" w:ascii="Times New Roman" w:hAnsi="Times New Roman"/>
          <w:sz w:val="24"/>
          <w:szCs w:val="24"/>
        </w:rPr>
        <w:t>(3), pp.1075-1090.</w:t>
      </w:r>
    </w:p>
    <w:p>
      <w:pPr>
        <w:pStyle w:val="Normal"/>
        <w:spacing w:before="0" w:after="160"/>
        <w:ind w:left="720" w:hanging="720"/>
        <w:rPr>
          <w:rFonts w:ascii="Times New Roman" w:hAnsi="Times New Roman" w:cs="Times New Roman"/>
          <w:sz w:val="24"/>
          <w:szCs w:val="24"/>
        </w:rPr>
      </w:pPr>
      <w:r>
        <w:rPr>
          <w:rFonts w:cs="Times New Roman" w:ascii="Times New Roman" w:hAnsi="Times New Roman"/>
          <w:sz w:val="24"/>
          <w:szCs w:val="24"/>
        </w:rPr>
        <w:t>Voth, J.M. and Sturtevant, G.H., 2022. Digital engineering: expanding the advantage. </w:t>
      </w:r>
      <w:r>
        <w:rPr>
          <w:rFonts w:cs="Times New Roman" w:ascii="Times New Roman" w:hAnsi="Times New Roman"/>
          <w:i/>
          <w:iCs/>
          <w:sz w:val="24"/>
          <w:szCs w:val="24"/>
        </w:rPr>
        <w:t>Journal of Marine Engineering &amp; Technology</w:t>
      </w:r>
      <w:r>
        <w:rPr>
          <w:rFonts w:cs="Times New Roman" w:ascii="Times New Roman" w:hAnsi="Times New Roman"/>
          <w:sz w:val="24"/>
          <w:szCs w:val="24"/>
        </w:rPr>
        <w:t>, pp.1-9.</w:t>
      </w:r>
    </w:p>
    <w:sectPr>
      <w:headerReference w:type="default" r:id="rId2"/>
      <w:type w:val="nextPage"/>
      <w:pgSz w:w="12240" w:h="15840"/>
      <w:pgMar w:left="1440" w:right="1440" w:gutter="0" w:header="1440" w:top="6006"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color w:val="000000"/>
        <w:sz w:val="24"/>
        <w:szCs w:val="24"/>
      </w:rPr>
    </w:pPr>
    <w:r>
      <w:rPr>
        <w:b/>
        <w:bCs/>
        <w:color w:val="000000"/>
        <w:sz w:val="24"/>
        <w:szCs w:val="24"/>
      </w:rPr>
      <w:t>STUDENT NAME: SAJOR BAKAR JALLOH</w:t>
    </w:r>
  </w:p>
  <w:p>
    <w:pPr>
      <w:pStyle w:val="Header"/>
      <w:rPr>
        <w:rFonts w:ascii="Calibri" w:hAnsi="Calibri"/>
        <w:b/>
        <w:b/>
        <w:bCs/>
        <w:color w:val="000000"/>
        <w:sz w:val="24"/>
        <w:szCs w:val="24"/>
      </w:rPr>
    </w:pPr>
    <w:r>
      <w:rPr>
        <w:b/>
        <w:bCs/>
        <w:color w:val="000000"/>
        <w:sz w:val="24"/>
        <w:szCs w:val="24"/>
      </w:rPr>
    </w:r>
  </w:p>
  <w:p>
    <w:pPr>
      <w:pStyle w:val="Header"/>
      <w:rPr>
        <w:rFonts w:ascii="Calibri" w:hAnsi="Calibri"/>
        <w:b/>
        <w:b/>
        <w:bCs/>
        <w:color w:val="000000"/>
        <w:sz w:val="24"/>
        <w:szCs w:val="24"/>
      </w:rPr>
    </w:pPr>
    <w:r>
      <w:rPr>
        <w:b/>
        <w:bCs/>
        <w:color w:val="000000"/>
        <w:sz w:val="24"/>
        <w:szCs w:val="24"/>
      </w:rPr>
      <w:t>STUDENT REFERENCE NUMBER: 1920818</w:t>
    </w:r>
  </w:p>
  <w:p>
    <w:pPr>
      <w:pStyle w:val="Header"/>
      <w:rPr>
        <w:rFonts w:ascii="Calibri" w:hAnsi="Calibri"/>
        <w:b/>
        <w:b/>
        <w:bCs/>
        <w:color w:val="000000"/>
        <w:sz w:val="24"/>
        <w:szCs w:val="24"/>
      </w:rPr>
    </w:pPr>
    <w:r>
      <w:rPr>
        <w:b/>
        <w:bCs/>
        <w:color w:val="000000"/>
        <w:sz w:val="24"/>
        <w:szCs w:val="24"/>
      </w:rPr>
    </w:r>
  </w:p>
  <w:p>
    <w:pPr>
      <w:pStyle w:val="Header"/>
      <w:rPr>
        <w:rFonts w:ascii="Calibri" w:hAnsi="Calibri"/>
        <w:b/>
        <w:b/>
        <w:bCs/>
        <w:color w:val="000000"/>
        <w:sz w:val="24"/>
        <w:szCs w:val="24"/>
      </w:rPr>
    </w:pPr>
    <w:r>
      <w:rPr>
        <w:b/>
        <w:bCs/>
        <w:color w:val="000000"/>
        <w:sz w:val="24"/>
        <w:szCs w:val="24"/>
      </w:rPr>
      <w:t xml:space="preserve">COURSE: </w:t>
    </w:r>
    <w:r>
      <w:rPr>
        <w:b/>
        <w:bCs/>
        <w:color w:val="000000"/>
        <w:sz w:val="24"/>
        <w:szCs w:val="24"/>
      </w:rPr>
      <w:t>COMMUNITY ENGAGMENT</w:t>
    </w:r>
  </w:p>
  <w:p>
    <w:pPr>
      <w:pStyle w:val="Header"/>
      <w:rPr>
        <w:rFonts w:ascii="Calibri" w:hAnsi="Calibri"/>
        <w:b/>
        <w:b/>
        <w:bCs/>
        <w:color w:val="000000"/>
        <w:sz w:val="24"/>
        <w:szCs w:val="24"/>
      </w:rPr>
    </w:pPr>
    <w:r>
      <w:rPr>
        <w:b/>
        <w:bCs/>
        <w:color w:val="000000"/>
        <w:sz w:val="24"/>
        <w:szCs w:val="24"/>
      </w:rPr>
    </w:r>
  </w:p>
  <w:p>
    <w:pPr>
      <w:pStyle w:val="Header"/>
      <w:rPr>
        <w:rFonts w:ascii="Calibri" w:hAnsi="Calibri"/>
        <w:b/>
        <w:b/>
        <w:bCs/>
        <w:color w:val="000000"/>
        <w:sz w:val="24"/>
        <w:szCs w:val="24"/>
      </w:rPr>
    </w:pPr>
    <w:r>
      <w:rPr>
        <w:b/>
        <w:bCs/>
        <w:color w:val="000000"/>
        <w:sz w:val="24"/>
        <w:szCs w:val="24"/>
      </w:rPr>
      <w:t xml:space="preserve">LECTURE: </w:t>
    </w:r>
    <w:r>
      <w:rPr>
        <w:b/>
        <w:bCs/>
        <w:i w:val="false"/>
        <w:caps w:val="false"/>
        <w:smallCaps w:val="false"/>
        <w:color w:val="000000"/>
        <w:spacing w:val="0"/>
        <w:sz w:val="24"/>
        <w:szCs w:val="24"/>
      </w:rPr>
      <w:t>Dr, FAIZU EDU</w:t>
    </w:r>
    <w:r>
      <w:rPr>
        <w:b/>
        <w:bCs/>
        <w:color w:val="000000"/>
        <w:sz w:val="24"/>
        <w:szCs w:val="24"/>
      </w:rPr>
      <w:t xml:space="preserve"> </w:t>
    </w:r>
  </w:p>
  <w:p>
    <w:pPr>
      <w:pStyle w:val="Normal"/>
      <w:rPr>
        <w:rFonts w:ascii="Calibri" w:hAnsi="Calibri"/>
        <w:color w:val="000000"/>
        <w:sz w:val="24"/>
        <w:szCs w:val="24"/>
      </w:rPr>
    </w:pPr>
    <w:r>
      <w:rPr>
        <w:color w:val="000000"/>
        <w:sz w:val="24"/>
        <w:szCs w:val="24"/>
      </w:rPr>
    </w:r>
  </w:p>
  <w:p>
    <w:pPr>
      <w:pStyle w:val="Normal"/>
      <w:spacing w:before="0" w:after="160"/>
      <w:rPr>
        <w:color w:val="000000"/>
        <w:sz w:val="24"/>
        <w:szCs w:val="24"/>
      </w:rPr>
    </w:pPr>
    <w:r>
      <w:rPr>
        <w:color w:val="000000"/>
        <w:sz w:val="24"/>
        <w:szCs w:val="24"/>
      </w:rPr>
    </w:r>
  </w:p>
</w:hdr>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7b76a0"/>
    <w:rPr>
      <w:sz w:val="16"/>
      <w:szCs w:val="16"/>
    </w:rPr>
  </w:style>
  <w:style w:type="character" w:styleId="CommentTextChar" w:customStyle="1">
    <w:name w:val="Comment Text Char"/>
    <w:basedOn w:val="DefaultParagraphFont"/>
    <w:link w:val="CommentText"/>
    <w:uiPriority w:val="99"/>
    <w:semiHidden/>
    <w:qFormat/>
    <w:rsid w:val="007b76a0"/>
    <w:rPr>
      <w:sz w:val="20"/>
      <w:szCs w:val="20"/>
      <w:lang w:val="en-GB"/>
    </w:rPr>
  </w:style>
  <w:style w:type="character" w:styleId="CommentSubjectChar" w:customStyle="1">
    <w:name w:val="Comment Subject Char"/>
    <w:basedOn w:val="CommentTextChar"/>
    <w:link w:val="CommentSubject"/>
    <w:uiPriority w:val="99"/>
    <w:semiHidden/>
    <w:qFormat/>
    <w:rsid w:val="007b76a0"/>
    <w:rPr>
      <w:b/>
      <w:bCs/>
      <w:sz w:val="20"/>
      <w:szCs w:val="20"/>
      <w:lang w:val="en-GB"/>
    </w:rPr>
  </w:style>
  <w:style w:type="character" w:styleId="BalloonTextChar" w:customStyle="1">
    <w:name w:val="Balloon Text Char"/>
    <w:basedOn w:val="DefaultParagraphFont"/>
    <w:link w:val="BalloonText"/>
    <w:uiPriority w:val="99"/>
    <w:semiHidden/>
    <w:qFormat/>
    <w:rsid w:val="007b76a0"/>
    <w:rPr>
      <w:rFonts w:ascii="Segoe UI" w:hAnsi="Segoe UI" w:cs="Segoe UI"/>
      <w:sz w:val="18"/>
      <w:szCs w:val="18"/>
      <w:lang w:val="en-GB"/>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Annotationtext">
    <w:name w:val="annotation text"/>
    <w:basedOn w:val="Normal"/>
    <w:link w:val="CommentTextChar"/>
    <w:uiPriority w:val="99"/>
    <w:semiHidden/>
    <w:unhideWhenUsed/>
    <w:qFormat/>
    <w:rsid w:val="007b76a0"/>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7b76a0"/>
    <w:pPr/>
    <w:rPr>
      <w:b/>
      <w:bCs/>
    </w:rPr>
  </w:style>
  <w:style w:type="paragraph" w:styleId="BalloonText">
    <w:name w:val="Balloon Text"/>
    <w:basedOn w:val="Normal"/>
    <w:link w:val="BalloonTextChar"/>
    <w:uiPriority w:val="99"/>
    <w:semiHidden/>
    <w:unhideWhenUsed/>
    <w:qFormat/>
    <w:rsid w:val="007b76a0"/>
    <w:pPr>
      <w:spacing w:lineRule="auto" w:line="240" w:before="0" w:after="0"/>
    </w:pPr>
    <w:rPr>
      <w:rFonts w:ascii="Segoe UI" w:hAnsi="Segoe UI" w:cs="Segoe UI"/>
      <w:sz w:val="18"/>
      <w:szCs w:val="18"/>
    </w:rPr>
  </w:style>
  <w:style w:type="paragraph" w:styleId="HeaderandFooter">
    <w:name w:val="Header and Footer"/>
    <w:basedOn w:val="Normal"/>
    <w:qFormat/>
    <w:pPr>
      <w:suppressLineNumbers/>
      <w:tabs>
        <w:tab w:val="clear" w:pos="720"/>
        <w:tab w:val="center" w:pos="4819" w:leader="none"/>
        <w:tab w:val="right" w:pos="9638" w:leader="none"/>
      </w:tabs>
      <w:suppressAutoHyphens w:val="true"/>
    </w:pPr>
    <w:rPr/>
  </w:style>
  <w:style w:type="paragraph" w:styleId="Header">
    <w:name w:val="Header"/>
    <w:basedOn w:val="HeaderandFooter"/>
    <w:pPr>
      <w:suppressAutoHyphens w:val="true"/>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Application>LibreOffice/7.2.4.1$Windows_X86_64 LibreOffice_project/27d75539669ac387bb498e35313b970b7fe9c4f9</Application>
  <AppVersion>15.0000</AppVersion>
  <Pages>11</Pages>
  <Words>2490</Words>
  <Characters>14509</Characters>
  <CharactersWithSpaces>16967</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2022-03-23T09:53:00Z</dcterms:created>
  <dc:creator>abc</dc:creator>
  <dc:description/>
  <dc:language>en-GB</dc:language>
  <cp:lastModifiedBy/>
  <dcterms:modified xsi:type="dcterms:W3CDTF">2022-04-30T22:03:19Z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