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EEECE" w14:textId="77777777" w:rsidR="002960F5" w:rsidRPr="00EE5BC3" w:rsidRDefault="002960F5" w:rsidP="002960F5">
      <w:pPr>
        <w:jc w:val="center"/>
        <w:rPr>
          <w:b/>
          <w:sz w:val="28"/>
          <w:szCs w:val="28"/>
        </w:rPr>
      </w:pPr>
      <w:r w:rsidRPr="00EE5BC3">
        <w:rPr>
          <w:b/>
          <w:sz w:val="28"/>
          <w:szCs w:val="28"/>
        </w:rPr>
        <w:t>Task 4</w:t>
      </w:r>
    </w:p>
    <w:p w14:paraId="718C2083" w14:textId="77777777" w:rsidR="002960F5" w:rsidRPr="00EE5BC3" w:rsidRDefault="002960F5" w:rsidP="002960F5">
      <w:pPr>
        <w:jc w:val="center"/>
        <w:rPr>
          <w:b/>
          <w:sz w:val="28"/>
          <w:szCs w:val="28"/>
        </w:rPr>
      </w:pPr>
    </w:p>
    <w:p w14:paraId="27C82CF7" w14:textId="77777777" w:rsidR="002960F5" w:rsidRPr="00EE5BC3" w:rsidRDefault="002960F5" w:rsidP="002960F5">
      <w:pPr>
        <w:jc w:val="center"/>
        <w:rPr>
          <w:b/>
          <w:sz w:val="28"/>
          <w:szCs w:val="28"/>
        </w:rPr>
      </w:pPr>
      <w:r w:rsidRPr="00EE5BC3">
        <w:rPr>
          <w:b/>
          <w:sz w:val="28"/>
          <w:szCs w:val="28"/>
        </w:rPr>
        <w:t>Safeguarding</w:t>
      </w:r>
      <w:r>
        <w:rPr>
          <w:b/>
          <w:sz w:val="28"/>
          <w:szCs w:val="28"/>
        </w:rPr>
        <w:t xml:space="preserve"> in an area which is not your main area of </w:t>
      </w:r>
      <w:proofErr w:type="gramStart"/>
      <w:r>
        <w:rPr>
          <w:b/>
          <w:sz w:val="28"/>
          <w:szCs w:val="28"/>
        </w:rPr>
        <w:t>work</w:t>
      </w:r>
      <w:proofErr w:type="gramEnd"/>
    </w:p>
    <w:p w14:paraId="4571BE72" w14:textId="77777777" w:rsidR="002960F5" w:rsidRPr="008B28E7" w:rsidRDefault="002960F5" w:rsidP="002960F5">
      <w:pPr>
        <w:jc w:val="both"/>
        <w:rPr>
          <w:b/>
          <w:sz w:val="24"/>
          <w:szCs w:val="24"/>
        </w:rPr>
      </w:pPr>
    </w:p>
    <w:p w14:paraId="37A3F687" w14:textId="77777777" w:rsidR="002960F5" w:rsidRPr="00EE5BC3" w:rsidRDefault="002960F5" w:rsidP="002960F5">
      <w:pPr>
        <w:ind w:left="-90"/>
        <w:jc w:val="both"/>
        <w:rPr>
          <w:b/>
          <w:i/>
          <w:sz w:val="24"/>
          <w:szCs w:val="24"/>
        </w:rPr>
      </w:pPr>
      <w:r w:rsidRPr="00EE5BC3">
        <w:rPr>
          <w:b/>
          <w:i/>
          <w:sz w:val="24"/>
          <w:szCs w:val="24"/>
        </w:rPr>
        <w:t xml:space="preserve">Guidance: </w:t>
      </w:r>
    </w:p>
    <w:p w14:paraId="28356E17" w14:textId="77777777" w:rsidR="002960F5" w:rsidRPr="00706BB5" w:rsidRDefault="002960F5" w:rsidP="002960F5">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24CD220D" w14:textId="77777777" w:rsidR="002960F5" w:rsidRPr="008B28E7" w:rsidRDefault="002960F5" w:rsidP="002960F5">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960F5" w:rsidRPr="008B28E7" w14:paraId="07EF4180" w14:textId="77777777" w:rsidTr="001E36F2">
        <w:tc>
          <w:tcPr>
            <w:tcW w:w="10188" w:type="dxa"/>
            <w:shd w:val="clear" w:color="auto" w:fill="auto"/>
          </w:tcPr>
          <w:p w14:paraId="6CA02150" w14:textId="77777777" w:rsidR="002960F5" w:rsidRPr="00EB695F" w:rsidRDefault="002960F5" w:rsidP="001E36F2">
            <w:pPr>
              <w:jc w:val="both"/>
              <w:rPr>
                <w:b/>
                <w:sz w:val="24"/>
                <w:szCs w:val="24"/>
              </w:rPr>
            </w:pPr>
            <w:r w:rsidRPr="00EB695F">
              <w:rPr>
                <w:b/>
                <w:sz w:val="24"/>
                <w:szCs w:val="24"/>
              </w:rPr>
              <w:t>Question</w:t>
            </w:r>
            <w:r>
              <w:rPr>
                <w:b/>
                <w:sz w:val="24"/>
                <w:szCs w:val="24"/>
              </w:rPr>
              <w:t xml:space="preserve"> a:</w:t>
            </w:r>
          </w:p>
          <w:p w14:paraId="562AFD09" w14:textId="77777777" w:rsidR="002960F5" w:rsidRDefault="002960F5" w:rsidP="001E36F2">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4A3A2F97" w14:textId="77777777" w:rsidR="002960F5" w:rsidRDefault="002960F5" w:rsidP="001E36F2">
            <w:pPr>
              <w:jc w:val="both"/>
              <w:rPr>
                <w:sz w:val="24"/>
                <w:szCs w:val="24"/>
              </w:rPr>
            </w:pPr>
          </w:p>
          <w:p w14:paraId="35408E38" w14:textId="77777777" w:rsidR="002960F5" w:rsidRDefault="002960F5" w:rsidP="001E36F2">
            <w:pPr>
              <w:jc w:val="both"/>
              <w:rPr>
                <w:sz w:val="24"/>
                <w:szCs w:val="24"/>
              </w:rPr>
            </w:pPr>
          </w:p>
          <w:p w14:paraId="089CD66F" w14:textId="77777777" w:rsidR="002960F5" w:rsidRDefault="002960F5" w:rsidP="001E36F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03DB1CDF" w14:textId="77777777" w:rsidR="002960F5" w:rsidRPr="008B28E7" w:rsidRDefault="002960F5" w:rsidP="001E36F2">
            <w:pPr>
              <w:jc w:val="both"/>
              <w:rPr>
                <w:b/>
                <w:sz w:val="24"/>
                <w:szCs w:val="24"/>
              </w:rPr>
            </w:pPr>
          </w:p>
        </w:tc>
      </w:tr>
    </w:tbl>
    <w:p w14:paraId="00B07E9B" w14:textId="77777777" w:rsidR="002960F5" w:rsidRPr="008B28E7" w:rsidRDefault="002960F5" w:rsidP="002960F5">
      <w:pPr>
        <w:jc w:val="both"/>
        <w:rPr>
          <w:sz w:val="24"/>
          <w:szCs w:val="24"/>
        </w:rPr>
      </w:pPr>
    </w:p>
    <w:p w14:paraId="0DF5AF24" w14:textId="77777777" w:rsidR="002960F5" w:rsidRDefault="002960F5" w:rsidP="002960F5">
      <w:pPr>
        <w:jc w:val="both"/>
        <w:rPr>
          <w:sz w:val="24"/>
          <w:szCs w:val="24"/>
        </w:rPr>
      </w:pPr>
    </w:p>
    <w:p w14:paraId="254CBFB6" w14:textId="77777777" w:rsidR="002960F5" w:rsidRPr="0091617C" w:rsidRDefault="002960F5" w:rsidP="002960F5">
      <w:pPr>
        <w:spacing w:line="360" w:lineRule="auto"/>
        <w:rPr>
          <w:color w:val="37394C"/>
          <w:sz w:val="22"/>
          <w:szCs w:val="22"/>
        </w:rPr>
      </w:pPr>
      <w:r w:rsidRPr="00B93CAA">
        <w:rPr>
          <w:color w:val="auto"/>
          <w:spacing w:val="-1"/>
          <w:sz w:val="22"/>
          <w:szCs w:val="22"/>
          <w:shd w:val="clear" w:color="auto" w:fill="FFFFFF"/>
        </w:rPr>
        <w:t>The </w:t>
      </w:r>
      <w:hyperlink r:id="rId4" w:tgtFrame="_blank" w:tooltip="United Nations Convention on the Rights of the Child (UNCRC)" w:history="1">
        <w:r w:rsidRPr="00B93CAA">
          <w:rPr>
            <w:rStyle w:val="Hyperddolen"/>
            <w:color w:val="auto"/>
            <w:spacing w:val="-1"/>
            <w:sz w:val="22"/>
            <w:szCs w:val="22"/>
            <w:shd w:val="clear" w:color="auto" w:fill="FFFFFF"/>
          </w:rPr>
          <w:t>United Nations Convention on the Rights of the Child (UNCRC)</w:t>
        </w:r>
      </w:hyperlink>
      <w:r w:rsidRPr="00B93CAA">
        <w:rPr>
          <w:color w:val="auto"/>
          <w:spacing w:val="-1"/>
          <w:sz w:val="22"/>
          <w:szCs w:val="22"/>
          <w:shd w:val="clear" w:color="auto" w:fill="FFFFFF"/>
        </w:rPr>
        <w:t> </w:t>
      </w:r>
      <w:r>
        <w:rPr>
          <w:color w:val="auto"/>
          <w:spacing w:val="-1"/>
          <w:sz w:val="22"/>
          <w:szCs w:val="22"/>
          <w:shd w:val="clear" w:color="auto" w:fill="FFFFFF"/>
        </w:rPr>
        <w:t>gives a definition of a child as anyone under the age of 18</w:t>
      </w:r>
      <w:r>
        <w:rPr>
          <w:rFonts w:ascii="Verdana" w:hAnsi="Verdana"/>
          <w:spacing w:val="-1"/>
          <w:sz w:val="27"/>
          <w:szCs w:val="27"/>
          <w:shd w:val="clear" w:color="auto" w:fill="FFFFFF"/>
        </w:rPr>
        <w:t xml:space="preserve">. </w:t>
      </w:r>
      <w:r>
        <w:rPr>
          <w:spacing w:val="-1"/>
          <w:sz w:val="22"/>
          <w:szCs w:val="22"/>
          <w:shd w:val="clear" w:color="auto" w:fill="FFFFFF"/>
        </w:rPr>
        <w:t xml:space="preserve">The </w:t>
      </w:r>
      <w:hyperlink r:id="rId5" w:tgtFrame="_blank" w:tooltip="Human Rights Act 1998" w:history="1">
        <w:r w:rsidRPr="00B93CAA">
          <w:rPr>
            <w:rStyle w:val="Hyperddolen"/>
            <w:color w:val="auto"/>
            <w:spacing w:val="-1"/>
            <w:sz w:val="22"/>
            <w:szCs w:val="22"/>
            <w:shd w:val="clear" w:color="auto" w:fill="FFFFFF"/>
          </w:rPr>
          <w:t>Human Rights Act 1998</w:t>
        </w:r>
      </w:hyperlink>
      <w:r w:rsidRPr="00B93CAA">
        <w:rPr>
          <w:color w:val="auto"/>
          <w:sz w:val="22"/>
          <w:szCs w:val="22"/>
        </w:rPr>
        <w:t xml:space="preserve"> and the </w:t>
      </w:r>
      <w:hyperlink r:id="rId6" w:tgtFrame="_blank" w:tooltip="Equality Act 2010" w:history="1">
        <w:r w:rsidRPr="00B93CAA">
          <w:rPr>
            <w:rStyle w:val="Hyperddolen"/>
            <w:color w:val="auto"/>
            <w:spacing w:val="-1"/>
            <w:sz w:val="22"/>
            <w:szCs w:val="22"/>
            <w:shd w:val="clear" w:color="auto" w:fill="FFFFFF"/>
          </w:rPr>
          <w:t>Equality Act 2010</w:t>
        </w:r>
      </w:hyperlink>
      <w:r w:rsidRPr="00B93CAA">
        <w:rPr>
          <w:rFonts w:ascii="Verdana" w:hAnsi="Verdana"/>
          <w:color w:val="auto"/>
          <w:spacing w:val="-1"/>
          <w:sz w:val="27"/>
          <w:szCs w:val="27"/>
          <w:shd w:val="clear" w:color="auto" w:fill="FFFFFF"/>
        </w:rPr>
        <w:t> </w:t>
      </w:r>
      <w:r w:rsidRPr="0091617C">
        <w:rPr>
          <w:color w:val="auto"/>
          <w:spacing w:val="-1"/>
          <w:sz w:val="22"/>
          <w:szCs w:val="22"/>
          <w:shd w:val="clear" w:color="auto" w:fill="FFFFFF"/>
        </w:rPr>
        <w:t>protect the rights of children</w:t>
      </w:r>
      <w:r>
        <w:rPr>
          <w:color w:val="auto"/>
          <w:spacing w:val="-1"/>
          <w:sz w:val="22"/>
          <w:szCs w:val="22"/>
          <w:shd w:val="clear" w:color="auto" w:fill="FFFFFF"/>
        </w:rPr>
        <w:t>, and their right</w:t>
      </w:r>
      <w:r w:rsidRPr="0091617C">
        <w:rPr>
          <w:color w:val="auto"/>
          <w:spacing w:val="-1"/>
          <w:sz w:val="22"/>
          <w:szCs w:val="22"/>
          <w:shd w:val="clear" w:color="auto" w:fill="FFFFFF"/>
        </w:rPr>
        <w:t xml:space="preserve"> </w:t>
      </w:r>
      <w:r>
        <w:rPr>
          <w:color w:val="auto"/>
          <w:spacing w:val="-1"/>
          <w:sz w:val="22"/>
          <w:szCs w:val="22"/>
          <w:shd w:val="clear" w:color="auto" w:fill="FFFFFF"/>
        </w:rPr>
        <w:t xml:space="preserve">to be protected from harm. There is a national legal responsibility to safeguard children, it is also the responsibility of local authority and each organisation to implement a child protection system to safeguard children. </w:t>
      </w:r>
    </w:p>
    <w:p w14:paraId="0C6380F9" w14:textId="77777777" w:rsidR="002960F5" w:rsidRDefault="002960F5" w:rsidP="002960F5">
      <w:pPr>
        <w:spacing w:line="360" w:lineRule="auto"/>
        <w:rPr>
          <w:color w:val="37394C"/>
          <w:sz w:val="22"/>
          <w:szCs w:val="22"/>
        </w:rPr>
      </w:pPr>
      <w:r>
        <w:rPr>
          <w:color w:val="37394C"/>
          <w:sz w:val="22"/>
          <w:szCs w:val="22"/>
        </w:rPr>
        <w:t xml:space="preserve">Each of the UK’s 4 nations have set out their own child protection laws to ensure children are safeguarded and protected from abuse and harm. These laws may differ slightly for each nation however they are all based on the same national principles (NSPCC, 2024). </w:t>
      </w:r>
    </w:p>
    <w:p w14:paraId="6057961A" w14:textId="77777777" w:rsidR="002960F5" w:rsidRPr="00C10AE4" w:rsidRDefault="002960F5" w:rsidP="002960F5">
      <w:pPr>
        <w:spacing w:line="360" w:lineRule="auto"/>
        <w:rPr>
          <w:color w:val="000000" w:themeColor="text1"/>
          <w:sz w:val="22"/>
          <w:szCs w:val="22"/>
        </w:rPr>
      </w:pPr>
      <w:r w:rsidRPr="00C10AE4">
        <w:rPr>
          <w:color w:val="37394C"/>
          <w:sz w:val="22"/>
          <w:szCs w:val="22"/>
        </w:rPr>
        <w:t xml:space="preserve">The Wales safeguarding procedures detail the essential roles and responsibilities for practitioners to ensure that they safeguard children and adults who are at risk of abuse, harm and neglect </w:t>
      </w:r>
      <w:r w:rsidRPr="00C10AE4">
        <w:rPr>
          <w:color w:val="000000" w:themeColor="text1"/>
          <w:sz w:val="22"/>
          <w:szCs w:val="22"/>
        </w:rPr>
        <w:t>(</w:t>
      </w:r>
      <w:proofErr w:type="spellStart"/>
      <w:r>
        <w:rPr>
          <w:color w:val="000000" w:themeColor="text1"/>
          <w:sz w:val="22"/>
          <w:szCs w:val="22"/>
        </w:rPr>
        <w:t>xxxxx</w:t>
      </w:r>
      <w:proofErr w:type="spellEnd"/>
      <w:r>
        <w:rPr>
          <w:color w:val="000000" w:themeColor="text1"/>
          <w:sz w:val="22"/>
          <w:szCs w:val="22"/>
        </w:rPr>
        <w:t xml:space="preserve"> </w:t>
      </w:r>
      <w:r w:rsidRPr="00C10AE4">
        <w:rPr>
          <w:color w:val="000000" w:themeColor="text1"/>
          <w:sz w:val="22"/>
          <w:szCs w:val="22"/>
        </w:rPr>
        <w:t>Safeguarding Board, 201</w:t>
      </w:r>
      <w:r>
        <w:rPr>
          <w:color w:val="000000" w:themeColor="text1"/>
          <w:sz w:val="22"/>
          <w:szCs w:val="22"/>
        </w:rPr>
        <w:t>9)</w:t>
      </w:r>
      <w:r w:rsidRPr="00C10AE4">
        <w:rPr>
          <w:color w:val="000000" w:themeColor="text1"/>
          <w:sz w:val="22"/>
          <w:szCs w:val="22"/>
        </w:rPr>
        <w:t xml:space="preserve">. </w:t>
      </w:r>
      <w:r>
        <w:rPr>
          <w:color w:val="000000" w:themeColor="text1"/>
          <w:sz w:val="22"/>
          <w:szCs w:val="22"/>
        </w:rPr>
        <w:t xml:space="preserve">Each practitioner and organisation must contribute to the safeguarding of children and contribute to the wellbeing of the child, share information, work collaboratively and develop relationships with the child, their family or carers to ensure that what matters to them is established </w:t>
      </w:r>
      <w:r w:rsidRPr="00013C35">
        <w:rPr>
          <w:color w:val="000000" w:themeColor="text1"/>
          <w:sz w:val="22"/>
          <w:szCs w:val="22"/>
        </w:rPr>
        <w:t>(</w:t>
      </w:r>
      <w:proofErr w:type="spellStart"/>
      <w:r>
        <w:rPr>
          <w:color w:val="000000" w:themeColor="text1"/>
          <w:sz w:val="22"/>
          <w:szCs w:val="22"/>
        </w:rPr>
        <w:t>xxxxx</w:t>
      </w:r>
      <w:proofErr w:type="spellEnd"/>
      <w:r>
        <w:rPr>
          <w:color w:val="000000" w:themeColor="text1"/>
          <w:sz w:val="22"/>
          <w:szCs w:val="22"/>
        </w:rPr>
        <w:t xml:space="preserve"> </w:t>
      </w:r>
      <w:r w:rsidRPr="00013C35">
        <w:rPr>
          <w:color w:val="000000" w:themeColor="text1"/>
          <w:sz w:val="22"/>
          <w:szCs w:val="22"/>
        </w:rPr>
        <w:t>Safeguarding Board, 201</w:t>
      </w:r>
      <w:r>
        <w:rPr>
          <w:color w:val="000000" w:themeColor="text1"/>
          <w:sz w:val="22"/>
          <w:szCs w:val="22"/>
        </w:rPr>
        <w:t>9</w:t>
      </w:r>
      <w:r w:rsidRPr="00013C35">
        <w:rPr>
          <w:color w:val="000000" w:themeColor="text1"/>
          <w:sz w:val="22"/>
          <w:szCs w:val="22"/>
        </w:rPr>
        <w:t>).</w:t>
      </w:r>
      <w:r w:rsidRPr="00C10AE4">
        <w:rPr>
          <w:color w:val="000000" w:themeColor="text1"/>
          <w:sz w:val="22"/>
          <w:szCs w:val="22"/>
        </w:rPr>
        <w:t>The safeguarding procedures help social workers</w:t>
      </w:r>
      <w:r>
        <w:rPr>
          <w:color w:val="000000" w:themeColor="text1"/>
          <w:sz w:val="22"/>
          <w:szCs w:val="22"/>
        </w:rPr>
        <w:t xml:space="preserve">, organisations </w:t>
      </w:r>
      <w:r w:rsidRPr="00C10AE4">
        <w:rPr>
          <w:color w:val="000000" w:themeColor="text1"/>
          <w:sz w:val="22"/>
          <w:szCs w:val="22"/>
        </w:rPr>
        <w:t xml:space="preserve"> and other professionals apply the legal framework set out in the Social Services and Wellbeing (Wales) Act 2014. In Wales, part 7 of the Social Services and Well-being (Wales) Act 2014 instructs that local authorities have safeguarding children boards that consist of different professionals (Law Wales, 2021). </w:t>
      </w:r>
    </w:p>
    <w:p w14:paraId="1B264A23" w14:textId="77777777" w:rsidR="002960F5" w:rsidRPr="00C10AE4" w:rsidRDefault="002960F5" w:rsidP="002960F5">
      <w:pPr>
        <w:spacing w:line="360" w:lineRule="auto"/>
        <w:rPr>
          <w:color w:val="000000" w:themeColor="text1"/>
          <w:sz w:val="22"/>
          <w:szCs w:val="22"/>
        </w:rPr>
      </w:pPr>
    </w:p>
    <w:p w14:paraId="26F6E50D" w14:textId="77777777" w:rsidR="002960F5" w:rsidRDefault="002960F5" w:rsidP="002960F5">
      <w:pPr>
        <w:spacing w:line="360" w:lineRule="auto"/>
        <w:rPr>
          <w:color w:val="000000" w:themeColor="text1"/>
          <w:sz w:val="22"/>
          <w:szCs w:val="22"/>
        </w:rPr>
      </w:pPr>
      <w:r>
        <w:rPr>
          <w:color w:val="000000" w:themeColor="text1"/>
          <w:sz w:val="22"/>
          <w:szCs w:val="22"/>
        </w:rPr>
        <w:lastRenderedPageBreak/>
        <w:t>The Social services and Wellbeing Wales Act (2014) sets out the procedures for local safeguarding boards however s</w:t>
      </w:r>
      <w:r w:rsidRPr="00C10AE4">
        <w:rPr>
          <w:color w:val="000000" w:themeColor="text1"/>
          <w:sz w:val="22"/>
          <w:szCs w:val="22"/>
        </w:rPr>
        <w:t>ection 28 of the Children Act, 2004 sets out a duty on the local authority and other professional bodies such as the police and the NHS to safeguard children and promote their welfare</w:t>
      </w:r>
      <w:r>
        <w:rPr>
          <w:color w:val="000000" w:themeColor="text1"/>
          <w:sz w:val="22"/>
          <w:szCs w:val="22"/>
        </w:rPr>
        <w:t xml:space="preserve"> and when to begin any care proceedings</w:t>
      </w:r>
      <w:r w:rsidRPr="00C10AE4">
        <w:rPr>
          <w:color w:val="000000" w:themeColor="text1"/>
          <w:sz w:val="22"/>
          <w:szCs w:val="22"/>
        </w:rPr>
        <w:t>.</w:t>
      </w:r>
      <w:r>
        <w:rPr>
          <w:color w:val="000000" w:themeColor="text1"/>
          <w:sz w:val="22"/>
          <w:szCs w:val="22"/>
        </w:rPr>
        <w:t xml:space="preserve"> It is the responsibility of the local authority to promote the cooperation of other parties when safeguarding and protecting children and sharing of appropriate information (Law Wales, 2021). </w:t>
      </w:r>
    </w:p>
    <w:p w14:paraId="68BDF05F" w14:textId="77777777" w:rsidR="002960F5" w:rsidRPr="00C10AE4" w:rsidRDefault="002960F5" w:rsidP="002960F5">
      <w:pPr>
        <w:spacing w:line="360" w:lineRule="auto"/>
        <w:rPr>
          <w:color w:val="000000" w:themeColor="text1"/>
          <w:sz w:val="22"/>
          <w:szCs w:val="22"/>
        </w:rPr>
      </w:pPr>
      <w:r w:rsidRPr="00C10AE4">
        <w:rPr>
          <w:color w:val="000000" w:themeColor="text1"/>
          <w:sz w:val="22"/>
          <w:szCs w:val="22"/>
        </w:rPr>
        <w:t xml:space="preserve"> </w:t>
      </w:r>
    </w:p>
    <w:p w14:paraId="59BB65BF" w14:textId="77777777" w:rsidR="002960F5" w:rsidRDefault="002960F5" w:rsidP="002960F5">
      <w:pPr>
        <w:spacing w:line="360" w:lineRule="auto"/>
        <w:rPr>
          <w:color w:val="212529"/>
          <w:sz w:val="22"/>
          <w:szCs w:val="22"/>
          <w:shd w:val="clear" w:color="auto" w:fill="FFFFFF"/>
        </w:rPr>
      </w:pPr>
      <w:r w:rsidRPr="00C10AE4">
        <w:rPr>
          <w:color w:val="212529"/>
          <w:sz w:val="22"/>
          <w:szCs w:val="22"/>
          <w:shd w:val="clear" w:color="auto" w:fill="FFFFFF"/>
        </w:rPr>
        <w:t>The legislation for safeguarding children also sets out when the local authority must investigate when there may be a child suspected of being at risk of or is suffering from significant harm. These circumstances are set out in sections 4 and 5 of the children’s Act, 1989 (Law Wales, 2021).</w:t>
      </w:r>
      <w:r>
        <w:rPr>
          <w:color w:val="212529"/>
          <w:sz w:val="22"/>
          <w:szCs w:val="22"/>
          <w:shd w:val="clear" w:color="auto" w:fill="FFFFFF"/>
        </w:rPr>
        <w:t xml:space="preserve"> </w:t>
      </w:r>
    </w:p>
    <w:p w14:paraId="053B262F" w14:textId="77777777" w:rsidR="002960F5" w:rsidRDefault="002960F5" w:rsidP="002960F5">
      <w:pPr>
        <w:spacing w:line="360" w:lineRule="auto"/>
        <w:rPr>
          <w:color w:val="000000" w:themeColor="text1"/>
          <w:sz w:val="22"/>
          <w:szCs w:val="22"/>
        </w:rPr>
      </w:pPr>
      <w:r>
        <w:rPr>
          <w:color w:val="212529"/>
          <w:sz w:val="22"/>
          <w:szCs w:val="22"/>
          <w:shd w:val="clear" w:color="auto" w:fill="FFFFFF"/>
        </w:rPr>
        <w:t xml:space="preserve">There is a duty of any relevant partner to report to their local authority when they suspect that a child is at risk of harm. Following a referral section 130 of the </w:t>
      </w:r>
      <w:r w:rsidRPr="00C10AE4">
        <w:rPr>
          <w:color w:val="000000" w:themeColor="text1"/>
          <w:sz w:val="22"/>
          <w:szCs w:val="22"/>
        </w:rPr>
        <w:t>Social Services and Well-being (Wales) Act 2014</w:t>
      </w:r>
      <w:r>
        <w:rPr>
          <w:color w:val="000000" w:themeColor="text1"/>
          <w:sz w:val="22"/>
          <w:szCs w:val="22"/>
        </w:rPr>
        <w:t xml:space="preserve"> places a duty to investigate these reports sets out the importance of a child centred approach considering the needs of the child, their wishes, feelings and best interests. Investigations will also entail assessing the parenting skills of the caregiver. Following investigations, a decision will be made as to what further safeguarding actions will need to be taken to safeguard the child. </w:t>
      </w:r>
    </w:p>
    <w:p w14:paraId="49348BBA" w14:textId="77777777" w:rsidR="002960F5" w:rsidRPr="00C10AE4" w:rsidRDefault="002960F5" w:rsidP="002960F5">
      <w:pPr>
        <w:spacing w:line="360" w:lineRule="auto"/>
        <w:rPr>
          <w:color w:val="212529"/>
          <w:sz w:val="22"/>
          <w:szCs w:val="22"/>
          <w:shd w:val="clear" w:color="auto" w:fill="FFFFFF"/>
        </w:rPr>
      </w:pPr>
      <w:r>
        <w:rPr>
          <w:color w:val="000000" w:themeColor="text1"/>
          <w:sz w:val="22"/>
          <w:szCs w:val="22"/>
        </w:rPr>
        <w:t xml:space="preserve">(Word count 488) </w:t>
      </w:r>
    </w:p>
    <w:p w14:paraId="7FE13050" w14:textId="77777777" w:rsidR="002960F5" w:rsidRDefault="002960F5" w:rsidP="002960F5">
      <w:pPr>
        <w:spacing w:line="360" w:lineRule="auto"/>
        <w:rPr>
          <w:rFonts w:asciiTheme="minorHAnsi" w:hAnsiTheme="minorHAnsi" w:cstheme="minorHAnsi"/>
          <w:color w:val="000000" w:themeColor="text1"/>
        </w:rPr>
      </w:pPr>
    </w:p>
    <w:p w14:paraId="7D0773C8" w14:textId="77777777" w:rsidR="002960F5" w:rsidRDefault="002960F5" w:rsidP="002960F5">
      <w:pPr>
        <w:jc w:val="both"/>
        <w:rPr>
          <w:sz w:val="24"/>
          <w:szCs w:val="24"/>
        </w:rPr>
      </w:pPr>
    </w:p>
    <w:p w14:paraId="21F1B047" w14:textId="77777777" w:rsidR="002960F5" w:rsidRDefault="002960F5" w:rsidP="002960F5">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960F5" w:rsidRPr="008B28E7" w14:paraId="4A229E81" w14:textId="77777777" w:rsidTr="001E36F2">
        <w:tc>
          <w:tcPr>
            <w:tcW w:w="10278" w:type="dxa"/>
            <w:shd w:val="clear" w:color="auto" w:fill="auto"/>
          </w:tcPr>
          <w:p w14:paraId="50044791" w14:textId="77777777" w:rsidR="002960F5" w:rsidRPr="00EB695F" w:rsidRDefault="002960F5" w:rsidP="001E36F2">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4F3A7338" w14:textId="77777777" w:rsidR="002960F5" w:rsidRDefault="002960F5" w:rsidP="001E36F2">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t>
            </w:r>
            <w:proofErr w:type="gramStart"/>
            <w:r w:rsidRPr="006108C9">
              <w:rPr>
                <w:sz w:val="24"/>
                <w:szCs w:val="24"/>
              </w:rPr>
              <w:t>work</w:t>
            </w:r>
            <w:proofErr w:type="gramEnd"/>
          </w:p>
          <w:p w14:paraId="10631A9E" w14:textId="77777777" w:rsidR="002960F5" w:rsidRDefault="002960F5" w:rsidP="001E36F2">
            <w:pPr>
              <w:jc w:val="both"/>
              <w:rPr>
                <w:sz w:val="24"/>
                <w:szCs w:val="24"/>
              </w:rPr>
            </w:pPr>
          </w:p>
          <w:p w14:paraId="4500C8C2" w14:textId="77777777" w:rsidR="002960F5" w:rsidRPr="00C10AE4" w:rsidRDefault="002960F5" w:rsidP="001E36F2">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tc>
      </w:tr>
    </w:tbl>
    <w:p w14:paraId="2D27A783" w14:textId="77777777" w:rsidR="002960F5" w:rsidRDefault="002960F5" w:rsidP="002960F5">
      <w:pPr>
        <w:jc w:val="both"/>
        <w:rPr>
          <w:sz w:val="24"/>
          <w:szCs w:val="24"/>
        </w:rPr>
      </w:pPr>
    </w:p>
    <w:p w14:paraId="65520E9A" w14:textId="77777777" w:rsidR="002960F5" w:rsidRDefault="002960F5" w:rsidP="002960F5">
      <w:pPr>
        <w:jc w:val="both"/>
        <w:rPr>
          <w:sz w:val="24"/>
          <w:szCs w:val="24"/>
        </w:rPr>
      </w:pPr>
    </w:p>
    <w:p w14:paraId="180704C3" w14:textId="77777777" w:rsidR="002960F5" w:rsidRPr="00C10AE4" w:rsidRDefault="002960F5" w:rsidP="002960F5">
      <w:pPr>
        <w:spacing w:line="360" w:lineRule="auto"/>
        <w:rPr>
          <w:color w:val="000000" w:themeColor="text1"/>
          <w:sz w:val="22"/>
          <w:szCs w:val="22"/>
        </w:rPr>
      </w:pPr>
      <w:r w:rsidRPr="00C10AE4">
        <w:rPr>
          <w:color w:val="000000" w:themeColor="text1"/>
          <w:sz w:val="22"/>
          <w:szCs w:val="22"/>
        </w:rPr>
        <w:t>The procedures for protecting adults from abuse and neglect and protecting children from abuse, neglect or harm are based on the same principles which are underpinned in the Social Services and Wellbeing (Wales) Act 2014 (***** Safeguarding Board, 201</w:t>
      </w:r>
      <w:r>
        <w:rPr>
          <w:color w:val="000000" w:themeColor="text1"/>
          <w:sz w:val="22"/>
          <w:szCs w:val="22"/>
        </w:rPr>
        <w:t>9</w:t>
      </w:r>
      <w:r w:rsidRPr="00C10AE4">
        <w:rPr>
          <w:color w:val="000000" w:themeColor="text1"/>
          <w:sz w:val="22"/>
          <w:szCs w:val="22"/>
        </w:rPr>
        <w:t xml:space="preserve">). </w:t>
      </w:r>
    </w:p>
    <w:p w14:paraId="604E6602" w14:textId="77777777" w:rsidR="002960F5" w:rsidRDefault="002960F5" w:rsidP="002960F5">
      <w:pPr>
        <w:spacing w:line="360" w:lineRule="auto"/>
        <w:rPr>
          <w:color w:val="000000" w:themeColor="text1"/>
          <w:sz w:val="22"/>
          <w:szCs w:val="22"/>
        </w:rPr>
      </w:pPr>
      <w:r w:rsidRPr="00C10AE4">
        <w:rPr>
          <w:color w:val="000000" w:themeColor="text1"/>
          <w:sz w:val="22"/>
          <w:szCs w:val="22"/>
        </w:rPr>
        <w:t>***** Safeguarding Board, 201</w:t>
      </w:r>
      <w:r>
        <w:rPr>
          <w:color w:val="000000" w:themeColor="text1"/>
          <w:sz w:val="22"/>
          <w:szCs w:val="22"/>
        </w:rPr>
        <w:t>9</w:t>
      </w:r>
      <w:r w:rsidRPr="00C10AE4">
        <w:rPr>
          <w:color w:val="000000" w:themeColor="text1"/>
          <w:sz w:val="22"/>
          <w:szCs w:val="22"/>
        </w:rPr>
        <w:t xml:space="preserve"> explains that although there are similarities in the procedure</w:t>
      </w:r>
      <w:r>
        <w:rPr>
          <w:color w:val="000000" w:themeColor="text1"/>
          <w:sz w:val="22"/>
          <w:szCs w:val="22"/>
        </w:rPr>
        <w:t>s</w:t>
      </w:r>
      <w:r w:rsidRPr="00C10AE4">
        <w:rPr>
          <w:color w:val="000000" w:themeColor="text1"/>
          <w:sz w:val="22"/>
          <w:szCs w:val="22"/>
        </w:rPr>
        <w:t xml:space="preserve"> of safeguarding children and adults, there are some differences in the legal guidance and legislation</w:t>
      </w:r>
      <w:r>
        <w:rPr>
          <w:color w:val="000000" w:themeColor="text1"/>
          <w:sz w:val="22"/>
          <w:szCs w:val="22"/>
        </w:rPr>
        <w:t>,</w:t>
      </w:r>
      <w:r w:rsidRPr="00C10AE4">
        <w:rPr>
          <w:color w:val="000000" w:themeColor="text1"/>
          <w:sz w:val="22"/>
          <w:szCs w:val="22"/>
        </w:rPr>
        <w:t xml:space="preserve"> </w:t>
      </w:r>
      <w:r>
        <w:rPr>
          <w:color w:val="000000" w:themeColor="text1"/>
          <w:sz w:val="22"/>
          <w:szCs w:val="22"/>
        </w:rPr>
        <w:t>therefore safeguarding procedures are separated into safeguarding children and those that apply to adults that are at risk of abuse and neglect.</w:t>
      </w:r>
    </w:p>
    <w:p w14:paraId="3AAC4B45" w14:textId="77777777" w:rsidR="002960F5" w:rsidRDefault="002960F5" w:rsidP="002960F5">
      <w:pPr>
        <w:spacing w:line="360" w:lineRule="auto"/>
        <w:rPr>
          <w:color w:val="000000" w:themeColor="text1"/>
          <w:sz w:val="22"/>
          <w:szCs w:val="22"/>
        </w:rPr>
      </w:pPr>
    </w:p>
    <w:p w14:paraId="7ED06929" w14:textId="77777777" w:rsidR="002960F5" w:rsidRDefault="002960F5" w:rsidP="002960F5">
      <w:pPr>
        <w:spacing w:line="360" w:lineRule="auto"/>
        <w:rPr>
          <w:color w:val="000000" w:themeColor="text1"/>
          <w:sz w:val="22"/>
          <w:szCs w:val="22"/>
        </w:rPr>
      </w:pPr>
      <w:r>
        <w:rPr>
          <w:color w:val="000000" w:themeColor="text1"/>
          <w:sz w:val="22"/>
          <w:szCs w:val="22"/>
        </w:rPr>
        <w:t xml:space="preserve">The Quality Care Commission, 2018 explains the differences between safeguarding adults and children. The differences in safeguarding adults and children lie in </w:t>
      </w:r>
      <w:r w:rsidRPr="00544347">
        <w:rPr>
          <w:color w:val="000000" w:themeColor="text1"/>
          <w:sz w:val="22"/>
          <w:szCs w:val="22"/>
        </w:rPr>
        <w:t>the</w:t>
      </w:r>
      <w:r w:rsidRPr="00544347">
        <w:rPr>
          <w:sz w:val="22"/>
          <w:szCs w:val="22"/>
        </w:rPr>
        <w:t xml:space="preserve"> legal framework </w:t>
      </w:r>
      <w:r>
        <w:rPr>
          <w:sz w:val="22"/>
          <w:szCs w:val="22"/>
        </w:rPr>
        <w:lastRenderedPageBreak/>
        <w:t xml:space="preserve">that is followed. </w:t>
      </w:r>
      <w:r>
        <w:rPr>
          <w:color w:val="000000" w:themeColor="text1"/>
          <w:sz w:val="22"/>
          <w:szCs w:val="22"/>
        </w:rPr>
        <w:t xml:space="preserve"> The mental capacity Act (2005) states that an adult has the right self-determination and the right not to protect themselves if they do not wish to, under the Act adults have the right to make unwise decisions. If an adult has the capacity to make that decision it is their decision. It would only be in a case where an adult is deemed not to have capacity that the law would intervene. When safeguarding adults, the individual must be involved in the safeguarding processes and must be informed of any actions that may affect them. The Alzheimer’s society (2024) explain that adults living with dementia may make them more at risk of abuse or neglect, difficulties such as memory loss and difficulties with orientation and problem solving could make it harder for individuals to protect themselves.  </w:t>
      </w:r>
    </w:p>
    <w:p w14:paraId="1C5F3498" w14:textId="77777777" w:rsidR="002960F5" w:rsidRDefault="002960F5" w:rsidP="002960F5">
      <w:pPr>
        <w:spacing w:line="360" w:lineRule="auto"/>
        <w:rPr>
          <w:color w:val="000000" w:themeColor="text1"/>
          <w:sz w:val="22"/>
          <w:szCs w:val="22"/>
        </w:rPr>
      </w:pPr>
      <w:r>
        <w:rPr>
          <w:color w:val="000000" w:themeColor="text1"/>
          <w:sz w:val="22"/>
          <w:szCs w:val="22"/>
        </w:rPr>
        <w:t>When safeguarding children and adults it is important to remember that there can be differences in the</w:t>
      </w:r>
      <w:r w:rsidRPr="00C10AE4">
        <w:rPr>
          <w:color w:val="000000" w:themeColor="text1"/>
          <w:sz w:val="22"/>
          <w:szCs w:val="22"/>
        </w:rPr>
        <w:t xml:space="preserve"> types of abuse </w:t>
      </w:r>
      <w:r>
        <w:rPr>
          <w:color w:val="000000" w:themeColor="text1"/>
          <w:sz w:val="22"/>
          <w:szCs w:val="22"/>
        </w:rPr>
        <w:t xml:space="preserve">that can take place. Children may be more at risk from types of abuse such as female genital mutilation and forced marriage whereas adults may be at risk from types of financial abuse and cuckooing, where a person’s home could be taken over to facilitate exploitation. Having differences in policies helps make it clearer to organisations on how to safeguard children and adults effectively. </w:t>
      </w:r>
    </w:p>
    <w:p w14:paraId="0B7177E0" w14:textId="77777777" w:rsidR="002960F5" w:rsidRPr="00C10AE4" w:rsidRDefault="002960F5" w:rsidP="002960F5">
      <w:pPr>
        <w:spacing w:line="360" w:lineRule="auto"/>
        <w:rPr>
          <w:color w:val="000000" w:themeColor="text1"/>
          <w:sz w:val="22"/>
          <w:szCs w:val="22"/>
        </w:rPr>
      </w:pPr>
      <w:r>
        <w:rPr>
          <w:color w:val="000000" w:themeColor="text1"/>
          <w:sz w:val="22"/>
          <w:szCs w:val="22"/>
        </w:rPr>
        <w:t xml:space="preserve">(Word count 337) </w:t>
      </w:r>
    </w:p>
    <w:p w14:paraId="673A4DCB" w14:textId="77777777" w:rsidR="00EE1504" w:rsidRDefault="00EE1504"/>
    <w:sectPr w:rsidR="00EE1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961"/>
    <w:rsid w:val="0004435E"/>
    <w:rsid w:val="002960F5"/>
    <w:rsid w:val="00406961"/>
    <w:rsid w:val="009E1606"/>
    <w:rsid w:val="00E206A7"/>
    <w:rsid w:val="00EE1504"/>
    <w:rsid w:val="00FC3F51"/>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86A96"/>
  <w15:chartTrackingRefBased/>
  <w15:docId w15:val="{9E9074FB-C5FA-4448-B442-18E5D0BE5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0F5"/>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val="en-GB" w:eastAsia="en-GB"/>
      <w14:ligatures w14:val="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uiPriority w:val="99"/>
    <w:rsid w:val="002960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0/15/contents" TargetMode="External"/><Relationship Id="rId5" Type="http://schemas.openxmlformats.org/officeDocument/2006/relationships/hyperlink" Target="https://www.legislation.gov.uk/ukpga/1998/42/contents" TargetMode="External"/><Relationship Id="rId4" Type="http://schemas.openxmlformats.org/officeDocument/2006/relationships/hyperlink" Target="https://www.ohchr.org/EN/ProfessionalInterest/Pages/CRC.aspx"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982</Words>
  <Characters>5598</Characters>
  <Application>Microsoft Office Word</Application>
  <DocSecurity>0</DocSecurity>
  <Lines>46</Lines>
  <Paragraphs>13</Paragraphs>
  <ScaleCrop>false</ScaleCrop>
  <Company>Cyngor Gwynedd</Company>
  <LinksUpToDate>false</LinksUpToDate>
  <CharactersWithSpaces>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Charlotte Jones (OEDOLION)</dc:creator>
  <cp:keywords/>
  <dc:description/>
  <cp:lastModifiedBy>Rebecca Charlotte Jones (OEDOLION)</cp:lastModifiedBy>
  <cp:revision>2</cp:revision>
  <dcterms:created xsi:type="dcterms:W3CDTF">2024-02-15T10:13:00Z</dcterms:created>
  <dcterms:modified xsi:type="dcterms:W3CDTF">2024-02-15T10:14:00Z</dcterms:modified>
</cp:coreProperties>
</file>