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E7B184C" w14:textId="77777777" w:rsidR="006324E0" w:rsidRPr="00736C69" w:rsidRDefault="006324E0" w:rsidP="006324E0">
            <w:pPr>
              <w:overflowPunct/>
              <w:autoSpaceDE/>
              <w:autoSpaceDN/>
              <w:adjustRightInd/>
              <w:ind w:right="-957"/>
              <w:textAlignment w:val="auto"/>
              <w:rPr>
                <w:rFonts w:ascii="Times New Roman" w:hAnsi="Times New Roman" w:cs="Times New Roman"/>
                <w:b/>
                <w:color w:val="auto"/>
                <w:sz w:val="44"/>
                <w:szCs w:val="44"/>
              </w:rPr>
            </w:pPr>
            <w:r w:rsidRPr="00736C69">
              <w:rPr>
                <w:rFonts w:ascii="Times New Roman" w:hAnsi="Times New Roman" w:cs="Times New Roman"/>
                <w:b/>
                <w:color w:val="auto"/>
                <w:sz w:val="44"/>
                <w:szCs w:val="44"/>
              </w:rPr>
              <w:t>Learner’s name: Miranda Ellis</w:t>
            </w:r>
          </w:p>
          <w:p w14:paraId="235FE6D7" w14:textId="77777777" w:rsidR="006324E0" w:rsidRPr="00736C69" w:rsidRDefault="006324E0" w:rsidP="006324E0">
            <w:pPr>
              <w:overflowPunct/>
              <w:autoSpaceDE/>
              <w:autoSpaceDN/>
              <w:adjustRightInd/>
              <w:ind w:right="-957"/>
              <w:textAlignment w:val="auto"/>
              <w:rPr>
                <w:rFonts w:ascii="Times New Roman" w:hAnsi="Times New Roman" w:cs="Times New Roman"/>
                <w:b/>
                <w:color w:val="auto"/>
                <w:sz w:val="44"/>
                <w:szCs w:val="44"/>
              </w:rPr>
            </w:pPr>
          </w:p>
          <w:p w14:paraId="312787AB" w14:textId="77777777" w:rsidR="006324E0" w:rsidRPr="00736C69" w:rsidRDefault="006324E0" w:rsidP="006324E0">
            <w:pPr>
              <w:overflowPunct/>
              <w:autoSpaceDE/>
              <w:autoSpaceDN/>
              <w:adjustRightInd/>
              <w:ind w:right="-957"/>
              <w:textAlignment w:val="auto"/>
              <w:rPr>
                <w:rFonts w:ascii="Times New Roman" w:hAnsi="Times New Roman" w:cs="Times New Roman"/>
                <w:b/>
                <w:color w:val="auto"/>
                <w:sz w:val="44"/>
                <w:szCs w:val="44"/>
              </w:rPr>
            </w:pPr>
            <w:r w:rsidRPr="00736C69">
              <w:rPr>
                <w:rFonts w:ascii="Times New Roman" w:hAnsi="Times New Roman" w:cs="Times New Roman"/>
                <w:b/>
                <w:color w:val="auto"/>
                <w:sz w:val="44"/>
                <w:szCs w:val="44"/>
              </w:rPr>
              <w:t>Email address:2420738@student.uwtsd.ac.uk</w:t>
            </w:r>
          </w:p>
          <w:p w14:paraId="548C827D" w14:textId="77777777" w:rsidR="006324E0" w:rsidRPr="00736C69" w:rsidRDefault="006324E0" w:rsidP="006324E0">
            <w:pPr>
              <w:overflowPunct/>
              <w:autoSpaceDE/>
              <w:autoSpaceDN/>
              <w:adjustRightInd/>
              <w:ind w:right="-957"/>
              <w:textAlignment w:val="auto"/>
              <w:rPr>
                <w:rFonts w:ascii="Segoe UI" w:hAnsi="Segoe UI" w:cs="Segoe UI"/>
                <w:color w:val="1D1D1D"/>
                <w:sz w:val="44"/>
                <w:szCs w:val="44"/>
                <w:shd w:val="clear" w:color="auto" w:fill="FFFFFF"/>
              </w:rPr>
            </w:pPr>
            <w:r w:rsidRPr="00736C69">
              <w:rPr>
                <w:rFonts w:ascii="Segoe UI" w:hAnsi="Segoe UI" w:cs="Segoe UI"/>
                <w:color w:val="1D1D1D"/>
                <w:sz w:val="44"/>
                <w:szCs w:val="44"/>
                <w:shd w:val="clear" w:color="auto" w:fill="FFFFFF"/>
              </w:rPr>
              <w:t xml:space="preserve"> </w:t>
            </w:r>
          </w:p>
          <w:p w14:paraId="2D76C74F" w14:textId="77777777" w:rsidR="006324E0" w:rsidRPr="00736C69" w:rsidRDefault="006324E0" w:rsidP="006324E0">
            <w:pPr>
              <w:overflowPunct/>
              <w:autoSpaceDE/>
              <w:autoSpaceDN/>
              <w:adjustRightInd/>
              <w:ind w:right="-957"/>
              <w:textAlignment w:val="auto"/>
              <w:rPr>
                <w:rFonts w:ascii="Times New Roman" w:hAnsi="Times New Roman" w:cs="Times New Roman"/>
                <w:b/>
                <w:color w:val="auto"/>
                <w:sz w:val="44"/>
                <w:szCs w:val="44"/>
              </w:rPr>
            </w:pPr>
            <w:r w:rsidRPr="00736C69">
              <w:rPr>
                <w:rFonts w:ascii="Times New Roman" w:hAnsi="Times New Roman" w:cs="Times New Roman"/>
                <w:b/>
                <w:color w:val="auto"/>
                <w:sz w:val="44"/>
                <w:szCs w:val="44"/>
              </w:rPr>
              <w:t>Learner’s University Registration Number:2420738</w:t>
            </w:r>
          </w:p>
          <w:p w14:paraId="40C8E9A1" w14:textId="77777777" w:rsidR="006324E0" w:rsidRPr="00736C69" w:rsidRDefault="006324E0" w:rsidP="006324E0">
            <w:pPr>
              <w:overflowPunct/>
              <w:autoSpaceDE/>
              <w:autoSpaceDN/>
              <w:adjustRightInd/>
              <w:ind w:right="-957"/>
              <w:textAlignment w:val="auto"/>
              <w:rPr>
                <w:rFonts w:ascii="Times New Roman" w:hAnsi="Times New Roman" w:cs="Times New Roman"/>
                <w:b/>
                <w:color w:val="auto"/>
                <w:sz w:val="44"/>
                <w:szCs w:val="44"/>
              </w:rPr>
            </w:pPr>
          </w:p>
          <w:p w14:paraId="5F84129B" w14:textId="76B7ADB6" w:rsidR="0085230E" w:rsidRPr="005D3F07" w:rsidRDefault="006324E0" w:rsidP="006324E0">
            <w:pPr>
              <w:overflowPunct/>
              <w:autoSpaceDE/>
              <w:autoSpaceDN/>
              <w:adjustRightInd/>
              <w:ind w:right="-957"/>
              <w:textAlignment w:val="auto"/>
              <w:rPr>
                <w:rFonts w:ascii="Times New Roman" w:hAnsi="Times New Roman" w:cs="Times New Roman"/>
                <w:b/>
                <w:color w:val="auto"/>
                <w:sz w:val="48"/>
              </w:rPr>
            </w:pPr>
            <w:r w:rsidRPr="00736C69">
              <w:rPr>
                <w:rFonts w:ascii="Times New Roman" w:hAnsi="Times New Roman" w:cs="Times New Roman"/>
                <w:b/>
                <w:color w:val="auto"/>
                <w:sz w:val="44"/>
                <w:szCs w:val="44"/>
              </w:rPr>
              <w:t>Cohort: 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F1064EC" w14:textId="77777777" w:rsidR="002238A2" w:rsidRPr="002D6524" w:rsidRDefault="002238A2" w:rsidP="002238A2">
            <w:pPr>
              <w:spacing w:after="120" w:line="360" w:lineRule="auto"/>
              <w:jc w:val="both"/>
              <w:rPr>
                <w:color w:val="000000" w:themeColor="text1"/>
                <w:sz w:val="24"/>
                <w:szCs w:val="24"/>
              </w:rPr>
            </w:pPr>
            <w:r w:rsidRPr="002D6524">
              <w:rPr>
                <w:color w:val="000000" w:themeColor="text1"/>
                <w:sz w:val="24"/>
                <w:szCs w:val="24"/>
              </w:rPr>
              <w:t>This discussion provides a critically reflective case study based on a safeguarding intervention involving an adult (2) with a complex learning disability. 2 relocated to Wales with her mother (3) after fleeing domestic abuse, settling in a notably transient community that is one of the most deprived areas in Wales (WG, 2019). The locality’s socioeconomic characteristics such as entrenched deprivation low income, poorer health outcomes, limited employment and community safety created conditions in which both 2 and 3 were exposed to risk. The transient nature of the area constrained informal oversight and contributed to isolation; although 3 had family nearby, she experienced loneliness, remained vulnerable to exploitation, and struggled to protect 2. In Wales, deprivation is multi-dimensional and for 2 and her family, they faced challenges accessing services and lived within an area with poor community safety and high crime rates, increasing the likelihood of exposure to risk, as seen in the relationship with 4.</w:t>
            </w:r>
          </w:p>
          <w:p w14:paraId="52FC808F" w14:textId="77777777" w:rsidR="002238A2" w:rsidRPr="002D6524" w:rsidRDefault="002238A2" w:rsidP="002238A2">
            <w:pPr>
              <w:spacing w:line="360" w:lineRule="auto"/>
              <w:jc w:val="both"/>
              <w:rPr>
                <w:color w:val="000000" w:themeColor="text1"/>
                <w:sz w:val="24"/>
                <w:szCs w:val="24"/>
              </w:rPr>
            </w:pPr>
          </w:p>
          <w:p w14:paraId="3BDCCB16" w14:textId="77777777" w:rsidR="002238A2" w:rsidRPr="002D6524" w:rsidRDefault="002238A2" w:rsidP="002238A2">
            <w:pPr>
              <w:spacing w:line="360" w:lineRule="auto"/>
              <w:jc w:val="both"/>
              <w:rPr>
                <w:color w:val="000000" w:themeColor="text1"/>
                <w:sz w:val="24"/>
                <w:szCs w:val="24"/>
              </w:rPr>
            </w:pPr>
            <w:r w:rsidRPr="002D6524">
              <w:rPr>
                <w:color w:val="000000" w:themeColor="text1"/>
                <w:sz w:val="24"/>
                <w:szCs w:val="24"/>
              </w:rPr>
              <w:lastRenderedPageBreak/>
              <w:t>My work with 2 began within a supportive context, to empower 2 and signpost to relevant organisations and partner agencies. The outcomes at this stage were to support 2 to engage in activities to develop her independent living skills. 2 wanted to go to college but would often not leave her bedroom for several days. However, during this work, 3 began a new relationship with 4. Over time, it became evident that 4 was a</w:t>
            </w:r>
            <w:r w:rsidRPr="002D6524">
              <w:rPr>
                <w:strike/>
                <w:color w:val="000000" w:themeColor="text1"/>
                <w:sz w:val="24"/>
                <w:szCs w:val="24"/>
              </w:rPr>
              <w:t xml:space="preserve"> </w:t>
            </w:r>
            <w:r w:rsidRPr="002D6524">
              <w:rPr>
                <w:color w:val="000000" w:themeColor="text1"/>
                <w:sz w:val="24"/>
                <w:szCs w:val="24"/>
              </w:rPr>
              <w:t>volatile man, with a significant history of offences, targeting vulnerable people and women. As the case progressed and risks continued to increase, the circumstances resulted in an application to the Court of Protection for an ex-</w:t>
            </w:r>
            <w:proofErr w:type="spellStart"/>
            <w:r w:rsidRPr="002D6524">
              <w:rPr>
                <w:color w:val="000000" w:themeColor="text1"/>
                <w:sz w:val="24"/>
                <w:szCs w:val="24"/>
              </w:rPr>
              <w:t>parte</w:t>
            </w:r>
            <w:proofErr w:type="spellEnd"/>
            <w:r w:rsidRPr="002D6524">
              <w:rPr>
                <w:color w:val="000000" w:themeColor="text1"/>
                <w:sz w:val="24"/>
                <w:szCs w:val="24"/>
              </w:rPr>
              <w:t xml:space="preserve"> removal order; 2 was then removed, without notice to her family, to a place of safety. This reflection will begin with an outline of key legislation before applying those in context and reflecting upon the myriad of intersecting factors that influenced the formulation of professional judgements and ultimately, decision making.</w:t>
            </w:r>
          </w:p>
          <w:p w14:paraId="2067DC5E" w14:textId="77777777" w:rsidR="002238A2" w:rsidRPr="002D6524" w:rsidRDefault="002238A2" w:rsidP="002238A2">
            <w:pPr>
              <w:spacing w:line="360" w:lineRule="auto"/>
              <w:jc w:val="both"/>
              <w:rPr>
                <w:color w:val="000000" w:themeColor="text1"/>
                <w:sz w:val="24"/>
                <w:szCs w:val="24"/>
              </w:rPr>
            </w:pPr>
          </w:p>
          <w:p w14:paraId="4B7DBFAA" w14:textId="77777777" w:rsidR="002238A2" w:rsidRPr="002D6524" w:rsidRDefault="002238A2" w:rsidP="002238A2">
            <w:pPr>
              <w:spacing w:after="120" w:line="360" w:lineRule="auto"/>
              <w:jc w:val="both"/>
              <w:rPr>
                <w:color w:val="000000" w:themeColor="text1"/>
                <w:sz w:val="24"/>
                <w:szCs w:val="24"/>
              </w:rPr>
            </w:pPr>
            <w:r w:rsidRPr="002D6524">
              <w:rPr>
                <w:color w:val="000000" w:themeColor="text1"/>
                <w:sz w:val="24"/>
                <w:szCs w:val="24"/>
              </w:rPr>
              <w:t>Safeguarding practice in Wales is governed by the Wales Safeguarding Procedures (WSP, 2025), which operationalise the Social Services and Well</w:t>
            </w:r>
            <w:r w:rsidRPr="002D6524">
              <w:rPr>
                <w:rFonts w:ascii="Cambria Math" w:hAnsi="Cambria Math" w:cs="Cambria Math"/>
                <w:color w:val="000000" w:themeColor="text1"/>
                <w:sz w:val="24"/>
                <w:szCs w:val="24"/>
              </w:rPr>
              <w:t>‑</w:t>
            </w:r>
            <w:r w:rsidRPr="002D6524">
              <w:rPr>
                <w:color w:val="000000" w:themeColor="text1"/>
                <w:sz w:val="24"/>
                <w:szCs w:val="24"/>
              </w:rPr>
              <w:t>being (Wales) Act 2014 (SSWWA, 2014). These are supported by Working Together to Safeguard People (Welsh Government, 2019), which emphasises multi</w:t>
            </w:r>
            <w:r w:rsidRPr="002D6524">
              <w:rPr>
                <w:rFonts w:ascii="Cambria Math" w:hAnsi="Cambria Math" w:cs="Cambria Math"/>
                <w:color w:val="000000" w:themeColor="text1"/>
                <w:sz w:val="24"/>
                <w:szCs w:val="24"/>
              </w:rPr>
              <w:t>‑</w:t>
            </w:r>
            <w:r w:rsidRPr="002D6524">
              <w:rPr>
                <w:color w:val="000000" w:themeColor="text1"/>
                <w:sz w:val="24"/>
                <w:szCs w:val="24"/>
              </w:rPr>
              <w:t>agency cooperation and consistent safeguarding responses. The SSWWA (2014) aligns with the Human Rights Act (HRA, 1998), notably Articles 3, 8 and 14. Its principles of voice and control, wellbeing, prevention, co</w:t>
            </w:r>
            <w:r w:rsidRPr="002D6524">
              <w:rPr>
                <w:rFonts w:ascii="Cambria Math" w:hAnsi="Cambria Math" w:cs="Cambria Math"/>
                <w:color w:val="000000" w:themeColor="text1"/>
                <w:sz w:val="24"/>
                <w:szCs w:val="24"/>
              </w:rPr>
              <w:t>‑</w:t>
            </w:r>
            <w:r w:rsidRPr="002D6524">
              <w:rPr>
                <w:color w:val="000000" w:themeColor="text1"/>
                <w:sz w:val="24"/>
                <w:szCs w:val="24"/>
              </w:rPr>
              <w:t>production and multi</w:t>
            </w:r>
            <w:r w:rsidRPr="002D6524">
              <w:rPr>
                <w:rFonts w:ascii="Cambria Math" w:hAnsi="Cambria Math" w:cs="Cambria Math"/>
                <w:color w:val="000000" w:themeColor="text1"/>
                <w:sz w:val="24"/>
                <w:szCs w:val="24"/>
              </w:rPr>
              <w:t>‑</w:t>
            </w:r>
            <w:r w:rsidRPr="002D6524">
              <w:rPr>
                <w:color w:val="000000" w:themeColor="text1"/>
                <w:sz w:val="24"/>
                <w:szCs w:val="24"/>
              </w:rPr>
              <w:t>agency working reinforce dignity, autonomy and participation. For adults with complex disabilities, the UN Convention on the Rights of Persons with Disabilities (UNCRPD) further informs rights</w:t>
            </w:r>
            <w:r w:rsidRPr="002D6524">
              <w:rPr>
                <w:rFonts w:ascii="Cambria Math" w:hAnsi="Cambria Math" w:cs="Cambria Math"/>
                <w:color w:val="000000" w:themeColor="text1"/>
                <w:sz w:val="24"/>
                <w:szCs w:val="24"/>
              </w:rPr>
              <w:t>‑</w:t>
            </w:r>
            <w:r w:rsidRPr="002D6524">
              <w:rPr>
                <w:color w:val="000000" w:themeColor="text1"/>
                <w:sz w:val="24"/>
                <w:szCs w:val="24"/>
              </w:rPr>
              <w:t xml:space="preserve">based practice and emphasises accessible, inclusive support that maintains a social model that promotes equality. </w:t>
            </w:r>
          </w:p>
          <w:p w14:paraId="322EBB78" w14:textId="77777777" w:rsidR="002238A2" w:rsidRPr="0091014E" w:rsidRDefault="002238A2" w:rsidP="002238A2">
            <w:pPr>
              <w:spacing w:after="160" w:line="360" w:lineRule="auto"/>
              <w:jc w:val="both"/>
              <w:rPr>
                <w:color w:val="000000" w:themeColor="text1"/>
                <w:sz w:val="24"/>
                <w:szCs w:val="24"/>
              </w:rPr>
            </w:pPr>
            <w:r w:rsidRPr="0091014E">
              <w:rPr>
                <w:color w:val="000000" w:themeColor="text1"/>
                <w:sz w:val="24"/>
                <w:szCs w:val="24"/>
              </w:rPr>
              <w:t>SSWWA (2014) and the WSP (2025) define an adult at risk as someone over eighteen experiencing, or at risk of, abuse or neglect who has care and support needs that render them unable to protect themselves from harm. The Equality Act (2010) further protects individuals with protected characteristics, reinforcing dignity, respect and inclusion, complementing SSWWA (2014). Regional and national safeguarding procedures emphasise consent, person</w:t>
            </w:r>
            <w:r w:rsidRPr="0091014E">
              <w:rPr>
                <w:color w:val="000000" w:themeColor="text1"/>
                <w:sz w:val="24"/>
                <w:szCs w:val="24"/>
              </w:rPr>
              <w:noBreakHyphen/>
              <w:t>centred practice and advocacy (Wales Safeguarding Board, 2023). The Mental Capacity Act (2005) provides the framework for assessment and best</w:t>
            </w:r>
            <w:r w:rsidRPr="0091014E">
              <w:rPr>
                <w:color w:val="000000" w:themeColor="text1"/>
                <w:sz w:val="24"/>
                <w:szCs w:val="24"/>
              </w:rPr>
              <w:noBreakHyphen/>
              <w:t>interest decision</w:t>
            </w:r>
            <w:r w:rsidRPr="0091014E">
              <w:rPr>
                <w:color w:val="000000" w:themeColor="text1"/>
                <w:sz w:val="24"/>
                <w:szCs w:val="24"/>
              </w:rPr>
              <w:noBreakHyphen/>
              <w:t>making, with principles of presuming capacity, supporting decision</w:t>
            </w:r>
            <w:r w:rsidRPr="0091014E">
              <w:rPr>
                <w:color w:val="000000" w:themeColor="text1"/>
                <w:sz w:val="24"/>
                <w:szCs w:val="24"/>
              </w:rPr>
              <w:noBreakHyphen/>
              <w:t xml:space="preserve">making, </w:t>
            </w:r>
            <w:r w:rsidRPr="0091014E">
              <w:rPr>
                <w:color w:val="000000" w:themeColor="text1"/>
                <w:sz w:val="24"/>
                <w:szCs w:val="24"/>
              </w:rPr>
              <w:lastRenderedPageBreak/>
              <w:t>recognising unwise decisions and taking the least</w:t>
            </w:r>
            <w:r w:rsidRPr="0091014E">
              <w:rPr>
                <w:color w:val="000000" w:themeColor="text1"/>
                <w:sz w:val="24"/>
                <w:szCs w:val="24"/>
              </w:rPr>
              <w:noBreakHyphen/>
              <w:t>restrictive option guiding my interventions. The Welsh Language Measure (2011) is important in safeguarding, promoting dignity through effective communication. Interventions and assessments must strengthen individuals’ communication needs and identity; failure to do so undermines information integrity and decision</w:t>
            </w:r>
            <w:r w:rsidRPr="0091014E">
              <w:rPr>
                <w:color w:val="000000" w:themeColor="text1"/>
                <w:sz w:val="24"/>
                <w:szCs w:val="24"/>
              </w:rPr>
              <w:noBreakHyphen/>
              <w:t>making. The Active Offer (Welsh Government, 2015) enables people to communicate in their preferred language without asking, supporting person</w:t>
            </w:r>
            <w:r w:rsidRPr="0091014E">
              <w:rPr>
                <w:color w:val="000000" w:themeColor="text1"/>
                <w:sz w:val="24"/>
                <w:szCs w:val="24"/>
              </w:rPr>
              <w:noBreakHyphen/>
              <w:t>centred practice, voice and control. For people with a learning disability, the importance of communication is heightened due to increased vulnerabilities.</w:t>
            </w:r>
          </w:p>
          <w:p w14:paraId="45DAB4D9" w14:textId="77777777" w:rsidR="002238A2" w:rsidRPr="002D6524" w:rsidRDefault="002238A2" w:rsidP="002238A2">
            <w:pPr>
              <w:spacing w:line="360" w:lineRule="auto"/>
              <w:jc w:val="both"/>
              <w:rPr>
                <w:color w:val="000000" w:themeColor="text1"/>
                <w:sz w:val="24"/>
                <w:szCs w:val="24"/>
              </w:rPr>
            </w:pPr>
            <w:r w:rsidRPr="002D6524">
              <w:rPr>
                <w:color w:val="000000" w:themeColor="text1"/>
                <w:sz w:val="24"/>
                <w:szCs w:val="24"/>
              </w:rPr>
              <w:t>There are differences within global contexts, for example, in North America, there remains disparities between states upon how people with a learning disability are supported. In many cases, court appointed guardianships are still commonly used whereby someone will make decisions for the vulnerable adult. This differs from the EU rights approach and regional and national frameworks promoting voice, control and participation. However, through development of Adult Protective Services, multi-agency responses that recognise intersectionality of risks create a safeguarding arena (Administration for Community Living, 2016) that begins to align with a HRA (1998) approach as well as some of the core principles within the SSWWA (2014). Despite the global narrative working to provide consensus, this is highly impacted by demographics, economic status, culture, beliefs and systemic agendas (Duffy et al, 2025). In the absence of a globally recognised definition of abuse and safeguarding thresholds, variations in responses and policies persist.</w:t>
            </w:r>
          </w:p>
          <w:p w14:paraId="7258C2E5" w14:textId="77777777" w:rsidR="002238A2" w:rsidRPr="002D6524" w:rsidRDefault="002238A2" w:rsidP="002238A2">
            <w:pPr>
              <w:spacing w:before="100" w:beforeAutospacing="1" w:after="100" w:afterAutospacing="1" w:line="360" w:lineRule="auto"/>
              <w:jc w:val="both"/>
              <w:rPr>
                <w:color w:val="000000" w:themeColor="text1"/>
                <w:sz w:val="24"/>
                <w:szCs w:val="24"/>
              </w:rPr>
            </w:pPr>
            <w:r w:rsidRPr="002D6524">
              <w:rPr>
                <w:color w:val="000000" w:themeColor="text1"/>
                <w:sz w:val="24"/>
                <w:szCs w:val="24"/>
              </w:rPr>
              <w:t>Effective safeguarding systems place the individual at the centre of care and support (WSP, 2025). In this case, complex family dynamics created a multi</w:t>
            </w:r>
            <w:r w:rsidRPr="002D6524">
              <w:rPr>
                <w:color w:val="000000" w:themeColor="text1"/>
                <w:sz w:val="24"/>
                <w:szCs w:val="24"/>
              </w:rPr>
              <w:noBreakHyphen/>
              <w:t>agency context with competing needs and, at times, conflicting procedural priorities. I adopted a whole</w:t>
            </w:r>
            <w:r w:rsidRPr="002D6524">
              <w:rPr>
                <w:color w:val="000000" w:themeColor="text1"/>
                <w:sz w:val="24"/>
                <w:szCs w:val="24"/>
              </w:rPr>
              <w:noBreakHyphen/>
              <w:t xml:space="preserve">family approach aligned with systems theory (Payne, 2020), viewing the family as an interconnected system where changes in one part influence the whole. This guided my early assessment work, particularly when mapping circular patterns of behaviour between 2, 3 and later 4. For example, I recognised that 3’s fluctuating engagement with services directly affected 2’s emotional regulation, presentation, and willingness to attend activities. This systemic lens supported my professional judgement, helping me distinguish individual behaviour from behaviour shaped by relational dynamics. Although 2’s withdrawal initially appeared </w:t>
            </w:r>
            <w:r w:rsidRPr="002D6524">
              <w:rPr>
                <w:color w:val="000000" w:themeColor="text1"/>
                <w:sz w:val="24"/>
                <w:szCs w:val="24"/>
              </w:rPr>
              <w:lastRenderedPageBreak/>
              <w:t>preference</w:t>
            </w:r>
            <w:r w:rsidRPr="002D6524">
              <w:rPr>
                <w:color w:val="000000" w:themeColor="text1"/>
                <w:sz w:val="24"/>
                <w:szCs w:val="24"/>
              </w:rPr>
              <w:noBreakHyphen/>
              <w:t>based, multi</w:t>
            </w:r>
            <w:r w:rsidRPr="002D6524">
              <w:rPr>
                <w:color w:val="000000" w:themeColor="text1"/>
                <w:sz w:val="24"/>
                <w:szCs w:val="24"/>
              </w:rPr>
              <w:noBreakHyphen/>
              <w:t xml:space="preserve">agency exploration revealed that it intensified during conflict between 3 and 4. This shifted my intervention from motivating 2 in isolation to addressing relationship tensions through joint safety planning. Bronfenbrenner’s (1979) ecological systems theory further informed my analysis. At the micro level, I explored the mother–daughter relationship; at the </w:t>
            </w:r>
            <w:proofErr w:type="spellStart"/>
            <w:r w:rsidRPr="002D6524">
              <w:rPr>
                <w:color w:val="000000" w:themeColor="text1"/>
                <w:sz w:val="24"/>
                <w:szCs w:val="24"/>
              </w:rPr>
              <w:t>meso</w:t>
            </w:r>
            <w:proofErr w:type="spellEnd"/>
            <w:r w:rsidRPr="002D6524">
              <w:rPr>
                <w:color w:val="000000" w:themeColor="text1"/>
                <w:sz w:val="24"/>
                <w:szCs w:val="24"/>
              </w:rPr>
              <w:t xml:space="preserve"> level, I strengthened communication with day</w:t>
            </w:r>
            <w:r w:rsidRPr="002D6524">
              <w:rPr>
                <w:color w:val="000000" w:themeColor="text1"/>
                <w:sz w:val="24"/>
                <w:szCs w:val="24"/>
              </w:rPr>
              <w:noBreakHyphen/>
              <w:t>service staff to support consistent risk monitoring; and at the macro level, recognising deprivation and local crime helped contextualise 2’s exploitation risks and justified escalating concerns to a multi</w:t>
            </w:r>
            <w:r w:rsidRPr="002D6524">
              <w:rPr>
                <w:color w:val="000000" w:themeColor="text1"/>
                <w:sz w:val="24"/>
                <w:szCs w:val="24"/>
              </w:rPr>
              <w:noBreakHyphen/>
              <w:t>agency strategy meeting.</w:t>
            </w:r>
          </w:p>
          <w:p w14:paraId="5239B1C4" w14:textId="77777777" w:rsidR="002238A2" w:rsidRPr="002D6524" w:rsidRDefault="002238A2" w:rsidP="002238A2">
            <w:pPr>
              <w:overflowPunct/>
              <w:autoSpaceDE/>
              <w:autoSpaceDN/>
              <w:adjustRightInd/>
              <w:spacing w:before="100" w:beforeAutospacing="1" w:after="100" w:afterAutospacing="1" w:line="360" w:lineRule="auto"/>
              <w:jc w:val="both"/>
              <w:textAlignment w:val="auto"/>
              <w:rPr>
                <w:color w:val="000000" w:themeColor="text1"/>
                <w:sz w:val="24"/>
                <w:szCs w:val="24"/>
              </w:rPr>
            </w:pPr>
            <w:r w:rsidRPr="002D6524">
              <w:rPr>
                <w:color w:val="000000" w:themeColor="text1"/>
                <w:sz w:val="24"/>
                <w:szCs w:val="24"/>
              </w:rPr>
              <w:t>The Wales Safeguarding Procedures (2025) emphasise understanding personal outcomes, clear communication, professional curiosity, and early intervention to prevent escalation. Professionals must remain vigilant to signs of abuse and share information promptly. In this case, police attended a domestic incident involving 2 during an altercation between 3 and 4. Despite regional guidance requiring immediate reporting to the local authority (Wales Safeguarding Board, 2020), this did not occur, causing delays that increased risks to 2 and highlighting weaknesses in inter</w:t>
            </w:r>
            <w:r w:rsidRPr="002D6524">
              <w:rPr>
                <w:color w:val="000000" w:themeColor="text1"/>
                <w:sz w:val="24"/>
                <w:szCs w:val="24"/>
              </w:rPr>
              <w:noBreakHyphen/>
              <w:t>agency communication. When the local authority was later alerted by a member of the public, I initiated enquiries with 3, who denied the incident, while 2 disclosed no concerns. Following my critical analysis, I recognised that lack of disclosure did not confirm safety. A crucial part of my role was managing tensions in multi</w:t>
            </w:r>
            <w:r w:rsidRPr="002D6524">
              <w:rPr>
                <w:color w:val="000000" w:themeColor="text1"/>
                <w:sz w:val="24"/>
                <w:szCs w:val="24"/>
              </w:rPr>
              <w:noBreakHyphen/>
              <w:t>agency working. This required constructive challenge and clear communication to address professional omissions and maintain shared accountability. Disguised compliance (NSPCC, 2025) was also a risk I identified, as 3 initially appeared cooperative and reassuring. However, I was aware of the need for professional curiosity and robust information sharing, emphasised by practice reviews (Wales Safeguarding Adults Board, 2020). I therefore contacted police and obtained a CID16 report naming 4, followed by a PNC request due to potential risks to a vulnerable adult. Significant concerns were identified, leading to a referral to the safeguarding team.</w:t>
            </w:r>
          </w:p>
          <w:p w14:paraId="0A659FAC" w14:textId="77777777" w:rsidR="002238A2" w:rsidRPr="002D6524" w:rsidRDefault="002238A2" w:rsidP="002238A2">
            <w:pPr>
              <w:spacing w:before="100" w:beforeAutospacing="1" w:after="100" w:afterAutospacing="1" w:line="360" w:lineRule="auto"/>
              <w:jc w:val="both"/>
              <w:rPr>
                <w:color w:val="000000" w:themeColor="text1"/>
                <w:sz w:val="24"/>
                <w:szCs w:val="24"/>
              </w:rPr>
            </w:pPr>
            <w:r w:rsidRPr="002D6524">
              <w:rPr>
                <w:color w:val="000000" w:themeColor="text1"/>
                <w:sz w:val="24"/>
                <w:szCs w:val="24"/>
              </w:rPr>
              <w:t xml:space="preserve">The safeguarding team reviewed the information and actions already taken. I had assessed 2 as lacking capacity to consent to safeguarding interventions under the MCA (2005), and both the LA safeguarding team and I identified her as an adult at risk due to her age, support needs and reduced ability to protect herself (WSP, 2025). This triggered s126 enquiries (WG, </w:t>
            </w:r>
            <w:r w:rsidRPr="002D6524">
              <w:rPr>
                <w:color w:val="000000" w:themeColor="text1"/>
                <w:sz w:val="24"/>
                <w:szCs w:val="24"/>
              </w:rPr>
              <w:lastRenderedPageBreak/>
              <w:t>2014), which confirmed reasonable cause to suspect abuse. My role at this stage was to gather and analyse information with MDT input while maintaining a person</w:t>
            </w:r>
            <w:r w:rsidRPr="002D6524">
              <w:rPr>
                <w:color w:val="000000" w:themeColor="text1"/>
                <w:sz w:val="24"/>
                <w:szCs w:val="24"/>
              </w:rPr>
              <w:noBreakHyphen/>
              <w:t>centred approach (SSWWA, 2014). I adapted communication to 2’s needs using clear language, pictures, Talking Mats and ‘emoji’ flashcards, meeting her in familiar settings with trusted staff. Work with 3 was more challenging; she was reluctant to discuss her relationship with 4 and sometimes provided inaccurate or minimising information, potentially influenced by fear, shame or anticipated consequences. As 3 had capacity, I prioritised honesty and transparency about the purpose of my enquiries, using clear, direct communication. Through multiple conversations focusing on both strengths and risks, and validating 3’s role as a parent, some barriers were reduced. This approach aligns with the Signs of Safety model (Turnell &amp; Edwards, 1999), which promotes collaborative risk assessment, highlighting strengths and jointly formulating plans.</w:t>
            </w:r>
          </w:p>
          <w:p w14:paraId="77AB396F" w14:textId="77777777" w:rsidR="002238A2" w:rsidRPr="002D6524" w:rsidRDefault="002238A2" w:rsidP="002238A2">
            <w:pPr>
              <w:spacing w:after="160" w:line="360" w:lineRule="auto"/>
              <w:jc w:val="both"/>
              <w:rPr>
                <w:color w:val="000000" w:themeColor="text1"/>
                <w:sz w:val="24"/>
                <w:szCs w:val="24"/>
              </w:rPr>
            </w:pPr>
            <w:r w:rsidRPr="002D6524">
              <w:rPr>
                <w:color w:val="000000" w:themeColor="text1"/>
                <w:sz w:val="24"/>
                <w:szCs w:val="24"/>
              </w:rPr>
              <w:t>After completing the initial s126 enquiries, I consulted with my section manager, and we jointly agreed to convene a strategy meeting with police, health, social services and probation. In line with regional safeguarding procedures, this MDT forum ensured a coordinated, person</w:t>
            </w:r>
            <w:r w:rsidRPr="002D6524">
              <w:rPr>
                <w:color w:val="000000" w:themeColor="text1"/>
                <w:sz w:val="24"/>
                <w:szCs w:val="24"/>
              </w:rPr>
              <w:noBreakHyphen/>
              <w:t>centred response and shared professional responsibility. Strong multi-agency work helps build a complete picture, prevents escalation, and identifies risks to the adult or their family at an early stage (WSP, 2025). I continued to consult with 2 ensuring planning remained grounded in what mattered to her. Following the meeting I implemented increased care and support planning, further capacity assessments, domestic abuse support, a Clare’s Law disclosure and strengthened safety measures via commissioned services. As 3’s involvement posed potential conflicts of interest, it was agreed she could not remain as 2’s advocate; therefore, I referred 2 for independent advocacy under Part 10 of the SSWBWA (2014) to ensure her voice continued to be heard throughout the process.</w:t>
            </w:r>
          </w:p>
          <w:p w14:paraId="7EC7611D" w14:textId="77777777" w:rsidR="002238A2" w:rsidRPr="002D6524" w:rsidRDefault="002238A2" w:rsidP="002238A2">
            <w:pPr>
              <w:spacing w:after="160" w:line="360" w:lineRule="auto"/>
              <w:jc w:val="both"/>
              <w:rPr>
                <w:color w:val="000000" w:themeColor="text1"/>
                <w:sz w:val="24"/>
                <w:szCs w:val="24"/>
              </w:rPr>
            </w:pPr>
            <w:r w:rsidRPr="0091014E">
              <w:rPr>
                <w:color w:val="000000" w:themeColor="text1"/>
                <w:sz w:val="24"/>
                <w:szCs w:val="24"/>
              </w:rPr>
              <w:br/>
              <w:t xml:space="preserve">The SSWWA (2014) highlights the importance of recognising language needs and embedding the Welsh Government’s Active Offer (2015), ensuring people receive services in their preferred language without needing to request it. Although Welsh language requirements were not directly applicable in this case, Active Offer principles shaped my early engagement when considering 2’s communication needs. This aligns with the Equality Act (2010), </w:t>
            </w:r>
            <w:r w:rsidRPr="0091014E">
              <w:rPr>
                <w:color w:val="000000" w:themeColor="text1"/>
                <w:sz w:val="24"/>
                <w:szCs w:val="24"/>
              </w:rPr>
              <w:lastRenderedPageBreak/>
              <w:t>promoting dignity, respect and inclusion. I tailored interventions to 2’s emotional, cognitive and communication needs. My analytical assessment recognised how her needs affected her ability to participate, enabling proportionate, sensitive planning. My approach reflected collaborative practice, adapting communication to support meaningful involvement from 2, her carers and professionals, strengthening shared understanding and coordinated decision making. These adaptations demonstrated professional judgement by ensuring practice remained rights based, lawful and responsive to 2’s circumstances (HRA, 1998). Additionally, confidentiality is fundamental in social work (Parker, 2017) and supports the right to privacy under the HRA (1998), alongside GDPR requirements (ICO, ND) and the SCW (2019) Code of Practice. However, safeguarding requires proportionate information sharing, as outlined in SSWBA (2014) and Wales Safeguarding Procedures (2025). In this case, I recognised that multi agency information sharing was essential to managing risks to 2 and ensuring care that upheld her dignity, privacy and autonomy. A challenge arose when police PNC information could not be shared with 2 or 3, limiting transparency. To address this, I supported 3 to request a Clare’s Law disclosure so she could receive the information needed to understand a</w:t>
            </w:r>
            <w:r w:rsidRPr="002D6524">
              <w:rPr>
                <w:color w:val="000000" w:themeColor="text1"/>
                <w:sz w:val="24"/>
                <w:szCs w:val="24"/>
              </w:rPr>
              <w:t>nd respond to the risks</w:t>
            </w:r>
            <w:r w:rsidRPr="0091014E">
              <w:rPr>
                <w:color w:val="000000" w:themeColor="text1"/>
                <w:sz w:val="24"/>
                <w:szCs w:val="24"/>
              </w:rPr>
              <w:t>.</w:t>
            </w:r>
            <w:r w:rsidRPr="002D6524">
              <w:rPr>
                <w:color w:val="000000" w:themeColor="text1"/>
                <w:sz w:val="24"/>
                <w:szCs w:val="24"/>
              </w:rPr>
              <w:t xml:space="preserve"> </w:t>
            </w:r>
          </w:p>
          <w:p w14:paraId="41E5973C" w14:textId="77777777" w:rsidR="002238A2" w:rsidRPr="0091014E" w:rsidRDefault="002238A2" w:rsidP="002238A2">
            <w:pPr>
              <w:spacing w:after="160" w:line="360" w:lineRule="auto"/>
              <w:jc w:val="both"/>
              <w:rPr>
                <w:color w:val="000000" w:themeColor="text1"/>
                <w:sz w:val="24"/>
                <w:szCs w:val="24"/>
              </w:rPr>
            </w:pPr>
            <w:r w:rsidRPr="0091014E">
              <w:rPr>
                <w:color w:val="000000" w:themeColor="text1"/>
                <w:sz w:val="24"/>
                <w:szCs w:val="24"/>
              </w:rPr>
              <w:t>Following the strategy meeting, I implemented care and support interventions and updated assessments in line with the SSWWA (2014). Using a crisis intervention model (Kanel, 2019), I prioritised immediate safety, stabilisation and practical problem solving. I built rapport with both 2 and 3 through active listening and clear communication to reduce anxiety and support disclosure. Using the model’s focus on assessing crisis severity, I gathered information through direct work and MDT input to identify risk triggers. The model’s goal</w:t>
            </w:r>
            <w:r w:rsidRPr="0091014E">
              <w:rPr>
                <w:color w:val="000000" w:themeColor="text1"/>
                <w:sz w:val="24"/>
                <w:szCs w:val="24"/>
              </w:rPr>
              <w:noBreakHyphen/>
              <w:t>oriented structure guided short</w:t>
            </w:r>
            <w:r w:rsidRPr="0091014E">
              <w:rPr>
                <w:color w:val="000000" w:themeColor="text1"/>
                <w:sz w:val="24"/>
                <w:szCs w:val="24"/>
              </w:rPr>
              <w:noBreakHyphen/>
              <w:t>term, solution</w:t>
            </w:r>
            <w:r w:rsidRPr="0091014E">
              <w:rPr>
                <w:color w:val="000000" w:themeColor="text1"/>
                <w:sz w:val="24"/>
                <w:szCs w:val="24"/>
              </w:rPr>
              <w:noBreakHyphen/>
              <w:t>focused planning, enabling timely and adaptive interventions within a crisis</w:t>
            </w:r>
            <w:r w:rsidRPr="0091014E">
              <w:rPr>
                <w:color w:val="000000" w:themeColor="text1"/>
                <w:sz w:val="24"/>
                <w:szCs w:val="24"/>
              </w:rPr>
              <w:noBreakHyphen/>
              <w:t>resolution framework. Remaining calm and present supported engagement and aligned with relationship</w:t>
            </w:r>
            <w:r w:rsidRPr="0091014E">
              <w:rPr>
                <w:color w:val="000000" w:themeColor="text1"/>
                <w:sz w:val="24"/>
                <w:szCs w:val="24"/>
              </w:rPr>
              <w:noBreakHyphen/>
              <w:t>based practice (Ruch et al., 2018). I co</w:t>
            </w:r>
            <w:r w:rsidRPr="0091014E">
              <w:rPr>
                <w:color w:val="000000" w:themeColor="text1"/>
                <w:sz w:val="24"/>
                <w:szCs w:val="24"/>
              </w:rPr>
              <w:noBreakHyphen/>
              <w:t xml:space="preserve">produced 2’s care and support plan by completing direct work to identify outcomes most important to her, including attending local clubs, receiving 1:1 support, maintaining relationships with her grandparents and accessing respite opportunities. This approach was consistent with duties in Part 6 of SSWWA (2014), ensuring planning was strengths based and centred on what mattered to her. Once Court of Protection proceedings commenced, I ensured any amendments were </w:t>
            </w:r>
            <w:r w:rsidRPr="0091014E">
              <w:rPr>
                <w:color w:val="000000" w:themeColor="text1"/>
                <w:sz w:val="24"/>
                <w:szCs w:val="24"/>
              </w:rPr>
              <w:lastRenderedPageBreak/>
              <w:t>taken through the Court to protect 2’s rights and maintain lawful best</w:t>
            </w:r>
            <w:r w:rsidRPr="0091014E">
              <w:rPr>
                <w:color w:val="000000" w:themeColor="text1"/>
                <w:sz w:val="24"/>
                <w:szCs w:val="24"/>
              </w:rPr>
              <w:noBreakHyphen/>
              <w:t>interest decision making. I also managed ongoing disagreements from 3 regarding placement options, using clear communication and joint meetings to support understanding while ensuring that risk reduction and safeguarding remained central. I maintained detailed records to evidence decision making, document safeguarding interventions, and demonstrate that all actions were necessary, proportionate and aligned with Welsh safeguarding legislation. This ensured that my interventions were the least restrictive option (WSP, 2025) and upheld 2’s human rights throughout the process (HRA, 1998).</w:t>
            </w:r>
          </w:p>
          <w:p w14:paraId="1FE7C2D3" w14:textId="77777777" w:rsidR="002238A2" w:rsidRPr="002D6524" w:rsidRDefault="002238A2" w:rsidP="002238A2">
            <w:pPr>
              <w:spacing w:after="160" w:line="360" w:lineRule="auto"/>
              <w:jc w:val="both"/>
              <w:rPr>
                <w:color w:val="000000" w:themeColor="text1"/>
                <w:sz w:val="24"/>
                <w:szCs w:val="24"/>
              </w:rPr>
            </w:pPr>
            <w:r w:rsidRPr="002D6524">
              <w:rPr>
                <w:color w:val="000000" w:themeColor="text1"/>
                <w:sz w:val="24"/>
                <w:szCs w:val="24"/>
              </w:rPr>
              <w:t>Anti</w:t>
            </w:r>
            <w:r w:rsidRPr="002D6524">
              <w:rPr>
                <w:color w:val="000000" w:themeColor="text1"/>
                <w:sz w:val="24"/>
                <w:szCs w:val="24"/>
              </w:rPr>
              <w:noBreakHyphen/>
              <w:t>oppressive practice (AOP) (Dominelli, 2002) framed my work by highlighting the intersectionality affecting 2 as an adult with a disability with limited power in a complex safeguarding process. Professional decision</w:t>
            </w:r>
            <w:r w:rsidRPr="002D6524">
              <w:rPr>
                <w:color w:val="000000" w:themeColor="text1"/>
                <w:sz w:val="24"/>
                <w:szCs w:val="24"/>
              </w:rPr>
              <w:noBreakHyphen/>
              <w:t>making carried significant weight, as I prepared agendas, proposed care plans and risk</w:t>
            </w:r>
            <w:r w:rsidRPr="002D6524">
              <w:rPr>
                <w:color w:val="000000" w:themeColor="text1"/>
                <w:sz w:val="24"/>
                <w:szCs w:val="24"/>
              </w:rPr>
              <w:noBreakHyphen/>
              <w:t>reduction strategies for judicial scrutiny. Throughout, 2 was consulted consistently, and the appointment of an Accredited Legal Representative (ALR) ensured that her voice was represented within proceedings. I maintained anti-oppressive practice by remaining mindful of the structural power imbalance between statutory services and 2, prioritising her voice, agency, and understanding of each intervention (Social Care Wales (SCW), 2017). I jointly developed and reviewed risk</w:t>
            </w:r>
            <w:r w:rsidRPr="002D6524">
              <w:rPr>
                <w:color w:val="000000" w:themeColor="text1"/>
                <w:sz w:val="24"/>
                <w:szCs w:val="24"/>
              </w:rPr>
              <w:noBreakHyphen/>
              <w:t>mitigation plans and documented every stage, I ensured transparency and showed that removing 2 was a last</w:t>
            </w:r>
            <w:r w:rsidRPr="002D6524">
              <w:rPr>
                <w:color w:val="000000" w:themeColor="text1"/>
                <w:sz w:val="24"/>
                <w:szCs w:val="24"/>
              </w:rPr>
              <w:noBreakHyphen/>
              <w:t>resort decision taken only after all less</w:t>
            </w:r>
            <w:r w:rsidRPr="002D6524">
              <w:rPr>
                <w:color w:val="000000" w:themeColor="text1"/>
                <w:sz w:val="24"/>
                <w:szCs w:val="24"/>
              </w:rPr>
              <w:noBreakHyphen/>
              <w:t>restrictive options had been exhausted. Alongside direct work with 2, I sought feedback from the ALR and worked collaboratively with them. This partnership</w:t>
            </w:r>
            <w:r w:rsidRPr="002D6524">
              <w:rPr>
                <w:color w:val="000000" w:themeColor="text1"/>
                <w:sz w:val="24"/>
                <w:szCs w:val="24"/>
              </w:rPr>
              <w:noBreakHyphen/>
              <w:t>based and proportional approach helped minimise the disempowering impact of safeguarding involvement while maintaining a rights</w:t>
            </w:r>
            <w:r w:rsidRPr="002D6524">
              <w:rPr>
                <w:color w:val="000000" w:themeColor="text1"/>
                <w:sz w:val="24"/>
                <w:szCs w:val="24"/>
              </w:rPr>
              <w:noBreakHyphen/>
              <w:t>focused practice, even when protective action became necessary</w:t>
            </w:r>
          </w:p>
          <w:p w14:paraId="1929CCF4" w14:textId="77777777" w:rsidR="002238A2" w:rsidRPr="002D6524" w:rsidRDefault="002238A2" w:rsidP="002238A2">
            <w:pPr>
              <w:spacing w:after="160" w:line="360" w:lineRule="auto"/>
              <w:jc w:val="both"/>
              <w:rPr>
                <w:color w:val="000000" w:themeColor="text1"/>
                <w:sz w:val="24"/>
                <w:szCs w:val="24"/>
              </w:rPr>
            </w:pPr>
          </w:p>
          <w:p w14:paraId="73A87E3C" w14:textId="77777777" w:rsidR="002238A2" w:rsidRPr="002D6524" w:rsidRDefault="002238A2" w:rsidP="002238A2">
            <w:pPr>
              <w:spacing w:after="160" w:line="360" w:lineRule="auto"/>
              <w:jc w:val="both"/>
              <w:rPr>
                <w:color w:val="000000" w:themeColor="text1"/>
                <w:sz w:val="24"/>
                <w:szCs w:val="24"/>
              </w:rPr>
            </w:pPr>
            <w:r w:rsidRPr="002D6524">
              <w:rPr>
                <w:color w:val="000000" w:themeColor="text1"/>
                <w:sz w:val="24"/>
                <w:szCs w:val="24"/>
              </w:rPr>
              <w:t xml:space="preserve">As the case progressed, MDT meetings became essential not just for information-sharing but for analysing how different professionals interpreted emerging risks and how this informed my own judgement. Although 3 initially ended her relationship with 4 and engaged with domestic abuse services, the later resumption of the relationship highlighted the limits of assuming that engagement equates to safety. This challenged me to revisit my preconceptions about coercion, change, and fluctuating risk. Multi-agency collaboration supported timely updates </w:t>
            </w:r>
            <w:r w:rsidRPr="002D6524">
              <w:rPr>
                <w:color w:val="000000" w:themeColor="text1"/>
                <w:sz w:val="24"/>
                <w:szCs w:val="24"/>
              </w:rPr>
              <w:lastRenderedPageBreak/>
              <w:t>but also required me to critically consider how each agency’s perspective shaped my assessment. Feedback from domestic abuse services helped me recognise shifts in 3’s motivation and the complexity of her withdrawal from support. This required a more reflexive, rather than procedural, approach to risk management, acknowledging barriers such as fear, dependency, and ambivalence. When risks escalated, the safeguarding team’s advice to consult legal services prompted further reflection on proportionality and the point at which least</w:t>
            </w:r>
            <w:r w:rsidRPr="002D6524">
              <w:rPr>
                <w:color w:val="000000" w:themeColor="text1"/>
                <w:sz w:val="24"/>
                <w:szCs w:val="24"/>
              </w:rPr>
              <w:noBreakHyphen/>
              <w:t>restrictive options were no longer sufficient. Working with legal services and independent counsel required me to clearly articulate the reasoning behind my professional views. Supervision and senior management support were crucial in challenging my thinking, preventing drift, and ensuring that the final position presented to the court reflected robust, accountable judgement.</w:t>
            </w:r>
          </w:p>
          <w:p w14:paraId="21FFBC95" w14:textId="77777777" w:rsidR="002238A2" w:rsidRPr="002D6524" w:rsidRDefault="002238A2" w:rsidP="002238A2">
            <w:pPr>
              <w:spacing w:after="160" w:line="360" w:lineRule="auto"/>
              <w:jc w:val="both"/>
              <w:rPr>
                <w:color w:val="000000" w:themeColor="text1"/>
                <w:sz w:val="24"/>
                <w:szCs w:val="24"/>
              </w:rPr>
            </w:pPr>
            <w:r w:rsidRPr="002D6524">
              <w:rPr>
                <w:color w:val="000000" w:themeColor="text1"/>
                <w:sz w:val="24"/>
                <w:szCs w:val="24"/>
              </w:rPr>
              <w:t>The legal advice provided was central to forming proportionate and defensible decisions, ensuring my actions aligned with statutory duties and safeguarding responsibilities. Ongoing consultation with the legal team strengthened risk analysis, clarified lawful options, and guided preparation of court applications, Counsel involvement, and ALR appointment. Through multi</w:t>
            </w:r>
            <w:r w:rsidRPr="002D6524">
              <w:rPr>
                <w:color w:val="000000" w:themeColor="text1"/>
                <w:sz w:val="24"/>
                <w:szCs w:val="24"/>
              </w:rPr>
              <w:noBreakHyphen/>
              <w:t xml:space="preserve">agency assessment, and supported by legal guidance, it was determined that </w:t>
            </w:r>
            <w:r w:rsidRPr="002D6524">
              <w:rPr>
                <w:rFonts w:eastAsiaTheme="majorEastAsia"/>
                <w:color w:val="000000" w:themeColor="text1"/>
                <w:sz w:val="24"/>
                <w:szCs w:val="24"/>
              </w:rPr>
              <w:t>2</w:t>
            </w:r>
            <w:r w:rsidRPr="002D6524">
              <w:rPr>
                <w:color w:val="000000" w:themeColor="text1"/>
                <w:sz w:val="24"/>
                <w:szCs w:val="24"/>
              </w:rPr>
              <w:t xml:space="preserve"> faced immediate risk requiring urgent removal to a place of safety. Legal advice enabled a proportionate evaluation of police powers, confirming that police involvement would be unnecessarily intrusive. This allowed for a planned, low</w:t>
            </w:r>
            <w:r w:rsidRPr="002D6524">
              <w:rPr>
                <w:color w:val="000000" w:themeColor="text1"/>
                <w:sz w:val="24"/>
                <w:szCs w:val="24"/>
              </w:rPr>
              <w:noBreakHyphen/>
              <w:t xml:space="preserve">distress conveyance in which </w:t>
            </w:r>
            <w:r w:rsidRPr="002D6524">
              <w:rPr>
                <w:rFonts w:eastAsiaTheme="majorEastAsia"/>
                <w:color w:val="000000" w:themeColor="text1"/>
                <w:sz w:val="24"/>
                <w:szCs w:val="24"/>
              </w:rPr>
              <w:t>2</w:t>
            </w:r>
            <w:r w:rsidRPr="002D6524">
              <w:rPr>
                <w:color w:val="000000" w:themeColor="text1"/>
                <w:sz w:val="24"/>
                <w:szCs w:val="24"/>
              </w:rPr>
              <w:t xml:space="preserve"> attended their usual respite and remained there safely pending further hearings.  I applied a trauma</w:t>
            </w:r>
            <w:r w:rsidRPr="002D6524">
              <w:rPr>
                <w:color w:val="000000" w:themeColor="text1"/>
                <w:sz w:val="24"/>
                <w:szCs w:val="24"/>
              </w:rPr>
              <w:noBreakHyphen/>
              <w:t>informed approach throughout the safeguarding enquiries, guided by Levenson’s (2017) framework which emphasises safety, trust, choice, collaboration, and empowerment (SCW, 2017). I was mindful that 2 could be triggered by unpredictable changes, unfamiliar environments, rapid questions, or communication demands that created pressure, carrying potential to evoke fear, loss of control, or past traumatic responses. To reduce these risks, I focused on creating emotional and environmental safety: maintaining familiar routines, using consistent openings, pacing interactions slowly, and preparing 2 for each step to promote predictability. I used Talking Mats and co</w:t>
            </w:r>
            <w:r w:rsidRPr="002D6524">
              <w:rPr>
                <w:color w:val="000000" w:themeColor="text1"/>
                <w:sz w:val="24"/>
                <w:szCs w:val="24"/>
              </w:rPr>
              <w:noBreakHyphen/>
              <w:t xml:space="preserve">created pictorial stories to offer control and reduce cognitive load (SCW, 2017).  My approach strengthened her regulation, reduced visible stress, and ensured her views meaningfully shaped proportionate interventions. In future, I </w:t>
            </w:r>
            <w:r w:rsidRPr="002D6524">
              <w:rPr>
                <w:color w:val="000000" w:themeColor="text1"/>
                <w:sz w:val="24"/>
                <w:szCs w:val="24"/>
              </w:rPr>
              <w:lastRenderedPageBreak/>
              <w:t>would further co</w:t>
            </w:r>
            <w:r w:rsidRPr="002D6524">
              <w:rPr>
                <w:color w:val="000000" w:themeColor="text1"/>
                <w:sz w:val="24"/>
                <w:szCs w:val="24"/>
              </w:rPr>
              <w:noBreakHyphen/>
              <w:t>produce safety cues and communication plans at the outset to enhance trauma</w:t>
            </w:r>
            <w:r w:rsidRPr="002D6524">
              <w:rPr>
                <w:color w:val="000000" w:themeColor="text1"/>
                <w:sz w:val="24"/>
                <w:szCs w:val="24"/>
              </w:rPr>
              <w:noBreakHyphen/>
              <w:t xml:space="preserve">informed practice (Levenson, 2017). As a part of the application, maintenance of meaningful contact with her family during the period of removal was ensured, to reduce the impact upon 2 and promote her wishes. The protection-autonomy paradox (Ferguson, 2011) was challenging at this stage, balancing empowerment with the need for protection. To promote 2’s autonomy and empowerment within this stage of the case, I worked with her to create life story books for each step, utilising pictures and emotions within craft activities. 2 then co-produced her story as it was unfolding, helping her navigate the process. This tool was also used to ensure her support team had a positive means of communicating with her about what was happening and information was consistent and clear. </w:t>
            </w:r>
          </w:p>
          <w:p w14:paraId="6AF27279" w14:textId="77777777" w:rsidR="002238A2" w:rsidRPr="002D6524" w:rsidRDefault="002238A2" w:rsidP="002238A2">
            <w:pPr>
              <w:spacing w:line="360" w:lineRule="auto"/>
              <w:jc w:val="both"/>
              <w:rPr>
                <w:color w:val="000000" w:themeColor="text1"/>
                <w:sz w:val="24"/>
                <w:szCs w:val="24"/>
              </w:rPr>
            </w:pPr>
            <w:r w:rsidRPr="002D6524">
              <w:rPr>
                <w:color w:val="000000" w:themeColor="text1"/>
                <w:sz w:val="24"/>
                <w:szCs w:val="24"/>
              </w:rPr>
              <w:t xml:space="preserve">As a practitioner, within the early stages of enquiry there was a recurrent reflection upon care and control. The safeguarding team provided guidance about initial steps, such as referrals through domestic abuse services, multi-agency working, and capacity assessments. This period of case work emphasised the power held by professionals within this context.  Conversations, at times, felt like ultimatums were being provided which highlighted a real conflict between care and control.  Voluntary engagement at this stage required continued relationship-based practice (Ruch, 2018), whilst simultaneously outlining that failure to comply would result in court proceedings; at which stage the Court of Protection would be outlining all requirements for all parties. While maintaining transparency arguably works towards maintaining trust and confidence (SCW, 2017), the legal proceedings, particularly the initial hearing on a without notice basis, created a great sense of mistrust from 3. 2 was removed from her care within proceedings that she was unaware of, and I had to inform her via telephone. In addition to this, upon removal to safety, 3 was then issued with the full bundle of information from the first hearing, inclusive of my witness statement. The statement was extensive and included multiple case notes from visits and observations. While I had always been thoughtful about how I recorded information and ensured I maintained accountability for the quality of my work (SCW, 2017), for such an emotive and traumatic experience, it was difficult for 3 to see all this information on paper. I had been transparent with 3 throughout my interventions that I have to record and document my work and observations; both positive and negative. I utilised this within practice to encourage 3 to take the steps required to safeguard </w:t>
            </w:r>
            <w:r w:rsidRPr="002D6524">
              <w:rPr>
                <w:color w:val="000000" w:themeColor="text1"/>
                <w:sz w:val="24"/>
                <w:szCs w:val="24"/>
              </w:rPr>
              <w:lastRenderedPageBreak/>
              <w:t xml:space="preserve">2, explaining that I would be able to evidence the progress she had made. I used relationship-based practice (Ruch, 2018) to inform my approach by balancing the anxiety 3 held about negative information being recorded, promoting trust for her to share openly with me. This created a space whereby 3 worked with me through navigating risks and implementing additional measures. This aspect of the case presented challenges in that 3 did not share my assessed view of the risks posed. Their approach was to keep 2 safe by limiting her choices and assuming she could not understand and communicate her views. This conflicted with my person centred, rights based and supported decision-making approach that emphasised autonomy and 2’s voice. I managed this by outlining clear boundaries surrounding the principles of the MCA (2005). Also, utilising separate sessions with 2 ensured she could express her views without pressure; communicating this clearly and transparently with 3 helped to manage potential conflict. </w:t>
            </w:r>
          </w:p>
          <w:p w14:paraId="721E7DB2" w14:textId="77777777" w:rsidR="002238A2" w:rsidRPr="002D6524" w:rsidRDefault="002238A2" w:rsidP="002238A2">
            <w:pPr>
              <w:spacing w:line="360" w:lineRule="auto"/>
              <w:jc w:val="both"/>
              <w:rPr>
                <w:color w:val="000000" w:themeColor="text1"/>
                <w:sz w:val="24"/>
                <w:szCs w:val="24"/>
              </w:rPr>
            </w:pPr>
            <w:r w:rsidRPr="002D6524">
              <w:rPr>
                <w:color w:val="000000" w:themeColor="text1"/>
                <w:sz w:val="24"/>
                <w:szCs w:val="24"/>
              </w:rPr>
              <w:t>The Social GGRRAAACCEEESSS model (Burnham, 2012) was an important reflexive tool, helping me consider how identity, power and social context shaped my practice and the application of legal frameworks throughout this case. Social Work in Wales emphasises person</w:t>
            </w:r>
            <w:r w:rsidRPr="002D6524">
              <w:rPr>
                <w:color w:val="000000" w:themeColor="text1"/>
                <w:sz w:val="24"/>
                <w:szCs w:val="24"/>
              </w:rPr>
              <w:noBreakHyphen/>
              <w:t>led practice, recognising individuals as experts in their own lives. In line with this, I worked creatively to promote 2’s communication so that her voice and what mattered to her remained central, while also meeting statutory duties. The model helped me reflect on my own identity alongside that of 2, 3 and 4, and how these intersected within our interactions. The family experienced socio</w:t>
            </w:r>
            <w:r w:rsidRPr="002D6524">
              <w:rPr>
                <w:color w:val="000000" w:themeColor="text1"/>
                <w:sz w:val="24"/>
                <w:szCs w:val="24"/>
              </w:rPr>
              <w:noBreakHyphen/>
              <w:t>economic disadvantage; 3 was unemployed, on a low income and living in a deprived area, which influenced their experiences and exacerbated vulnerability (Welsh Index of Multiple Deprivation (WIMD), 2025). I was also aware of how my professional role, age, physical ability and class created power imbalances, while shared traits such as being a single parent, similar educational experiences, and neutral faith beliefs supported rapport. These similarities felt more comfortable than aspects of difference, which required more conscious self-reflection. With 2, social difference felt less pronounced, but I remained mindful of her cognitive needs and focused on building a relationship that supported learning, resilience and wellbeing. Drawing on social pedagogy (</w:t>
            </w:r>
            <w:proofErr w:type="spellStart"/>
            <w:r w:rsidRPr="002D6524">
              <w:rPr>
                <w:color w:val="000000" w:themeColor="text1"/>
                <w:sz w:val="24"/>
                <w:szCs w:val="24"/>
              </w:rPr>
              <w:t>Charfe</w:t>
            </w:r>
            <w:proofErr w:type="spellEnd"/>
            <w:r w:rsidRPr="002D6524">
              <w:rPr>
                <w:color w:val="000000" w:themeColor="text1"/>
                <w:sz w:val="24"/>
                <w:szCs w:val="24"/>
              </w:rPr>
              <w:t>, 2019), my work with 2 emphasised empowerment, helping her develop confidence, autonomy and a sense of belonging beyond the parent</w:t>
            </w:r>
            <w:r w:rsidRPr="002D6524">
              <w:rPr>
                <w:color w:val="000000" w:themeColor="text1"/>
                <w:sz w:val="24"/>
                <w:szCs w:val="24"/>
              </w:rPr>
              <w:noBreakHyphen/>
              <w:t xml:space="preserve">child dynamic. Safeguarding interventions increasingly shifted towards supporting 2’s future goals, rather than concentrating solely on current crisis. As a </w:t>
            </w:r>
            <w:r w:rsidRPr="002D6524">
              <w:rPr>
                <w:color w:val="000000" w:themeColor="text1"/>
                <w:sz w:val="24"/>
                <w:szCs w:val="24"/>
              </w:rPr>
              <w:lastRenderedPageBreak/>
              <w:t>result, 2 moved into supported living with peers, enrolled in a second college course, secured employment and formed positive relationships. These outcomes promoted both her human rights and her rights as a disabled person (HRA, 1998, UNCRPD, 2009). These achievements were secured through court approval, following my research into suitable placements and the presentation of a balance</w:t>
            </w:r>
            <w:r w:rsidRPr="002D6524">
              <w:rPr>
                <w:color w:val="000000" w:themeColor="text1"/>
                <w:sz w:val="24"/>
                <w:szCs w:val="24"/>
              </w:rPr>
              <w:noBreakHyphen/>
              <w:t>sheet and best</w:t>
            </w:r>
            <w:r w:rsidRPr="002D6524">
              <w:rPr>
                <w:color w:val="000000" w:themeColor="text1"/>
                <w:sz w:val="24"/>
                <w:szCs w:val="24"/>
              </w:rPr>
              <w:noBreakHyphen/>
              <w:t>interest analysis. Once approved, I coordinated a transition plan with 2, 3 and 2’s grandparents, ensuring her family were involved in preparing her new room and that trusted staff supported a period of settling</w:t>
            </w:r>
            <w:r w:rsidRPr="002D6524">
              <w:rPr>
                <w:color w:val="000000" w:themeColor="text1"/>
                <w:sz w:val="24"/>
                <w:szCs w:val="24"/>
              </w:rPr>
              <w:noBreakHyphen/>
              <w:t xml:space="preserve">in visits. </w:t>
            </w:r>
          </w:p>
          <w:p w14:paraId="16C90BAE" w14:textId="77777777" w:rsidR="002238A2" w:rsidRPr="002D6524" w:rsidRDefault="002238A2" w:rsidP="002238A2">
            <w:pPr>
              <w:spacing w:after="160" w:line="360" w:lineRule="auto"/>
              <w:jc w:val="both"/>
              <w:rPr>
                <w:color w:val="000000" w:themeColor="text1"/>
                <w:sz w:val="24"/>
                <w:szCs w:val="24"/>
              </w:rPr>
            </w:pPr>
            <w:r w:rsidRPr="002D6524">
              <w:rPr>
                <w:color w:val="000000" w:themeColor="text1"/>
                <w:sz w:val="24"/>
                <w:szCs w:val="24"/>
              </w:rPr>
              <w:t>As part of the safeguarding enquiries, I completed several assessments that required a person</w:t>
            </w:r>
            <w:r w:rsidRPr="002D6524">
              <w:rPr>
                <w:color w:val="000000" w:themeColor="text1"/>
                <w:sz w:val="24"/>
                <w:szCs w:val="24"/>
              </w:rPr>
              <w:noBreakHyphen/>
              <w:t>centred and rights</w:t>
            </w:r>
            <w:r w:rsidRPr="002D6524">
              <w:rPr>
                <w:color w:val="000000" w:themeColor="text1"/>
                <w:sz w:val="24"/>
                <w:szCs w:val="24"/>
              </w:rPr>
              <w:noBreakHyphen/>
              <w:t>based approach. Guided by the UNCRPD (2009), I recognised that 2’s communication barriers were environmental rather than indicative of reduced autonomy. This informed my analytical stance and prevented assumptions about capacity from shaping the assessment. To support 2’s meaningful participation, communication aids and multiple visits were necessary to enable repetition, clarification, and a deeper understanding of her lived experience, helping me identify patterns and risks, informing proportionate, tailored interventions. Working in this way ensured that I practiced collaboratively with 2. I also worked closely with the authority’s legal team to clarify statutory timescales and with my manager to reprioritise my caseload, ensuring I could commit the time required for meaningful communication. This situation demanded sustained professional judgement in a complex context. I balanced procedural pressures with the ethical need for iterative communication and critically considered how communication tools might influence responses. 2’s insights directly shaped the safeguarding plan. Co</w:t>
            </w:r>
            <w:r w:rsidRPr="002D6524">
              <w:rPr>
                <w:color w:val="000000" w:themeColor="text1"/>
                <w:sz w:val="24"/>
                <w:szCs w:val="24"/>
              </w:rPr>
              <w:noBreakHyphen/>
              <w:t>producing timelines and developing an accessible</w:t>
            </w:r>
            <w:r w:rsidRPr="002D6524">
              <w:rPr>
                <w:color w:val="000000" w:themeColor="text1"/>
                <w:sz w:val="24"/>
                <w:szCs w:val="24"/>
              </w:rPr>
              <w:noBreakHyphen/>
              <w:t>communication toolkit would strengthen future practice.</w:t>
            </w:r>
          </w:p>
          <w:p w14:paraId="39D1C8FC" w14:textId="77777777" w:rsidR="002238A2" w:rsidRPr="002D6524" w:rsidRDefault="002238A2" w:rsidP="002238A2">
            <w:pPr>
              <w:spacing w:before="100" w:beforeAutospacing="1" w:after="100" w:afterAutospacing="1" w:line="360" w:lineRule="auto"/>
              <w:jc w:val="both"/>
              <w:rPr>
                <w:color w:val="000000" w:themeColor="text1"/>
                <w:sz w:val="24"/>
                <w:szCs w:val="24"/>
              </w:rPr>
            </w:pPr>
            <w:r w:rsidRPr="002D6524">
              <w:rPr>
                <w:color w:val="000000" w:themeColor="text1"/>
                <w:sz w:val="24"/>
                <w:szCs w:val="24"/>
              </w:rPr>
              <w:t>Throughout this case, cognitive dissonance (Burke et al., 2017) was a significant challenge, creating tension between my personal values and the systemic requirements of legal processes. The LA legal team worked collaboratively with practitioners, allowing time for careful decision</w:t>
            </w:r>
            <w:r w:rsidRPr="002D6524">
              <w:rPr>
                <w:color w:val="000000" w:themeColor="text1"/>
                <w:sz w:val="24"/>
                <w:szCs w:val="24"/>
              </w:rPr>
              <w:noBreakHyphen/>
              <w:t>making and balancing procedural demands with social work ethics. However, once proceedings began, legal processes inevitably took precedence. Despite my efforts to build trust and maintain transparency, court involvement shifted power dynamics and conflicted with person</w:t>
            </w:r>
            <w:r w:rsidRPr="002D6524">
              <w:rPr>
                <w:color w:val="000000" w:themeColor="text1"/>
                <w:sz w:val="24"/>
                <w:szCs w:val="24"/>
              </w:rPr>
              <w:noBreakHyphen/>
              <w:t xml:space="preserve">centred practice, often feeling that family voices became less visible. Systems theory (Payne, 2020) reflects this conflict well: as a practitioner within one </w:t>
            </w:r>
            <w:r w:rsidRPr="002D6524">
              <w:rPr>
                <w:color w:val="000000" w:themeColor="text1"/>
                <w:sz w:val="24"/>
                <w:szCs w:val="24"/>
              </w:rPr>
              <w:lastRenderedPageBreak/>
              <w:t>subsystem, I felt positioned between professional expectations, evidence, thresholds, and risk mitigation and 2 and 3’s desire for family unity, while wider macro</w:t>
            </w:r>
            <w:r w:rsidRPr="002D6524">
              <w:rPr>
                <w:color w:val="000000" w:themeColor="text1"/>
                <w:sz w:val="24"/>
                <w:szCs w:val="24"/>
              </w:rPr>
              <w:noBreakHyphen/>
              <w:t>systems necessitated removal.  Reflecting critically, applying systems theory helped me avoid an overly individualistic interpretation of risk and ensured that my assessment captured relational and environmental influences. However, the approach also had limitations. While systems theory supported holistic analysis, it did not provide clear direction when family members offered conflicting narratives or where disguised compliance was present. In those moments, I balanced systemic understanding with professional scepticism and drew on safeguarding procedures and risk</w:t>
            </w:r>
            <w:r w:rsidRPr="002D6524">
              <w:rPr>
                <w:color w:val="000000" w:themeColor="text1"/>
                <w:sz w:val="24"/>
                <w:szCs w:val="24"/>
              </w:rPr>
              <w:noBreakHyphen/>
              <w:t>assessment frameworks. Despite limitations, utilising systems theory strengthened my decision</w:t>
            </w:r>
            <w:r w:rsidRPr="002D6524">
              <w:rPr>
                <w:color w:val="000000" w:themeColor="text1"/>
                <w:sz w:val="24"/>
                <w:szCs w:val="24"/>
              </w:rPr>
              <w:noBreakHyphen/>
              <w:t>making, ensuring that interventions were grounded in a comprehensive understanding of interconnected factors shaping 2’s vulnerabilities.</w:t>
            </w:r>
          </w:p>
          <w:p w14:paraId="40183CEB" w14:textId="77777777" w:rsidR="002238A2" w:rsidRPr="002D6524" w:rsidRDefault="002238A2" w:rsidP="002238A2">
            <w:pPr>
              <w:spacing w:before="100" w:beforeAutospacing="1" w:after="100" w:afterAutospacing="1" w:line="360" w:lineRule="auto"/>
              <w:jc w:val="both"/>
              <w:rPr>
                <w:color w:val="000000" w:themeColor="text1"/>
                <w:sz w:val="24"/>
                <w:szCs w:val="24"/>
              </w:rPr>
            </w:pPr>
            <w:r w:rsidRPr="002D6524">
              <w:rPr>
                <w:color w:val="000000" w:themeColor="text1"/>
                <w:sz w:val="24"/>
                <w:szCs w:val="24"/>
              </w:rPr>
              <w:t>Supervision and support from management, legal colleagues, health professionals and support providers enabled my reflective exploration of the emotional and ethical complexities involved. I used these spaces to discuss openly the influence of my own values and strengthen confidence in navigating legal and ethical tensions. This learning will support more anticipatory planning, earlier legal consultation and improved transparency in future complex cases. This aligns closely with the SHARE model (Maclean, 2018), which supports defensible, evidence</w:t>
            </w:r>
            <w:r w:rsidRPr="002D6524">
              <w:rPr>
                <w:color w:val="000000" w:themeColor="text1"/>
                <w:sz w:val="24"/>
                <w:szCs w:val="24"/>
              </w:rPr>
              <w:noBreakHyphen/>
              <w:t>based practice. My reflections on this case stressed the interplay between risk, relationships and legal processes. I considered the emotional weight of systemic decisions, particularly the ex</w:t>
            </w:r>
            <w:r w:rsidRPr="002D6524">
              <w:rPr>
                <w:color w:val="000000" w:themeColor="text1"/>
                <w:sz w:val="24"/>
                <w:szCs w:val="24"/>
              </w:rPr>
              <w:noBreakHyphen/>
            </w:r>
            <w:proofErr w:type="spellStart"/>
            <w:r w:rsidRPr="002D6524">
              <w:rPr>
                <w:color w:val="000000" w:themeColor="text1"/>
                <w:sz w:val="24"/>
                <w:szCs w:val="24"/>
              </w:rPr>
              <w:t>parte</w:t>
            </w:r>
            <w:proofErr w:type="spellEnd"/>
            <w:r w:rsidRPr="002D6524">
              <w:rPr>
                <w:color w:val="000000" w:themeColor="text1"/>
                <w:sz w:val="24"/>
                <w:szCs w:val="24"/>
              </w:rPr>
              <w:t xml:space="preserve"> removal, on the family’s sense of agency and trust. I consistently heard the family’s hopes, strengths and priorities, including their desire to remain together and spend meaningful time as a unit. I worked to incorporate these wishes wherever safe and feasible in line with the </w:t>
            </w:r>
            <w:proofErr w:type="spellStart"/>
            <w:r w:rsidRPr="002D6524">
              <w:rPr>
                <w:color w:val="000000" w:themeColor="text1"/>
                <w:sz w:val="24"/>
                <w:szCs w:val="24"/>
              </w:rPr>
              <w:t>CoPP</w:t>
            </w:r>
            <w:proofErr w:type="spellEnd"/>
            <w:r w:rsidRPr="002D6524">
              <w:rPr>
                <w:color w:val="000000" w:themeColor="text1"/>
                <w:sz w:val="24"/>
                <w:szCs w:val="24"/>
              </w:rPr>
              <w:t xml:space="preserve"> (SCW, 2017). I was also aware of my own internal dialogue as a mother and a practitioner committed to transparency, alongside the concerns of colleagues and the legal</w:t>
            </w:r>
            <w:r w:rsidRPr="002D6524">
              <w:rPr>
                <w:color w:val="000000" w:themeColor="text1"/>
                <w:sz w:val="24"/>
                <w:szCs w:val="24"/>
              </w:rPr>
              <w:noBreakHyphen/>
              <w:t xml:space="preserve">ethical tensions that emerged. </w:t>
            </w:r>
          </w:p>
          <w:p w14:paraId="7CE5E73F" w14:textId="77777777" w:rsidR="002238A2" w:rsidRPr="002D6524" w:rsidRDefault="002238A2" w:rsidP="002238A2">
            <w:pPr>
              <w:spacing w:before="100" w:beforeAutospacing="1" w:after="100" w:afterAutospacing="1" w:line="360" w:lineRule="auto"/>
              <w:jc w:val="both"/>
              <w:rPr>
                <w:color w:val="000000" w:themeColor="text1"/>
                <w:sz w:val="24"/>
                <w:szCs w:val="24"/>
              </w:rPr>
            </w:pPr>
            <w:r w:rsidRPr="002D6524">
              <w:rPr>
                <w:color w:val="000000" w:themeColor="text1"/>
                <w:sz w:val="24"/>
                <w:szCs w:val="24"/>
              </w:rPr>
              <w:t>Throughout the case, multi</w:t>
            </w:r>
            <w:r w:rsidRPr="002D6524">
              <w:rPr>
                <w:color w:val="000000" w:themeColor="text1"/>
                <w:sz w:val="24"/>
                <w:szCs w:val="24"/>
              </w:rPr>
              <w:noBreakHyphen/>
              <w:t xml:space="preserve">agency collaboration was essential to ensure decisions were proportionate, informed and grounded in shared understanding of risk. Engagement from legal teams, health professionals and advocacy services helped mitigate the isolating impact of statutory intervention and ensured that 2’s voice remained central despite her limited capacity. This also ensured that my direct insight into the family was balanced with broader expertise. </w:t>
            </w:r>
            <w:r w:rsidRPr="002D6524">
              <w:rPr>
                <w:color w:val="000000" w:themeColor="text1"/>
                <w:sz w:val="24"/>
                <w:szCs w:val="24"/>
              </w:rPr>
              <w:lastRenderedPageBreak/>
              <w:t>Using tools such as Talking Mats and the appointment of an ALR reinforced inclusive, person</w:t>
            </w:r>
            <w:r w:rsidRPr="002D6524">
              <w:rPr>
                <w:color w:val="000000" w:themeColor="text1"/>
                <w:sz w:val="24"/>
                <w:szCs w:val="24"/>
              </w:rPr>
              <w:noBreakHyphen/>
              <w:t xml:space="preserve">centred practice, particularly in the context of complex communication needs. I would benefit from further development in navigating legal and complex cases where communication and cognitive abilities are impaired. I recognise that 2’s circumstances are individual to her and that future cases will bring different challenges. Exploring case law, research and shadowing opportunities within specialist teams would broaden my skills and enhance my confidence in future practice. </w:t>
            </w:r>
          </w:p>
          <w:p w14:paraId="1AE560F6" w14:textId="77777777" w:rsidR="002238A2" w:rsidRPr="002D6524" w:rsidRDefault="002238A2" w:rsidP="002238A2">
            <w:pPr>
              <w:spacing w:after="160" w:line="360" w:lineRule="auto"/>
              <w:jc w:val="both"/>
              <w:rPr>
                <w:color w:val="000000" w:themeColor="text1"/>
                <w:sz w:val="24"/>
                <w:szCs w:val="24"/>
              </w:rPr>
            </w:pPr>
            <w:r w:rsidRPr="002D6524">
              <w:rPr>
                <w:color w:val="000000" w:themeColor="text1"/>
                <w:sz w:val="24"/>
                <w:szCs w:val="24"/>
              </w:rPr>
              <w:t>Critically, this case highlighted the emotional and ethical tensions that arise when professional values, such as empowerment, autonomy, and anti-oppressive practice are challenged by systemic constraints. The experience has reinforced the importance of professional curiosity, reflective supervision, and ethical decision-making in safeguarding work. This case will inform future practice, deepening my commitment to advocacy, transparency, and relational integrity, even when navigating the most challenging safeguarding scenarios. Ultimately, safeguarding is not only about protection from harm but also about promoting dignity, rights, and the possibility of a meaningful life, principles that must remain at the heart of social work practice</w:t>
            </w:r>
          </w:p>
          <w:p w14:paraId="6CC5879E" w14:textId="77777777" w:rsidR="002238A2" w:rsidRPr="002D6524" w:rsidRDefault="002238A2" w:rsidP="002238A2">
            <w:pPr>
              <w:spacing w:line="360" w:lineRule="auto"/>
              <w:jc w:val="both"/>
              <w:rPr>
                <w:color w:val="000000" w:themeColor="text1"/>
                <w:sz w:val="24"/>
                <w:szCs w:val="24"/>
              </w:rPr>
            </w:pPr>
          </w:p>
          <w:p w14:paraId="12DC2F24" w14:textId="545A0EFD" w:rsidR="00D3203C" w:rsidRDefault="002B0A35" w:rsidP="00FF7EBB">
            <w:pPr>
              <w:jc w:val="both"/>
              <w:rPr>
                <w:b/>
                <w:bCs/>
                <w:i/>
                <w:sz w:val="24"/>
                <w:szCs w:val="24"/>
              </w:rPr>
            </w:pPr>
            <w:r>
              <w:rPr>
                <w:b/>
                <w:bCs/>
                <w:i/>
                <w:sz w:val="24"/>
                <w:szCs w:val="24"/>
              </w:rPr>
              <w:t>Word Count: 43</w:t>
            </w:r>
            <w:r w:rsidR="008D3443">
              <w:rPr>
                <w:b/>
                <w:bCs/>
                <w:i/>
                <w:sz w:val="24"/>
                <w:szCs w:val="24"/>
              </w:rPr>
              <w:t>98</w:t>
            </w:r>
          </w:p>
          <w:p w14:paraId="7B0E0752" w14:textId="77777777" w:rsidR="008D3443" w:rsidRDefault="008D3443" w:rsidP="00FF7EBB">
            <w:pPr>
              <w:jc w:val="both"/>
              <w:rPr>
                <w:b/>
                <w:bCs/>
                <w:i/>
                <w:sz w:val="24"/>
                <w:szCs w:val="24"/>
              </w:rPr>
            </w:pPr>
          </w:p>
          <w:p w14:paraId="6527D44C" w14:textId="3FA5CC1B" w:rsidR="008D3443" w:rsidRDefault="008D3443" w:rsidP="00FF7EBB">
            <w:pPr>
              <w:jc w:val="both"/>
              <w:rPr>
                <w:b/>
                <w:bCs/>
                <w:i/>
                <w:sz w:val="24"/>
                <w:szCs w:val="24"/>
              </w:rPr>
            </w:pPr>
            <w:r>
              <w:rPr>
                <w:b/>
                <w:bCs/>
                <w:i/>
                <w:sz w:val="24"/>
                <w:szCs w:val="24"/>
              </w:rPr>
              <w:t xml:space="preserve">Additional references for resubmission: </w:t>
            </w:r>
          </w:p>
          <w:p w14:paraId="08775ED1" w14:textId="77777777" w:rsidR="008D3443" w:rsidRPr="002B0A35" w:rsidRDefault="008D3443" w:rsidP="00FF7EBB">
            <w:pPr>
              <w:jc w:val="both"/>
              <w:rPr>
                <w:b/>
                <w:bCs/>
                <w:i/>
                <w:sz w:val="24"/>
                <w:szCs w:val="24"/>
              </w:rPr>
            </w:pPr>
          </w:p>
          <w:p w14:paraId="1225D23D" w14:textId="121B2F21" w:rsidR="00D3203C" w:rsidRDefault="00F46A7E" w:rsidP="00FF7EBB">
            <w:pPr>
              <w:jc w:val="both"/>
              <w:rPr>
                <w:iCs/>
                <w:sz w:val="24"/>
                <w:szCs w:val="24"/>
              </w:rPr>
            </w:pPr>
            <w:r>
              <w:rPr>
                <w:iCs/>
                <w:sz w:val="24"/>
                <w:szCs w:val="24"/>
              </w:rPr>
              <w:t>Dominelli, L. (2002)</w:t>
            </w:r>
            <w:r w:rsidR="00754F17">
              <w:rPr>
                <w:iCs/>
                <w:sz w:val="24"/>
                <w:szCs w:val="24"/>
              </w:rPr>
              <w:t xml:space="preserve">. </w:t>
            </w:r>
            <w:proofErr w:type="spellStart"/>
            <w:r w:rsidR="00754F17">
              <w:rPr>
                <w:iCs/>
                <w:sz w:val="24"/>
                <w:szCs w:val="24"/>
              </w:rPr>
              <w:t>Anti Oppressive</w:t>
            </w:r>
            <w:proofErr w:type="spellEnd"/>
            <w:r w:rsidR="00754F17">
              <w:rPr>
                <w:iCs/>
                <w:sz w:val="24"/>
                <w:szCs w:val="24"/>
              </w:rPr>
              <w:t xml:space="preserve"> Social Work Theory and Practice</w:t>
            </w:r>
            <w:r w:rsidR="007F1251">
              <w:rPr>
                <w:iCs/>
                <w:sz w:val="24"/>
                <w:szCs w:val="24"/>
              </w:rPr>
              <w:t>. Basingstoke</w:t>
            </w:r>
            <w:r w:rsidR="00DD2DD1">
              <w:rPr>
                <w:iCs/>
                <w:sz w:val="24"/>
                <w:szCs w:val="24"/>
              </w:rPr>
              <w:t>: Palgrave Macmillan</w:t>
            </w:r>
          </w:p>
          <w:p w14:paraId="411886AE" w14:textId="15EE3033" w:rsidR="002404E8" w:rsidRPr="00F46A7E" w:rsidRDefault="002404E8" w:rsidP="00FF7EBB">
            <w:pPr>
              <w:jc w:val="both"/>
              <w:rPr>
                <w:iCs/>
                <w:sz w:val="24"/>
                <w:szCs w:val="24"/>
              </w:rPr>
            </w:pPr>
            <w:r>
              <w:rPr>
                <w:iCs/>
                <w:sz w:val="24"/>
                <w:szCs w:val="24"/>
              </w:rPr>
              <w:t xml:space="preserve">Ferguson, H. (2011). Child Protection Practice. Basingstoke: Palgrave Macmillan. </w:t>
            </w:r>
          </w:p>
          <w:p w14:paraId="0C1020FE" w14:textId="6A5F13BC" w:rsidR="00D3203C" w:rsidRDefault="00B25824" w:rsidP="00FF7EBB">
            <w:pPr>
              <w:jc w:val="both"/>
              <w:rPr>
                <w:iCs/>
                <w:sz w:val="24"/>
                <w:szCs w:val="24"/>
              </w:rPr>
            </w:pPr>
            <w:r>
              <w:rPr>
                <w:iCs/>
                <w:sz w:val="24"/>
                <w:szCs w:val="24"/>
              </w:rPr>
              <w:t>Kanel, K. (2019)</w:t>
            </w:r>
            <w:r w:rsidR="00083E6B">
              <w:rPr>
                <w:iCs/>
                <w:sz w:val="24"/>
                <w:szCs w:val="24"/>
              </w:rPr>
              <w:t>. A guide to crisis intervention (7</w:t>
            </w:r>
            <w:r w:rsidR="00083E6B" w:rsidRPr="00083E6B">
              <w:rPr>
                <w:iCs/>
                <w:sz w:val="24"/>
                <w:szCs w:val="24"/>
                <w:vertAlign w:val="superscript"/>
              </w:rPr>
              <w:t>th</w:t>
            </w:r>
            <w:r w:rsidR="00083E6B">
              <w:rPr>
                <w:iCs/>
                <w:sz w:val="24"/>
                <w:szCs w:val="24"/>
              </w:rPr>
              <w:t xml:space="preserve"> ed.). Lyle Stewart.</w:t>
            </w:r>
          </w:p>
          <w:p w14:paraId="3123CED8" w14:textId="624A51E0" w:rsidR="00164C2F" w:rsidRPr="00B25824" w:rsidRDefault="00164C2F" w:rsidP="00FF7EBB">
            <w:pPr>
              <w:jc w:val="both"/>
              <w:rPr>
                <w:iCs/>
                <w:sz w:val="24"/>
                <w:szCs w:val="24"/>
              </w:rPr>
            </w:pPr>
            <w:r>
              <w:rPr>
                <w:iCs/>
                <w:sz w:val="24"/>
                <w:szCs w:val="24"/>
              </w:rPr>
              <w:t>Levenson, J. (2017). Trauma informed social work practice. Social</w:t>
            </w:r>
            <w:r w:rsidR="004045EC">
              <w:rPr>
                <w:iCs/>
                <w:sz w:val="24"/>
                <w:szCs w:val="24"/>
              </w:rPr>
              <w:t xml:space="preserve"> Work, 61(2), PP. 105-113</w:t>
            </w:r>
          </w:p>
          <w:p w14:paraId="43CA65F6" w14:textId="3AB8CE1B" w:rsidR="00D3203C" w:rsidRDefault="00216F7E" w:rsidP="00FF7EBB">
            <w:pPr>
              <w:jc w:val="both"/>
              <w:rPr>
                <w:iCs/>
                <w:sz w:val="24"/>
                <w:szCs w:val="24"/>
              </w:rPr>
            </w:pPr>
            <w:r>
              <w:rPr>
                <w:iCs/>
                <w:sz w:val="24"/>
                <w:szCs w:val="24"/>
              </w:rPr>
              <w:t>Payne</w:t>
            </w:r>
            <w:r w:rsidR="00DE0D31">
              <w:rPr>
                <w:iCs/>
                <w:sz w:val="24"/>
                <w:szCs w:val="24"/>
              </w:rPr>
              <w:t xml:space="preserve">, M. (2020). How to use social work theory. Policy Press. </w:t>
            </w:r>
          </w:p>
          <w:p w14:paraId="260B388C" w14:textId="77777777" w:rsidR="008D3443" w:rsidRPr="008D3443" w:rsidRDefault="008D3443" w:rsidP="008D3443">
            <w:pPr>
              <w:jc w:val="both"/>
              <w:rPr>
                <w:iCs/>
                <w:sz w:val="24"/>
                <w:szCs w:val="24"/>
              </w:rPr>
            </w:pPr>
            <w:r w:rsidRPr="008D3443">
              <w:rPr>
                <w:iCs/>
                <w:sz w:val="24"/>
                <w:szCs w:val="24"/>
              </w:rPr>
              <w:t xml:space="preserve">Welsh Government (2025) </w:t>
            </w:r>
            <w:r w:rsidRPr="008D3443">
              <w:rPr>
                <w:i/>
                <w:iCs/>
                <w:sz w:val="24"/>
                <w:szCs w:val="24"/>
              </w:rPr>
              <w:t>Welsh Index of Multiple Deprivation (WIMD) 2025</w:t>
            </w:r>
            <w:r w:rsidRPr="008D3443">
              <w:rPr>
                <w:iCs/>
                <w:sz w:val="24"/>
                <w:szCs w:val="24"/>
              </w:rPr>
              <w:t>. Cardiff: Welsh Government.</w:t>
            </w:r>
          </w:p>
          <w:p w14:paraId="4B250345" w14:textId="77777777" w:rsidR="008D3443" w:rsidRPr="00216F7E" w:rsidRDefault="008D3443" w:rsidP="00FF7EBB">
            <w:pPr>
              <w:jc w:val="both"/>
              <w:rPr>
                <w:iCs/>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137E6" w14:textId="77777777" w:rsidR="00831161" w:rsidRDefault="00831161">
      <w:r>
        <w:separator/>
      </w:r>
    </w:p>
  </w:endnote>
  <w:endnote w:type="continuationSeparator" w:id="0">
    <w:p w14:paraId="31E7F1EB" w14:textId="77777777" w:rsidR="00831161" w:rsidRDefault="00831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649C5712" w:rsidR="00A5656A" w:rsidRDefault="00A5656A">
    <w:pPr>
      <w:pStyle w:val="Footer"/>
      <w:jc w:val="right"/>
    </w:pPr>
    <w:r>
      <w:fldChar w:fldCharType="begin"/>
    </w:r>
    <w:r>
      <w:instrText xml:space="preserve"> PAGE   \* MERGEFORMAT </w:instrText>
    </w:r>
    <w:r>
      <w:fldChar w:fldCharType="separate"/>
    </w:r>
    <w:r w:rsidR="00C07CB9">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00005" w14:textId="77777777" w:rsidR="00831161" w:rsidRDefault="00831161">
      <w:r>
        <w:separator/>
      </w:r>
    </w:p>
  </w:footnote>
  <w:footnote w:type="continuationSeparator" w:id="0">
    <w:p w14:paraId="35CF6D6C" w14:textId="77777777" w:rsidR="00831161" w:rsidRDefault="008311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57440150">
    <w:abstractNumId w:val="1"/>
    <w:lvlOverride w:ilvl="0">
      <w:lvl w:ilvl="0">
        <w:start w:val="1"/>
        <w:numFmt w:val="bullet"/>
        <w:lvlText w:val=""/>
        <w:lvlJc w:val="left"/>
        <w:pPr>
          <w:ind w:left="720" w:hanging="360"/>
        </w:pPr>
        <w:rPr>
          <w:rFonts w:ascii="Symbol" w:hAnsi="Symbol" w:hint="default"/>
        </w:rPr>
      </w:lvl>
    </w:lvlOverride>
  </w:num>
  <w:num w:numId="2" w16cid:durableId="1720474907">
    <w:abstractNumId w:val="22"/>
  </w:num>
  <w:num w:numId="3" w16cid:durableId="1807240787">
    <w:abstractNumId w:val="45"/>
  </w:num>
  <w:num w:numId="4" w16cid:durableId="1112163666">
    <w:abstractNumId w:val="47"/>
  </w:num>
  <w:num w:numId="5" w16cid:durableId="82841949">
    <w:abstractNumId w:val="34"/>
  </w:num>
  <w:num w:numId="6" w16cid:durableId="86850641">
    <w:abstractNumId w:val="32"/>
  </w:num>
  <w:num w:numId="7" w16cid:durableId="361789896">
    <w:abstractNumId w:val="29"/>
  </w:num>
  <w:num w:numId="8" w16cid:durableId="434636556">
    <w:abstractNumId w:val="30"/>
  </w:num>
  <w:num w:numId="9" w16cid:durableId="622611731">
    <w:abstractNumId w:val="10"/>
  </w:num>
  <w:num w:numId="10" w16cid:durableId="1152211803">
    <w:abstractNumId w:val="33"/>
  </w:num>
  <w:num w:numId="11" w16cid:durableId="832378719">
    <w:abstractNumId w:val="17"/>
  </w:num>
  <w:num w:numId="12" w16cid:durableId="1493520281">
    <w:abstractNumId w:val="16"/>
  </w:num>
  <w:num w:numId="13" w16cid:durableId="596642801">
    <w:abstractNumId w:val="27"/>
  </w:num>
  <w:num w:numId="14" w16cid:durableId="504826874">
    <w:abstractNumId w:val="8"/>
  </w:num>
  <w:num w:numId="15" w16cid:durableId="84692848">
    <w:abstractNumId w:val="26"/>
  </w:num>
  <w:num w:numId="16" w16cid:durableId="1070227828">
    <w:abstractNumId w:val="15"/>
  </w:num>
  <w:num w:numId="17" w16cid:durableId="1995067611">
    <w:abstractNumId w:val="13"/>
  </w:num>
  <w:num w:numId="18" w16cid:durableId="116589620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8332017">
    <w:abstractNumId w:val="23"/>
  </w:num>
  <w:num w:numId="20" w16cid:durableId="458648113">
    <w:abstractNumId w:val="18"/>
  </w:num>
  <w:num w:numId="21" w16cid:durableId="411511025">
    <w:abstractNumId w:val="14"/>
  </w:num>
  <w:num w:numId="22" w16cid:durableId="1308632479">
    <w:abstractNumId w:val="11"/>
  </w:num>
  <w:num w:numId="23" w16cid:durableId="1916738667">
    <w:abstractNumId w:val="28"/>
  </w:num>
  <w:num w:numId="24" w16cid:durableId="1597638794">
    <w:abstractNumId w:val="19"/>
  </w:num>
  <w:num w:numId="25" w16cid:durableId="598682461">
    <w:abstractNumId w:val="41"/>
  </w:num>
  <w:num w:numId="26" w16cid:durableId="355546108">
    <w:abstractNumId w:val="35"/>
  </w:num>
  <w:num w:numId="27" w16cid:durableId="1715499236">
    <w:abstractNumId w:val="40"/>
  </w:num>
  <w:num w:numId="28" w16cid:durableId="505243935">
    <w:abstractNumId w:val="20"/>
  </w:num>
  <w:num w:numId="29" w16cid:durableId="2123182232">
    <w:abstractNumId w:val="43"/>
  </w:num>
  <w:num w:numId="30" w16cid:durableId="178980042">
    <w:abstractNumId w:val="31"/>
  </w:num>
  <w:num w:numId="31" w16cid:durableId="1539119700">
    <w:abstractNumId w:val="12"/>
  </w:num>
  <w:num w:numId="32" w16cid:durableId="259531412">
    <w:abstractNumId w:val="44"/>
  </w:num>
  <w:num w:numId="33" w16cid:durableId="33698189">
    <w:abstractNumId w:val="39"/>
  </w:num>
  <w:num w:numId="34" w16cid:durableId="999575089">
    <w:abstractNumId w:val="5"/>
  </w:num>
  <w:num w:numId="35" w16cid:durableId="808405380">
    <w:abstractNumId w:val="46"/>
  </w:num>
  <w:num w:numId="36" w16cid:durableId="46222826">
    <w:abstractNumId w:val="42"/>
  </w:num>
  <w:num w:numId="37" w16cid:durableId="658578196">
    <w:abstractNumId w:val="36"/>
  </w:num>
  <w:num w:numId="38" w16cid:durableId="104816101">
    <w:abstractNumId w:val="37"/>
  </w:num>
  <w:num w:numId="39" w16cid:durableId="139156074">
    <w:abstractNumId w:val="4"/>
  </w:num>
  <w:num w:numId="40" w16cid:durableId="1287081695">
    <w:abstractNumId w:val="6"/>
  </w:num>
  <w:num w:numId="41" w16cid:durableId="250941102">
    <w:abstractNumId w:val="25"/>
  </w:num>
  <w:num w:numId="42" w16cid:durableId="712770703">
    <w:abstractNumId w:val="7"/>
  </w:num>
  <w:num w:numId="43" w16cid:durableId="864637341">
    <w:abstractNumId w:val="3"/>
  </w:num>
  <w:num w:numId="44" w16cid:durableId="2071801616">
    <w:abstractNumId w:val="38"/>
  </w:num>
  <w:num w:numId="45" w16cid:durableId="146476332">
    <w:abstractNumId w:val="0"/>
  </w:num>
  <w:num w:numId="46" w16cid:durableId="913508981">
    <w:abstractNumId w:val="14"/>
  </w:num>
  <w:num w:numId="47" w16cid:durableId="1805154159">
    <w:abstractNumId w:val="48"/>
  </w:num>
  <w:num w:numId="48" w16cid:durableId="12942148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18206209">
    <w:abstractNumId w:val="11"/>
  </w:num>
  <w:num w:numId="50" w16cid:durableId="1543593329">
    <w:abstractNumId w:val="28"/>
  </w:num>
  <w:num w:numId="51" w16cid:durableId="1042485151">
    <w:abstractNumId w:val="24"/>
  </w:num>
  <w:num w:numId="52" w16cid:durableId="879124842">
    <w:abstractNumId w:val="21"/>
  </w:num>
  <w:num w:numId="53" w16cid:durableId="154837457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82"/>
    <w:rsid w:val="00012B16"/>
    <w:rsid w:val="00020E56"/>
    <w:rsid w:val="00020EEC"/>
    <w:rsid w:val="00021A3F"/>
    <w:rsid w:val="0002440E"/>
    <w:rsid w:val="0002759A"/>
    <w:rsid w:val="00027B1F"/>
    <w:rsid w:val="0003088B"/>
    <w:rsid w:val="000325D9"/>
    <w:rsid w:val="000372B2"/>
    <w:rsid w:val="0004079F"/>
    <w:rsid w:val="00040DBE"/>
    <w:rsid w:val="00043543"/>
    <w:rsid w:val="00045B87"/>
    <w:rsid w:val="00045C07"/>
    <w:rsid w:val="00045C40"/>
    <w:rsid w:val="00046861"/>
    <w:rsid w:val="00050DF1"/>
    <w:rsid w:val="00053A6C"/>
    <w:rsid w:val="00054A07"/>
    <w:rsid w:val="00055D43"/>
    <w:rsid w:val="00056FAC"/>
    <w:rsid w:val="00057751"/>
    <w:rsid w:val="00062E39"/>
    <w:rsid w:val="00064063"/>
    <w:rsid w:val="0006581A"/>
    <w:rsid w:val="00074461"/>
    <w:rsid w:val="000766EC"/>
    <w:rsid w:val="00080E58"/>
    <w:rsid w:val="00081604"/>
    <w:rsid w:val="0008277C"/>
    <w:rsid w:val="000828B0"/>
    <w:rsid w:val="00083543"/>
    <w:rsid w:val="00083D99"/>
    <w:rsid w:val="00083E6B"/>
    <w:rsid w:val="00084DA6"/>
    <w:rsid w:val="00085699"/>
    <w:rsid w:val="00090160"/>
    <w:rsid w:val="00091E2B"/>
    <w:rsid w:val="00091F52"/>
    <w:rsid w:val="00092970"/>
    <w:rsid w:val="00093720"/>
    <w:rsid w:val="000938E6"/>
    <w:rsid w:val="00093B3C"/>
    <w:rsid w:val="0009488C"/>
    <w:rsid w:val="00095C1B"/>
    <w:rsid w:val="00096DEA"/>
    <w:rsid w:val="000A3416"/>
    <w:rsid w:val="000A4240"/>
    <w:rsid w:val="000A469A"/>
    <w:rsid w:val="000A584A"/>
    <w:rsid w:val="000A58D9"/>
    <w:rsid w:val="000A6235"/>
    <w:rsid w:val="000A6458"/>
    <w:rsid w:val="000A7F40"/>
    <w:rsid w:val="000C378F"/>
    <w:rsid w:val="000C6892"/>
    <w:rsid w:val="000C6FFE"/>
    <w:rsid w:val="000C7CC2"/>
    <w:rsid w:val="000D0BB6"/>
    <w:rsid w:val="000D2ED2"/>
    <w:rsid w:val="000D3F3E"/>
    <w:rsid w:val="000D5204"/>
    <w:rsid w:val="000D6653"/>
    <w:rsid w:val="000E0D51"/>
    <w:rsid w:val="000E26B0"/>
    <w:rsid w:val="000E37C2"/>
    <w:rsid w:val="000E38C3"/>
    <w:rsid w:val="000E533F"/>
    <w:rsid w:val="000F1599"/>
    <w:rsid w:val="000F1769"/>
    <w:rsid w:val="000F1A97"/>
    <w:rsid w:val="000F42AE"/>
    <w:rsid w:val="000F48F8"/>
    <w:rsid w:val="000F6196"/>
    <w:rsid w:val="000F6BC3"/>
    <w:rsid w:val="0010312C"/>
    <w:rsid w:val="00104B37"/>
    <w:rsid w:val="00105026"/>
    <w:rsid w:val="0010662B"/>
    <w:rsid w:val="00106992"/>
    <w:rsid w:val="00106ACC"/>
    <w:rsid w:val="00106DC7"/>
    <w:rsid w:val="00112391"/>
    <w:rsid w:val="00114F52"/>
    <w:rsid w:val="00115033"/>
    <w:rsid w:val="00117636"/>
    <w:rsid w:val="00122032"/>
    <w:rsid w:val="00130119"/>
    <w:rsid w:val="00132812"/>
    <w:rsid w:val="001347F8"/>
    <w:rsid w:val="001359EE"/>
    <w:rsid w:val="00137BB5"/>
    <w:rsid w:val="00137E05"/>
    <w:rsid w:val="001447F6"/>
    <w:rsid w:val="001460A7"/>
    <w:rsid w:val="00147DE3"/>
    <w:rsid w:val="00150794"/>
    <w:rsid w:val="00151DA6"/>
    <w:rsid w:val="001608C4"/>
    <w:rsid w:val="00164832"/>
    <w:rsid w:val="00164C2F"/>
    <w:rsid w:val="00164C7B"/>
    <w:rsid w:val="00171418"/>
    <w:rsid w:val="001772BF"/>
    <w:rsid w:val="001772DE"/>
    <w:rsid w:val="001846D8"/>
    <w:rsid w:val="0019188C"/>
    <w:rsid w:val="0019496C"/>
    <w:rsid w:val="001961CF"/>
    <w:rsid w:val="001A0445"/>
    <w:rsid w:val="001A298A"/>
    <w:rsid w:val="001A59BB"/>
    <w:rsid w:val="001A607E"/>
    <w:rsid w:val="001A6182"/>
    <w:rsid w:val="001A6A51"/>
    <w:rsid w:val="001A79C4"/>
    <w:rsid w:val="001B331A"/>
    <w:rsid w:val="001C0237"/>
    <w:rsid w:val="001C0E74"/>
    <w:rsid w:val="001C3E71"/>
    <w:rsid w:val="001C4DB8"/>
    <w:rsid w:val="001C50B8"/>
    <w:rsid w:val="001D229F"/>
    <w:rsid w:val="001E2EB6"/>
    <w:rsid w:val="001E363E"/>
    <w:rsid w:val="001F4552"/>
    <w:rsid w:val="002019EB"/>
    <w:rsid w:val="00204B58"/>
    <w:rsid w:val="00205051"/>
    <w:rsid w:val="0021188B"/>
    <w:rsid w:val="00211F65"/>
    <w:rsid w:val="002136E7"/>
    <w:rsid w:val="00214047"/>
    <w:rsid w:val="00216563"/>
    <w:rsid w:val="00216F7E"/>
    <w:rsid w:val="0021792F"/>
    <w:rsid w:val="00220D06"/>
    <w:rsid w:val="002238A2"/>
    <w:rsid w:val="002246A0"/>
    <w:rsid w:val="00230439"/>
    <w:rsid w:val="00230A3F"/>
    <w:rsid w:val="00232A09"/>
    <w:rsid w:val="00234A64"/>
    <w:rsid w:val="00235176"/>
    <w:rsid w:val="00236061"/>
    <w:rsid w:val="00237398"/>
    <w:rsid w:val="002404E8"/>
    <w:rsid w:val="0024100E"/>
    <w:rsid w:val="00241C1B"/>
    <w:rsid w:val="0024288B"/>
    <w:rsid w:val="00243DB0"/>
    <w:rsid w:val="00246B25"/>
    <w:rsid w:val="00247265"/>
    <w:rsid w:val="00247DE3"/>
    <w:rsid w:val="002566A6"/>
    <w:rsid w:val="00260663"/>
    <w:rsid w:val="002612FF"/>
    <w:rsid w:val="00265088"/>
    <w:rsid w:val="002657E9"/>
    <w:rsid w:val="0026665E"/>
    <w:rsid w:val="0027147E"/>
    <w:rsid w:val="002761F4"/>
    <w:rsid w:val="002766CA"/>
    <w:rsid w:val="00276B43"/>
    <w:rsid w:val="002775E1"/>
    <w:rsid w:val="00277979"/>
    <w:rsid w:val="00291ADD"/>
    <w:rsid w:val="00291FCA"/>
    <w:rsid w:val="002920DF"/>
    <w:rsid w:val="00292F3D"/>
    <w:rsid w:val="0029350F"/>
    <w:rsid w:val="00295CA1"/>
    <w:rsid w:val="002A0E51"/>
    <w:rsid w:val="002A1A44"/>
    <w:rsid w:val="002A291A"/>
    <w:rsid w:val="002A2C54"/>
    <w:rsid w:val="002A483D"/>
    <w:rsid w:val="002A4E2E"/>
    <w:rsid w:val="002A5604"/>
    <w:rsid w:val="002B0A35"/>
    <w:rsid w:val="002B1701"/>
    <w:rsid w:val="002B183F"/>
    <w:rsid w:val="002B23C3"/>
    <w:rsid w:val="002B27BA"/>
    <w:rsid w:val="002B443A"/>
    <w:rsid w:val="002B5B35"/>
    <w:rsid w:val="002B7AEE"/>
    <w:rsid w:val="002C15EF"/>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3EB2"/>
    <w:rsid w:val="002F4F6E"/>
    <w:rsid w:val="003015C3"/>
    <w:rsid w:val="00306791"/>
    <w:rsid w:val="003106DB"/>
    <w:rsid w:val="0031350A"/>
    <w:rsid w:val="00315A01"/>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9F9"/>
    <w:rsid w:val="00365DF9"/>
    <w:rsid w:val="0036699F"/>
    <w:rsid w:val="0037057F"/>
    <w:rsid w:val="0037066E"/>
    <w:rsid w:val="00372DB4"/>
    <w:rsid w:val="00373A36"/>
    <w:rsid w:val="0037419E"/>
    <w:rsid w:val="00375AF5"/>
    <w:rsid w:val="003761BD"/>
    <w:rsid w:val="00377448"/>
    <w:rsid w:val="00377884"/>
    <w:rsid w:val="003826BD"/>
    <w:rsid w:val="00385414"/>
    <w:rsid w:val="00385BDD"/>
    <w:rsid w:val="00390074"/>
    <w:rsid w:val="00392F73"/>
    <w:rsid w:val="00393600"/>
    <w:rsid w:val="00394589"/>
    <w:rsid w:val="0039762B"/>
    <w:rsid w:val="003A0C37"/>
    <w:rsid w:val="003A1B6B"/>
    <w:rsid w:val="003A402F"/>
    <w:rsid w:val="003A46C0"/>
    <w:rsid w:val="003A600E"/>
    <w:rsid w:val="003A641A"/>
    <w:rsid w:val="003A6513"/>
    <w:rsid w:val="003B16C7"/>
    <w:rsid w:val="003B29BC"/>
    <w:rsid w:val="003B3115"/>
    <w:rsid w:val="003C19F1"/>
    <w:rsid w:val="003C2FAB"/>
    <w:rsid w:val="003C3C67"/>
    <w:rsid w:val="003C4186"/>
    <w:rsid w:val="003C6185"/>
    <w:rsid w:val="003C655F"/>
    <w:rsid w:val="003D0D2D"/>
    <w:rsid w:val="003D1885"/>
    <w:rsid w:val="003D1BC0"/>
    <w:rsid w:val="003D20F1"/>
    <w:rsid w:val="003D4710"/>
    <w:rsid w:val="003E16D7"/>
    <w:rsid w:val="003E197E"/>
    <w:rsid w:val="003E4B70"/>
    <w:rsid w:val="003E54CF"/>
    <w:rsid w:val="003E5FBA"/>
    <w:rsid w:val="003F1233"/>
    <w:rsid w:val="003F67A4"/>
    <w:rsid w:val="00400786"/>
    <w:rsid w:val="0040122D"/>
    <w:rsid w:val="00401FDA"/>
    <w:rsid w:val="004045EC"/>
    <w:rsid w:val="004046F0"/>
    <w:rsid w:val="0040668F"/>
    <w:rsid w:val="00410A36"/>
    <w:rsid w:val="00411EF7"/>
    <w:rsid w:val="00412677"/>
    <w:rsid w:val="00425160"/>
    <w:rsid w:val="0042595C"/>
    <w:rsid w:val="00430DE3"/>
    <w:rsid w:val="004348AE"/>
    <w:rsid w:val="004376C0"/>
    <w:rsid w:val="0044223A"/>
    <w:rsid w:val="0044409F"/>
    <w:rsid w:val="00450B67"/>
    <w:rsid w:val="00451851"/>
    <w:rsid w:val="0045189A"/>
    <w:rsid w:val="00453343"/>
    <w:rsid w:val="00453367"/>
    <w:rsid w:val="004538C3"/>
    <w:rsid w:val="00456390"/>
    <w:rsid w:val="004608B9"/>
    <w:rsid w:val="00463B55"/>
    <w:rsid w:val="00465947"/>
    <w:rsid w:val="004667B1"/>
    <w:rsid w:val="004671BF"/>
    <w:rsid w:val="00467F66"/>
    <w:rsid w:val="00470461"/>
    <w:rsid w:val="00470482"/>
    <w:rsid w:val="00470BB1"/>
    <w:rsid w:val="00473153"/>
    <w:rsid w:val="0047350F"/>
    <w:rsid w:val="004739BB"/>
    <w:rsid w:val="004743AF"/>
    <w:rsid w:val="004746FE"/>
    <w:rsid w:val="00482C17"/>
    <w:rsid w:val="00484CE3"/>
    <w:rsid w:val="004911B4"/>
    <w:rsid w:val="0049196A"/>
    <w:rsid w:val="004923DA"/>
    <w:rsid w:val="00492EEB"/>
    <w:rsid w:val="00493434"/>
    <w:rsid w:val="004968E2"/>
    <w:rsid w:val="00497386"/>
    <w:rsid w:val="004A2A49"/>
    <w:rsid w:val="004A2EC5"/>
    <w:rsid w:val="004A306B"/>
    <w:rsid w:val="004A5A64"/>
    <w:rsid w:val="004B40FF"/>
    <w:rsid w:val="004B5553"/>
    <w:rsid w:val="004B600B"/>
    <w:rsid w:val="004B66A5"/>
    <w:rsid w:val="004B6822"/>
    <w:rsid w:val="004B69F6"/>
    <w:rsid w:val="004C2D3A"/>
    <w:rsid w:val="004D03C4"/>
    <w:rsid w:val="004D0BF1"/>
    <w:rsid w:val="004D0F4E"/>
    <w:rsid w:val="004D3278"/>
    <w:rsid w:val="004D350B"/>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17DF"/>
    <w:rsid w:val="00502A14"/>
    <w:rsid w:val="005042F1"/>
    <w:rsid w:val="0050481B"/>
    <w:rsid w:val="00504E45"/>
    <w:rsid w:val="005113D4"/>
    <w:rsid w:val="0051287D"/>
    <w:rsid w:val="00513C7D"/>
    <w:rsid w:val="00521123"/>
    <w:rsid w:val="00521221"/>
    <w:rsid w:val="0052250B"/>
    <w:rsid w:val="005305C6"/>
    <w:rsid w:val="00530D52"/>
    <w:rsid w:val="00533F91"/>
    <w:rsid w:val="00540EEC"/>
    <w:rsid w:val="005414F4"/>
    <w:rsid w:val="00546187"/>
    <w:rsid w:val="00547223"/>
    <w:rsid w:val="00547383"/>
    <w:rsid w:val="00547B11"/>
    <w:rsid w:val="00557D77"/>
    <w:rsid w:val="00562EAA"/>
    <w:rsid w:val="00563B58"/>
    <w:rsid w:val="005640C4"/>
    <w:rsid w:val="0056684C"/>
    <w:rsid w:val="00573040"/>
    <w:rsid w:val="00574A0C"/>
    <w:rsid w:val="00576B67"/>
    <w:rsid w:val="0057780F"/>
    <w:rsid w:val="005801B8"/>
    <w:rsid w:val="00581E0A"/>
    <w:rsid w:val="00586D89"/>
    <w:rsid w:val="005877C8"/>
    <w:rsid w:val="00587923"/>
    <w:rsid w:val="00587A81"/>
    <w:rsid w:val="00594F9F"/>
    <w:rsid w:val="005A1B4C"/>
    <w:rsid w:val="005A545C"/>
    <w:rsid w:val="005B271A"/>
    <w:rsid w:val="005B2CE5"/>
    <w:rsid w:val="005B3A2D"/>
    <w:rsid w:val="005B67E9"/>
    <w:rsid w:val="005C0D9F"/>
    <w:rsid w:val="005C1567"/>
    <w:rsid w:val="005C1923"/>
    <w:rsid w:val="005C28D3"/>
    <w:rsid w:val="005C6CE5"/>
    <w:rsid w:val="005D3F07"/>
    <w:rsid w:val="005D4A1E"/>
    <w:rsid w:val="005D4F72"/>
    <w:rsid w:val="005D7574"/>
    <w:rsid w:val="005E13EA"/>
    <w:rsid w:val="005E17F1"/>
    <w:rsid w:val="005F5EE9"/>
    <w:rsid w:val="005F64AA"/>
    <w:rsid w:val="005F7851"/>
    <w:rsid w:val="00604A9A"/>
    <w:rsid w:val="00606E27"/>
    <w:rsid w:val="006108C9"/>
    <w:rsid w:val="00614DF7"/>
    <w:rsid w:val="006179BB"/>
    <w:rsid w:val="0062158D"/>
    <w:rsid w:val="006223FD"/>
    <w:rsid w:val="006324E0"/>
    <w:rsid w:val="006326D1"/>
    <w:rsid w:val="00632E0A"/>
    <w:rsid w:val="00633165"/>
    <w:rsid w:val="00640726"/>
    <w:rsid w:val="00642B6F"/>
    <w:rsid w:val="006447DE"/>
    <w:rsid w:val="00644889"/>
    <w:rsid w:val="00650CFB"/>
    <w:rsid w:val="0065276E"/>
    <w:rsid w:val="00654329"/>
    <w:rsid w:val="00654CEC"/>
    <w:rsid w:val="00655507"/>
    <w:rsid w:val="0065723D"/>
    <w:rsid w:val="006579FD"/>
    <w:rsid w:val="00662148"/>
    <w:rsid w:val="006635E3"/>
    <w:rsid w:val="006655E1"/>
    <w:rsid w:val="006669F3"/>
    <w:rsid w:val="006705EA"/>
    <w:rsid w:val="006712A7"/>
    <w:rsid w:val="00672CED"/>
    <w:rsid w:val="00674FC2"/>
    <w:rsid w:val="00676E35"/>
    <w:rsid w:val="00677E42"/>
    <w:rsid w:val="00680C0F"/>
    <w:rsid w:val="00682334"/>
    <w:rsid w:val="00684732"/>
    <w:rsid w:val="00684B16"/>
    <w:rsid w:val="00684F01"/>
    <w:rsid w:val="00685D3A"/>
    <w:rsid w:val="00687016"/>
    <w:rsid w:val="006872A0"/>
    <w:rsid w:val="006949CE"/>
    <w:rsid w:val="0069625A"/>
    <w:rsid w:val="00696A88"/>
    <w:rsid w:val="00696F65"/>
    <w:rsid w:val="00697572"/>
    <w:rsid w:val="006B19CA"/>
    <w:rsid w:val="006B2598"/>
    <w:rsid w:val="006B4496"/>
    <w:rsid w:val="006B5E67"/>
    <w:rsid w:val="006B6612"/>
    <w:rsid w:val="006C2EB5"/>
    <w:rsid w:val="006D00F2"/>
    <w:rsid w:val="006D039A"/>
    <w:rsid w:val="006D18A3"/>
    <w:rsid w:val="006D5256"/>
    <w:rsid w:val="006D5970"/>
    <w:rsid w:val="006E481E"/>
    <w:rsid w:val="006E57DC"/>
    <w:rsid w:val="006E617A"/>
    <w:rsid w:val="006E749D"/>
    <w:rsid w:val="006E795F"/>
    <w:rsid w:val="006F0862"/>
    <w:rsid w:val="006F1438"/>
    <w:rsid w:val="006F1EA4"/>
    <w:rsid w:val="006F2A9E"/>
    <w:rsid w:val="006F5ED3"/>
    <w:rsid w:val="006F775D"/>
    <w:rsid w:val="00700249"/>
    <w:rsid w:val="00704E1D"/>
    <w:rsid w:val="00705F9B"/>
    <w:rsid w:val="007069CD"/>
    <w:rsid w:val="00706BB5"/>
    <w:rsid w:val="00706ED5"/>
    <w:rsid w:val="00707719"/>
    <w:rsid w:val="0071231A"/>
    <w:rsid w:val="00712E90"/>
    <w:rsid w:val="00713B7E"/>
    <w:rsid w:val="0072678F"/>
    <w:rsid w:val="007276E5"/>
    <w:rsid w:val="00727C4C"/>
    <w:rsid w:val="00733265"/>
    <w:rsid w:val="00734809"/>
    <w:rsid w:val="007353E4"/>
    <w:rsid w:val="0073714E"/>
    <w:rsid w:val="007374EF"/>
    <w:rsid w:val="007406E1"/>
    <w:rsid w:val="00743E40"/>
    <w:rsid w:val="00745016"/>
    <w:rsid w:val="0074660B"/>
    <w:rsid w:val="0074702F"/>
    <w:rsid w:val="00747DF5"/>
    <w:rsid w:val="0075031F"/>
    <w:rsid w:val="00750F40"/>
    <w:rsid w:val="00751263"/>
    <w:rsid w:val="007517E8"/>
    <w:rsid w:val="00751A69"/>
    <w:rsid w:val="00753527"/>
    <w:rsid w:val="007544FC"/>
    <w:rsid w:val="00754F17"/>
    <w:rsid w:val="00755427"/>
    <w:rsid w:val="00756548"/>
    <w:rsid w:val="0075673A"/>
    <w:rsid w:val="0075704F"/>
    <w:rsid w:val="00763B2D"/>
    <w:rsid w:val="00764C84"/>
    <w:rsid w:val="007710AD"/>
    <w:rsid w:val="00772924"/>
    <w:rsid w:val="00773676"/>
    <w:rsid w:val="0078112D"/>
    <w:rsid w:val="007872F2"/>
    <w:rsid w:val="007873F9"/>
    <w:rsid w:val="007908E0"/>
    <w:rsid w:val="00793EB3"/>
    <w:rsid w:val="00794205"/>
    <w:rsid w:val="0079422A"/>
    <w:rsid w:val="0079446E"/>
    <w:rsid w:val="007A1F6A"/>
    <w:rsid w:val="007A5045"/>
    <w:rsid w:val="007A628F"/>
    <w:rsid w:val="007B0DE3"/>
    <w:rsid w:val="007B1BFD"/>
    <w:rsid w:val="007B277A"/>
    <w:rsid w:val="007B7191"/>
    <w:rsid w:val="007C1D94"/>
    <w:rsid w:val="007C556F"/>
    <w:rsid w:val="007C5ABE"/>
    <w:rsid w:val="007C6A87"/>
    <w:rsid w:val="007D0A07"/>
    <w:rsid w:val="007D0F11"/>
    <w:rsid w:val="007D133D"/>
    <w:rsid w:val="007D3EB4"/>
    <w:rsid w:val="007D3F16"/>
    <w:rsid w:val="007F10BD"/>
    <w:rsid w:val="007F1251"/>
    <w:rsid w:val="007F1FFD"/>
    <w:rsid w:val="007F312E"/>
    <w:rsid w:val="007F3F7E"/>
    <w:rsid w:val="007F4BA4"/>
    <w:rsid w:val="008010FB"/>
    <w:rsid w:val="008106B5"/>
    <w:rsid w:val="00813CEC"/>
    <w:rsid w:val="0081534C"/>
    <w:rsid w:val="00816CE7"/>
    <w:rsid w:val="008171E4"/>
    <w:rsid w:val="008208EA"/>
    <w:rsid w:val="00822B44"/>
    <w:rsid w:val="00824E67"/>
    <w:rsid w:val="00825A64"/>
    <w:rsid w:val="00826F20"/>
    <w:rsid w:val="00826F48"/>
    <w:rsid w:val="008308AE"/>
    <w:rsid w:val="00830DD1"/>
    <w:rsid w:val="00831161"/>
    <w:rsid w:val="0083166E"/>
    <w:rsid w:val="00831DC3"/>
    <w:rsid w:val="008322C7"/>
    <w:rsid w:val="008340BA"/>
    <w:rsid w:val="00834F1D"/>
    <w:rsid w:val="00836FEC"/>
    <w:rsid w:val="008370CA"/>
    <w:rsid w:val="00841F9D"/>
    <w:rsid w:val="008420E1"/>
    <w:rsid w:val="00844D98"/>
    <w:rsid w:val="00845B65"/>
    <w:rsid w:val="00846D84"/>
    <w:rsid w:val="00847888"/>
    <w:rsid w:val="00850233"/>
    <w:rsid w:val="00850C51"/>
    <w:rsid w:val="0085230E"/>
    <w:rsid w:val="008550A1"/>
    <w:rsid w:val="00861038"/>
    <w:rsid w:val="00865B58"/>
    <w:rsid w:val="00866B50"/>
    <w:rsid w:val="00867A63"/>
    <w:rsid w:val="00867B28"/>
    <w:rsid w:val="008708F1"/>
    <w:rsid w:val="00871960"/>
    <w:rsid w:val="0087369F"/>
    <w:rsid w:val="00880215"/>
    <w:rsid w:val="00880539"/>
    <w:rsid w:val="008859E8"/>
    <w:rsid w:val="0088737B"/>
    <w:rsid w:val="00891078"/>
    <w:rsid w:val="00892716"/>
    <w:rsid w:val="00893067"/>
    <w:rsid w:val="008933DE"/>
    <w:rsid w:val="008952A2"/>
    <w:rsid w:val="00895FCE"/>
    <w:rsid w:val="00897EB8"/>
    <w:rsid w:val="00897F3E"/>
    <w:rsid w:val="008A21B4"/>
    <w:rsid w:val="008B07DE"/>
    <w:rsid w:val="008B1309"/>
    <w:rsid w:val="008B28E7"/>
    <w:rsid w:val="008B67F6"/>
    <w:rsid w:val="008B7953"/>
    <w:rsid w:val="008C125B"/>
    <w:rsid w:val="008C14C7"/>
    <w:rsid w:val="008C2FFB"/>
    <w:rsid w:val="008C5349"/>
    <w:rsid w:val="008C633F"/>
    <w:rsid w:val="008C6EEA"/>
    <w:rsid w:val="008C7770"/>
    <w:rsid w:val="008C79C7"/>
    <w:rsid w:val="008D03B0"/>
    <w:rsid w:val="008D2150"/>
    <w:rsid w:val="008D3443"/>
    <w:rsid w:val="008D5813"/>
    <w:rsid w:val="008D5999"/>
    <w:rsid w:val="008D634E"/>
    <w:rsid w:val="008D778A"/>
    <w:rsid w:val="008D78C9"/>
    <w:rsid w:val="008D7B9C"/>
    <w:rsid w:val="008E14EB"/>
    <w:rsid w:val="008E2B0D"/>
    <w:rsid w:val="008E3195"/>
    <w:rsid w:val="008E5A35"/>
    <w:rsid w:val="008F127E"/>
    <w:rsid w:val="008F31DD"/>
    <w:rsid w:val="008F32D9"/>
    <w:rsid w:val="008F4D5D"/>
    <w:rsid w:val="00902A65"/>
    <w:rsid w:val="00903932"/>
    <w:rsid w:val="00903D7A"/>
    <w:rsid w:val="009079BD"/>
    <w:rsid w:val="00910B11"/>
    <w:rsid w:val="00912BD9"/>
    <w:rsid w:val="00916FB2"/>
    <w:rsid w:val="00920E5B"/>
    <w:rsid w:val="00921A24"/>
    <w:rsid w:val="00926436"/>
    <w:rsid w:val="00926C53"/>
    <w:rsid w:val="009278F2"/>
    <w:rsid w:val="0093018C"/>
    <w:rsid w:val="00937575"/>
    <w:rsid w:val="00942B5A"/>
    <w:rsid w:val="0094495F"/>
    <w:rsid w:val="00945F13"/>
    <w:rsid w:val="009544C0"/>
    <w:rsid w:val="00954FA4"/>
    <w:rsid w:val="00956AE9"/>
    <w:rsid w:val="00964CC6"/>
    <w:rsid w:val="00967BFA"/>
    <w:rsid w:val="00967D5D"/>
    <w:rsid w:val="00971BF8"/>
    <w:rsid w:val="0098262C"/>
    <w:rsid w:val="0098427C"/>
    <w:rsid w:val="00986B43"/>
    <w:rsid w:val="00986C0B"/>
    <w:rsid w:val="00986D46"/>
    <w:rsid w:val="0099074B"/>
    <w:rsid w:val="00991FDA"/>
    <w:rsid w:val="00992ACA"/>
    <w:rsid w:val="009A48C7"/>
    <w:rsid w:val="009A5F3B"/>
    <w:rsid w:val="009A5F79"/>
    <w:rsid w:val="009A6184"/>
    <w:rsid w:val="009A6A89"/>
    <w:rsid w:val="009A6F87"/>
    <w:rsid w:val="009B0B61"/>
    <w:rsid w:val="009B28C0"/>
    <w:rsid w:val="009B3178"/>
    <w:rsid w:val="009B3E46"/>
    <w:rsid w:val="009B7136"/>
    <w:rsid w:val="009C337F"/>
    <w:rsid w:val="009C53E7"/>
    <w:rsid w:val="009C6092"/>
    <w:rsid w:val="009C668F"/>
    <w:rsid w:val="009C7342"/>
    <w:rsid w:val="009D1BE4"/>
    <w:rsid w:val="009D4365"/>
    <w:rsid w:val="009D477B"/>
    <w:rsid w:val="009D4E3B"/>
    <w:rsid w:val="009D59C2"/>
    <w:rsid w:val="009D7BC9"/>
    <w:rsid w:val="009E122F"/>
    <w:rsid w:val="009E1982"/>
    <w:rsid w:val="009E2BF1"/>
    <w:rsid w:val="009E3851"/>
    <w:rsid w:val="009E4D2C"/>
    <w:rsid w:val="009F0978"/>
    <w:rsid w:val="009F3AEC"/>
    <w:rsid w:val="009F6801"/>
    <w:rsid w:val="009F6B87"/>
    <w:rsid w:val="009F6FF6"/>
    <w:rsid w:val="00A00081"/>
    <w:rsid w:val="00A048D8"/>
    <w:rsid w:val="00A06422"/>
    <w:rsid w:val="00A10D56"/>
    <w:rsid w:val="00A12AAE"/>
    <w:rsid w:val="00A12F22"/>
    <w:rsid w:val="00A16DD1"/>
    <w:rsid w:val="00A17312"/>
    <w:rsid w:val="00A22441"/>
    <w:rsid w:val="00A23F3B"/>
    <w:rsid w:val="00A24406"/>
    <w:rsid w:val="00A25F64"/>
    <w:rsid w:val="00A275F6"/>
    <w:rsid w:val="00A303B9"/>
    <w:rsid w:val="00A31C49"/>
    <w:rsid w:val="00A33E25"/>
    <w:rsid w:val="00A37416"/>
    <w:rsid w:val="00A40ED6"/>
    <w:rsid w:val="00A4275A"/>
    <w:rsid w:val="00A47621"/>
    <w:rsid w:val="00A479CD"/>
    <w:rsid w:val="00A50CFC"/>
    <w:rsid w:val="00A54D67"/>
    <w:rsid w:val="00A55012"/>
    <w:rsid w:val="00A55A3F"/>
    <w:rsid w:val="00A5656A"/>
    <w:rsid w:val="00A60103"/>
    <w:rsid w:val="00A64117"/>
    <w:rsid w:val="00A652F6"/>
    <w:rsid w:val="00A65861"/>
    <w:rsid w:val="00A662C9"/>
    <w:rsid w:val="00A670B1"/>
    <w:rsid w:val="00A732EA"/>
    <w:rsid w:val="00A7489E"/>
    <w:rsid w:val="00A8015F"/>
    <w:rsid w:val="00A81436"/>
    <w:rsid w:val="00A85039"/>
    <w:rsid w:val="00A86526"/>
    <w:rsid w:val="00A879AE"/>
    <w:rsid w:val="00A9061B"/>
    <w:rsid w:val="00A906AA"/>
    <w:rsid w:val="00A91293"/>
    <w:rsid w:val="00A94C5E"/>
    <w:rsid w:val="00AA252C"/>
    <w:rsid w:val="00AA666E"/>
    <w:rsid w:val="00AA6906"/>
    <w:rsid w:val="00AA7960"/>
    <w:rsid w:val="00AB492F"/>
    <w:rsid w:val="00AB5518"/>
    <w:rsid w:val="00AC3A0E"/>
    <w:rsid w:val="00AC4A04"/>
    <w:rsid w:val="00AC4A88"/>
    <w:rsid w:val="00AC5679"/>
    <w:rsid w:val="00AD336F"/>
    <w:rsid w:val="00AD4A9C"/>
    <w:rsid w:val="00AD74DC"/>
    <w:rsid w:val="00AE134C"/>
    <w:rsid w:val="00AE1868"/>
    <w:rsid w:val="00AE2564"/>
    <w:rsid w:val="00AE301F"/>
    <w:rsid w:val="00AE3302"/>
    <w:rsid w:val="00AE5530"/>
    <w:rsid w:val="00AE5BA6"/>
    <w:rsid w:val="00AE6231"/>
    <w:rsid w:val="00AE7077"/>
    <w:rsid w:val="00AF61C2"/>
    <w:rsid w:val="00AF6CC6"/>
    <w:rsid w:val="00B0296A"/>
    <w:rsid w:val="00B035B8"/>
    <w:rsid w:val="00B037B0"/>
    <w:rsid w:val="00B07E79"/>
    <w:rsid w:val="00B12295"/>
    <w:rsid w:val="00B134C9"/>
    <w:rsid w:val="00B137BE"/>
    <w:rsid w:val="00B15998"/>
    <w:rsid w:val="00B17FA0"/>
    <w:rsid w:val="00B2292C"/>
    <w:rsid w:val="00B22C3C"/>
    <w:rsid w:val="00B24344"/>
    <w:rsid w:val="00B25824"/>
    <w:rsid w:val="00B26769"/>
    <w:rsid w:val="00B2754B"/>
    <w:rsid w:val="00B31C91"/>
    <w:rsid w:val="00B33C19"/>
    <w:rsid w:val="00B36814"/>
    <w:rsid w:val="00B3747F"/>
    <w:rsid w:val="00B42E76"/>
    <w:rsid w:val="00B43194"/>
    <w:rsid w:val="00B436BF"/>
    <w:rsid w:val="00B47734"/>
    <w:rsid w:val="00B47B7C"/>
    <w:rsid w:val="00B50E81"/>
    <w:rsid w:val="00B50FBA"/>
    <w:rsid w:val="00B53552"/>
    <w:rsid w:val="00B5461F"/>
    <w:rsid w:val="00B558EB"/>
    <w:rsid w:val="00B56CE2"/>
    <w:rsid w:val="00B5744B"/>
    <w:rsid w:val="00B577D3"/>
    <w:rsid w:val="00B60466"/>
    <w:rsid w:val="00B6548F"/>
    <w:rsid w:val="00B71A32"/>
    <w:rsid w:val="00B734E8"/>
    <w:rsid w:val="00B74315"/>
    <w:rsid w:val="00B7502A"/>
    <w:rsid w:val="00B76BDC"/>
    <w:rsid w:val="00B77305"/>
    <w:rsid w:val="00B774BD"/>
    <w:rsid w:val="00B82CC2"/>
    <w:rsid w:val="00B84A89"/>
    <w:rsid w:val="00B9256C"/>
    <w:rsid w:val="00B92BEF"/>
    <w:rsid w:val="00B94443"/>
    <w:rsid w:val="00B9689A"/>
    <w:rsid w:val="00B97056"/>
    <w:rsid w:val="00BA4282"/>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640E"/>
    <w:rsid w:val="00BC7366"/>
    <w:rsid w:val="00BD1F05"/>
    <w:rsid w:val="00BD30B1"/>
    <w:rsid w:val="00BE0684"/>
    <w:rsid w:val="00BE0F7B"/>
    <w:rsid w:val="00BE10C2"/>
    <w:rsid w:val="00BF0D6C"/>
    <w:rsid w:val="00BF784C"/>
    <w:rsid w:val="00C01D14"/>
    <w:rsid w:val="00C01D97"/>
    <w:rsid w:val="00C02135"/>
    <w:rsid w:val="00C025B4"/>
    <w:rsid w:val="00C029EC"/>
    <w:rsid w:val="00C07CB9"/>
    <w:rsid w:val="00C13941"/>
    <w:rsid w:val="00C15F5E"/>
    <w:rsid w:val="00C161FD"/>
    <w:rsid w:val="00C17C9F"/>
    <w:rsid w:val="00C23F17"/>
    <w:rsid w:val="00C246F2"/>
    <w:rsid w:val="00C26D0D"/>
    <w:rsid w:val="00C2752C"/>
    <w:rsid w:val="00C27C95"/>
    <w:rsid w:val="00C300D2"/>
    <w:rsid w:val="00C3270F"/>
    <w:rsid w:val="00C3278B"/>
    <w:rsid w:val="00C33375"/>
    <w:rsid w:val="00C34C23"/>
    <w:rsid w:val="00C35EC1"/>
    <w:rsid w:val="00C368FA"/>
    <w:rsid w:val="00C42005"/>
    <w:rsid w:val="00C42392"/>
    <w:rsid w:val="00C43930"/>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4F98"/>
    <w:rsid w:val="00C75883"/>
    <w:rsid w:val="00C77FA5"/>
    <w:rsid w:val="00C8089F"/>
    <w:rsid w:val="00C835FE"/>
    <w:rsid w:val="00C836CC"/>
    <w:rsid w:val="00C852D6"/>
    <w:rsid w:val="00C87A74"/>
    <w:rsid w:val="00C92C71"/>
    <w:rsid w:val="00C93F8F"/>
    <w:rsid w:val="00CA0894"/>
    <w:rsid w:val="00CA1DFB"/>
    <w:rsid w:val="00CA3593"/>
    <w:rsid w:val="00CA4EA2"/>
    <w:rsid w:val="00CA5726"/>
    <w:rsid w:val="00CA676D"/>
    <w:rsid w:val="00CA7E6A"/>
    <w:rsid w:val="00CB258E"/>
    <w:rsid w:val="00CB3C8F"/>
    <w:rsid w:val="00CC02F1"/>
    <w:rsid w:val="00CC1122"/>
    <w:rsid w:val="00CC11A6"/>
    <w:rsid w:val="00CC135E"/>
    <w:rsid w:val="00CC7226"/>
    <w:rsid w:val="00CD0735"/>
    <w:rsid w:val="00CD45E3"/>
    <w:rsid w:val="00CD4771"/>
    <w:rsid w:val="00CD5089"/>
    <w:rsid w:val="00CD5D3F"/>
    <w:rsid w:val="00CD770B"/>
    <w:rsid w:val="00CD7E1F"/>
    <w:rsid w:val="00CE2741"/>
    <w:rsid w:val="00CE42D8"/>
    <w:rsid w:val="00CE4BC4"/>
    <w:rsid w:val="00CE7DA2"/>
    <w:rsid w:val="00CF2E89"/>
    <w:rsid w:val="00CF2F8A"/>
    <w:rsid w:val="00CF3DB3"/>
    <w:rsid w:val="00CF636B"/>
    <w:rsid w:val="00CF6FCD"/>
    <w:rsid w:val="00D0119C"/>
    <w:rsid w:val="00D01BAB"/>
    <w:rsid w:val="00D0274B"/>
    <w:rsid w:val="00D0503D"/>
    <w:rsid w:val="00D052BC"/>
    <w:rsid w:val="00D07026"/>
    <w:rsid w:val="00D07195"/>
    <w:rsid w:val="00D146AE"/>
    <w:rsid w:val="00D14D72"/>
    <w:rsid w:val="00D22C8F"/>
    <w:rsid w:val="00D3203C"/>
    <w:rsid w:val="00D33491"/>
    <w:rsid w:val="00D3442D"/>
    <w:rsid w:val="00D36F00"/>
    <w:rsid w:val="00D44B67"/>
    <w:rsid w:val="00D44F8E"/>
    <w:rsid w:val="00D51FD5"/>
    <w:rsid w:val="00D55DE0"/>
    <w:rsid w:val="00D607EF"/>
    <w:rsid w:val="00D60F88"/>
    <w:rsid w:val="00D646BD"/>
    <w:rsid w:val="00D65558"/>
    <w:rsid w:val="00D66E20"/>
    <w:rsid w:val="00D71201"/>
    <w:rsid w:val="00D720C7"/>
    <w:rsid w:val="00D7404E"/>
    <w:rsid w:val="00D84841"/>
    <w:rsid w:val="00D86BE7"/>
    <w:rsid w:val="00D87234"/>
    <w:rsid w:val="00D876E6"/>
    <w:rsid w:val="00D90958"/>
    <w:rsid w:val="00D9201D"/>
    <w:rsid w:val="00D9456D"/>
    <w:rsid w:val="00DA1025"/>
    <w:rsid w:val="00DA22EC"/>
    <w:rsid w:val="00DA2C43"/>
    <w:rsid w:val="00DA5682"/>
    <w:rsid w:val="00DA5860"/>
    <w:rsid w:val="00DA5C0C"/>
    <w:rsid w:val="00DB2767"/>
    <w:rsid w:val="00DC1B10"/>
    <w:rsid w:val="00DC2924"/>
    <w:rsid w:val="00DC4729"/>
    <w:rsid w:val="00DD14F2"/>
    <w:rsid w:val="00DD2DD1"/>
    <w:rsid w:val="00DD31C5"/>
    <w:rsid w:val="00DD5020"/>
    <w:rsid w:val="00DD63BE"/>
    <w:rsid w:val="00DE0D31"/>
    <w:rsid w:val="00DE4296"/>
    <w:rsid w:val="00DE48B0"/>
    <w:rsid w:val="00DF0FFE"/>
    <w:rsid w:val="00DF2469"/>
    <w:rsid w:val="00DF7899"/>
    <w:rsid w:val="00E0524C"/>
    <w:rsid w:val="00E052D9"/>
    <w:rsid w:val="00E15751"/>
    <w:rsid w:val="00E17160"/>
    <w:rsid w:val="00E17D41"/>
    <w:rsid w:val="00E231D1"/>
    <w:rsid w:val="00E23F7A"/>
    <w:rsid w:val="00E24367"/>
    <w:rsid w:val="00E3288D"/>
    <w:rsid w:val="00E35112"/>
    <w:rsid w:val="00E35BEC"/>
    <w:rsid w:val="00E41A6A"/>
    <w:rsid w:val="00E50821"/>
    <w:rsid w:val="00E5134A"/>
    <w:rsid w:val="00E51F91"/>
    <w:rsid w:val="00E5498A"/>
    <w:rsid w:val="00E559CE"/>
    <w:rsid w:val="00E55C06"/>
    <w:rsid w:val="00E60F42"/>
    <w:rsid w:val="00E614C8"/>
    <w:rsid w:val="00E61EAD"/>
    <w:rsid w:val="00E64E3A"/>
    <w:rsid w:val="00E6746C"/>
    <w:rsid w:val="00E70123"/>
    <w:rsid w:val="00E7086E"/>
    <w:rsid w:val="00E71248"/>
    <w:rsid w:val="00E716A0"/>
    <w:rsid w:val="00E73C41"/>
    <w:rsid w:val="00E75911"/>
    <w:rsid w:val="00E7598F"/>
    <w:rsid w:val="00E76F60"/>
    <w:rsid w:val="00E812B5"/>
    <w:rsid w:val="00E83042"/>
    <w:rsid w:val="00E83D90"/>
    <w:rsid w:val="00E83E3C"/>
    <w:rsid w:val="00E83F91"/>
    <w:rsid w:val="00E840A0"/>
    <w:rsid w:val="00E86299"/>
    <w:rsid w:val="00E9107A"/>
    <w:rsid w:val="00E91F62"/>
    <w:rsid w:val="00E929FD"/>
    <w:rsid w:val="00E93240"/>
    <w:rsid w:val="00E9479B"/>
    <w:rsid w:val="00E94E22"/>
    <w:rsid w:val="00E95F08"/>
    <w:rsid w:val="00E95FB8"/>
    <w:rsid w:val="00E97171"/>
    <w:rsid w:val="00EA4D48"/>
    <w:rsid w:val="00EA7ADF"/>
    <w:rsid w:val="00EB2173"/>
    <w:rsid w:val="00EB62E6"/>
    <w:rsid w:val="00EB695F"/>
    <w:rsid w:val="00EC3A85"/>
    <w:rsid w:val="00EC4B89"/>
    <w:rsid w:val="00EC59A5"/>
    <w:rsid w:val="00EC6E15"/>
    <w:rsid w:val="00ED1B30"/>
    <w:rsid w:val="00ED3AA2"/>
    <w:rsid w:val="00ED5D03"/>
    <w:rsid w:val="00EE01ED"/>
    <w:rsid w:val="00EE1AC1"/>
    <w:rsid w:val="00EE39D6"/>
    <w:rsid w:val="00EE52AD"/>
    <w:rsid w:val="00EE5548"/>
    <w:rsid w:val="00EE55A4"/>
    <w:rsid w:val="00EE5BC3"/>
    <w:rsid w:val="00EE6FAB"/>
    <w:rsid w:val="00EF328C"/>
    <w:rsid w:val="00EF52ED"/>
    <w:rsid w:val="00EF68BB"/>
    <w:rsid w:val="00F01F92"/>
    <w:rsid w:val="00F030D4"/>
    <w:rsid w:val="00F04053"/>
    <w:rsid w:val="00F06573"/>
    <w:rsid w:val="00F10A08"/>
    <w:rsid w:val="00F1154E"/>
    <w:rsid w:val="00F15354"/>
    <w:rsid w:val="00F22AC5"/>
    <w:rsid w:val="00F254D1"/>
    <w:rsid w:val="00F316C0"/>
    <w:rsid w:val="00F32B82"/>
    <w:rsid w:val="00F34C86"/>
    <w:rsid w:val="00F4043E"/>
    <w:rsid w:val="00F41795"/>
    <w:rsid w:val="00F41BBC"/>
    <w:rsid w:val="00F42703"/>
    <w:rsid w:val="00F444F0"/>
    <w:rsid w:val="00F446FF"/>
    <w:rsid w:val="00F45521"/>
    <w:rsid w:val="00F46A7E"/>
    <w:rsid w:val="00F502B3"/>
    <w:rsid w:val="00F50847"/>
    <w:rsid w:val="00F53F27"/>
    <w:rsid w:val="00F546D1"/>
    <w:rsid w:val="00F60281"/>
    <w:rsid w:val="00F611C7"/>
    <w:rsid w:val="00F6315F"/>
    <w:rsid w:val="00F66272"/>
    <w:rsid w:val="00F709C0"/>
    <w:rsid w:val="00F72900"/>
    <w:rsid w:val="00F81FEC"/>
    <w:rsid w:val="00F858C1"/>
    <w:rsid w:val="00F87854"/>
    <w:rsid w:val="00F87BD8"/>
    <w:rsid w:val="00F87D41"/>
    <w:rsid w:val="00F927A1"/>
    <w:rsid w:val="00F92E4D"/>
    <w:rsid w:val="00F95D08"/>
    <w:rsid w:val="00FA23BD"/>
    <w:rsid w:val="00FA3764"/>
    <w:rsid w:val="00FA3978"/>
    <w:rsid w:val="00FA41C7"/>
    <w:rsid w:val="00FA4A79"/>
    <w:rsid w:val="00FA56ED"/>
    <w:rsid w:val="00FB002C"/>
    <w:rsid w:val="00FB05DD"/>
    <w:rsid w:val="00FB0F7C"/>
    <w:rsid w:val="00FB1F5B"/>
    <w:rsid w:val="00FB24EA"/>
    <w:rsid w:val="00FB5FA6"/>
    <w:rsid w:val="00FB61AF"/>
    <w:rsid w:val="00FC0334"/>
    <w:rsid w:val="00FC1310"/>
    <w:rsid w:val="00FC2FF3"/>
    <w:rsid w:val="00FC3263"/>
    <w:rsid w:val="00FC4490"/>
    <w:rsid w:val="00FC507D"/>
    <w:rsid w:val="00FC51F9"/>
    <w:rsid w:val="00FC5B40"/>
    <w:rsid w:val="00FC5FF8"/>
    <w:rsid w:val="00FD271B"/>
    <w:rsid w:val="00FD3D7C"/>
    <w:rsid w:val="00FD4F8F"/>
    <w:rsid w:val="00FE0C16"/>
    <w:rsid w:val="00FE14B1"/>
    <w:rsid w:val="00FE232A"/>
    <w:rsid w:val="00FE2AA9"/>
    <w:rsid w:val="00FE4D97"/>
    <w:rsid w:val="00FE5F90"/>
    <w:rsid w:val="00FF0070"/>
    <w:rsid w:val="00FF07C3"/>
    <w:rsid w:val="00FF11C7"/>
    <w:rsid w:val="00FF30A0"/>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DF87309C859C4DB782E0C220875A91" ma:contentTypeVersion="8" ma:contentTypeDescription="Create a new document." ma:contentTypeScope="" ma:versionID="7d896699a6d27ea5e1389db9f1968f1b">
  <xsd:schema xmlns:xsd="http://www.w3.org/2001/XMLSchema" xmlns:xs="http://www.w3.org/2001/XMLSchema" xmlns:p="http://schemas.microsoft.com/office/2006/metadata/properties" xmlns:ns3="7fd91fcb-c03c-498a-8823-27608d1eb59b" targetNamespace="http://schemas.microsoft.com/office/2006/metadata/properties" ma:root="true" ma:fieldsID="381051f43b22412a35795f24320522e0" ns3:_="">
    <xsd:import namespace="7fd91fcb-c03c-498a-8823-27608d1eb5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d91fcb-c03c-498a-8823-27608d1eb5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62B7F9-B890-4C0B-8335-916F236413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d91fcb-c03c-498a-8823-27608d1eb5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26CEBF-32CB-432A-9E11-7E84F9DAF7A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7769949-1D92-489A-8F71-D8C93BCE2D64}">
  <ds:schemaRefs>
    <ds:schemaRef ds:uri="http://schemas.openxmlformats.org/officeDocument/2006/bibliography"/>
  </ds:schemaRefs>
</ds:datastoreItem>
</file>

<file path=customXml/itemProps4.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1899</TotalTime>
  <Pages>14</Pages>
  <Words>4673</Words>
  <Characters>28363</Characters>
  <Application>Microsoft Office Word</Application>
  <DocSecurity>0</DocSecurity>
  <Lines>423</Lines>
  <Paragraphs>49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Miranda Ellis</cp:lastModifiedBy>
  <cp:revision>287</cp:revision>
  <cp:lastPrinted>2020-02-11T19:20:00Z</cp:lastPrinted>
  <dcterms:created xsi:type="dcterms:W3CDTF">2026-02-09T19:02:00Z</dcterms:created>
  <dcterms:modified xsi:type="dcterms:W3CDTF">2026-02-25T10:22:00Z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0x01010099DF87309C859C4DB782E0C220875A91</vt:lpwstr>
  </property>
</Properties>
</file>