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E9BF3" w14:textId="672A9711" w:rsidR="00A10484" w:rsidRDefault="00537014">
      <w:pPr>
        <w:pStyle w:val="Title"/>
      </w:pPr>
      <w:r>
        <w:t xml:space="preserve">ACDB 4011: </w:t>
      </w:r>
      <w:r w:rsidR="005E6906">
        <w:t>Titration</w:t>
      </w:r>
      <w:r>
        <w:t xml:space="preserve"> Test</w:t>
      </w:r>
    </w:p>
    <w:p w14:paraId="51431229" w14:textId="77777777" w:rsidR="00BE6104" w:rsidRDefault="00BE6104">
      <w:pPr>
        <w:pStyle w:val="Title"/>
      </w:pPr>
    </w:p>
    <w:sdt>
      <w:sdtPr>
        <w:id w:val="-534805860"/>
        <w:docPartObj>
          <w:docPartGallery w:val="Table of Contents"/>
          <w:docPartUnique/>
        </w:docPartObj>
      </w:sdtPr>
      <w:sdtEndPr>
        <w:rPr>
          <w:rFonts w:asciiTheme="minorHAnsi" w:eastAsiaTheme="minorEastAsia" w:hAnsiTheme="minorHAnsi" w:cstheme="minorBidi"/>
          <w:smallCaps w:val="0"/>
          <w:noProof/>
          <w:sz w:val="22"/>
          <w:szCs w:val="22"/>
        </w:rPr>
      </w:sdtEndPr>
      <w:sdtContent>
        <w:p w14:paraId="37489867" w14:textId="2D494CB4" w:rsidR="00BE6104" w:rsidRDefault="00BE6104">
          <w:pPr>
            <w:pStyle w:val="TOCHeading"/>
          </w:pPr>
          <w:r>
            <w:t>Table of Contents</w:t>
          </w:r>
        </w:p>
        <w:p w14:paraId="1E3376AE" w14:textId="553C390A" w:rsidR="00BE6104" w:rsidRDefault="00BE6104">
          <w:pPr>
            <w:pStyle w:val="TOC1"/>
            <w:tabs>
              <w:tab w:val="right" w:leader="dot" w:pos="9350"/>
            </w:tabs>
            <w:rPr>
              <w:noProof/>
            </w:rPr>
          </w:pPr>
          <w:r>
            <w:fldChar w:fldCharType="begin"/>
          </w:r>
          <w:r>
            <w:instrText xml:space="preserve"> TOC \o "1-3" \h \z \u </w:instrText>
          </w:r>
          <w:r>
            <w:fldChar w:fldCharType="separate"/>
          </w:r>
          <w:hyperlink w:anchor="_Toc161873995" w:history="1">
            <w:r w:rsidRPr="00D72D0E">
              <w:rPr>
                <w:rStyle w:val="Hyperlink"/>
                <w:noProof/>
              </w:rPr>
              <w:t>Table of Contents</w:t>
            </w:r>
            <w:r>
              <w:rPr>
                <w:noProof/>
                <w:webHidden/>
              </w:rPr>
              <w:tab/>
            </w:r>
            <w:r>
              <w:rPr>
                <w:noProof/>
                <w:webHidden/>
              </w:rPr>
              <w:fldChar w:fldCharType="begin"/>
            </w:r>
            <w:r>
              <w:rPr>
                <w:noProof/>
                <w:webHidden/>
              </w:rPr>
              <w:instrText xml:space="preserve"> PAGEREF _Toc161873995 \h </w:instrText>
            </w:r>
            <w:r>
              <w:rPr>
                <w:noProof/>
                <w:webHidden/>
              </w:rPr>
            </w:r>
            <w:r>
              <w:rPr>
                <w:noProof/>
                <w:webHidden/>
              </w:rPr>
              <w:fldChar w:fldCharType="separate"/>
            </w:r>
            <w:r>
              <w:rPr>
                <w:noProof/>
                <w:webHidden/>
              </w:rPr>
              <w:t>1</w:t>
            </w:r>
            <w:r>
              <w:rPr>
                <w:noProof/>
                <w:webHidden/>
              </w:rPr>
              <w:fldChar w:fldCharType="end"/>
            </w:r>
          </w:hyperlink>
        </w:p>
        <w:p w14:paraId="375CA0A4" w14:textId="5078F0DF" w:rsidR="00BE6104" w:rsidRDefault="00BE6104">
          <w:pPr>
            <w:pStyle w:val="TOC1"/>
            <w:tabs>
              <w:tab w:val="right" w:leader="dot" w:pos="9350"/>
            </w:tabs>
            <w:rPr>
              <w:noProof/>
            </w:rPr>
          </w:pPr>
          <w:hyperlink w:anchor="_Toc161873996" w:history="1">
            <w:r w:rsidRPr="00D72D0E">
              <w:rPr>
                <w:rStyle w:val="Hyperlink"/>
                <w:noProof/>
              </w:rPr>
              <w:t>Introduction</w:t>
            </w:r>
            <w:r>
              <w:rPr>
                <w:noProof/>
                <w:webHidden/>
              </w:rPr>
              <w:tab/>
            </w:r>
            <w:r>
              <w:rPr>
                <w:noProof/>
                <w:webHidden/>
              </w:rPr>
              <w:fldChar w:fldCharType="begin"/>
            </w:r>
            <w:r>
              <w:rPr>
                <w:noProof/>
                <w:webHidden/>
              </w:rPr>
              <w:instrText xml:space="preserve"> PAGEREF _Toc161873996 \h </w:instrText>
            </w:r>
            <w:r>
              <w:rPr>
                <w:noProof/>
                <w:webHidden/>
              </w:rPr>
            </w:r>
            <w:r>
              <w:rPr>
                <w:noProof/>
                <w:webHidden/>
              </w:rPr>
              <w:fldChar w:fldCharType="separate"/>
            </w:r>
            <w:r>
              <w:rPr>
                <w:noProof/>
                <w:webHidden/>
              </w:rPr>
              <w:t>1</w:t>
            </w:r>
            <w:r>
              <w:rPr>
                <w:noProof/>
                <w:webHidden/>
              </w:rPr>
              <w:fldChar w:fldCharType="end"/>
            </w:r>
          </w:hyperlink>
        </w:p>
        <w:p w14:paraId="778B8C97" w14:textId="489A713A" w:rsidR="00BE6104" w:rsidRDefault="00BE6104">
          <w:pPr>
            <w:pStyle w:val="TOC1"/>
            <w:tabs>
              <w:tab w:val="right" w:leader="dot" w:pos="9350"/>
            </w:tabs>
            <w:rPr>
              <w:noProof/>
            </w:rPr>
          </w:pPr>
          <w:hyperlink w:anchor="_Toc161873997" w:history="1">
            <w:r w:rsidRPr="00D72D0E">
              <w:rPr>
                <w:rStyle w:val="Hyperlink"/>
                <w:noProof/>
              </w:rPr>
              <w:t>Materials and Methods</w:t>
            </w:r>
            <w:r>
              <w:rPr>
                <w:noProof/>
                <w:webHidden/>
              </w:rPr>
              <w:tab/>
            </w:r>
            <w:r>
              <w:rPr>
                <w:noProof/>
                <w:webHidden/>
              </w:rPr>
              <w:fldChar w:fldCharType="begin"/>
            </w:r>
            <w:r>
              <w:rPr>
                <w:noProof/>
                <w:webHidden/>
              </w:rPr>
              <w:instrText xml:space="preserve"> PAGEREF _Toc161873997 \h </w:instrText>
            </w:r>
            <w:r>
              <w:rPr>
                <w:noProof/>
                <w:webHidden/>
              </w:rPr>
            </w:r>
            <w:r>
              <w:rPr>
                <w:noProof/>
                <w:webHidden/>
              </w:rPr>
              <w:fldChar w:fldCharType="separate"/>
            </w:r>
            <w:r>
              <w:rPr>
                <w:noProof/>
                <w:webHidden/>
              </w:rPr>
              <w:t>2</w:t>
            </w:r>
            <w:r>
              <w:rPr>
                <w:noProof/>
                <w:webHidden/>
              </w:rPr>
              <w:fldChar w:fldCharType="end"/>
            </w:r>
          </w:hyperlink>
        </w:p>
        <w:p w14:paraId="3F9D74F7" w14:textId="6850BAB5" w:rsidR="00BE6104" w:rsidRDefault="00BE6104">
          <w:pPr>
            <w:pStyle w:val="TOC1"/>
            <w:tabs>
              <w:tab w:val="right" w:leader="dot" w:pos="9350"/>
            </w:tabs>
            <w:rPr>
              <w:noProof/>
            </w:rPr>
          </w:pPr>
          <w:hyperlink w:anchor="_Toc161873998" w:history="1">
            <w:r w:rsidRPr="00D72D0E">
              <w:rPr>
                <w:rStyle w:val="Hyperlink"/>
                <w:noProof/>
              </w:rPr>
              <w:t>Results</w:t>
            </w:r>
            <w:r>
              <w:rPr>
                <w:noProof/>
                <w:webHidden/>
              </w:rPr>
              <w:tab/>
            </w:r>
            <w:r>
              <w:rPr>
                <w:noProof/>
                <w:webHidden/>
              </w:rPr>
              <w:fldChar w:fldCharType="begin"/>
            </w:r>
            <w:r>
              <w:rPr>
                <w:noProof/>
                <w:webHidden/>
              </w:rPr>
              <w:instrText xml:space="preserve"> PAGEREF _Toc161873998 \h </w:instrText>
            </w:r>
            <w:r>
              <w:rPr>
                <w:noProof/>
                <w:webHidden/>
              </w:rPr>
            </w:r>
            <w:r>
              <w:rPr>
                <w:noProof/>
                <w:webHidden/>
              </w:rPr>
              <w:fldChar w:fldCharType="separate"/>
            </w:r>
            <w:r>
              <w:rPr>
                <w:noProof/>
                <w:webHidden/>
              </w:rPr>
              <w:t>3</w:t>
            </w:r>
            <w:r>
              <w:rPr>
                <w:noProof/>
                <w:webHidden/>
              </w:rPr>
              <w:fldChar w:fldCharType="end"/>
            </w:r>
          </w:hyperlink>
        </w:p>
        <w:p w14:paraId="169D082B" w14:textId="5C17848F" w:rsidR="00BE6104" w:rsidRDefault="00BE6104">
          <w:pPr>
            <w:pStyle w:val="TOC1"/>
            <w:tabs>
              <w:tab w:val="right" w:leader="dot" w:pos="9350"/>
            </w:tabs>
            <w:rPr>
              <w:noProof/>
            </w:rPr>
          </w:pPr>
          <w:hyperlink w:anchor="_Toc161873999" w:history="1">
            <w:r w:rsidRPr="00D72D0E">
              <w:rPr>
                <w:rStyle w:val="Hyperlink"/>
                <w:noProof/>
              </w:rPr>
              <w:t>Discussion</w:t>
            </w:r>
            <w:r>
              <w:rPr>
                <w:noProof/>
                <w:webHidden/>
              </w:rPr>
              <w:tab/>
            </w:r>
            <w:r>
              <w:rPr>
                <w:noProof/>
                <w:webHidden/>
              </w:rPr>
              <w:fldChar w:fldCharType="begin"/>
            </w:r>
            <w:r>
              <w:rPr>
                <w:noProof/>
                <w:webHidden/>
              </w:rPr>
              <w:instrText xml:space="preserve"> PAGEREF _Toc161873999 \h </w:instrText>
            </w:r>
            <w:r>
              <w:rPr>
                <w:noProof/>
                <w:webHidden/>
              </w:rPr>
            </w:r>
            <w:r>
              <w:rPr>
                <w:noProof/>
                <w:webHidden/>
              </w:rPr>
              <w:fldChar w:fldCharType="separate"/>
            </w:r>
            <w:r>
              <w:rPr>
                <w:noProof/>
                <w:webHidden/>
              </w:rPr>
              <w:t>3</w:t>
            </w:r>
            <w:r>
              <w:rPr>
                <w:noProof/>
                <w:webHidden/>
              </w:rPr>
              <w:fldChar w:fldCharType="end"/>
            </w:r>
          </w:hyperlink>
        </w:p>
        <w:p w14:paraId="214F0455" w14:textId="2E49650A" w:rsidR="00BE6104" w:rsidRDefault="00BE6104">
          <w:pPr>
            <w:pStyle w:val="TOC1"/>
            <w:tabs>
              <w:tab w:val="right" w:leader="dot" w:pos="9350"/>
            </w:tabs>
            <w:rPr>
              <w:noProof/>
            </w:rPr>
          </w:pPr>
          <w:hyperlink w:anchor="_Toc161874000" w:history="1">
            <w:r w:rsidRPr="00D72D0E">
              <w:rPr>
                <w:rStyle w:val="Hyperlink"/>
                <w:noProof/>
              </w:rPr>
              <w:t>Conclusions</w:t>
            </w:r>
            <w:r>
              <w:rPr>
                <w:noProof/>
                <w:webHidden/>
              </w:rPr>
              <w:tab/>
            </w:r>
            <w:r>
              <w:rPr>
                <w:noProof/>
                <w:webHidden/>
              </w:rPr>
              <w:fldChar w:fldCharType="begin"/>
            </w:r>
            <w:r>
              <w:rPr>
                <w:noProof/>
                <w:webHidden/>
              </w:rPr>
              <w:instrText xml:space="preserve"> PAGEREF _Toc161874000 \h </w:instrText>
            </w:r>
            <w:r>
              <w:rPr>
                <w:noProof/>
                <w:webHidden/>
              </w:rPr>
            </w:r>
            <w:r>
              <w:rPr>
                <w:noProof/>
                <w:webHidden/>
              </w:rPr>
              <w:fldChar w:fldCharType="separate"/>
            </w:r>
            <w:r>
              <w:rPr>
                <w:noProof/>
                <w:webHidden/>
              </w:rPr>
              <w:t>4</w:t>
            </w:r>
            <w:r>
              <w:rPr>
                <w:noProof/>
                <w:webHidden/>
              </w:rPr>
              <w:fldChar w:fldCharType="end"/>
            </w:r>
          </w:hyperlink>
        </w:p>
        <w:p w14:paraId="6F65F8E2" w14:textId="1B0DB48E" w:rsidR="00BE6104" w:rsidRDefault="00BE6104">
          <w:pPr>
            <w:pStyle w:val="TOC1"/>
            <w:tabs>
              <w:tab w:val="right" w:leader="dot" w:pos="9350"/>
            </w:tabs>
            <w:rPr>
              <w:noProof/>
            </w:rPr>
          </w:pPr>
          <w:hyperlink w:anchor="_Toc161874001" w:history="1">
            <w:r w:rsidRPr="00D72D0E">
              <w:rPr>
                <w:rStyle w:val="Hyperlink"/>
                <w:noProof/>
              </w:rPr>
              <w:t>References</w:t>
            </w:r>
            <w:r>
              <w:rPr>
                <w:noProof/>
                <w:webHidden/>
              </w:rPr>
              <w:tab/>
            </w:r>
            <w:r>
              <w:rPr>
                <w:noProof/>
                <w:webHidden/>
              </w:rPr>
              <w:fldChar w:fldCharType="begin"/>
            </w:r>
            <w:r>
              <w:rPr>
                <w:noProof/>
                <w:webHidden/>
              </w:rPr>
              <w:instrText xml:space="preserve"> PAGEREF _Toc161874001 \h </w:instrText>
            </w:r>
            <w:r>
              <w:rPr>
                <w:noProof/>
                <w:webHidden/>
              </w:rPr>
            </w:r>
            <w:r>
              <w:rPr>
                <w:noProof/>
                <w:webHidden/>
              </w:rPr>
              <w:fldChar w:fldCharType="separate"/>
            </w:r>
            <w:r>
              <w:rPr>
                <w:noProof/>
                <w:webHidden/>
              </w:rPr>
              <w:t>4</w:t>
            </w:r>
            <w:r>
              <w:rPr>
                <w:noProof/>
                <w:webHidden/>
              </w:rPr>
              <w:fldChar w:fldCharType="end"/>
            </w:r>
          </w:hyperlink>
        </w:p>
        <w:p w14:paraId="770B6934" w14:textId="77D47995" w:rsidR="00BE6104" w:rsidRDefault="00BE6104">
          <w:r>
            <w:rPr>
              <w:b/>
              <w:bCs/>
              <w:noProof/>
            </w:rPr>
            <w:fldChar w:fldCharType="end"/>
          </w:r>
        </w:p>
      </w:sdtContent>
    </w:sdt>
    <w:p w14:paraId="68E89614" w14:textId="77777777" w:rsidR="00BE6104" w:rsidRDefault="00BE6104" w:rsidP="00BE6104"/>
    <w:p w14:paraId="1DB86DF7" w14:textId="77777777" w:rsidR="00BE6104" w:rsidRDefault="00BE6104" w:rsidP="00BE6104"/>
    <w:p w14:paraId="32A843FB" w14:textId="77777777" w:rsidR="00BE6104" w:rsidRDefault="00BE6104" w:rsidP="00BE6104"/>
    <w:p w14:paraId="7697EE3D" w14:textId="77777777" w:rsidR="00BE6104" w:rsidRDefault="00BE6104" w:rsidP="00BE6104"/>
    <w:p w14:paraId="1189E10F" w14:textId="77777777" w:rsidR="00BE6104" w:rsidRDefault="00BE6104" w:rsidP="00BE6104"/>
    <w:p w14:paraId="16CF09F0" w14:textId="77777777" w:rsidR="00BE6104" w:rsidRDefault="00BE6104" w:rsidP="00BE6104"/>
    <w:p w14:paraId="2E03E147" w14:textId="77777777" w:rsidR="00BE6104" w:rsidRDefault="00BE6104" w:rsidP="00BE6104"/>
    <w:p w14:paraId="48A9D576" w14:textId="77777777" w:rsidR="00BE6104" w:rsidRDefault="00BE6104" w:rsidP="00BE6104"/>
    <w:p w14:paraId="5608ED72" w14:textId="77777777" w:rsidR="00BE6104" w:rsidRDefault="00BE6104" w:rsidP="00BE6104"/>
    <w:p w14:paraId="5E0C700B" w14:textId="77777777" w:rsidR="00BE6104" w:rsidRDefault="00BE6104" w:rsidP="00BE6104"/>
    <w:p w14:paraId="2C96B83A" w14:textId="77777777" w:rsidR="00BE6104" w:rsidRDefault="00BE6104" w:rsidP="00BE6104"/>
    <w:p w14:paraId="31C1F7F1" w14:textId="77777777" w:rsidR="00BE6104" w:rsidRDefault="00BE6104" w:rsidP="00BE6104"/>
    <w:p w14:paraId="4D5B2AD4" w14:textId="77777777" w:rsidR="00BE6104" w:rsidRPr="00BE6104" w:rsidRDefault="00BE6104" w:rsidP="00BE6104"/>
    <w:p w14:paraId="3929D035" w14:textId="77777777" w:rsidR="00FD3D44" w:rsidRDefault="00FD3D44" w:rsidP="00BD5264">
      <w:pPr>
        <w:pStyle w:val="Heading1"/>
      </w:pPr>
      <w:bookmarkStart w:id="0" w:name="_Toc161873996"/>
    </w:p>
    <w:p w14:paraId="4A26BB93" w14:textId="5ACE5899" w:rsidR="00855982" w:rsidRDefault="00537014" w:rsidP="00BD5264">
      <w:pPr>
        <w:pStyle w:val="Heading1"/>
      </w:pPr>
      <w:r>
        <w:t>Introduction</w:t>
      </w:r>
      <w:bookmarkEnd w:id="0"/>
    </w:p>
    <w:p w14:paraId="77823F96" w14:textId="77777777" w:rsidR="00FD3D44" w:rsidRDefault="00FD3D44" w:rsidP="007066BA"/>
    <w:p w14:paraId="1B950261" w14:textId="24A8B707" w:rsidR="00537014" w:rsidRPr="00F8752E" w:rsidRDefault="00537014" w:rsidP="007066BA">
      <w:pPr>
        <w:rPr>
          <w:highlight w:val="yellow"/>
        </w:rPr>
      </w:pPr>
      <w:r>
        <w:t xml:space="preserve">The Hypothesis </w:t>
      </w:r>
      <w:r w:rsidR="00F8752E">
        <w:t xml:space="preserve">of this experiment was to test the colour change within a solution at what point, </w:t>
      </w:r>
      <w:r w:rsidR="00BD47C8">
        <w:t>to</w:t>
      </w:r>
      <w:r w:rsidR="00F8752E">
        <w:t xml:space="preserve"> allow the identification of the </w:t>
      </w:r>
      <w:r w:rsidR="007066BA">
        <w:t>concentration</w:t>
      </w:r>
      <w:r w:rsidR="00F8752E">
        <w:t xml:space="preserve"> of the solution, whether </w:t>
      </w:r>
      <w:r w:rsidR="002A6D08">
        <w:t>it’s</w:t>
      </w:r>
      <w:r w:rsidR="00F8752E">
        <w:t xml:space="preserve"> an acid base or an alkali solution</w:t>
      </w:r>
      <w:r w:rsidR="007066BA">
        <w:t xml:space="preserve"> and using this to calculate the molarity of the substance being tested</w:t>
      </w:r>
      <w:r w:rsidR="00F8752E">
        <w:t>.</w:t>
      </w:r>
    </w:p>
    <w:p w14:paraId="448EB3D9" w14:textId="46F1E0DA" w:rsidR="00FE5796" w:rsidRPr="006B19E3" w:rsidRDefault="000F49D9" w:rsidP="00537014">
      <w:r w:rsidRPr="006B19E3">
        <w:t xml:space="preserve">Within this test, the independent variable </w:t>
      </w:r>
      <w:r w:rsidR="007066BA" w:rsidRPr="006B19E3">
        <w:t xml:space="preserve">was the unknown sample I </w:t>
      </w:r>
      <w:r w:rsidR="002A6D08" w:rsidRPr="006B19E3">
        <w:t>evaluated</w:t>
      </w:r>
      <w:r w:rsidRPr="006B19E3">
        <w:t>.</w:t>
      </w:r>
      <w:r w:rsidR="007066BA" w:rsidRPr="006B19E3">
        <w:t xml:space="preserve"> The Dependent variable was the volume change within the solution when the neutralization occurs. </w:t>
      </w:r>
    </w:p>
    <w:p w14:paraId="5484B3CA" w14:textId="77777777" w:rsidR="00FE5796" w:rsidRPr="006B19E3" w:rsidRDefault="00FE5796" w:rsidP="00537014">
      <w:r w:rsidRPr="006B19E3">
        <w:t>The control variables were:</w:t>
      </w:r>
    </w:p>
    <w:p w14:paraId="20C8D722" w14:textId="4BB9EDA6" w:rsidR="00FE5796" w:rsidRPr="006B19E3" w:rsidRDefault="007066BA" w:rsidP="00FE5796">
      <w:pPr>
        <w:pStyle w:val="ListParagraph"/>
        <w:numPr>
          <w:ilvl w:val="0"/>
          <w:numId w:val="31"/>
        </w:numPr>
      </w:pPr>
      <w:r w:rsidRPr="006B19E3">
        <w:t>Keeping a white tile underneath the conical flask</w:t>
      </w:r>
    </w:p>
    <w:p w14:paraId="1B3D7C4D" w14:textId="4F58AB88" w:rsidR="007066BA" w:rsidRPr="006B19E3" w:rsidRDefault="007066BA" w:rsidP="00FE5796">
      <w:pPr>
        <w:pStyle w:val="ListParagraph"/>
        <w:numPr>
          <w:ilvl w:val="0"/>
          <w:numId w:val="31"/>
        </w:numPr>
      </w:pPr>
      <w:r w:rsidRPr="006B19E3">
        <w:t xml:space="preserve">Maintaining a swirling acting within the conical flask </w:t>
      </w:r>
      <w:r w:rsidR="00BD47C8" w:rsidRPr="006B19E3">
        <w:t>to</w:t>
      </w:r>
      <w:r w:rsidRPr="006B19E3">
        <w:t xml:space="preserve"> ensure it is being mixed in constantly.</w:t>
      </w:r>
    </w:p>
    <w:p w14:paraId="1D8090CE" w14:textId="56625D94" w:rsidR="00FE5796" w:rsidRPr="006B19E3" w:rsidRDefault="00FE5796" w:rsidP="00FE5796">
      <w:pPr>
        <w:pStyle w:val="ListParagraph"/>
        <w:numPr>
          <w:ilvl w:val="0"/>
          <w:numId w:val="31"/>
        </w:numPr>
      </w:pPr>
      <w:r w:rsidRPr="006B19E3">
        <w:t>Cleaning of the metal rod used.</w:t>
      </w:r>
    </w:p>
    <w:p w14:paraId="466C69DD" w14:textId="1D29966B" w:rsidR="007066BA" w:rsidRPr="006B19E3" w:rsidRDefault="007066BA" w:rsidP="00FE5796">
      <w:pPr>
        <w:pStyle w:val="ListParagraph"/>
        <w:numPr>
          <w:ilvl w:val="0"/>
          <w:numId w:val="31"/>
        </w:numPr>
      </w:pPr>
      <w:r w:rsidRPr="006B19E3">
        <w:t xml:space="preserve">Washing all </w:t>
      </w:r>
      <w:r w:rsidR="00BD47C8" w:rsidRPr="006B19E3">
        <w:t>glassware being used with</w:t>
      </w:r>
      <w:r w:rsidRPr="006B19E3">
        <w:t xml:space="preserve"> deionized water to prevent </w:t>
      </w:r>
      <w:r w:rsidR="00BD47C8" w:rsidRPr="006B19E3">
        <w:t>contamination.</w:t>
      </w:r>
    </w:p>
    <w:p w14:paraId="5CF533AF" w14:textId="1385E367" w:rsidR="00BD47C8" w:rsidRPr="006B19E3" w:rsidRDefault="00BD47C8" w:rsidP="00FE5796">
      <w:pPr>
        <w:pStyle w:val="ListParagraph"/>
        <w:numPr>
          <w:ilvl w:val="0"/>
          <w:numId w:val="31"/>
        </w:numPr>
      </w:pPr>
      <w:r w:rsidRPr="006B19E3">
        <w:t>Maintaining an average temperature within the environment.</w:t>
      </w:r>
    </w:p>
    <w:p w14:paraId="3B308181" w14:textId="7C662240" w:rsidR="00BD47C8" w:rsidRDefault="00BD47C8" w:rsidP="00FE5796">
      <w:pPr>
        <w:pStyle w:val="ListParagraph"/>
        <w:numPr>
          <w:ilvl w:val="0"/>
          <w:numId w:val="31"/>
        </w:numPr>
      </w:pPr>
      <w:r w:rsidRPr="006B19E3">
        <w:t>Same indicator chemical used throughout.</w:t>
      </w:r>
    </w:p>
    <w:p w14:paraId="124B2D87" w14:textId="45B31191" w:rsidR="000A52E9" w:rsidRDefault="000A52E9" w:rsidP="000A52E9">
      <w:r>
        <w:t>Equation Used:</w:t>
      </w:r>
    </w:p>
    <w:p w14:paraId="36F87DAA" w14:textId="09EC5535" w:rsidR="000A52E9" w:rsidRDefault="00B952DB" w:rsidP="000A52E9">
      <w:pPr>
        <w:pStyle w:val="ListParagraph"/>
        <w:numPr>
          <w:ilvl w:val="0"/>
          <w:numId w:val="31"/>
        </w:numPr>
      </w:pPr>
      <w:r>
        <w:t>M = n/v</w:t>
      </w:r>
    </w:p>
    <w:p w14:paraId="352D27A1" w14:textId="0572E681" w:rsidR="00B952DB" w:rsidRPr="006B19E3" w:rsidRDefault="00B952DB" w:rsidP="000A52E9">
      <w:pPr>
        <w:pStyle w:val="ListParagraph"/>
        <w:numPr>
          <w:ilvl w:val="0"/>
          <w:numId w:val="31"/>
        </w:numPr>
      </w:pPr>
      <w:r>
        <w:t>Molarity = moles / volume</w:t>
      </w:r>
    </w:p>
    <w:p w14:paraId="438E777D" w14:textId="77777777" w:rsidR="00537014" w:rsidRDefault="00537014" w:rsidP="00855982"/>
    <w:p w14:paraId="26FC7D94" w14:textId="6A3BB638" w:rsidR="00537014" w:rsidRDefault="00537014" w:rsidP="00537014">
      <w:pPr>
        <w:pStyle w:val="Heading1"/>
      </w:pPr>
      <w:bookmarkStart w:id="1" w:name="_Toc161873997"/>
      <w:r>
        <w:t>Materials and Methods</w:t>
      </w:r>
      <w:bookmarkEnd w:id="1"/>
    </w:p>
    <w:p w14:paraId="66414F11" w14:textId="77777777" w:rsidR="00537014" w:rsidRDefault="00537014" w:rsidP="00537014"/>
    <w:p w14:paraId="29DACF33" w14:textId="2730863E" w:rsidR="00FE5796" w:rsidRDefault="00FE5796" w:rsidP="00FE5796">
      <w:r>
        <w:t>Materials</w:t>
      </w:r>
      <w:r w:rsidR="00984528">
        <w:t xml:space="preserve"> &amp; </w:t>
      </w:r>
      <w:r>
        <w:t>Equipment used:</w:t>
      </w:r>
    </w:p>
    <w:p w14:paraId="374183D7" w14:textId="53308E29" w:rsidR="002E6715" w:rsidRDefault="00BD47C8" w:rsidP="00FE5796">
      <w:pPr>
        <w:pStyle w:val="ListParagraph"/>
        <w:numPr>
          <w:ilvl w:val="0"/>
          <w:numId w:val="30"/>
        </w:numPr>
      </w:pPr>
      <w:r>
        <w:t>Safety Goggles</w:t>
      </w:r>
      <w:r w:rsidR="002E09F1">
        <w:t>,</w:t>
      </w:r>
      <w:r>
        <w:t xml:space="preserve"> Lab Coat</w:t>
      </w:r>
      <w:r w:rsidR="002E09F1">
        <w:t xml:space="preserve"> &amp; disposable gloves</w:t>
      </w:r>
    </w:p>
    <w:p w14:paraId="3DFD39DF" w14:textId="526F325E" w:rsidR="00BD47C8" w:rsidRDefault="00BD47C8" w:rsidP="00FE5796">
      <w:pPr>
        <w:pStyle w:val="ListParagraph"/>
        <w:numPr>
          <w:ilvl w:val="0"/>
          <w:numId w:val="30"/>
        </w:numPr>
      </w:pPr>
      <w:r>
        <w:t>80mL of standard NoOH Solution</w:t>
      </w:r>
    </w:p>
    <w:p w14:paraId="1149609F" w14:textId="0D1F1E1A" w:rsidR="00BD47C8" w:rsidRDefault="00BD47C8" w:rsidP="00FE5796">
      <w:pPr>
        <w:pStyle w:val="ListParagraph"/>
        <w:numPr>
          <w:ilvl w:val="0"/>
          <w:numId w:val="30"/>
        </w:numPr>
      </w:pPr>
      <w:r w:rsidRPr="00BD47C8">
        <w:t>80 mL HCl solution with unknown concentration</w:t>
      </w:r>
    </w:p>
    <w:p w14:paraId="7E229F63" w14:textId="43A6BB0A" w:rsidR="00BD47C8" w:rsidRDefault="00BD47C8" w:rsidP="00FE5796">
      <w:pPr>
        <w:pStyle w:val="ListParagraph"/>
        <w:numPr>
          <w:ilvl w:val="0"/>
          <w:numId w:val="30"/>
        </w:numPr>
      </w:pPr>
      <w:r w:rsidRPr="00BD47C8">
        <w:t>Phenolphthalein indicator</w:t>
      </w:r>
    </w:p>
    <w:p w14:paraId="14B2C41F" w14:textId="0C7C9CB7" w:rsidR="00BD47C8" w:rsidRDefault="00BD47C8" w:rsidP="00FE5796">
      <w:pPr>
        <w:pStyle w:val="ListParagraph"/>
        <w:numPr>
          <w:ilvl w:val="0"/>
          <w:numId w:val="30"/>
        </w:numPr>
      </w:pPr>
      <w:r>
        <w:t>A 50mL Burette (including a stand and clamp)</w:t>
      </w:r>
    </w:p>
    <w:p w14:paraId="4DDD6BD5" w14:textId="5F63B21C" w:rsidR="00BD47C8" w:rsidRDefault="00BD47C8" w:rsidP="00FE5796">
      <w:pPr>
        <w:pStyle w:val="ListParagraph"/>
        <w:numPr>
          <w:ilvl w:val="0"/>
          <w:numId w:val="30"/>
        </w:numPr>
      </w:pPr>
      <w:r>
        <w:t>A 10mL Pipette (with Pipette filler)</w:t>
      </w:r>
    </w:p>
    <w:p w14:paraId="48C25FB7" w14:textId="3D2B50F4" w:rsidR="00BD47C8" w:rsidRDefault="00BD47C8" w:rsidP="00FE5796">
      <w:pPr>
        <w:pStyle w:val="ListParagraph"/>
        <w:numPr>
          <w:ilvl w:val="0"/>
          <w:numId w:val="30"/>
        </w:numPr>
      </w:pPr>
      <w:r>
        <w:t xml:space="preserve">A small funnel to avoid spillage into the </w:t>
      </w:r>
      <w:r w:rsidR="002E09F1">
        <w:t>birette.</w:t>
      </w:r>
    </w:p>
    <w:p w14:paraId="51D3BCD1" w14:textId="7E6E8538" w:rsidR="00BD47C8" w:rsidRDefault="00BD47C8" w:rsidP="00FE5796">
      <w:pPr>
        <w:pStyle w:val="ListParagraph"/>
        <w:numPr>
          <w:ilvl w:val="0"/>
          <w:numId w:val="30"/>
        </w:numPr>
      </w:pPr>
      <w:r>
        <w:t>3 x 100mL Conical Flasks</w:t>
      </w:r>
    </w:p>
    <w:p w14:paraId="1A13F540" w14:textId="67648864" w:rsidR="00592646" w:rsidRDefault="00592646" w:rsidP="00FE5796">
      <w:pPr>
        <w:pStyle w:val="ListParagraph"/>
        <w:numPr>
          <w:ilvl w:val="0"/>
          <w:numId w:val="30"/>
        </w:numPr>
      </w:pPr>
      <w:r>
        <w:t>A 10mL Graduated Cylinder</w:t>
      </w:r>
    </w:p>
    <w:p w14:paraId="76FCAA40" w14:textId="4B61C1A3" w:rsidR="00592646" w:rsidRDefault="00592646" w:rsidP="00FE5796">
      <w:pPr>
        <w:pStyle w:val="ListParagraph"/>
        <w:numPr>
          <w:ilvl w:val="0"/>
          <w:numId w:val="30"/>
        </w:numPr>
      </w:pPr>
      <w:r>
        <w:t>A PLASTIC Pipette</w:t>
      </w:r>
    </w:p>
    <w:p w14:paraId="5889D3F7" w14:textId="02A8EF5D" w:rsidR="00592646" w:rsidRDefault="00592646" w:rsidP="00FE5796">
      <w:pPr>
        <w:pStyle w:val="ListParagraph"/>
        <w:numPr>
          <w:ilvl w:val="0"/>
          <w:numId w:val="30"/>
        </w:numPr>
      </w:pPr>
      <w:r>
        <w:t>A White Tile</w:t>
      </w:r>
    </w:p>
    <w:p w14:paraId="2BBAF1FB" w14:textId="65C35E08" w:rsidR="00592646" w:rsidRDefault="00592646" w:rsidP="00FE5796">
      <w:pPr>
        <w:pStyle w:val="ListParagraph"/>
        <w:numPr>
          <w:ilvl w:val="0"/>
          <w:numId w:val="30"/>
        </w:numPr>
      </w:pPr>
      <w:r>
        <w:t>A Wash bottle (With deionized water</w:t>
      </w:r>
      <w:r w:rsidR="002E09F1">
        <w:t xml:space="preserve"> and another with HCL</w:t>
      </w:r>
      <w:r>
        <w:t>).</w:t>
      </w:r>
    </w:p>
    <w:p w14:paraId="23339E18" w14:textId="50D198CF" w:rsidR="00592646" w:rsidRDefault="00592646" w:rsidP="00FE5796">
      <w:pPr>
        <w:pStyle w:val="ListParagraph"/>
        <w:numPr>
          <w:ilvl w:val="0"/>
          <w:numId w:val="30"/>
        </w:numPr>
      </w:pPr>
      <w:r>
        <w:lastRenderedPageBreak/>
        <w:t>A Waste Beaker.</w:t>
      </w:r>
    </w:p>
    <w:p w14:paraId="7A851139" w14:textId="77777777" w:rsidR="00984528" w:rsidRDefault="00984528" w:rsidP="00984528">
      <w:pPr>
        <w:pStyle w:val="ListParagraph"/>
      </w:pPr>
    </w:p>
    <w:p w14:paraId="3FC342A4" w14:textId="05B54948" w:rsidR="00984528" w:rsidRDefault="00984528" w:rsidP="00984528">
      <w:r>
        <w:t>Experimental Procedure:</w:t>
      </w:r>
    </w:p>
    <w:p w14:paraId="39DB427D" w14:textId="504D9B84" w:rsidR="00984528" w:rsidRPr="002E09F1" w:rsidRDefault="00984528" w:rsidP="00984528">
      <w:pPr>
        <w:pStyle w:val="ListParagraph"/>
        <w:numPr>
          <w:ilvl w:val="0"/>
          <w:numId w:val="32"/>
        </w:numPr>
      </w:pPr>
      <w:r w:rsidRPr="002E09F1">
        <w:t>Put on Lab Coat, disposable gloves &amp; Eye Protection</w:t>
      </w:r>
    </w:p>
    <w:p w14:paraId="4C82BF52" w14:textId="15A14F19" w:rsidR="00984528" w:rsidRPr="002E09F1" w:rsidRDefault="002E09F1" w:rsidP="00984528">
      <w:pPr>
        <w:pStyle w:val="ListParagraph"/>
        <w:numPr>
          <w:ilvl w:val="0"/>
          <w:numId w:val="32"/>
        </w:numPr>
      </w:pPr>
      <w:r w:rsidRPr="002E09F1">
        <w:t xml:space="preserve">Wash </w:t>
      </w:r>
      <w:r>
        <w:t>the equipment using the deionised water.</w:t>
      </w:r>
    </w:p>
    <w:p w14:paraId="7774A8A2" w14:textId="374DC312" w:rsidR="00984528" w:rsidRDefault="002E09F1" w:rsidP="002E09F1">
      <w:pPr>
        <w:pStyle w:val="ListParagraph"/>
        <w:numPr>
          <w:ilvl w:val="1"/>
          <w:numId w:val="32"/>
        </w:numPr>
      </w:pPr>
      <w:r>
        <w:t xml:space="preserve">Pipette </w:t>
      </w:r>
    </w:p>
    <w:p w14:paraId="11E74265" w14:textId="1030F36C" w:rsidR="002E09F1" w:rsidRDefault="002E09F1" w:rsidP="002E09F1">
      <w:pPr>
        <w:pStyle w:val="ListParagraph"/>
        <w:numPr>
          <w:ilvl w:val="2"/>
          <w:numId w:val="32"/>
        </w:numPr>
      </w:pPr>
      <w:r>
        <w:t>First with deionised water</w:t>
      </w:r>
    </w:p>
    <w:p w14:paraId="4AF6ED22" w14:textId="4FEC3D88" w:rsidR="002E09F1" w:rsidRDefault="002E09F1" w:rsidP="002E09F1">
      <w:pPr>
        <w:pStyle w:val="ListParagraph"/>
        <w:numPr>
          <w:ilvl w:val="2"/>
          <w:numId w:val="32"/>
        </w:numPr>
      </w:pPr>
      <w:r>
        <w:t>Secondly using a small amount of HCL</w:t>
      </w:r>
    </w:p>
    <w:p w14:paraId="697C4420" w14:textId="097A41B7" w:rsidR="002E09F1" w:rsidRDefault="002E09F1" w:rsidP="002E09F1">
      <w:pPr>
        <w:pStyle w:val="ListParagraph"/>
        <w:numPr>
          <w:ilvl w:val="1"/>
          <w:numId w:val="32"/>
        </w:numPr>
      </w:pPr>
      <w:r>
        <w:t>Burette</w:t>
      </w:r>
    </w:p>
    <w:p w14:paraId="1F3C15F9" w14:textId="3253CCC8" w:rsidR="002E09F1" w:rsidRDefault="002E09F1" w:rsidP="002E09F1">
      <w:pPr>
        <w:pStyle w:val="ListParagraph"/>
        <w:numPr>
          <w:ilvl w:val="2"/>
          <w:numId w:val="32"/>
        </w:numPr>
      </w:pPr>
      <w:r>
        <w:t>First with Deionised water.</w:t>
      </w:r>
    </w:p>
    <w:p w14:paraId="6753118F" w14:textId="1321A309" w:rsidR="002E09F1" w:rsidRDefault="002E09F1" w:rsidP="002E09F1">
      <w:pPr>
        <w:pStyle w:val="ListParagraph"/>
        <w:numPr>
          <w:ilvl w:val="2"/>
          <w:numId w:val="32"/>
        </w:numPr>
      </w:pPr>
      <w:r>
        <w:t>Secondly using a small amount of NaOH</w:t>
      </w:r>
    </w:p>
    <w:p w14:paraId="7B75B772" w14:textId="424AB455" w:rsidR="002E09F1" w:rsidRDefault="002E09F1" w:rsidP="002E09F1">
      <w:pPr>
        <w:pStyle w:val="ListParagraph"/>
        <w:numPr>
          <w:ilvl w:val="1"/>
          <w:numId w:val="32"/>
        </w:numPr>
      </w:pPr>
      <w:r>
        <w:t>Conical Flask with small amount of distilled water.</w:t>
      </w:r>
    </w:p>
    <w:p w14:paraId="3DD06733" w14:textId="712C22B4" w:rsidR="002E09F1" w:rsidRDefault="002E09F1" w:rsidP="002E09F1">
      <w:pPr>
        <w:pStyle w:val="ListParagraph"/>
        <w:numPr>
          <w:ilvl w:val="0"/>
          <w:numId w:val="32"/>
        </w:numPr>
      </w:pPr>
      <w:r>
        <w:t>Fill the burette with standard NaOH solution using a funnel, making sure there are no air bubbles trapped inside</w:t>
      </w:r>
      <w:r w:rsidR="006F571C">
        <w:t xml:space="preserve"> and the bottom of the meniscus is at zero level</w:t>
      </w:r>
      <w:r>
        <w:t>.</w:t>
      </w:r>
    </w:p>
    <w:p w14:paraId="6B44EAB8" w14:textId="54747378" w:rsidR="002E09F1" w:rsidRDefault="00B15D39" w:rsidP="002E09F1">
      <w:pPr>
        <w:pStyle w:val="ListParagraph"/>
        <w:numPr>
          <w:ilvl w:val="0"/>
          <w:numId w:val="32"/>
        </w:numPr>
      </w:pPr>
      <w:r>
        <w:t>Fill up all 3 conical flasks with 25 mL of HCL solution using the pipette filler</w:t>
      </w:r>
      <w:r w:rsidR="006B095D">
        <w:t>.</w:t>
      </w:r>
    </w:p>
    <w:p w14:paraId="21FB9531" w14:textId="03FF2AD6" w:rsidR="006B095D" w:rsidRDefault="006B095D" w:rsidP="002E09F1">
      <w:pPr>
        <w:pStyle w:val="ListParagraph"/>
        <w:numPr>
          <w:ilvl w:val="0"/>
          <w:numId w:val="32"/>
        </w:numPr>
      </w:pPr>
      <w:r>
        <w:t>Add 4 drops of phenolphthalein</w:t>
      </w:r>
      <w:r w:rsidR="0031440D">
        <w:t xml:space="preserve"> indicator to each flash and swirl the </w:t>
      </w:r>
      <w:r w:rsidR="00F1325C">
        <w:t>indicator</w:t>
      </w:r>
      <w:r w:rsidR="00B12C62">
        <w:t xml:space="preserve"> into the solution before adding in 10 mL of deionised water using the graduated cylinder.</w:t>
      </w:r>
    </w:p>
    <w:p w14:paraId="79AECF7F" w14:textId="732F85A1" w:rsidR="00F1325C" w:rsidRDefault="00A6501D" w:rsidP="002E09F1">
      <w:pPr>
        <w:pStyle w:val="ListParagraph"/>
        <w:numPr>
          <w:ilvl w:val="0"/>
          <w:numId w:val="32"/>
        </w:numPr>
      </w:pPr>
      <w:r>
        <w:t>R</w:t>
      </w:r>
      <w:r w:rsidR="00294E20">
        <w:t xml:space="preserve">un the tap of the burette </w:t>
      </w:r>
      <w:r w:rsidR="007C71AB">
        <w:t>containing the NaOH solution in the first conical flask, stirring thoroughly until the colour of the solution changes to pink.</w:t>
      </w:r>
      <w:r w:rsidR="006B35B9">
        <w:t xml:space="preserve"> This is the rough titra</w:t>
      </w:r>
      <w:r w:rsidR="00312002">
        <w:t>tion.</w:t>
      </w:r>
    </w:p>
    <w:p w14:paraId="6B4E8125" w14:textId="5EC22AF0" w:rsidR="003A588C" w:rsidRDefault="003A588C" w:rsidP="002E09F1">
      <w:pPr>
        <w:pStyle w:val="ListParagraph"/>
        <w:numPr>
          <w:ilvl w:val="0"/>
          <w:numId w:val="32"/>
        </w:numPr>
      </w:pPr>
      <w:r>
        <w:t xml:space="preserve">Record the </w:t>
      </w:r>
      <w:r w:rsidR="00546D72">
        <w:t>reading.</w:t>
      </w:r>
    </w:p>
    <w:p w14:paraId="6A20D2EB" w14:textId="7B602FDE" w:rsidR="003A588C" w:rsidRDefault="00A6501D" w:rsidP="001977C9">
      <w:pPr>
        <w:pStyle w:val="ListParagraph"/>
        <w:numPr>
          <w:ilvl w:val="0"/>
          <w:numId w:val="32"/>
        </w:numPr>
      </w:pPr>
      <w:r>
        <w:t xml:space="preserve">Repeat step 6 </w:t>
      </w:r>
      <w:r w:rsidR="001977C9">
        <w:t>for the next HCL sample, however, run the NaOH tap</w:t>
      </w:r>
      <w:r w:rsidR="006B35B9">
        <w:t xml:space="preserve"> full pace until you are 2mL of the rough titration </w:t>
      </w:r>
      <w:r w:rsidR="00312002">
        <w:t xml:space="preserve">before slowing it down to one drop at a time </w:t>
      </w:r>
      <w:r w:rsidR="00E079C3">
        <w:t>so that the reading is more precise this time, as it will be accurate to 0.05mL (1 drop)</w:t>
      </w:r>
      <w:r w:rsidR="006314C5">
        <w:t>.</w:t>
      </w:r>
    </w:p>
    <w:p w14:paraId="4888F7C2" w14:textId="44FCFD91" w:rsidR="006314C5" w:rsidRPr="002E09F1" w:rsidRDefault="006314C5" w:rsidP="001977C9">
      <w:pPr>
        <w:pStyle w:val="ListParagraph"/>
        <w:numPr>
          <w:ilvl w:val="0"/>
          <w:numId w:val="32"/>
        </w:numPr>
      </w:pPr>
      <w:r>
        <w:t xml:space="preserve">Repeat until a precise value is recorded. Two of the recorded values should be within 0.1 mL of </w:t>
      </w:r>
      <w:r w:rsidR="00976933">
        <w:t>each other</w:t>
      </w:r>
      <w:r>
        <w:t xml:space="preserve">, then calculate </w:t>
      </w:r>
      <w:r w:rsidR="00976933">
        <w:t>the mean average for the molarity using the precise values, ignoring the rough titration value.</w:t>
      </w:r>
    </w:p>
    <w:p w14:paraId="50862088" w14:textId="77777777" w:rsidR="00537014" w:rsidRDefault="00537014" w:rsidP="00537014"/>
    <w:p w14:paraId="02642DD7" w14:textId="77777777" w:rsidR="00537014" w:rsidRDefault="00537014" w:rsidP="00537014"/>
    <w:p w14:paraId="0CBE4AC0" w14:textId="6FCB3813" w:rsidR="00537014" w:rsidRDefault="00537014" w:rsidP="00537014">
      <w:pPr>
        <w:pStyle w:val="Heading1"/>
      </w:pPr>
      <w:bookmarkStart w:id="2" w:name="_Toc161873998"/>
      <w:r>
        <w:t>Results</w:t>
      </w:r>
      <w:bookmarkEnd w:id="2"/>
    </w:p>
    <w:p w14:paraId="121B7183" w14:textId="41DE6789" w:rsidR="001052B5" w:rsidRDefault="001052B5" w:rsidP="00034161">
      <w:pPr>
        <w:spacing w:line="360" w:lineRule="auto"/>
        <w:rPr>
          <w:rFonts w:eastAsia="Times New Roman" w:cstheme="minorHAnsi"/>
          <w:color w:val="212121"/>
          <w:sz w:val="24"/>
          <w:szCs w:val="24"/>
          <w:lang w:eastAsia="zh-CN"/>
        </w:rPr>
      </w:pPr>
    </w:p>
    <w:p w14:paraId="089652CF" w14:textId="7661BF0C" w:rsidR="00034161" w:rsidRDefault="00034161" w:rsidP="00034161">
      <w:pPr>
        <w:spacing w:line="360" w:lineRule="auto"/>
        <w:rPr>
          <w:rFonts w:eastAsia="Times New Roman" w:cstheme="minorHAnsi"/>
          <w:color w:val="212121"/>
          <w:sz w:val="24"/>
          <w:szCs w:val="24"/>
          <w:lang w:eastAsia="zh-CN"/>
        </w:rPr>
      </w:pPr>
      <w:r>
        <w:rPr>
          <w:rFonts w:eastAsia="Times New Roman" w:cstheme="minorHAnsi"/>
          <w:color w:val="212121"/>
          <w:sz w:val="24"/>
          <w:szCs w:val="24"/>
          <w:lang w:eastAsia="zh-CN"/>
        </w:rPr>
        <w:t>The results</w:t>
      </w:r>
      <w:r w:rsidR="001052B5">
        <w:rPr>
          <w:rFonts w:eastAsia="Times New Roman" w:cstheme="minorHAnsi"/>
          <w:color w:val="212121"/>
          <w:sz w:val="24"/>
          <w:szCs w:val="24"/>
          <w:lang w:eastAsia="zh-CN"/>
        </w:rPr>
        <w:t xml:space="preserve"> from the experiment</w:t>
      </w:r>
      <w:r>
        <w:rPr>
          <w:rFonts w:eastAsia="Times New Roman" w:cstheme="minorHAnsi"/>
          <w:color w:val="212121"/>
          <w:sz w:val="24"/>
          <w:szCs w:val="24"/>
          <w:lang w:eastAsia="zh-CN"/>
        </w:rPr>
        <w:t xml:space="preserve"> can be seen in the table below.</w:t>
      </w:r>
      <w:r w:rsidR="00E26568">
        <w:rPr>
          <w:rFonts w:eastAsia="Times New Roman" w:cstheme="minorHAnsi"/>
          <w:color w:val="212121"/>
          <w:sz w:val="24"/>
          <w:szCs w:val="24"/>
          <w:lang w:eastAsia="zh-CN"/>
        </w:rPr>
        <w:t xml:space="preserve"> Carried out within a group of three consisting of myself, Luke Brown and </w:t>
      </w:r>
      <w:r w:rsidR="00F35980">
        <w:rPr>
          <w:rFonts w:eastAsia="Times New Roman" w:cstheme="minorHAnsi"/>
          <w:color w:val="212121"/>
          <w:sz w:val="24"/>
          <w:szCs w:val="24"/>
          <w:lang w:eastAsia="zh-CN"/>
        </w:rPr>
        <w:t>Uwais Patel</w:t>
      </w:r>
      <w:r w:rsidR="00E26568">
        <w:rPr>
          <w:rFonts w:eastAsia="Times New Roman" w:cstheme="minorHAnsi"/>
          <w:color w:val="212121"/>
          <w:sz w:val="24"/>
          <w:szCs w:val="24"/>
          <w:lang w:eastAsia="zh-CN"/>
        </w:rPr>
        <w:t>.</w:t>
      </w:r>
    </w:p>
    <w:tbl>
      <w:tblPr>
        <w:tblStyle w:val="TableGrid"/>
        <w:tblW w:w="9076" w:type="dxa"/>
        <w:tblLook w:val="04A0" w:firstRow="1" w:lastRow="0" w:firstColumn="1" w:lastColumn="0" w:noHBand="0" w:noVBand="1"/>
      </w:tblPr>
      <w:tblGrid>
        <w:gridCol w:w="2269"/>
        <w:gridCol w:w="2269"/>
        <w:gridCol w:w="2269"/>
        <w:gridCol w:w="2269"/>
      </w:tblGrid>
      <w:tr w:rsidR="004D67DF" w14:paraId="4C4FC7AD" w14:textId="77777777" w:rsidTr="004D67DF">
        <w:trPr>
          <w:trHeight w:val="394"/>
        </w:trPr>
        <w:tc>
          <w:tcPr>
            <w:tcW w:w="2269" w:type="dxa"/>
            <w:tcBorders>
              <w:top w:val="single" w:sz="4" w:space="0" w:color="auto"/>
              <w:left w:val="single" w:sz="4" w:space="0" w:color="auto"/>
              <w:bottom w:val="single" w:sz="4" w:space="0" w:color="auto"/>
              <w:right w:val="single" w:sz="4" w:space="0" w:color="auto"/>
            </w:tcBorders>
            <w:hideMark/>
          </w:tcPr>
          <w:p w14:paraId="17CBE2F2" w14:textId="77777777" w:rsidR="004D67DF" w:rsidRPr="00511FF5" w:rsidRDefault="004D67DF">
            <w:pPr>
              <w:spacing w:after="0" w:line="240" w:lineRule="auto"/>
              <w:jc w:val="center"/>
              <w:rPr>
                <w:b/>
                <w:bCs/>
                <w:szCs w:val="24"/>
                <w:u w:val="single"/>
              </w:rPr>
            </w:pPr>
            <w:r w:rsidRPr="00511FF5">
              <w:rPr>
                <w:b/>
                <w:bCs/>
                <w:szCs w:val="24"/>
                <w:u w:val="single"/>
              </w:rPr>
              <w:t>Flask</w:t>
            </w:r>
          </w:p>
        </w:tc>
        <w:tc>
          <w:tcPr>
            <w:tcW w:w="2269" w:type="dxa"/>
            <w:tcBorders>
              <w:top w:val="single" w:sz="4" w:space="0" w:color="auto"/>
              <w:left w:val="single" w:sz="4" w:space="0" w:color="auto"/>
              <w:bottom w:val="single" w:sz="4" w:space="0" w:color="auto"/>
              <w:right w:val="single" w:sz="4" w:space="0" w:color="auto"/>
            </w:tcBorders>
            <w:hideMark/>
          </w:tcPr>
          <w:p w14:paraId="03CE2506" w14:textId="636C8C24" w:rsidR="004D67DF" w:rsidRPr="00511FF5" w:rsidRDefault="00511FF5">
            <w:pPr>
              <w:jc w:val="center"/>
              <w:rPr>
                <w:b/>
                <w:bCs/>
                <w:szCs w:val="24"/>
                <w:u w:val="single"/>
              </w:rPr>
            </w:pPr>
            <w:r>
              <w:rPr>
                <w:b/>
                <w:bCs/>
                <w:szCs w:val="24"/>
                <w:u w:val="single"/>
              </w:rPr>
              <w:t>Result 1 – Rough Titration</w:t>
            </w:r>
          </w:p>
        </w:tc>
        <w:tc>
          <w:tcPr>
            <w:tcW w:w="2269" w:type="dxa"/>
            <w:tcBorders>
              <w:top w:val="single" w:sz="4" w:space="0" w:color="auto"/>
              <w:left w:val="single" w:sz="4" w:space="0" w:color="auto"/>
              <w:bottom w:val="single" w:sz="4" w:space="0" w:color="auto"/>
              <w:right w:val="single" w:sz="4" w:space="0" w:color="auto"/>
            </w:tcBorders>
            <w:hideMark/>
          </w:tcPr>
          <w:p w14:paraId="166F191F" w14:textId="72A3C1A8" w:rsidR="004D67DF" w:rsidRPr="00511FF5" w:rsidRDefault="00511FF5">
            <w:pPr>
              <w:jc w:val="center"/>
              <w:rPr>
                <w:b/>
                <w:bCs/>
                <w:szCs w:val="24"/>
                <w:u w:val="single"/>
              </w:rPr>
            </w:pPr>
            <w:r>
              <w:rPr>
                <w:b/>
                <w:bCs/>
                <w:szCs w:val="24"/>
                <w:u w:val="single"/>
              </w:rPr>
              <w:t xml:space="preserve">Result </w:t>
            </w:r>
            <w:r w:rsidR="004D67DF" w:rsidRPr="00511FF5">
              <w:rPr>
                <w:b/>
                <w:bCs/>
                <w:szCs w:val="24"/>
                <w:u w:val="single"/>
              </w:rPr>
              <w:t>2</w:t>
            </w:r>
          </w:p>
        </w:tc>
        <w:tc>
          <w:tcPr>
            <w:tcW w:w="2269" w:type="dxa"/>
            <w:tcBorders>
              <w:top w:val="single" w:sz="4" w:space="0" w:color="auto"/>
              <w:left w:val="single" w:sz="4" w:space="0" w:color="auto"/>
              <w:bottom w:val="single" w:sz="4" w:space="0" w:color="auto"/>
              <w:right w:val="single" w:sz="4" w:space="0" w:color="auto"/>
            </w:tcBorders>
            <w:hideMark/>
          </w:tcPr>
          <w:p w14:paraId="3F2367BE" w14:textId="0FC7D2C9" w:rsidR="004D67DF" w:rsidRPr="00511FF5" w:rsidRDefault="00511FF5">
            <w:pPr>
              <w:jc w:val="center"/>
              <w:rPr>
                <w:b/>
                <w:bCs/>
                <w:szCs w:val="24"/>
                <w:u w:val="single"/>
              </w:rPr>
            </w:pPr>
            <w:r>
              <w:rPr>
                <w:b/>
                <w:bCs/>
                <w:szCs w:val="24"/>
                <w:u w:val="single"/>
              </w:rPr>
              <w:t xml:space="preserve">Result </w:t>
            </w:r>
            <w:r w:rsidR="004D67DF" w:rsidRPr="00511FF5">
              <w:rPr>
                <w:b/>
                <w:bCs/>
                <w:szCs w:val="24"/>
                <w:u w:val="single"/>
              </w:rPr>
              <w:t>3</w:t>
            </w:r>
          </w:p>
        </w:tc>
      </w:tr>
      <w:tr w:rsidR="004D67DF" w14:paraId="48274359" w14:textId="77777777" w:rsidTr="004D67DF">
        <w:trPr>
          <w:trHeight w:val="375"/>
        </w:trPr>
        <w:tc>
          <w:tcPr>
            <w:tcW w:w="2269" w:type="dxa"/>
            <w:tcBorders>
              <w:top w:val="single" w:sz="4" w:space="0" w:color="auto"/>
              <w:left w:val="single" w:sz="4" w:space="0" w:color="auto"/>
              <w:bottom w:val="single" w:sz="4" w:space="0" w:color="auto"/>
              <w:right w:val="single" w:sz="4" w:space="0" w:color="auto"/>
            </w:tcBorders>
            <w:vAlign w:val="center"/>
            <w:hideMark/>
          </w:tcPr>
          <w:p w14:paraId="2BAC2804" w14:textId="77777777" w:rsidR="004D67DF" w:rsidRDefault="004D67DF">
            <w:pPr>
              <w:jc w:val="center"/>
            </w:pPr>
            <w:r>
              <w:rPr>
                <w:sz w:val="20"/>
              </w:rPr>
              <w:t>Volume of HCl (ml)</w:t>
            </w:r>
          </w:p>
        </w:tc>
        <w:tc>
          <w:tcPr>
            <w:tcW w:w="2269" w:type="dxa"/>
            <w:tcBorders>
              <w:top w:val="single" w:sz="4" w:space="0" w:color="auto"/>
              <w:left w:val="single" w:sz="4" w:space="0" w:color="auto"/>
              <w:bottom w:val="single" w:sz="4" w:space="0" w:color="auto"/>
              <w:right w:val="single" w:sz="4" w:space="0" w:color="auto"/>
            </w:tcBorders>
            <w:vAlign w:val="center"/>
            <w:hideMark/>
          </w:tcPr>
          <w:p w14:paraId="0687F813" w14:textId="77777777" w:rsidR="004D67DF" w:rsidRDefault="004D67DF">
            <w:pPr>
              <w:jc w:val="center"/>
              <w:rPr>
                <w:sz w:val="20"/>
              </w:rPr>
            </w:pPr>
            <w:r>
              <w:rPr>
                <w:sz w:val="20"/>
              </w:rPr>
              <w:t>25.00</w:t>
            </w:r>
          </w:p>
        </w:tc>
        <w:tc>
          <w:tcPr>
            <w:tcW w:w="2269" w:type="dxa"/>
            <w:tcBorders>
              <w:top w:val="single" w:sz="4" w:space="0" w:color="auto"/>
              <w:left w:val="single" w:sz="4" w:space="0" w:color="auto"/>
              <w:bottom w:val="single" w:sz="4" w:space="0" w:color="auto"/>
              <w:right w:val="single" w:sz="4" w:space="0" w:color="auto"/>
            </w:tcBorders>
            <w:vAlign w:val="center"/>
            <w:hideMark/>
          </w:tcPr>
          <w:p w14:paraId="2944A37B" w14:textId="77777777" w:rsidR="004D67DF" w:rsidRDefault="004D67DF">
            <w:pPr>
              <w:jc w:val="center"/>
              <w:rPr>
                <w:sz w:val="20"/>
              </w:rPr>
            </w:pPr>
            <w:r>
              <w:rPr>
                <w:sz w:val="20"/>
              </w:rPr>
              <w:t>25.00</w:t>
            </w:r>
          </w:p>
        </w:tc>
        <w:tc>
          <w:tcPr>
            <w:tcW w:w="2269" w:type="dxa"/>
            <w:tcBorders>
              <w:top w:val="single" w:sz="4" w:space="0" w:color="auto"/>
              <w:left w:val="single" w:sz="4" w:space="0" w:color="auto"/>
              <w:bottom w:val="single" w:sz="4" w:space="0" w:color="auto"/>
              <w:right w:val="single" w:sz="4" w:space="0" w:color="auto"/>
            </w:tcBorders>
            <w:vAlign w:val="center"/>
            <w:hideMark/>
          </w:tcPr>
          <w:p w14:paraId="49407076" w14:textId="77777777" w:rsidR="004D67DF" w:rsidRDefault="004D67DF">
            <w:pPr>
              <w:jc w:val="center"/>
              <w:rPr>
                <w:sz w:val="20"/>
              </w:rPr>
            </w:pPr>
            <w:r>
              <w:rPr>
                <w:sz w:val="20"/>
              </w:rPr>
              <w:t>25.00</w:t>
            </w:r>
          </w:p>
        </w:tc>
      </w:tr>
      <w:tr w:rsidR="004D67DF" w14:paraId="20153D1B" w14:textId="77777777" w:rsidTr="004D67DF">
        <w:trPr>
          <w:trHeight w:val="394"/>
        </w:trPr>
        <w:tc>
          <w:tcPr>
            <w:tcW w:w="2269" w:type="dxa"/>
            <w:tcBorders>
              <w:top w:val="single" w:sz="4" w:space="0" w:color="auto"/>
              <w:left w:val="single" w:sz="4" w:space="0" w:color="auto"/>
              <w:bottom w:val="single" w:sz="4" w:space="0" w:color="auto"/>
              <w:right w:val="single" w:sz="4" w:space="0" w:color="auto"/>
            </w:tcBorders>
            <w:vAlign w:val="center"/>
            <w:hideMark/>
          </w:tcPr>
          <w:p w14:paraId="254F7710" w14:textId="77777777" w:rsidR="004D67DF" w:rsidRDefault="004D67DF">
            <w:pPr>
              <w:jc w:val="center"/>
              <w:rPr>
                <w:sz w:val="20"/>
              </w:rPr>
            </w:pPr>
            <w:r>
              <w:rPr>
                <w:sz w:val="20"/>
              </w:rPr>
              <w:t>Initial burette reading (ml)</w:t>
            </w:r>
          </w:p>
        </w:tc>
        <w:tc>
          <w:tcPr>
            <w:tcW w:w="2269" w:type="dxa"/>
            <w:tcBorders>
              <w:top w:val="single" w:sz="4" w:space="0" w:color="auto"/>
              <w:left w:val="single" w:sz="4" w:space="0" w:color="auto"/>
              <w:bottom w:val="single" w:sz="4" w:space="0" w:color="auto"/>
              <w:right w:val="single" w:sz="4" w:space="0" w:color="auto"/>
            </w:tcBorders>
            <w:vAlign w:val="center"/>
            <w:hideMark/>
          </w:tcPr>
          <w:p w14:paraId="74977075" w14:textId="77777777" w:rsidR="004D67DF" w:rsidRDefault="004D67DF">
            <w:pPr>
              <w:jc w:val="center"/>
              <w:rPr>
                <w:sz w:val="20"/>
              </w:rPr>
            </w:pPr>
            <w:r>
              <w:rPr>
                <w:sz w:val="20"/>
              </w:rPr>
              <w:t>0.00</w:t>
            </w:r>
          </w:p>
        </w:tc>
        <w:tc>
          <w:tcPr>
            <w:tcW w:w="2269" w:type="dxa"/>
            <w:tcBorders>
              <w:top w:val="single" w:sz="4" w:space="0" w:color="auto"/>
              <w:left w:val="single" w:sz="4" w:space="0" w:color="auto"/>
              <w:bottom w:val="single" w:sz="4" w:space="0" w:color="auto"/>
              <w:right w:val="single" w:sz="4" w:space="0" w:color="auto"/>
            </w:tcBorders>
            <w:vAlign w:val="center"/>
            <w:hideMark/>
          </w:tcPr>
          <w:p w14:paraId="70C23BED" w14:textId="77777777" w:rsidR="004D67DF" w:rsidRDefault="004D67DF">
            <w:pPr>
              <w:jc w:val="center"/>
              <w:rPr>
                <w:sz w:val="20"/>
              </w:rPr>
            </w:pPr>
            <w:r>
              <w:rPr>
                <w:sz w:val="20"/>
              </w:rPr>
              <w:t>19.60</w:t>
            </w:r>
          </w:p>
        </w:tc>
        <w:tc>
          <w:tcPr>
            <w:tcW w:w="2269" w:type="dxa"/>
            <w:tcBorders>
              <w:top w:val="single" w:sz="4" w:space="0" w:color="auto"/>
              <w:left w:val="single" w:sz="4" w:space="0" w:color="auto"/>
              <w:bottom w:val="single" w:sz="4" w:space="0" w:color="auto"/>
              <w:right w:val="single" w:sz="4" w:space="0" w:color="auto"/>
            </w:tcBorders>
            <w:vAlign w:val="center"/>
            <w:hideMark/>
          </w:tcPr>
          <w:p w14:paraId="6681E403" w14:textId="77777777" w:rsidR="004D67DF" w:rsidRDefault="004D67DF">
            <w:pPr>
              <w:jc w:val="center"/>
              <w:rPr>
                <w:sz w:val="20"/>
              </w:rPr>
            </w:pPr>
            <w:r>
              <w:rPr>
                <w:sz w:val="20"/>
              </w:rPr>
              <w:t>0.00</w:t>
            </w:r>
          </w:p>
        </w:tc>
      </w:tr>
      <w:tr w:rsidR="004D67DF" w14:paraId="3B107E2A" w14:textId="77777777" w:rsidTr="004D67DF">
        <w:trPr>
          <w:trHeight w:val="375"/>
        </w:trPr>
        <w:tc>
          <w:tcPr>
            <w:tcW w:w="2269" w:type="dxa"/>
            <w:tcBorders>
              <w:top w:val="single" w:sz="4" w:space="0" w:color="auto"/>
              <w:left w:val="single" w:sz="4" w:space="0" w:color="auto"/>
              <w:bottom w:val="single" w:sz="4" w:space="0" w:color="auto"/>
              <w:right w:val="single" w:sz="4" w:space="0" w:color="auto"/>
            </w:tcBorders>
            <w:vAlign w:val="center"/>
            <w:hideMark/>
          </w:tcPr>
          <w:p w14:paraId="69D5EB81" w14:textId="77777777" w:rsidR="004D67DF" w:rsidRDefault="004D67DF">
            <w:pPr>
              <w:jc w:val="center"/>
              <w:rPr>
                <w:sz w:val="20"/>
              </w:rPr>
            </w:pPr>
            <w:r>
              <w:rPr>
                <w:sz w:val="20"/>
              </w:rPr>
              <w:lastRenderedPageBreak/>
              <w:t>Final burette reading (ml)</w:t>
            </w:r>
          </w:p>
        </w:tc>
        <w:tc>
          <w:tcPr>
            <w:tcW w:w="2269" w:type="dxa"/>
            <w:tcBorders>
              <w:top w:val="single" w:sz="4" w:space="0" w:color="auto"/>
              <w:left w:val="single" w:sz="4" w:space="0" w:color="auto"/>
              <w:bottom w:val="single" w:sz="4" w:space="0" w:color="auto"/>
              <w:right w:val="single" w:sz="4" w:space="0" w:color="auto"/>
            </w:tcBorders>
            <w:vAlign w:val="center"/>
            <w:hideMark/>
          </w:tcPr>
          <w:p w14:paraId="4EB8A4A1" w14:textId="77777777" w:rsidR="004D67DF" w:rsidRDefault="004D67DF">
            <w:pPr>
              <w:jc w:val="center"/>
              <w:rPr>
                <w:sz w:val="20"/>
              </w:rPr>
            </w:pPr>
            <w:r>
              <w:rPr>
                <w:sz w:val="20"/>
              </w:rPr>
              <w:t>19.60</w:t>
            </w:r>
          </w:p>
        </w:tc>
        <w:tc>
          <w:tcPr>
            <w:tcW w:w="2269" w:type="dxa"/>
            <w:tcBorders>
              <w:top w:val="single" w:sz="4" w:space="0" w:color="auto"/>
              <w:left w:val="single" w:sz="4" w:space="0" w:color="auto"/>
              <w:bottom w:val="single" w:sz="4" w:space="0" w:color="auto"/>
              <w:right w:val="single" w:sz="4" w:space="0" w:color="auto"/>
            </w:tcBorders>
            <w:vAlign w:val="center"/>
            <w:hideMark/>
          </w:tcPr>
          <w:p w14:paraId="1C909C7E" w14:textId="77777777" w:rsidR="004D67DF" w:rsidRDefault="004D67DF">
            <w:pPr>
              <w:jc w:val="center"/>
              <w:rPr>
                <w:sz w:val="20"/>
              </w:rPr>
            </w:pPr>
            <w:r>
              <w:rPr>
                <w:sz w:val="20"/>
              </w:rPr>
              <w:t>39.20</w:t>
            </w:r>
          </w:p>
        </w:tc>
        <w:tc>
          <w:tcPr>
            <w:tcW w:w="2269" w:type="dxa"/>
            <w:tcBorders>
              <w:top w:val="single" w:sz="4" w:space="0" w:color="auto"/>
              <w:left w:val="single" w:sz="4" w:space="0" w:color="auto"/>
              <w:bottom w:val="single" w:sz="4" w:space="0" w:color="auto"/>
              <w:right w:val="single" w:sz="4" w:space="0" w:color="auto"/>
            </w:tcBorders>
            <w:vAlign w:val="center"/>
            <w:hideMark/>
          </w:tcPr>
          <w:p w14:paraId="72D045BE" w14:textId="77777777" w:rsidR="004D67DF" w:rsidRDefault="004D67DF">
            <w:pPr>
              <w:jc w:val="center"/>
              <w:rPr>
                <w:sz w:val="20"/>
              </w:rPr>
            </w:pPr>
            <w:r>
              <w:rPr>
                <w:sz w:val="20"/>
              </w:rPr>
              <w:t>19.55</w:t>
            </w:r>
          </w:p>
        </w:tc>
      </w:tr>
      <w:tr w:rsidR="004D67DF" w14:paraId="66FE97CC" w14:textId="77777777" w:rsidTr="004D67DF">
        <w:trPr>
          <w:trHeight w:val="394"/>
        </w:trPr>
        <w:tc>
          <w:tcPr>
            <w:tcW w:w="2269" w:type="dxa"/>
            <w:tcBorders>
              <w:top w:val="single" w:sz="4" w:space="0" w:color="auto"/>
              <w:left w:val="single" w:sz="4" w:space="0" w:color="auto"/>
              <w:bottom w:val="single" w:sz="4" w:space="0" w:color="auto"/>
              <w:right w:val="single" w:sz="4" w:space="0" w:color="auto"/>
            </w:tcBorders>
            <w:vAlign w:val="center"/>
            <w:hideMark/>
          </w:tcPr>
          <w:p w14:paraId="02C4D9B8" w14:textId="77777777" w:rsidR="004D67DF" w:rsidRDefault="004D67DF">
            <w:pPr>
              <w:jc w:val="center"/>
              <w:rPr>
                <w:sz w:val="20"/>
              </w:rPr>
            </w:pPr>
            <w:r>
              <w:rPr>
                <w:sz w:val="20"/>
              </w:rPr>
              <w:t>Volume of NaOH (ml)</w:t>
            </w:r>
          </w:p>
        </w:tc>
        <w:tc>
          <w:tcPr>
            <w:tcW w:w="2269" w:type="dxa"/>
            <w:tcBorders>
              <w:top w:val="single" w:sz="4" w:space="0" w:color="auto"/>
              <w:left w:val="single" w:sz="4" w:space="0" w:color="auto"/>
              <w:bottom w:val="single" w:sz="4" w:space="0" w:color="auto"/>
              <w:right w:val="single" w:sz="4" w:space="0" w:color="auto"/>
            </w:tcBorders>
            <w:vAlign w:val="center"/>
            <w:hideMark/>
          </w:tcPr>
          <w:p w14:paraId="54E10DC2" w14:textId="77777777" w:rsidR="004D67DF" w:rsidRDefault="004D67DF">
            <w:pPr>
              <w:jc w:val="center"/>
              <w:rPr>
                <w:sz w:val="20"/>
              </w:rPr>
            </w:pPr>
            <w:r>
              <w:rPr>
                <w:sz w:val="20"/>
              </w:rPr>
              <w:t>19.60</w:t>
            </w:r>
          </w:p>
        </w:tc>
        <w:tc>
          <w:tcPr>
            <w:tcW w:w="2269" w:type="dxa"/>
            <w:tcBorders>
              <w:top w:val="single" w:sz="4" w:space="0" w:color="auto"/>
              <w:left w:val="single" w:sz="4" w:space="0" w:color="auto"/>
              <w:bottom w:val="single" w:sz="4" w:space="0" w:color="auto"/>
              <w:right w:val="single" w:sz="4" w:space="0" w:color="auto"/>
            </w:tcBorders>
            <w:vAlign w:val="center"/>
            <w:hideMark/>
          </w:tcPr>
          <w:p w14:paraId="58D9A1DF" w14:textId="77777777" w:rsidR="004D67DF" w:rsidRDefault="004D67DF">
            <w:pPr>
              <w:jc w:val="center"/>
              <w:rPr>
                <w:sz w:val="20"/>
              </w:rPr>
            </w:pPr>
            <w:r>
              <w:rPr>
                <w:sz w:val="20"/>
              </w:rPr>
              <w:t>19.60</w:t>
            </w:r>
          </w:p>
        </w:tc>
        <w:tc>
          <w:tcPr>
            <w:tcW w:w="2269" w:type="dxa"/>
            <w:tcBorders>
              <w:top w:val="single" w:sz="4" w:space="0" w:color="auto"/>
              <w:left w:val="single" w:sz="4" w:space="0" w:color="auto"/>
              <w:bottom w:val="single" w:sz="4" w:space="0" w:color="auto"/>
              <w:right w:val="single" w:sz="4" w:space="0" w:color="auto"/>
            </w:tcBorders>
            <w:vAlign w:val="center"/>
            <w:hideMark/>
          </w:tcPr>
          <w:p w14:paraId="3023C30D" w14:textId="77777777" w:rsidR="004D67DF" w:rsidRDefault="004D67DF">
            <w:pPr>
              <w:jc w:val="center"/>
              <w:rPr>
                <w:sz w:val="20"/>
              </w:rPr>
            </w:pPr>
            <w:r>
              <w:rPr>
                <w:sz w:val="20"/>
              </w:rPr>
              <w:t>19.55</w:t>
            </w:r>
          </w:p>
        </w:tc>
      </w:tr>
      <w:tr w:rsidR="004D67DF" w14:paraId="0C601902" w14:textId="77777777" w:rsidTr="004D67DF">
        <w:trPr>
          <w:trHeight w:val="375"/>
        </w:trPr>
        <w:tc>
          <w:tcPr>
            <w:tcW w:w="2269" w:type="dxa"/>
            <w:tcBorders>
              <w:top w:val="single" w:sz="4" w:space="0" w:color="auto"/>
              <w:left w:val="single" w:sz="4" w:space="0" w:color="auto"/>
              <w:bottom w:val="single" w:sz="4" w:space="0" w:color="auto"/>
              <w:right w:val="single" w:sz="4" w:space="0" w:color="auto"/>
            </w:tcBorders>
            <w:vAlign w:val="center"/>
            <w:hideMark/>
          </w:tcPr>
          <w:p w14:paraId="5012514A" w14:textId="77777777" w:rsidR="004D67DF" w:rsidRDefault="004D67DF">
            <w:pPr>
              <w:jc w:val="center"/>
              <w:rPr>
                <w:sz w:val="20"/>
              </w:rPr>
            </w:pPr>
            <w:r>
              <w:rPr>
                <w:sz w:val="20"/>
              </w:rPr>
              <w:t>Known molarity of NaOH (mols/ L)</w:t>
            </w:r>
          </w:p>
        </w:tc>
        <w:tc>
          <w:tcPr>
            <w:tcW w:w="2269" w:type="dxa"/>
            <w:tcBorders>
              <w:top w:val="single" w:sz="4" w:space="0" w:color="auto"/>
              <w:left w:val="single" w:sz="4" w:space="0" w:color="auto"/>
              <w:bottom w:val="single" w:sz="4" w:space="0" w:color="auto"/>
              <w:right w:val="single" w:sz="4" w:space="0" w:color="auto"/>
            </w:tcBorders>
            <w:vAlign w:val="center"/>
            <w:hideMark/>
          </w:tcPr>
          <w:p w14:paraId="69C5581A" w14:textId="77777777" w:rsidR="004D67DF" w:rsidRDefault="004D67DF">
            <w:pPr>
              <w:jc w:val="center"/>
              <w:rPr>
                <w:sz w:val="20"/>
              </w:rPr>
            </w:pPr>
            <w:r>
              <w:rPr>
                <w:sz w:val="20"/>
              </w:rPr>
              <w:t>0.1026</w:t>
            </w:r>
          </w:p>
        </w:tc>
        <w:tc>
          <w:tcPr>
            <w:tcW w:w="2269" w:type="dxa"/>
            <w:tcBorders>
              <w:top w:val="single" w:sz="4" w:space="0" w:color="auto"/>
              <w:left w:val="single" w:sz="4" w:space="0" w:color="auto"/>
              <w:bottom w:val="single" w:sz="4" w:space="0" w:color="auto"/>
              <w:right w:val="single" w:sz="4" w:space="0" w:color="auto"/>
            </w:tcBorders>
            <w:vAlign w:val="center"/>
            <w:hideMark/>
          </w:tcPr>
          <w:p w14:paraId="52D1BD94" w14:textId="77777777" w:rsidR="004D67DF" w:rsidRDefault="004D67DF">
            <w:pPr>
              <w:jc w:val="center"/>
              <w:rPr>
                <w:sz w:val="20"/>
              </w:rPr>
            </w:pPr>
            <w:r>
              <w:rPr>
                <w:sz w:val="20"/>
              </w:rPr>
              <w:t>0.1026</w:t>
            </w:r>
          </w:p>
        </w:tc>
        <w:tc>
          <w:tcPr>
            <w:tcW w:w="2269" w:type="dxa"/>
            <w:tcBorders>
              <w:top w:val="single" w:sz="4" w:space="0" w:color="auto"/>
              <w:left w:val="single" w:sz="4" w:space="0" w:color="auto"/>
              <w:bottom w:val="single" w:sz="4" w:space="0" w:color="auto"/>
              <w:right w:val="single" w:sz="4" w:space="0" w:color="auto"/>
            </w:tcBorders>
            <w:vAlign w:val="center"/>
            <w:hideMark/>
          </w:tcPr>
          <w:p w14:paraId="5362B254" w14:textId="77777777" w:rsidR="004D67DF" w:rsidRDefault="004D67DF">
            <w:pPr>
              <w:jc w:val="center"/>
              <w:rPr>
                <w:sz w:val="20"/>
              </w:rPr>
            </w:pPr>
            <w:r>
              <w:rPr>
                <w:sz w:val="20"/>
              </w:rPr>
              <w:t>0.1026</w:t>
            </w:r>
          </w:p>
        </w:tc>
      </w:tr>
      <w:tr w:rsidR="004D67DF" w14:paraId="53587AEF" w14:textId="77777777" w:rsidTr="004D67DF">
        <w:trPr>
          <w:trHeight w:val="394"/>
        </w:trPr>
        <w:tc>
          <w:tcPr>
            <w:tcW w:w="2269" w:type="dxa"/>
            <w:tcBorders>
              <w:top w:val="single" w:sz="4" w:space="0" w:color="auto"/>
              <w:left w:val="single" w:sz="4" w:space="0" w:color="auto"/>
              <w:bottom w:val="single" w:sz="4" w:space="0" w:color="auto"/>
              <w:right w:val="single" w:sz="4" w:space="0" w:color="auto"/>
            </w:tcBorders>
            <w:vAlign w:val="center"/>
            <w:hideMark/>
          </w:tcPr>
          <w:p w14:paraId="5DAC290F" w14:textId="77777777" w:rsidR="004D67DF" w:rsidRDefault="004D67DF">
            <w:pPr>
              <w:jc w:val="center"/>
              <w:rPr>
                <w:sz w:val="20"/>
              </w:rPr>
            </w:pPr>
            <w:r>
              <w:rPr>
                <w:sz w:val="20"/>
              </w:rPr>
              <w:t>Moles of NaOH</w:t>
            </w:r>
          </w:p>
        </w:tc>
        <w:tc>
          <w:tcPr>
            <w:tcW w:w="2269" w:type="dxa"/>
            <w:tcBorders>
              <w:top w:val="single" w:sz="4" w:space="0" w:color="auto"/>
              <w:left w:val="single" w:sz="4" w:space="0" w:color="auto"/>
              <w:bottom w:val="single" w:sz="4" w:space="0" w:color="auto"/>
              <w:right w:val="single" w:sz="4" w:space="0" w:color="auto"/>
            </w:tcBorders>
            <w:vAlign w:val="center"/>
            <w:hideMark/>
          </w:tcPr>
          <w:p w14:paraId="30AFFB4B" w14:textId="77777777" w:rsidR="004D67DF" w:rsidRDefault="004D67DF">
            <w:pPr>
              <w:jc w:val="center"/>
              <w:rPr>
                <w:sz w:val="20"/>
              </w:rPr>
            </w:pPr>
            <w:r>
              <w:rPr>
                <w:sz w:val="20"/>
              </w:rPr>
              <w:t>2.011</w:t>
            </w:r>
            <m:oMath>
              <m:r>
                <w:rPr>
                  <w:rFonts w:ascii="Cambria Math" w:hAnsi="Cambria Math"/>
                  <w:sz w:val="20"/>
                </w:rPr>
                <m:t>×</m:t>
              </m:r>
            </m:oMath>
            <w:r>
              <w:rPr>
                <w:sz w:val="20"/>
              </w:rPr>
              <w:t>10</w:t>
            </w:r>
            <w:r>
              <w:rPr>
                <w:sz w:val="20"/>
                <w:vertAlign w:val="superscript"/>
              </w:rPr>
              <w:t>-3</w:t>
            </w:r>
          </w:p>
        </w:tc>
        <w:tc>
          <w:tcPr>
            <w:tcW w:w="2269" w:type="dxa"/>
            <w:tcBorders>
              <w:top w:val="single" w:sz="4" w:space="0" w:color="auto"/>
              <w:left w:val="single" w:sz="4" w:space="0" w:color="auto"/>
              <w:bottom w:val="single" w:sz="4" w:space="0" w:color="auto"/>
              <w:right w:val="single" w:sz="4" w:space="0" w:color="auto"/>
            </w:tcBorders>
            <w:vAlign w:val="center"/>
            <w:hideMark/>
          </w:tcPr>
          <w:p w14:paraId="6A4833BA" w14:textId="77777777" w:rsidR="004D67DF" w:rsidRDefault="004D67DF">
            <w:pPr>
              <w:jc w:val="center"/>
              <w:rPr>
                <w:sz w:val="20"/>
              </w:rPr>
            </w:pPr>
            <w:r>
              <w:rPr>
                <w:sz w:val="20"/>
              </w:rPr>
              <w:t>2.011</w:t>
            </w:r>
            <m:oMath>
              <m:r>
                <w:rPr>
                  <w:rFonts w:ascii="Cambria Math" w:hAnsi="Cambria Math"/>
                  <w:sz w:val="20"/>
                </w:rPr>
                <m:t>×</m:t>
              </m:r>
            </m:oMath>
            <w:r>
              <w:rPr>
                <w:sz w:val="20"/>
              </w:rPr>
              <w:t>10</w:t>
            </w:r>
            <w:r>
              <w:rPr>
                <w:sz w:val="20"/>
                <w:vertAlign w:val="superscript"/>
              </w:rPr>
              <w:t>-3</w:t>
            </w:r>
          </w:p>
        </w:tc>
        <w:tc>
          <w:tcPr>
            <w:tcW w:w="2269" w:type="dxa"/>
            <w:tcBorders>
              <w:top w:val="single" w:sz="4" w:space="0" w:color="auto"/>
              <w:left w:val="single" w:sz="4" w:space="0" w:color="auto"/>
              <w:bottom w:val="single" w:sz="4" w:space="0" w:color="auto"/>
              <w:right w:val="single" w:sz="4" w:space="0" w:color="auto"/>
            </w:tcBorders>
            <w:vAlign w:val="center"/>
            <w:hideMark/>
          </w:tcPr>
          <w:p w14:paraId="6EF54B59" w14:textId="77777777" w:rsidR="004D67DF" w:rsidRDefault="004D67DF">
            <w:pPr>
              <w:jc w:val="center"/>
              <w:rPr>
                <w:sz w:val="20"/>
              </w:rPr>
            </w:pPr>
            <w:r>
              <w:rPr>
                <w:sz w:val="20"/>
              </w:rPr>
              <w:t>2.006</w:t>
            </w:r>
            <m:oMath>
              <m:r>
                <w:rPr>
                  <w:rFonts w:ascii="Cambria Math" w:hAnsi="Cambria Math"/>
                  <w:sz w:val="20"/>
                </w:rPr>
                <m:t>×</m:t>
              </m:r>
            </m:oMath>
            <w:r>
              <w:rPr>
                <w:sz w:val="20"/>
              </w:rPr>
              <w:t>10</w:t>
            </w:r>
            <w:r>
              <w:rPr>
                <w:sz w:val="20"/>
                <w:vertAlign w:val="superscript"/>
              </w:rPr>
              <w:t>-3</w:t>
            </w:r>
          </w:p>
        </w:tc>
      </w:tr>
      <w:tr w:rsidR="004D67DF" w14:paraId="1A8118EC" w14:textId="77777777" w:rsidTr="004D67DF">
        <w:trPr>
          <w:trHeight w:val="375"/>
        </w:trPr>
        <w:tc>
          <w:tcPr>
            <w:tcW w:w="2269" w:type="dxa"/>
            <w:tcBorders>
              <w:top w:val="single" w:sz="4" w:space="0" w:color="auto"/>
              <w:left w:val="single" w:sz="4" w:space="0" w:color="auto"/>
              <w:bottom w:val="single" w:sz="4" w:space="0" w:color="auto"/>
              <w:right w:val="single" w:sz="4" w:space="0" w:color="auto"/>
            </w:tcBorders>
            <w:vAlign w:val="center"/>
            <w:hideMark/>
          </w:tcPr>
          <w:p w14:paraId="0471085B" w14:textId="77777777" w:rsidR="004D67DF" w:rsidRDefault="004D67DF">
            <w:pPr>
              <w:jc w:val="center"/>
              <w:rPr>
                <w:sz w:val="20"/>
              </w:rPr>
            </w:pPr>
            <w:r>
              <w:rPr>
                <w:sz w:val="20"/>
              </w:rPr>
              <w:t>Moles of HCl</w:t>
            </w:r>
          </w:p>
        </w:tc>
        <w:tc>
          <w:tcPr>
            <w:tcW w:w="2269" w:type="dxa"/>
            <w:tcBorders>
              <w:top w:val="single" w:sz="4" w:space="0" w:color="auto"/>
              <w:left w:val="single" w:sz="4" w:space="0" w:color="auto"/>
              <w:bottom w:val="single" w:sz="4" w:space="0" w:color="auto"/>
              <w:right w:val="single" w:sz="4" w:space="0" w:color="auto"/>
            </w:tcBorders>
            <w:vAlign w:val="center"/>
            <w:hideMark/>
          </w:tcPr>
          <w:p w14:paraId="7F5A4340" w14:textId="77777777" w:rsidR="004D67DF" w:rsidRDefault="004D67DF">
            <w:pPr>
              <w:jc w:val="center"/>
              <w:rPr>
                <w:sz w:val="20"/>
              </w:rPr>
            </w:pPr>
            <w:r>
              <w:rPr>
                <w:sz w:val="20"/>
              </w:rPr>
              <w:t>2.011</w:t>
            </w:r>
            <m:oMath>
              <m:r>
                <w:rPr>
                  <w:rFonts w:ascii="Cambria Math" w:hAnsi="Cambria Math"/>
                  <w:sz w:val="20"/>
                </w:rPr>
                <m:t>×</m:t>
              </m:r>
            </m:oMath>
            <w:r>
              <w:rPr>
                <w:sz w:val="20"/>
              </w:rPr>
              <w:t>10</w:t>
            </w:r>
            <w:r>
              <w:rPr>
                <w:sz w:val="20"/>
                <w:vertAlign w:val="superscript"/>
              </w:rPr>
              <w:t>-3</w:t>
            </w:r>
          </w:p>
        </w:tc>
        <w:tc>
          <w:tcPr>
            <w:tcW w:w="2269" w:type="dxa"/>
            <w:tcBorders>
              <w:top w:val="single" w:sz="4" w:space="0" w:color="auto"/>
              <w:left w:val="single" w:sz="4" w:space="0" w:color="auto"/>
              <w:bottom w:val="single" w:sz="4" w:space="0" w:color="auto"/>
              <w:right w:val="single" w:sz="4" w:space="0" w:color="auto"/>
            </w:tcBorders>
            <w:vAlign w:val="center"/>
            <w:hideMark/>
          </w:tcPr>
          <w:p w14:paraId="44D2F74B" w14:textId="77777777" w:rsidR="004D67DF" w:rsidRDefault="004D67DF">
            <w:pPr>
              <w:jc w:val="center"/>
              <w:rPr>
                <w:sz w:val="20"/>
              </w:rPr>
            </w:pPr>
            <w:r>
              <w:rPr>
                <w:sz w:val="20"/>
              </w:rPr>
              <w:t>2.011</w:t>
            </w:r>
            <m:oMath>
              <m:r>
                <w:rPr>
                  <w:rFonts w:ascii="Cambria Math" w:hAnsi="Cambria Math"/>
                  <w:sz w:val="20"/>
                </w:rPr>
                <m:t>×</m:t>
              </m:r>
            </m:oMath>
            <w:r>
              <w:rPr>
                <w:sz w:val="20"/>
              </w:rPr>
              <w:t>10</w:t>
            </w:r>
            <w:r>
              <w:rPr>
                <w:sz w:val="20"/>
                <w:vertAlign w:val="superscript"/>
              </w:rPr>
              <w:t>-3</w:t>
            </w:r>
          </w:p>
        </w:tc>
        <w:tc>
          <w:tcPr>
            <w:tcW w:w="2269" w:type="dxa"/>
            <w:tcBorders>
              <w:top w:val="single" w:sz="4" w:space="0" w:color="auto"/>
              <w:left w:val="single" w:sz="4" w:space="0" w:color="auto"/>
              <w:bottom w:val="single" w:sz="4" w:space="0" w:color="auto"/>
              <w:right w:val="single" w:sz="4" w:space="0" w:color="auto"/>
            </w:tcBorders>
            <w:vAlign w:val="center"/>
            <w:hideMark/>
          </w:tcPr>
          <w:p w14:paraId="6C65DAA0" w14:textId="77777777" w:rsidR="004D67DF" w:rsidRDefault="004D67DF">
            <w:pPr>
              <w:jc w:val="center"/>
              <w:rPr>
                <w:sz w:val="20"/>
              </w:rPr>
            </w:pPr>
            <w:r>
              <w:rPr>
                <w:sz w:val="20"/>
              </w:rPr>
              <w:t>2.006</w:t>
            </w:r>
            <m:oMath>
              <m:r>
                <w:rPr>
                  <w:rFonts w:ascii="Cambria Math" w:hAnsi="Cambria Math"/>
                  <w:sz w:val="20"/>
                </w:rPr>
                <m:t>×</m:t>
              </m:r>
            </m:oMath>
            <w:r>
              <w:rPr>
                <w:sz w:val="20"/>
              </w:rPr>
              <w:t>10</w:t>
            </w:r>
            <w:r>
              <w:rPr>
                <w:sz w:val="20"/>
                <w:vertAlign w:val="superscript"/>
              </w:rPr>
              <w:t>-3</w:t>
            </w:r>
          </w:p>
        </w:tc>
      </w:tr>
      <w:tr w:rsidR="004D67DF" w14:paraId="7921FE00" w14:textId="77777777" w:rsidTr="004D67DF">
        <w:trPr>
          <w:trHeight w:val="394"/>
        </w:trPr>
        <w:tc>
          <w:tcPr>
            <w:tcW w:w="2269" w:type="dxa"/>
            <w:tcBorders>
              <w:top w:val="single" w:sz="4" w:space="0" w:color="auto"/>
              <w:left w:val="single" w:sz="4" w:space="0" w:color="auto"/>
              <w:bottom w:val="single" w:sz="4" w:space="0" w:color="auto"/>
              <w:right w:val="single" w:sz="4" w:space="0" w:color="auto"/>
            </w:tcBorders>
            <w:vAlign w:val="center"/>
            <w:hideMark/>
          </w:tcPr>
          <w:p w14:paraId="65A5E5AE" w14:textId="77777777" w:rsidR="004D67DF" w:rsidRDefault="004D67DF">
            <w:pPr>
              <w:jc w:val="center"/>
              <w:rPr>
                <w:rFonts w:eastAsiaTheme="minorHAnsi"/>
                <w:sz w:val="20"/>
              </w:rPr>
            </w:pPr>
            <w:r>
              <w:rPr>
                <w:sz w:val="20"/>
              </w:rPr>
              <w:t>Molarity of HCl (mols/ L)</w:t>
            </w:r>
          </w:p>
        </w:tc>
        <w:tc>
          <w:tcPr>
            <w:tcW w:w="2269" w:type="dxa"/>
            <w:tcBorders>
              <w:top w:val="single" w:sz="4" w:space="0" w:color="auto"/>
              <w:left w:val="single" w:sz="4" w:space="0" w:color="auto"/>
              <w:bottom w:val="single" w:sz="4" w:space="0" w:color="auto"/>
              <w:right w:val="single" w:sz="4" w:space="0" w:color="auto"/>
            </w:tcBorders>
            <w:vAlign w:val="center"/>
            <w:hideMark/>
          </w:tcPr>
          <w:p w14:paraId="28693D26" w14:textId="77777777" w:rsidR="004D67DF" w:rsidRDefault="004D67DF">
            <w:pPr>
              <w:jc w:val="center"/>
              <w:rPr>
                <w:sz w:val="20"/>
              </w:rPr>
            </w:pPr>
            <w:r>
              <w:rPr>
                <w:sz w:val="20"/>
              </w:rPr>
              <w:t>0.08044</w:t>
            </w:r>
          </w:p>
        </w:tc>
        <w:tc>
          <w:tcPr>
            <w:tcW w:w="2269" w:type="dxa"/>
            <w:tcBorders>
              <w:top w:val="single" w:sz="4" w:space="0" w:color="auto"/>
              <w:left w:val="single" w:sz="4" w:space="0" w:color="auto"/>
              <w:bottom w:val="single" w:sz="4" w:space="0" w:color="auto"/>
              <w:right w:val="single" w:sz="4" w:space="0" w:color="auto"/>
            </w:tcBorders>
            <w:vAlign w:val="center"/>
            <w:hideMark/>
          </w:tcPr>
          <w:p w14:paraId="685B94B9" w14:textId="77777777" w:rsidR="004D67DF" w:rsidRPr="0056510A" w:rsidRDefault="004D67DF">
            <w:pPr>
              <w:jc w:val="center"/>
              <w:rPr>
                <w:sz w:val="20"/>
                <w:highlight w:val="yellow"/>
              </w:rPr>
            </w:pPr>
            <w:r w:rsidRPr="0056510A">
              <w:rPr>
                <w:sz w:val="20"/>
                <w:highlight w:val="yellow"/>
              </w:rPr>
              <w:t>0.08044</w:t>
            </w:r>
          </w:p>
        </w:tc>
        <w:tc>
          <w:tcPr>
            <w:tcW w:w="2269" w:type="dxa"/>
            <w:tcBorders>
              <w:top w:val="single" w:sz="4" w:space="0" w:color="auto"/>
              <w:left w:val="single" w:sz="4" w:space="0" w:color="auto"/>
              <w:bottom w:val="single" w:sz="4" w:space="0" w:color="auto"/>
              <w:right w:val="single" w:sz="4" w:space="0" w:color="auto"/>
            </w:tcBorders>
            <w:vAlign w:val="center"/>
            <w:hideMark/>
          </w:tcPr>
          <w:p w14:paraId="1C6566B5" w14:textId="77777777" w:rsidR="004D67DF" w:rsidRPr="0056510A" w:rsidRDefault="004D67DF">
            <w:pPr>
              <w:jc w:val="center"/>
              <w:rPr>
                <w:sz w:val="20"/>
                <w:highlight w:val="yellow"/>
              </w:rPr>
            </w:pPr>
            <w:r w:rsidRPr="0056510A">
              <w:rPr>
                <w:sz w:val="20"/>
                <w:highlight w:val="yellow"/>
              </w:rPr>
              <w:t>0.08023</w:t>
            </w:r>
          </w:p>
        </w:tc>
      </w:tr>
    </w:tbl>
    <w:p w14:paraId="6062D0F7" w14:textId="77777777" w:rsidR="00537014" w:rsidRDefault="00537014" w:rsidP="00537014">
      <w:pPr>
        <w:rPr>
          <w:i/>
          <w:iCs/>
        </w:rPr>
      </w:pPr>
    </w:p>
    <w:p w14:paraId="198A1F99" w14:textId="4998810C" w:rsidR="0056510A" w:rsidRPr="0056510A" w:rsidRDefault="00B6247A" w:rsidP="00537014">
      <w:r>
        <w:t xml:space="preserve">Calculating the mean average of the molarity of HCL over the 2 used </w:t>
      </w:r>
      <w:r w:rsidR="00A52D53">
        <w:t xml:space="preserve">results = </w:t>
      </w:r>
      <m:oMath>
        <m:f>
          <m:fPr>
            <m:ctrlPr>
              <w:rPr>
                <w:rFonts w:ascii="Cambria Math" w:hAnsi="Cambria Math" w:cstheme="minorHAnsi"/>
                <w:i/>
              </w:rPr>
            </m:ctrlPr>
          </m:fPr>
          <m:num>
            <m:r>
              <w:rPr>
                <w:rFonts w:ascii="Cambria Math" w:hAnsi="Cambria Math" w:cstheme="minorHAnsi"/>
                <w:sz w:val="20"/>
              </w:rPr>
              <m:t xml:space="preserve">0.08044 + 0.08023 </m:t>
            </m:r>
          </m:num>
          <m:den>
            <m:r>
              <w:rPr>
                <w:rFonts w:ascii="Cambria Math" w:hAnsi="Cambria Math" w:cstheme="minorHAnsi"/>
                <w:sz w:val="20"/>
              </w:rPr>
              <m:t>2</m:t>
            </m:r>
          </m:den>
        </m:f>
        <m:r>
          <w:rPr>
            <w:rFonts w:ascii="Cambria Math" w:hAnsi="Cambria Math" w:cstheme="minorHAnsi"/>
            <w:sz w:val="20"/>
          </w:rPr>
          <m:t xml:space="preserve"> = </m:t>
        </m:r>
        <m:r>
          <m:rPr>
            <m:sty m:val="p"/>
          </m:rPr>
          <w:rPr>
            <w:rFonts w:ascii="Cambria Math" w:hAnsi="Cambria Math" w:cstheme="minorHAnsi"/>
            <w:sz w:val="20"/>
          </w:rPr>
          <m:t>0.08034</m:t>
        </m:r>
        <m:r>
          <w:rPr>
            <w:rFonts w:ascii="Cambria Math" w:hAnsi="Cambria Math" w:cstheme="minorHAnsi"/>
            <w:sz w:val="20"/>
          </w:rPr>
          <m:t xml:space="preserve">   </m:t>
        </m:r>
      </m:oMath>
    </w:p>
    <w:p w14:paraId="4D55FF29" w14:textId="5DD853FF" w:rsidR="00537014" w:rsidRDefault="00537014" w:rsidP="00537014">
      <w:pPr>
        <w:pStyle w:val="Heading1"/>
      </w:pPr>
      <w:bookmarkStart w:id="3" w:name="_Toc161873999"/>
      <w:r>
        <w:t>Discussion</w:t>
      </w:r>
      <w:bookmarkEnd w:id="3"/>
    </w:p>
    <w:p w14:paraId="6570641E" w14:textId="77777777" w:rsidR="005902A8" w:rsidRDefault="005902A8" w:rsidP="00537014"/>
    <w:p w14:paraId="3EEA24E7" w14:textId="10BE091D" w:rsidR="00B90766" w:rsidRDefault="005F6B7D" w:rsidP="00537014">
      <w:r>
        <w:t xml:space="preserve">From the results of the experiments, we can see that </w:t>
      </w:r>
      <w:r w:rsidR="00707D06">
        <w:t>it took around 19.55cm</w:t>
      </w:r>
      <w:r w:rsidR="00707D06">
        <w:rPr>
          <w:vertAlign w:val="superscript"/>
        </w:rPr>
        <w:t xml:space="preserve">3 </w:t>
      </w:r>
      <w:r w:rsidR="00707D06">
        <w:t xml:space="preserve">of NaOH </w:t>
      </w:r>
      <w:r w:rsidR="00E02B24">
        <w:t>solution in order</w:t>
      </w:r>
      <w:r w:rsidR="00343919">
        <w:t xml:space="preserve"> to witness the colour change</w:t>
      </w:r>
      <w:r w:rsidR="00622522">
        <w:t>, which occurred w</w:t>
      </w:r>
      <w:r w:rsidR="00276049">
        <w:t>hen the e</w:t>
      </w:r>
      <w:r w:rsidR="00276049" w:rsidRPr="00276049">
        <w:t>quivalence point</w:t>
      </w:r>
      <w:r w:rsidR="00276049">
        <w:t>, which is when the acid is neutralised</w:t>
      </w:r>
      <w:r w:rsidR="00276049" w:rsidRPr="00276049">
        <w:t>.</w:t>
      </w:r>
      <w:r w:rsidR="00DC1F8F">
        <w:t xml:space="preserve"> We can use this value, alongside the </w:t>
      </w:r>
      <w:r w:rsidR="005B6986">
        <w:t xml:space="preserve">moles of NaOH provided in order to calculate the moles of NaOH present within the solution, which </w:t>
      </w:r>
      <w:r w:rsidR="00FE73D5">
        <w:t xml:space="preserve">will be the same as the moles of HCl, allowing us to calculate the molarity </w:t>
      </w:r>
      <w:r w:rsidR="003434B4">
        <w:t>with the volume.</w:t>
      </w:r>
    </w:p>
    <w:p w14:paraId="3D44E5F6" w14:textId="02A0CE4F" w:rsidR="00ED5904" w:rsidRDefault="00B90766" w:rsidP="00537014">
      <w:r>
        <w:t xml:space="preserve">The </w:t>
      </w:r>
      <w:r w:rsidR="006D3F8A">
        <w:t>mol</w:t>
      </w:r>
      <w:r w:rsidR="00696072">
        <w:t>es of NaOH</w:t>
      </w:r>
      <w:r w:rsidR="006D3F8A">
        <w:t xml:space="preserve"> was calculated using the </w:t>
      </w:r>
      <w:r w:rsidR="00ED5904">
        <w:t>equation n = Mv</w:t>
      </w:r>
      <w:r w:rsidR="00696072">
        <w:t xml:space="preserve">, which was then rearranged to M = n/v to calculate the molarity </w:t>
      </w:r>
      <w:r w:rsidR="00501E42">
        <w:t>of HCL, using the moles of NaOH = moles of HCL. The results of these calculations are within the table.</w:t>
      </w:r>
    </w:p>
    <w:p w14:paraId="42A651A5" w14:textId="769FC916" w:rsidR="005902A8" w:rsidRDefault="005902A8" w:rsidP="00537014">
      <w:r>
        <w:t>Due to this method calculating the molarity of a subject solution by neutralising it</w:t>
      </w:r>
      <w:r w:rsidR="00681C3B">
        <w:t xml:space="preserve"> with the reaction of </w:t>
      </w:r>
      <w:r w:rsidR="00681C3B" w:rsidRPr="00681C3B">
        <w:t xml:space="preserve">HCl (aq) + NaOH (aq) -&gt; NaCl (aq) + H2O (l) </w:t>
      </w:r>
      <w:r w:rsidR="00681C3B">
        <w:t>in this test</w:t>
      </w:r>
      <w:r>
        <w:t>, it can be done with both an acid base, mixing in an alkali, or by mixing an acid into an alkali base.</w:t>
      </w:r>
    </w:p>
    <w:p w14:paraId="24916D19" w14:textId="77777777" w:rsidR="00A31353" w:rsidRDefault="00A31353" w:rsidP="00537014"/>
    <w:p w14:paraId="13064FF4" w14:textId="590A7991" w:rsidR="00443FCC" w:rsidRDefault="001818C6" w:rsidP="00443FCC">
      <w:r>
        <w:t>This method is used within industry and in specific OME related fields for a variety of reasons.</w:t>
      </w:r>
    </w:p>
    <w:p w14:paraId="5A2AE688" w14:textId="50F61E9E" w:rsidR="00A31353" w:rsidRDefault="007834BC" w:rsidP="00A31353">
      <w:pPr>
        <w:pStyle w:val="ListParagraph"/>
        <w:numPr>
          <w:ilvl w:val="0"/>
          <w:numId w:val="35"/>
        </w:numPr>
      </w:pPr>
      <w:r>
        <w:t>For in-service surveillance (ISS), within the OME field</w:t>
      </w:r>
      <w:r w:rsidR="003D2161">
        <w:t>, ammunition</w:t>
      </w:r>
      <w:r>
        <w:t xml:space="preserve"> ISS is conducted on rounds after </w:t>
      </w:r>
      <w:r w:rsidR="003D2161">
        <w:t>their</w:t>
      </w:r>
      <w:r>
        <w:t xml:space="preserve"> original shelf life </w:t>
      </w:r>
      <w:r w:rsidR="003D2161">
        <w:t>has run out, in order to test the rounds to ensure that they will be safe a</w:t>
      </w:r>
      <w:r w:rsidR="00F55CD9">
        <w:t>nd suitable for service and storage for another 3 years. During ISS</w:t>
      </w:r>
      <w:r w:rsidR="006040E7">
        <w:t xml:space="preserve"> ‘</w:t>
      </w:r>
      <w:r w:rsidR="006040E7">
        <w:t>Karl Fischer titration</w:t>
      </w:r>
      <w:r w:rsidR="006040E7">
        <w:t>’ [1] is conducted</w:t>
      </w:r>
      <w:r w:rsidR="0048618D">
        <w:t xml:space="preserve"> within France</w:t>
      </w:r>
      <w:r w:rsidR="006040E7">
        <w:t xml:space="preserve"> in order to </w:t>
      </w:r>
      <w:r w:rsidR="0028005A">
        <w:t xml:space="preserve">test the water uptake within the rounds to ensure </w:t>
      </w:r>
      <w:r w:rsidR="00E01450">
        <w:t>chemical stability within the rounds</w:t>
      </w:r>
      <w:r w:rsidR="00D47871">
        <w:t xml:space="preserve"> and to test the purity of the component</w:t>
      </w:r>
      <w:r w:rsidR="0048618D">
        <w:t>.</w:t>
      </w:r>
    </w:p>
    <w:p w14:paraId="5795D25C" w14:textId="3E268BF1" w:rsidR="00A31353" w:rsidRDefault="00D2133B" w:rsidP="00A31353">
      <w:pPr>
        <w:pStyle w:val="ListParagraph"/>
        <w:numPr>
          <w:ilvl w:val="0"/>
          <w:numId w:val="35"/>
        </w:numPr>
      </w:pPr>
      <w:r>
        <w:t xml:space="preserve">To check the strength of chemical compositions used within OME, such as </w:t>
      </w:r>
      <w:r w:rsidR="00F14C14">
        <w:t>nitrates used within explosives [3]</w:t>
      </w:r>
    </w:p>
    <w:p w14:paraId="4B6CA582" w14:textId="47B9C4B9" w:rsidR="00F14C14" w:rsidRDefault="00DA325D" w:rsidP="0028005A">
      <w:pPr>
        <w:pStyle w:val="ListParagraph"/>
        <w:numPr>
          <w:ilvl w:val="0"/>
          <w:numId w:val="35"/>
        </w:numPr>
      </w:pPr>
      <w:r>
        <w:t xml:space="preserve">To </w:t>
      </w:r>
      <w:r w:rsidR="00E06AD7">
        <w:t>neutralise contaminant OME compounds such as TNT</w:t>
      </w:r>
      <w:r w:rsidR="00745C0E">
        <w:t xml:space="preserve">, </w:t>
      </w:r>
      <w:r w:rsidR="002047F3">
        <w:t xml:space="preserve">‘TNT </w:t>
      </w:r>
      <w:r w:rsidR="00745C0E">
        <w:t>was completely removed from aqueous solutions at pHs above 11.5, and the addition of hydroxide to TNT solutions reduced toxicity.</w:t>
      </w:r>
      <w:r w:rsidR="002047F3">
        <w:t>’ [4]</w:t>
      </w:r>
    </w:p>
    <w:p w14:paraId="7E01325C" w14:textId="41DC5A95" w:rsidR="00595784" w:rsidRDefault="00595784" w:rsidP="00595784">
      <w:r>
        <w:t>It can be used outside the OME field in</w:t>
      </w:r>
      <w:r w:rsidR="00747626">
        <w:t>:</w:t>
      </w:r>
    </w:p>
    <w:p w14:paraId="36E8C3A0" w14:textId="5C37B973" w:rsidR="00747626" w:rsidRDefault="00747626" w:rsidP="00747626">
      <w:pPr>
        <w:pStyle w:val="ListParagraph"/>
        <w:numPr>
          <w:ilvl w:val="0"/>
          <w:numId w:val="30"/>
        </w:numPr>
      </w:pPr>
      <w:r>
        <w:lastRenderedPageBreak/>
        <w:t xml:space="preserve">Quality control of </w:t>
      </w:r>
      <w:r w:rsidR="002321E3">
        <w:t>‘</w:t>
      </w:r>
      <w:r w:rsidR="002321E3" w:rsidRPr="002321E3">
        <w:t>products like pharmaceuticals, soap, and even biodiesel fuel</w:t>
      </w:r>
      <w:r w:rsidR="002321E3">
        <w:t>’ [2]</w:t>
      </w:r>
      <w:r w:rsidR="00C252CB">
        <w:t>, ensuring the correct levels of content within each product</w:t>
      </w:r>
      <w:r w:rsidR="00460960">
        <w:t>.</w:t>
      </w:r>
    </w:p>
    <w:p w14:paraId="0B49E904" w14:textId="1E222C2E" w:rsidR="00A31353" w:rsidRDefault="00460960" w:rsidP="00A31353">
      <w:pPr>
        <w:pStyle w:val="ListParagraph"/>
        <w:numPr>
          <w:ilvl w:val="0"/>
          <w:numId w:val="30"/>
        </w:numPr>
      </w:pPr>
      <w:r>
        <w:t>Environmental sustainability</w:t>
      </w:r>
      <w:r w:rsidR="00A31353">
        <w:t>, with an emphasis on neutralising contaminants.</w:t>
      </w:r>
    </w:p>
    <w:p w14:paraId="5758959A" w14:textId="49A6A236" w:rsidR="00D47871" w:rsidRDefault="00D47871" w:rsidP="00D47871">
      <w:pPr>
        <w:ind w:left="360"/>
      </w:pPr>
    </w:p>
    <w:p w14:paraId="4418DD27" w14:textId="77777777" w:rsidR="00696072" w:rsidRPr="00707D06" w:rsidRDefault="00696072" w:rsidP="00537014"/>
    <w:p w14:paraId="656DA4EF" w14:textId="6F58F25D" w:rsidR="00537014" w:rsidRDefault="00537014" w:rsidP="00537014">
      <w:pPr>
        <w:pStyle w:val="Heading1"/>
      </w:pPr>
      <w:bookmarkStart w:id="4" w:name="_Toc161874000"/>
      <w:r>
        <w:t>Conclusions</w:t>
      </w:r>
      <w:bookmarkEnd w:id="4"/>
    </w:p>
    <w:p w14:paraId="1C720DC3" w14:textId="22913B05" w:rsidR="009976CF" w:rsidRDefault="009976CF" w:rsidP="009976CF"/>
    <w:p w14:paraId="50C12C0D" w14:textId="5D0D3935" w:rsidR="002738D0" w:rsidRDefault="002738D0" w:rsidP="009976CF">
      <w:r>
        <w:t>To conclude, the findings support the original hypothesis</w:t>
      </w:r>
      <w:r w:rsidR="00BF020D">
        <w:t xml:space="preserve"> set out originally, which involved the colour of the solutions changing at an equivalence point</w:t>
      </w:r>
      <w:r w:rsidR="00586B0E">
        <w:t>. There would be mult</w:t>
      </w:r>
      <w:r w:rsidR="003E3741">
        <w:t>iple ways to improve the experiment for the future, involving:</w:t>
      </w:r>
    </w:p>
    <w:p w14:paraId="64058A0F" w14:textId="52A349ED" w:rsidR="003E3741" w:rsidRDefault="00FC241B" w:rsidP="003E3741">
      <w:pPr>
        <w:pStyle w:val="ListParagraph"/>
        <w:numPr>
          <w:ilvl w:val="0"/>
          <w:numId w:val="30"/>
        </w:numPr>
      </w:pPr>
      <w:r>
        <w:t xml:space="preserve">Increased </w:t>
      </w:r>
      <w:r w:rsidR="00546D72">
        <w:t>number</w:t>
      </w:r>
      <w:r>
        <w:t xml:space="preserve"> of tests/ titrations conducted</w:t>
      </w:r>
      <w:r w:rsidR="00087627">
        <w:t>.</w:t>
      </w:r>
    </w:p>
    <w:p w14:paraId="2383537E" w14:textId="683A635F" w:rsidR="00FC241B" w:rsidRDefault="00FC241B" w:rsidP="003E3741">
      <w:pPr>
        <w:pStyle w:val="ListParagraph"/>
        <w:numPr>
          <w:ilvl w:val="0"/>
          <w:numId w:val="30"/>
        </w:numPr>
      </w:pPr>
      <w:r>
        <w:t xml:space="preserve">Greater volume of solutions </w:t>
      </w:r>
      <w:r w:rsidR="008C2804">
        <w:t>with larger test apparatus</w:t>
      </w:r>
      <w:r w:rsidR="00DF5B2B">
        <w:t xml:space="preserve"> to make it more precise</w:t>
      </w:r>
      <w:r w:rsidR="008C2804">
        <w:t>.</w:t>
      </w:r>
    </w:p>
    <w:p w14:paraId="31FCE804" w14:textId="3830FBDA" w:rsidR="008C2804" w:rsidRDefault="00C91C54" w:rsidP="003E3741">
      <w:pPr>
        <w:pStyle w:val="ListParagraph"/>
        <w:numPr>
          <w:ilvl w:val="0"/>
          <w:numId w:val="30"/>
        </w:numPr>
      </w:pPr>
      <w:r>
        <w:t xml:space="preserve">Using automation/ machines to </w:t>
      </w:r>
      <w:r w:rsidR="00087627">
        <w:t>remove human error.</w:t>
      </w:r>
    </w:p>
    <w:p w14:paraId="5BD40E7E" w14:textId="7DDACC65" w:rsidR="00C947BE" w:rsidRDefault="00C947BE" w:rsidP="00C947BE">
      <w:r>
        <w:t xml:space="preserve">Another potential molecular testing method that could be researched and used in the future is </w:t>
      </w:r>
      <w:r w:rsidRPr="00C947BE">
        <w:t>high performance liquid chromatography</w:t>
      </w:r>
      <w:r w:rsidR="00B27375">
        <w:t xml:space="preserve"> which is used </w:t>
      </w:r>
      <w:r w:rsidR="00505E23">
        <w:t>to separate</w:t>
      </w:r>
      <w:r w:rsidR="00505E23" w:rsidRPr="00505E23">
        <w:t xml:space="preserve"> </w:t>
      </w:r>
      <w:r w:rsidR="00505E23">
        <w:t>‘</w:t>
      </w:r>
      <w:r w:rsidR="00505E23" w:rsidRPr="00505E23">
        <w:t>compounds dissolved in a liquid sample and allows qualitative and quantitative analysis of what components and how much of each component are contained in the sample.</w:t>
      </w:r>
      <w:r w:rsidR="00505E23">
        <w:t>’ [5]</w:t>
      </w:r>
    </w:p>
    <w:p w14:paraId="034FB853" w14:textId="7381ACF1" w:rsidR="00ED644D" w:rsidRDefault="00530859" w:rsidP="00C947BE">
      <w:r>
        <w:t>Titration</w:t>
      </w:r>
      <w:r w:rsidR="000C412C">
        <w:t xml:space="preserve"> does have flaws however, as it has multiple sources of error and limit</w:t>
      </w:r>
      <w:r w:rsidR="00934E08">
        <w:t>ations which would be addressed for further use where applicable. For example:</w:t>
      </w:r>
    </w:p>
    <w:p w14:paraId="1E861C51" w14:textId="73FD60EE" w:rsidR="00934E08" w:rsidRDefault="00CE36EE" w:rsidP="00934E08">
      <w:pPr>
        <w:pStyle w:val="ListParagraph"/>
        <w:numPr>
          <w:ilvl w:val="0"/>
          <w:numId w:val="30"/>
        </w:numPr>
      </w:pPr>
      <w:r>
        <w:t>More accurate at higher quantities</w:t>
      </w:r>
      <w:r w:rsidR="00CC3AD0">
        <w:t>.</w:t>
      </w:r>
    </w:p>
    <w:p w14:paraId="739ED302" w14:textId="5F17137B" w:rsidR="00CC3AD0" w:rsidRDefault="00CC3AD0" w:rsidP="00934E08">
      <w:pPr>
        <w:pStyle w:val="ListParagraph"/>
        <w:numPr>
          <w:ilvl w:val="0"/>
          <w:numId w:val="30"/>
        </w:numPr>
      </w:pPr>
      <w:r>
        <w:t xml:space="preserve">Human error when reading the volume and when setting up the equipment i.e. air bubbles within the </w:t>
      </w:r>
      <w:r w:rsidR="00D852BE">
        <w:t>equipment</w:t>
      </w:r>
    </w:p>
    <w:p w14:paraId="796FB80E" w14:textId="5411671A" w:rsidR="00D852BE" w:rsidRDefault="00530859" w:rsidP="00934E08">
      <w:pPr>
        <w:pStyle w:val="ListParagraph"/>
        <w:numPr>
          <w:ilvl w:val="0"/>
          <w:numId w:val="30"/>
        </w:numPr>
      </w:pPr>
      <w:r>
        <w:t>Improper mixing of the solutions.</w:t>
      </w:r>
    </w:p>
    <w:p w14:paraId="040A963F" w14:textId="348C1D68" w:rsidR="00530859" w:rsidRDefault="00530859" w:rsidP="00934E08">
      <w:pPr>
        <w:pStyle w:val="ListParagraph"/>
        <w:numPr>
          <w:ilvl w:val="0"/>
          <w:numId w:val="30"/>
        </w:numPr>
      </w:pPr>
      <w:r>
        <w:t>Expensive equipment, which is hard to set up especially in a non-lab environment.</w:t>
      </w:r>
    </w:p>
    <w:p w14:paraId="7B42F698" w14:textId="3A3B9A11" w:rsidR="004807C5" w:rsidRDefault="004807C5" w:rsidP="00934E08">
      <w:pPr>
        <w:pStyle w:val="ListParagraph"/>
        <w:numPr>
          <w:ilvl w:val="0"/>
          <w:numId w:val="30"/>
        </w:numPr>
      </w:pPr>
      <w:r>
        <w:t>Inadequate cleaning of equipment, leading to contamination.</w:t>
      </w:r>
    </w:p>
    <w:p w14:paraId="5A1BEE0B" w14:textId="13268D4D" w:rsidR="004807C5" w:rsidRDefault="004807C5" w:rsidP="00934E08">
      <w:pPr>
        <w:pStyle w:val="ListParagraph"/>
        <w:numPr>
          <w:ilvl w:val="0"/>
          <w:numId w:val="30"/>
        </w:numPr>
      </w:pPr>
      <w:r>
        <w:t>Stopping after the equivalence point has been reached.</w:t>
      </w:r>
    </w:p>
    <w:p w14:paraId="2580BB31" w14:textId="0B46FA3B" w:rsidR="005967B9" w:rsidRPr="00630C0D" w:rsidRDefault="00537014" w:rsidP="00630C0D">
      <w:pPr>
        <w:pStyle w:val="Heading1"/>
      </w:pPr>
      <w:bookmarkStart w:id="5" w:name="_Toc161874001"/>
      <w:r>
        <w:t>References</w:t>
      </w:r>
      <w:bookmarkEnd w:id="5"/>
    </w:p>
    <w:p w14:paraId="3AC2C2F9" w14:textId="43257264" w:rsidR="009E0CE6" w:rsidRDefault="009E0CE6" w:rsidP="005967B9"/>
    <w:p w14:paraId="463C02FE" w14:textId="3DB45915" w:rsidR="001818C6" w:rsidRDefault="001818C6" w:rsidP="005967B9">
      <w:r w:rsidRPr="001818C6">
        <w:t xml:space="preserve">[1]“NATO STANDARD AOP-64 IN-SERVICE SURVEILLANCE OF MUNITIONS CONDITION MONITORING OF ENERGETIC MATERIALS Edition A Version 1,” 2017. Accessed: Mar. 20, 2024. [Online]. Available: </w:t>
      </w:r>
      <w:hyperlink r:id="rId10" w:history="1">
        <w:r w:rsidR="002321E3" w:rsidRPr="00601B41">
          <w:rPr>
            <w:rStyle w:val="Hyperlink"/>
          </w:rPr>
          <w:t>https://www.msiac.nato.int/sites/default/files/media/SurveyonInServiceSurveillanceandStabilityTests/aop-64_eda_v1_e_in-service_surveillance_of_munitions_condition_monitoring_of_energetic_materials.pdf</w:t>
        </w:r>
      </w:hyperlink>
    </w:p>
    <w:p w14:paraId="52598012" w14:textId="47E295DB" w:rsidR="002321E3" w:rsidRDefault="002321E3" w:rsidP="002321E3">
      <w:r>
        <w:lastRenderedPageBreak/>
        <w:t>[2]</w:t>
      </w:r>
      <w:r w:rsidRPr="002321E3">
        <w:t xml:space="preserve"> </w:t>
      </w:r>
      <w:r>
        <w:t xml:space="preserve">PASCO, “Applications of Titrations - PASCO Blog,” PASCO scientific, Jun. 12, 2023. </w:t>
      </w:r>
      <w:hyperlink r:id="rId11" w:history="1">
        <w:r w:rsidRPr="00601B41">
          <w:rPr>
            <w:rStyle w:val="Hyperlink"/>
          </w:rPr>
          <w:t>https://www.pasco.com/resources/blog/417#:~:text=Titration%20is%20necessary%20to%20check</w:t>
        </w:r>
      </w:hyperlink>
    </w:p>
    <w:p w14:paraId="6EDECF53" w14:textId="699190BA" w:rsidR="00F14C14" w:rsidRDefault="00F14C14" w:rsidP="00F14C14">
      <w:r>
        <w:t>[3</w:t>
      </w:r>
      <w:r>
        <w:t xml:space="preserve">]A. B. Bodine and J. J. Janzen, “A New Titrimetric Procedure for Determination of Nitrate Utilizing Hypochlorite Oxidation of an Azo Dye1,” Journal of Dairy Science, vol. 56, no. 11, pp. 1472–1473, Nov. 1973, doi: </w:t>
      </w:r>
      <w:hyperlink r:id="rId12" w:history="1">
        <w:r w:rsidR="002339BD" w:rsidRPr="00601B41">
          <w:rPr>
            <w:rStyle w:val="Hyperlink"/>
          </w:rPr>
          <w:t>https://doi.org/10.3168/jds.S0022-0302(73)85384-6</w:t>
        </w:r>
      </w:hyperlink>
      <w:r>
        <w:t>.</w:t>
      </w:r>
    </w:p>
    <w:p w14:paraId="56B3FB20" w14:textId="1CF31870" w:rsidR="00DA325D" w:rsidRDefault="00DA325D" w:rsidP="00DA325D">
      <w:r>
        <w:t xml:space="preserve">[4] </w:t>
      </w:r>
      <w:r>
        <w:t xml:space="preserve">gt; Hm, F. Lil, L. Hansen, D. Ringelberg, D. Felt, and J. Davis, “o c a: a&gt; ^ E Base-Induced 2,4,6-Trinitrotoluene Transformation, Titration Studies,” 2001. Accessed: Mar. 21, 2024. [Online]. Available: </w:t>
      </w:r>
      <w:hyperlink r:id="rId13" w:history="1">
        <w:r w:rsidR="004F5A29" w:rsidRPr="00601B41">
          <w:rPr>
            <w:rStyle w:val="Hyperlink"/>
          </w:rPr>
          <w:t>https://apps.dtic.mil/sti/pdfs/ADA394461.pdf</w:t>
        </w:r>
      </w:hyperlink>
    </w:p>
    <w:p w14:paraId="0A3339AF" w14:textId="45A68DB8" w:rsidR="006032EF" w:rsidRDefault="006032EF" w:rsidP="006032EF">
      <w:r>
        <w:rPr>
          <w:rFonts w:hint="eastAsia"/>
        </w:rPr>
        <w:t>[</w:t>
      </w:r>
      <w:r>
        <w:t>5</w:t>
      </w:r>
      <w:r>
        <w:rPr>
          <w:rFonts w:hint="eastAsia"/>
        </w:rPr>
        <w:t>]</w:t>
      </w:r>
      <w:r>
        <w:t xml:space="preserve"> </w:t>
      </w:r>
      <w:r>
        <w:rPr>
          <w:rFonts w:hint="eastAsia"/>
        </w:rPr>
        <w:t xml:space="preserve">Shimadzu, </w:t>
      </w:r>
      <w:r>
        <w:rPr>
          <w:rFonts w:hint="eastAsia"/>
        </w:rPr>
        <w:t>“</w:t>
      </w:r>
      <w:r>
        <w:rPr>
          <w:rFonts w:hint="eastAsia"/>
        </w:rPr>
        <w:t xml:space="preserve">What is HPLC (High Performance Liquid Chromatography) </w:t>
      </w:r>
      <w:r>
        <w:rPr>
          <w:rFonts w:hint="eastAsia"/>
        </w:rPr>
        <w:t>？</w:t>
      </w:r>
      <w:r>
        <w:rPr>
          <w:rFonts w:hint="eastAsia"/>
        </w:rPr>
        <w:t>,</w:t>
      </w:r>
      <w:r>
        <w:rPr>
          <w:rFonts w:hint="eastAsia"/>
        </w:rPr>
        <w:t>”</w:t>
      </w:r>
      <w:r>
        <w:rPr>
          <w:rFonts w:hint="eastAsia"/>
        </w:rPr>
        <w:t xml:space="preserve"> www.shimadzu.com, 2023. </w:t>
      </w:r>
      <w:hyperlink r:id="rId14" w:history="1">
        <w:r w:rsidR="001F1884" w:rsidRPr="00601B41">
          <w:rPr>
            <w:rStyle w:val="Hyperlink"/>
            <w:rFonts w:hint="eastAsia"/>
          </w:rPr>
          <w:t>https://www.shimadzu.com/an/service-support/technical-support/analysis-basics/basic/what_is_hplc.html</w:t>
        </w:r>
      </w:hyperlink>
    </w:p>
    <w:p w14:paraId="112E2C70" w14:textId="77777777" w:rsidR="001F1884" w:rsidRDefault="001F1884" w:rsidP="006032EF">
      <w:pPr>
        <w:rPr>
          <w:rFonts w:hint="eastAsia"/>
        </w:rPr>
      </w:pPr>
    </w:p>
    <w:p w14:paraId="06F72F0E" w14:textId="6A389DA0" w:rsidR="004F5A29" w:rsidRDefault="006032EF" w:rsidP="006032EF">
      <w:r>
        <w:t>‌</w:t>
      </w:r>
    </w:p>
    <w:p w14:paraId="7A79382B" w14:textId="51B5E2A0" w:rsidR="002339BD" w:rsidRDefault="00DA325D" w:rsidP="00DA325D">
      <w:r>
        <w:t>‌</w:t>
      </w:r>
    </w:p>
    <w:p w14:paraId="139498B9" w14:textId="74C49378" w:rsidR="00F14C14" w:rsidRDefault="00F14C14" w:rsidP="00F14C14">
      <w:r>
        <w:t>‌</w:t>
      </w:r>
    </w:p>
    <w:p w14:paraId="5280A836" w14:textId="0BEEAB80" w:rsidR="002321E3" w:rsidRPr="005967B9" w:rsidRDefault="002321E3" w:rsidP="002321E3"/>
    <w:sectPr w:rsidR="002321E3" w:rsidRPr="005967B9" w:rsidSect="00580419">
      <w:footerReference w:type="default" r:id="rId15"/>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D4851" w14:textId="77777777" w:rsidR="00580419" w:rsidRDefault="00580419" w:rsidP="00855982">
      <w:pPr>
        <w:spacing w:after="0" w:line="240" w:lineRule="auto"/>
      </w:pPr>
      <w:r>
        <w:separator/>
      </w:r>
    </w:p>
  </w:endnote>
  <w:endnote w:type="continuationSeparator" w:id="0">
    <w:p w14:paraId="71476E68" w14:textId="77777777" w:rsidR="00580419" w:rsidRDefault="00580419"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59961"/>
      <w:docPartObj>
        <w:docPartGallery w:val="Page Numbers (Bottom of Page)"/>
        <w:docPartUnique/>
      </w:docPartObj>
    </w:sdtPr>
    <w:sdtEndPr>
      <w:rPr>
        <w:noProof/>
      </w:rPr>
    </w:sdtEndPr>
    <w:sdtContent>
      <w:p w14:paraId="30F240BF" w14:textId="77777777" w:rsidR="00855982" w:rsidRDefault="00855982">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BD416" w14:textId="77777777" w:rsidR="00580419" w:rsidRDefault="00580419" w:rsidP="00855982">
      <w:pPr>
        <w:spacing w:after="0" w:line="240" w:lineRule="auto"/>
      </w:pPr>
      <w:r>
        <w:separator/>
      </w:r>
    </w:p>
  </w:footnote>
  <w:footnote w:type="continuationSeparator" w:id="0">
    <w:p w14:paraId="16B9028E" w14:textId="77777777" w:rsidR="00580419" w:rsidRDefault="00580419"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4986F66"/>
    <w:lvl w:ilvl="0">
      <w:start w:val="1"/>
      <w:numFmt w:val="decimal"/>
      <w:lvlText w:val="%1."/>
      <w:lvlJc w:val="left"/>
      <w:pPr>
        <w:tabs>
          <w:tab w:val="num" w:pos="1440"/>
        </w:tabs>
        <w:ind w:left="144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1DA21555"/>
    <w:multiLevelType w:val="hybridMultilevel"/>
    <w:tmpl w:val="7FE87874"/>
    <w:lvl w:ilvl="0" w:tplc="496AC3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F51FBE"/>
    <w:multiLevelType w:val="hybridMultilevel"/>
    <w:tmpl w:val="41A4C080"/>
    <w:lvl w:ilvl="0" w:tplc="B82CEA6E">
      <w:start w:val="1"/>
      <w:numFmt w:val="lowerLetter"/>
      <w:lvlText w:val="%1."/>
      <w:lvlJc w:val="left"/>
      <w:pPr>
        <w:ind w:left="1065" w:hanging="7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15943D8"/>
    <w:multiLevelType w:val="hybridMultilevel"/>
    <w:tmpl w:val="8B385DBC"/>
    <w:lvl w:ilvl="0" w:tplc="CFE04FD8">
      <w:start w:val="1"/>
      <w:numFmt w:val="lowerLetter"/>
      <w:lvlText w:val="%1."/>
      <w:lvlJc w:val="left"/>
      <w:pPr>
        <w:ind w:left="1065" w:hanging="7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AF7D91"/>
    <w:multiLevelType w:val="hybridMultilevel"/>
    <w:tmpl w:val="8486675E"/>
    <w:lvl w:ilvl="0" w:tplc="6C40514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518636D6"/>
    <w:multiLevelType w:val="hybridMultilevel"/>
    <w:tmpl w:val="E7A688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9C30817"/>
    <w:multiLevelType w:val="hybridMultilevel"/>
    <w:tmpl w:val="54AA94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0451053">
    <w:abstractNumId w:val="14"/>
  </w:num>
  <w:num w:numId="2" w16cid:durableId="78846922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42031653">
    <w:abstractNumId w:val="14"/>
  </w:num>
  <w:num w:numId="4" w16cid:durableId="724984883">
    <w:abstractNumId w:val="14"/>
  </w:num>
  <w:num w:numId="5" w16cid:durableId="919409258">
    <w:abstractNumId w:val="14"/>
  </w:num>
  <w:num w:numId="6" w16cid:durableId="636692134">
    <w:abstractNumId w:val="14"/>
  </w:num>
  <w:num w:numId="7" w16cid:durableId="1506049916">
    <w:abstractNumId w:val="14"/>
  </w:num>
  <w:num w:numId="8" w16cid:durableId="655383221">
    <w:abstractNumId w:val="14"/>
  </w:num>
  <w:num w:numId="9" w16cid:durableId="1104613268">
    <w:abstractNumId w:val="14"/>
  </w:num>
  <w:num w:numId="10" w16cid:durableId="1123770518">
    <w:abstractNumId w:val="14"/>
  </w:num>
  <w:num w:numId="11" w16cid:durableId="1366562227">
    <w:abstractNumId w:val="14"/>
  </w:num>
  <w:num w:numId="12" w16cid:durableId="1991866933">
    <w:abstractNumId w:val="14"/>
  </w:num>
  <w:num w:numId="13" w16cid:durableId="407312895">
    <w:abstractNumId w:val="10"/>
  </w:num>
  <w:num w:numId="14" w16cid:durableId="1256326987">
    <w:abstractNumId w:val="21"/>
  </w:num>
  <w:num w:numId="15" w16cid:durableId="1791783023">
    <w:abstractNumId w:val="11"/>
  </w:num>
  <w:num w:numId="16" w16cid:durableId="534931965">
    <w:abstractNumId w:val="12"/>
  </w:num>
  <w:num w:numId="17" w16cid:durableId="31156756">
    <w:abstractNumId w:val="9"/>
  </w:num>
  <w:num w:numId="18" w16cid:durableId="1804807332">
    <w:abstractNumId w:val="7"/>
  </w:num>
  <w:num w:numId="19" w16cid:durableId="1981424817">
    <w:abstractNumId w:val="6"/>
  </w:num>
  <w:num w:numId="20" w16cid:durableId="1088581776">
    <w:abstractNumId w:val="5"/>
  </w:num>
  <w:num w:numId="21" w16cid:durableId="1713308112">
    <w:abstractNumId w:val="4"/>
  </w:num>
  <w:num w:numId="22" w16cid:durableId="1044788465">
    <w:abstractNumId w:val="8"/>
  </w:num>
  <w:num w:numId="23" w16cid:durableId="2071343071">
    <w:abstractNumId w:val="3"/>
  </w:num>
  <w:num w:numId="24" w16cid:durableId="89742329">
    <w:abstractNumId w:val="2"/>
  </w:num>
  <w:num w:numId="25" w16cid:durableId="1211720806">
    <w:abstractNumId w:val="1"/>
  </w:num>
  <w:num w:numId="26" w16cid:durableId="594090901">
    <w:abstractNumId w:val="0"/>
  </w:num>
  <w:num w:numId="27" w16cid:durableId="580876394">
    <w:abstractNumId w:val="13"/>
  </w:num>
  <w:num w:numId="28" w16cid:durableId="1463377163">
    <w:abstractNumId w:val="15"/>
  </w:num>
  <w:num w:numId="29" w16cid:durableId="878978010">
    <w:abstractNumId w:val="18"/>
  </w:num>
  <w:num w:numId="30" w16cid:durableId="1086345506">
    <w:abstractNumId w:val="20"/>
  </w:num>
  <w:num w:numId="31" w16cid:durableId="1141727651">
    <w:abstractNumId w:val="16"/>
  </w:num>
  <w:num w:numId="32" w16cid:durableId="489104887">
    <w:abstractNumId w:val="23"/>
  </w:num>
  <w:num w:numId="33" w16cid:durableId="1454061262">
    <w:abstractNumId w:val="19"/>
  </w:num>
  <w:num w:numId="34" w16cid:durableId="974261660">
    <w:abstractNumId w:val="17"/>
  </w:num>
  <w:num w:numId="35" w16cid:durableId="144619108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attachedTemplate r:id="rId1"/>
  <w:defaultTabStop w:val="708"/>
  <w:hyphenationZone w:val="425"/>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778"/>
    <w:rsid w:val="00003B15"/>
    <w:rsid w:val="000042F6"/>
    <w:rsid w:val="0002246D"/>
    <w:rsid w:val="00034161"/>
    <w:rsid w:val="0006226B"/>
    <w:rsid w:val="000707F9"/>
    <w:rsid w:val="00087627"/>
    <w:rsid w:val="000A0403"/>
    <w:rsid w:val="000A52E9"/>
    <w:rsid w:val="000B06D6"/>
    <w:rsid w:val="000B3D14"/>
    <w:rsid w:val="000B62F6"/>
    <w:rsid w:val="000C412C"/>
    <w:rsid w:val="000F49D9"/>
    <w:rsid w:val="001052B5"/>
    <w:rsid w:val="001063A2"/>
    <w:rsid w:val="001818C6"/>
    <w:rsid w:val="00181C05"/>
    <w:rsid w:val="001844F3"/>
    <w:rsid w:val="001977C9"/>
    <w:rsid w:val="001A74CE"/>
    <w:rsid w:val="001B4083"/>
    <w:rsid w:val="001B70B4"/>
    <w:rsid w:val="001D183C"/>
    <w:rsid w:val="001D4362"/>
    <w:rsid w:val="001F1884"/>
    <w:rsid w:val="002047F3"/>
    <w:rsid w:val="002321E3"/>
    <w:rsid w:val="002339BD"/>
    <w:rsid w:val="00233A55"/>
    <w:rsid w:val="00260CA4"/>
    <w:rsid w:val="00270E16"/>
    <w:rsid w:val="002738D0"/>
    <w:rsid w:val="00276049"/>
    <w:rsid w:val="0028005A"/>
    <w:rsid w:val="00294E20"/>
    <w:rsid w:val="002A6D08"/>
    <w:rsid w:val="002E008B"/>
    <w:rsid w:val="002E09F1"/>
    <w:rsid w:val="002E6715"/>
    <w:rsid w:val="00312002"/>
    <w:rsid w:val="0031440D"/>
    <w:rsid w:val="00340653"/>
    <w:rsid w:val="003434B4"/>
    <w:rsid w:val="00343919"/>
    <w:rsid w:val="00382BDD"/>
    <w:rsid w:val="00386567"/>
    <w:rsid w:val="003A35A0"/>
    <w:rsid w:val="003A588C"/>
    <w:rsid w:val="003C447F"/>
    <w:rsid w:val="003C6A6B"/>
    <w:rsid w:val="003D2161"/>
    <w:rsid w:val="003D596B"/>
    <w:rsid w:val="003D71B4"/>
    <w:rsid w:val="003E3741"/>
    <w:rsid w:val="003F22FF"/>
    <w:rsid w:val="00421874"/>
    <w:rsid w:val="00431BDA"/>
    <w:rsid w:val="00443FCC"/>
    <w:rsid w:val="004557E3"/>
    <w:rsid w:val="0045719A"/>
    <w:rsid w:val="004600CA"/>
    <w:rsid w:val="00460960"/>
    <w:rsid w:val="004778B7"/>
    <w:rsid w:val="004807C5"/>
    <w:rsid w:val="0048618D"/>
    <w:rsid w:val="004A3A4E"/>
    <w:rsid w:val="004B0312"/>
    <w:rsid w:val="004D67DF"/>
    <w:rsid w:val="004F5161"/>
    <w:rsid w:val="004F5A29"/>
    <w:rsid w:val="00501E42"/>
    <w:rsid w:val="00505E23"/>
    <w:rsid w:val="005105F0"/>
    <w:rsid w:val="00511FF5"/>
    <w:rsid w:val="005155AC"/>
    <w:rsid w:val="00524C9B"/>
    <w:rsid w:val="00530859"/>
    <w:rsid w:val="00537014"/>
    <w:rsid w:val="00546D72"/>
    <w:rsid w:val="005551AF"/>
    <w:rsid w:val="00563D38"/>
    <w:rsid w:val="00563D77"/>
    <w:rsid w:val="0056510A"/>
    <w:rsid w:val="00580419"/>
    <w:rsid w:val="00580D6E"/>
    <w:rsid w:val="005828AB"/>
    <w:rsid w:val="005831E6"/>
    <w:rsid w:val="00586B0E"/>
    <w:rsid w:val="005902A8"/>
    <w:rsid w:val="00592646"/>
    <w:rsid w:val="00595784"/>
    <w:rsid w:val="005967B9"/>
    <w:rsid w:val="005A7977"/>
    <w:rsid w:val="005B6986"/>
    <w:rsid w:val="005E4C93"/>
    <w:rsid w:val="005E6906"/>
    <w:rsid w:val="005F6B7D"/>
    <w:rsid w:val="005F7FAF"/>
    <w:rsid w:val="006032EF"/>
    <w:rsid w:val="006040E7"/>
    <w:rsid w:val="00612AB4"/>
    <w:rsid w:val="006218CB"/>
    <w:rsid w:val="00622522"/>
    <w:rsid w:val="00630C0D"/>
    <w:rsid w:val="006314C5"/>
    <w:rsid w:val="00634CDD"/>
    <w:rsid w:val="00662528"/>
    <w:rsid w:val="00677157"/>
    <w:rsid w:val="0067790B"/>
    <w:rsid w:val="00677C1A"/>
    <w:rsid w:val="00681C3B"/>
    <w:rsid w:val="006939E1"/>
    <w:rsid w:val="00696072"/>
    <w:rsid w:val="006B095D"/>
    <w:rsid w:val="006B19E3"/>
    <w:rsid w:val="006B35B9"/>
    <w:rsid w:val="006C4339"/>
    <w:rsid w:val="006D3F8A"/>
    <w:rsid w:val="006F555C"/>
    <w:rsid w:val="006F571C"/>
    <w:rsid w:val="007066BA"/>
    <w:rsid w:val="00707D06"/>
    <w:rsid w:val="00726282"/>
    <w:rsid w:val="00737710"/>
    <w:rsid w:val="00745C0E"/>
    <w:rsid w:val="00747626"/>
    <w:rsid w:val="007553D8"/>
    <w:rsid w:val="00780368"/>
    <w:rsid w:val="00782D76"/>
    <w:rsid w:val="007833A7"/>
    <w:rsid w:val="007834BC"/>
    <w:rsid w:val="007A5143"/>
    <w:rsid w:val="007B2E1A"/>
    <w:rsid w:val="007C71AB"/>
    <w:rsid w:val="007F04F9"/>
    <w:rsid w:val="00833F7D"/>
    <w:rsid w:val="00855982"/>
    <w:rsid w:val="00862E2A"/>
    <w:rsid w:val="008664A5"/>
    <w:rsid w:val="00886434"/>
    <w:rsid w:val="00890F0C"/>
    <w:rsid w:val="00892D1B"/>
    <w:rsid w:val="008A18D6"/>
    <w:rsid w:val="008C2804"/>
    <w:rsid w:val="008F2F20"/>
    <w:rsid w:val="00911BD8"/>
    <w:rsid w:val="009312A5"/>
    <w:rsid w:val="00934E08"/>
    <w:rsid w:val="00976933"/>
    <w:rsid w:val="00984528"/>
    <w:rsid w:val="009976CF"/>
    <w:rsid w:val="009A3627"/>
    <w:rsid w:val="009E0CE6"/>
    <w:rsid w:val="00A10484"/>
    <w:rsid w:val="00A12853"/>
    <w:rsid w:val="00A27032"/>
    <w:rsid w:val="00A31353"/>
    <w:rsid w:val="00A529DE"/>
    <w:rsid w:val="00A52D53"/>
    <w:rsid w:val="00A6501D"/>
    <w:rsid w:val="00A86199"/>
    <w:rsid w:val="00AB1689"/>
    <w:rsid w:val="00AE3066"/>
    <w:rsid w:val="00AE3F87"/>
    <w:rsid w:val="00AF4CCC"/>
    <w:rsid w:val="00B11233"/>
    <w:rsid w:val="00B12C62"/>
    <w:rsid w:val="00B15D39"/>
    <w:rsid w:val="00B17AE1"/>
    <w:rsid w:val="00B25778"/>
    <w:rsid w:val="00B27375"/>
    <w:rsid w:val="00B57511"/>
    <w:rsid w:val="00B6247A"/>
    <w:rsid w:val="00B83788"/>
    <w:rsid w:val="00B90766"/>
    <w:rsid w:val="00B952DB"/>
    <w:rsid w:val="00BD47C8"/>
    <w:rsid w:val="00BD5264"/>
    <w:rsid w:val="00BE126A"/>
    <w:rsid w:val="00BE6104"/>
    <w:rsid w:val="00BF020D"/>
    <w:rsid w:val="00C06F91"/>
    <w:rsid w:val="00C1705A"/>
    <w:rsid w:val="00C252CB"/>
    <w:rsid w:val="00C54422"/>
    <w:rsid w:val="00C60754"/>
    <w:rsid w:val="00C91C54"/>
    <w:rsid w:val="00C93D0A"/>
    <w:rsid w:val="00C947BE"/>
    <w:rsid w:val="00C94BDA"/>
    <w:rsid w:val="00CA609C"/>
    <w:rsid w:val="00CB6C9F"/>
    <w:rsid w:val="00CC3AD0"/>
    <w:rsid w:val="00CC47E1"/>
    <w:rsid w:val="00CE36EE"/>
    <w:rsid w:val="00CF30B8"/>
    <w:rsid w:val="00D2133B"/>
    <w:rsid w:val="00D21D9E"/>
    <w:rsid w:val="00D2315D"/>
    <w:rsid w:val="00D326B9"/>
    <w:rsid w:val="00D47871"/>
    <w:rsid w:val="00D524F0"/>
    <w:rsid w:val="00D8334F"/>
    <w:rsid w:val="00D852BE"/>
    <w:rsid w:val="00D90707"/>
    <w:rsid w:val="00DA325D"/>
    <w:rsid w:val="00DB1CDB"/>
    <w:rsid w:val="00DC1F8F"/>
    <w:rsid w:val="00DC5BDC"/>
    <w:rsid w:val="00DF5B2B"/>
    <w:rsid w:val="00E01450"/>
    <w:rsid w:val="00E02B24"/>
    <w:rsid w:val="00E06AD7"/>
    <w:rsid w:val="00E079C3"/>
    <w:rsid w:val="00E07F61"/>
    <w:rsid w:val="00E26568"/>
    <w:rsid w:val="00E8014C"/>
    <w:rsid w:val="00E97076"/>
    <w:rsid w:val="00ED4958"/>
    <w:rsid w:val="00ED5904"/>
    <w:rsid w:val="00ED644D"/>
    <w:rsid w:val="00ED6B1B"/>
    <w:rsid w:val="00F1325C"/>
    <w:rsid w:val="00F14C14"/>
    <w:rsid w:val="00F35980"/>
    <w:rsid w:val="00F43BC1"/>
    <w:rsid w:val="00F5484D"/>
    <w:rsid w:val="00F55AAD"/>
    <w:rsid w:val="00F55CD9"/>
    <w:rsid w:val="00F85988"/>
    <w:rsid w:val="00F8752E"/>
    <w:rsid w:val="00FC241B"/>
    <w:rsid w:val="00FD262C"/>
    <w:rsid w:val="00FD3D44"/>
    <w:rsid w:val="00FE27C6"/>
    <w:rsid w:val="00FE5796"/>
    <w:rsid w:val="00FE73D5"/>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DF0A0C"/>
  <w15:chartTrackingRefBased/>
  <w15:docId w15:val="{A1451A00-E4CE-46F4-95D8-CDD103183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62C"/>
    <w:rPr>
      <w:lang w:val="en-GB"/>
    </w:rPr>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table" w:styleId="TableGrid">
    <w:name w:val="Table Grid"/>
    <w:basedOn w:val="TableNormal"/>
    <w:uiPriority w:val="39"/>
    <w:rsid w:val="00034161"/>
    <w:pPr>
      <w:spacing w:after="0" w:line="240" w:lineRule="auto"/>
    </w:pPr>
    <w:rPr>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06226B"/>
    <w:pPr>
      <w:ind w:left="720"/>
      <w:contextualSpacing/>
    </w:pPr>
  </w:style>
  <w:style w:type="character" w:styleId="UnresolvedMention">
    <w:name w:val="Unresolved Mention"/>
    <w:basedOn w:val="DefaultParagraphFont"/>
    <w:uiPriority w:val="99"/>
    <w:semiHidden/>
    <w:unhideWhenUsed/>
    <w:rsid w:val="002321E3"/>
    <w:rPr>
      <w:color w:val="605E5C"/>
      <w:shd w:val="clear" w:color="auto" w:fill="E1DFDD"/>
    </w:rPr>
  </w:style>
  <w:style w:type="paragraph" w:styleId="TOC1">
    <w:name w:val="toc 1"/>
    <w:basedOn w:val="Normal"/>
    <w:next w:val="Normal"/>
    <w:autoRedefine/>
    <w:uiPriority w:val="39"/>
    <w:unhideWhenUsed/>
    <w:rsid w:val="00BE610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406826">
      <w:bodyDiv w:val="1"/>
      <w:marLeft w:val="0"/>
      <w:marRight w:val="0"/>
      <w:marTop w:val="0"/>
      <w:marBottom w:val="0"/>
      <w:divBdr>
        <w:top w:val="none" w:sz="0" w:space="0" w:color="auto"/>
        <w:left w:val="none" w:sz="0" w:space="0" w:color="auto"/>
        <w:bottom w:val="none" w:sz="0" w:space="0" w:color="auto"/>
        <w:right w:val="none" w:sz="0" w:space="0" w:color="auto"/>
      </w:divBdr>
      <w:divsChild>
        <w:div w:id="222721516">
          <w:marLeft w:val="0"/>
          <w:marRight w:val="720"/>
          <w:marTop w:val="0"/>
          <w:marBottom w:val="0"/>
          <w:divBdr>
            <w:top w:val="none" w:sz="0" w:space="0" w:color="auto"/>
            <w:left w:val="none" w:sz="0" w:space="0" w:color="auto"/>
            <w:bottom w:val="none" w:sz="0" w:space="0" w:color="auto"/>
            <w:right w:val="none" w:sz="0" w:space="0" w:color="auto"/>
          </w:divBdr>
        </w:div>
        <w:div w:id="2112819932">
          <w:marLeft w:val="0"/>
          <w:marRight w:val="0"/>
          <w:marTop w:val="0"/>
          <w:marBottom w:val="0"/>
          <w:divBdr>
            <w:top w:val="none" w:sz="0" w:space="0" w:color="auto"/>
            <w:left w:val="none" w:sz="0" w:space="0" w:color="auto"/>
            <w:bottom w:val="none" w:sz="0" w:space="0" w:color="auto"/>
            <w:right w:val="none" w:sz="0" w:space="0" w:color="auto"/>
          </w:divBdr>
        </w:div>
      </w:divsChild>
    </w:div>
    <w:div w:id="350841194">
      <w:bodyDiv w:val="1"/>
      <w:marLeft w:val="0"/>
      <w:marRight w:val="0"/>
      <w:marTop w:val="0"/>
      <w:marBottom w:val="0"/>
      <w:divBdr>
        <w:top w:val="none" w:sz="0" w:space="0" w:color="auto"/>
        <w:left w:val="none" w:sz="0" w:space="0" w:color="auto"/>
        <w:bottom w:val="none" w:sz="0" w:space="0" w:color="auto"/>
        <w:right w:val="none" w:sz="0" w:space="0" w:color="auto"/>
      </w:divBdr>
    </w:div>
    <w:div w:id="548883109">
      <w:bodyDiv w:val="1"/>
      <w:marLeft w:val="0"/>
      <w:marRight w:val="0"/>
      <w:marTop w:val="0"/>
      <w:marBottom w:val="0"/>
      <w:divBdr>
        <w:top w:val="none" w:sz="0" w:space="0" w:color="auto"/>
        <w:left w:val="none" w:sz="0" w:space="0" w:color="auto"/>
        <w:bottom w:val="none" w:sz="0" w:space="0" w:color="auto"/>
        <w:right w:val="none" w:sz="0" w:space="0" w:color="auto"/>
      </w:divBdr>
      <w:divsChild>
        <w:div w:id="1318001296">
          <w:marLeft w:val="0"/>
          <w:marRight w:val="0"/>
          <w:marTop w:val="0"/>
          <w:marBottom w:val="0"/>
          <w:divBdr>
            <w:top w:val="none" w:sz="0" w:space="0" w:color="auto"/>
            <w:left w:val="none" w:sz="0" w:space="0" w:color="auto"/>
            <w:bottom w:val="none" w:sz="0" w:space="0" w:color="auto"/>
            <w:right w:val="none" w:sz="0" w:space="0" w:color="auto"/>
          </w:divBdr>
          <w:divsChild>
            <w:div w:id="1578173417">
              <w:marLeft w:val="0"/>
              <w:marRight w:val="0"/>
              <w:marTop w:val="0"/>
              <w:marBottom w:val="0"/>
              <w:divBdr>
                <w:top w:val="none" w:sz="0" w:space="0" w:color="auto"/>
                <w:left w:val="none" w:sz="0" w:space="0" w:color="auto"/>
                <w:bottom w:val="none" w:sz="0" w:space="0" w:color="auto"/>
                <w:right w:val="none" w:sz="0" w:space="0" w:color="auto"/>
              </w:divBdr>
            </w:div>
            <w:div w:id="19963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226109">
      <w:bodyDiv w:val="1"/>
      <w:marLeft w:val="0"/>
      <w:marRight w:val="0"/>
      <w:marTop w:val="0"/>
      <w:marBottom w:val="0"/>
      <w:divBdr>
        <w:top w:val="none" w:sz="0" w:space="0" w:color="auto"/>
        <w:left w:val="none" w:sz="0" w:space="0" w:color="auto"/>
        <w:bottom w:val="none" w:sz="0" w:space="0" w:color="auto"/>
        <w:right w:val="none" w:sz="0" w:space="0" w:color="auto"/>
      </w:divBdr>
      <w:divsChild>
        <w:div w:id="71590901">
          <w:marLeft w:val="0"/>
          <w:marRight w:val="720"/>
          <w:marTop w:val="0"/>
          <w:marBottom w:val="0"/>
          <w:divBdr>
            <w:top w:val="none" w:sz="0" w:space="0" w:color="auto"/>
            <w:left w:val="none" w:sz="0" w:space="0" w:color="auto"/>
            <w:bottom w:val="none" w:sz="0" w:space="0" w:color="auto"/>
            <w:right w:val="none" w:sz="0" w:space="0" w:color="auto"/>
          </w:divBdr>
        </w:div>
        <w:div w:id="1504127533">
          <w:marLeft w:val="0"/>
          <w:marRight w:val="0"/>
          <w:marTop w:val="0"/>
          <w:marBottom w:val="0"/>
          <w:divBdr>
            <w:top w:val="none" w:sz="0" w:space="0" w:color="auto"/>
            <w:left w:val="none" w:sz="0" w:space="0" w:color="auto"/>
            <w:bottom w:val="none" w:sz="0" w:space="0" w:color="auto"/>
            <w:right w:val="none" w:sz="0" w:space="0" w:color="auto"/>
          </w:divBdr>
        </w:div>
      </w:divsChild>
    </w:div>
    <w:div w:id="821041095">
      <w:bodyDiv w:val="1"/>
      <w:marLeft w:val="0"/>
      <w:marRight w:val="0"/>
      <w:marTop w:val="0"/>
      <w:marBottom w:val="0"/>
      <w:divBdr>
        <w:top w:val="none" w:sz="0" w:space="0" w:color="auto"/>
        <w:left w:val="none" w:sz="0" w:space="0" w:color="auto"/>
        <w:bottom w:val="none" w:sz="0" w:space="0" w:color="auto"/>
        <w:right w:val="none" w:sz="0" w:space="0" w:color="auto"/>
      </w:divBdr>
      <w:divsChild>
        <w:div w:id="1623615327">
          <w:marLeft w:val="0"/>
          <w:marRight w:val="720"/>
          <w:marTop w:val="0"/>
          <w:marBottom w:val="0"/>
          <w:divBdr>
            <w:top w:val="none" w:sz="0" w:space="0" w:color="auto"/>
            <w:left w:val="none" w:sz="0" w:space="0" w:color="auto"/>
            <w:bottom w:val="none" w:sz="0" w:space="0" w:color="auto"/>
            <w:right w:val="none" w:sz="0" w:space="0" w:color="auto"/>
          </w:divBdr>
        </w:div>
        <w:div w:id="1043359175">
          <w:marLeft w:val="0"/>
          <w:marRight w:val="0"/>
          <w:marTop w:val="0"/>
          <w:marBottom w:val="0"/>
          <w:divBdr>
            <w:top w:val="none" w:sz="0" w:space="0" w:color="auto"/>
            <w:left w:val="none" w:sz="0" w:space="0" w:color="auto"/>
            <w:bottom w:val="none" w:sz="0" w:space="0" w:color="auto"/>
            <w:right w:val="none" w:sz="0" w:space="0" w:color="auto"/>
          </w:divBdr>
        </w:div>
      </w:divsChild>
    </w:div>
    <w:div w:id="842209816">
      <w:bodyDiv w:val="1"/>
      <w:marLeft w:val="0"/>
      <w:marRight w:val="0"/>
      <w:marTop w:val="0"/>
      <w:marBottom w:val="0"/>
      <w:divBdr>
        <w:top w:val="none" w:sz="0" w:space="0" w:color="auto"/>
        <w:left w:val="none" w:sz="0" w:space="0" w:color="auto"/>
        <w:bottom w:val="none" w:sz="0" w:space="0" w:color="auto"/>
        <w:right w:val="none" w:sz="0" w:space="0" w:color="auto"/>
      </w:divBdr>
      <w:divsChild>
        <w:div w:id="2022123959">
          <w:marLeft w:val="0"/>
          <w:marRight w:val="720"/>
          <w:marTop w:val="0"/>
          <w:marBottom w:val="0"/>
          <w:divBdr>
            <w:top w:val="none" w:sz="0" w:space="0" w:color="auto"/>
            <w:left w:val="none" w:sz="0" w:space="0" w:color="auto"/>
            <w:bottom w:val="none" w:sz="0" w:space="0" w:color="auto"/>
            <w:right w:val="none" w:sz="0" w:space="0" w:color="auto"/>
          </w:divBdr>
        </w:div>
        <w:div w:id="1922442474">
          <w:marLeft w:val="0"/>
          <w:marRight w:val="0"/>
          <w:marTop w:val="0"/>
          <w:marBottom w:val="0"/>
          <w:divBdr>
            <w:top w:val="none" w:sz="0" w:space="0" w:color="auto"/>
            <w:left w:val="none" w:sz="0" w:space="0" w:color="auto"/>
            <w:bottom w:val="none" w:sz="0" w:space="0" w:color="auto"/>
            <w:right w:val="none" w:sz="0" w:space="0" w:color="auto"/>
          </w:divBdr>
        </w:div>
      </w:divsChild>
    </w:div>
    <w:div w:id="1041637495">
      <w:bodyDiv w:val="1"/>
      <w:marLeft w:val="0"/>
      <w:marRight w:val="0"/>
      <w:marTop w:val="0"/>
      <w:marBottom w:val="0"/>
      <w:divBdr>
        <w:top w:val="none" w:sz="0" w:space="0" w:color="auto"/>
        <w:left w:val="none" w:sz="0" w:space="0" w:color="auto"/>
        <w:bottom w:val="none" w:sz="0" w:space="0" w:color="auto"/>
        <w:right w:val="none" w:sz="0" w:space="0" w:color="auto"/>
      </w:divBdr>
      <w:divsChild>
        <w:div w:id="1313019640">
          <w:marLeft w:val="0"/>
          <w:marRight w:val="720"/>
          <w:marTop w:val="0"/>
          <w:marBottom w:val="0"/>
          <w:divBdr>
            <w:top w:val="none" w:sz="0" w:space="0" w:color="auto"/>
            <w:left w:val="none" w:sz="0" w:space="0" w:color="auto"/>
            <w:bottom w:val="none" w:sz="0" w:space="0" w:color="auto"/>
            <w:right w:val="none" w:sz="0" w:space="0" w:color="auto"/>
          </w:divBdr>
        </w:div>
        <w:div w:id="1113479933">
          <w:marLeft w:val="0"/>
          <w:marRight w:val="0"/>
          <w:marTop w:val="0"/>
          <w:marBottom w:val="0"/>
          <w:divBdr>
            <w:top w:val="none" w:sz="0" w:space="0" w:color="auto"/>
            <w:left w:val="none" w:sz="0" w:space="0" w:color="auto"/>
            <w:bottom w:val="none" w:sz="0" w:space="0" w:color="auto"/>
            <w:right w:val="none" w:sz="0" w:space="0" w:color="auto"/>
          </w:divBdr>
        </w:div>
      </w:divsChild>
    </w:div>
    <w:div w:id="1105690273">
      <w:bodyDiv w:val="1"/>
      <w:marLeft w:val="0"/>
      <w:marRight w:val="0"/>
      <w:marTop w:val="0"/>
      <w:marBottom w:val="0"/>
      <w:divBdr>
        <w:top w:val="none" w:sz="0" w:space="0" w:color="auto"/>
        <w:left w:val="none" w:sz="0" w:space="0" w:color="auto"/>
        <w:bottom w:val="none" w:sz="0" w:space="0" w:color="auto"/>
        <w:right w:val="none" w:sz="0" w:space="0" w:color="auto"/>
      </w:divBdr>
    </w:div>
    <w:div w:id="1513186722">
      <w:bodyDiv w:val="1"/>
      <w:marLeft w:val="0"/>
      <w:marRight w:val="0"/>
      <w:marTop w:val="0"/>
      <w:marBottom w:val="0"/>
      <w:divBdr>
        <w:top w:val="none" w:sz="0" w:space="0" w:color="auto"/>
        <w:left w:val="none" w:sz="0" w:space="0" w:color="auto"/>
        <w:bottom w:val="none" w:sz="0" w:space="0" w:color="auto"/>
        <w:right w:val="none" w:sz="0" w:space="0" w:color="auto"/>
      </w:divBdr>
      <w:divsChild>
        <w:div w:id="604580054">
          <w:marLeft w:val="0"/>
          <w:marRight w:val="720"/>
          <w:marTop w:val="0"/>
          <w:marBottom w:val="0"/>
          <w:divBdr>
            <w:top w:val="none" w:sz="0" w:space="0" w:color="auto"/>
            <w:left w:val="none" w:sz="0" w:space="0" w:color="auto"/>
            <w:bottom w:val="none" w:sz="0" w:space="0" w:color="auto"/>
            <w:right w:val="none" w:sz="0" w:space="0" w:color="auto"/>
          </w:divBdr>
        </w:div>
        <w:div w:id="569463646">
          <w:marLeft w:val="0"/>
          <w:marRight w:val="0"/>
          <w:marTop w:val="0"/>
          <w:marBottom w:val="0"/>
          <w:divBdr>
            <w:top w:val="none" w:sz="0" w:space="0" w:color="auto"/>
            <w:left w:val="none" w:sz="0" w:space="0" w:color="auto"/>
            <w:bottom w:val="none" w:sz="0" w:space="0" w:color="auto"/>
            <w:right w:val="none" w:sz="0" w:space="0" w:color="auto"/>
          </w:divBdr>
        </w:div>
      </w:divsChild>
    </w:div>
    <w:div w:id="1577932216">
      <w:bodyDiv w:val="1"/>
      <w:marLeft w:val="0"/>
      <w:marRight w:val="0"/>
      <w:marTop w:val="0"/>
      <w:marBottom w:val="0"/>
      <w:divBdr>
        <w:top w:val="none" w:sz="0" w:space="0" w:color="auto"/>
        <w:left w:val="none" w:sz="0" w:space="0" w:color="auto"/>
        <w:bottom w:val="none" w:sz="0" w:space="0" w:color="auto"/>
        <w:right w:val="none" w:sz="0" w:space="0" w:color="auto"/>
      </w:divBdr>
    </w:div>
    <w:div w:id="1615361664">
      <w:bodyDiv w:val="1"/>
      <w:marLeft w:val="0"/>
      <w:marRight w:val="0"/>
      <w:marTop w:val="0"/>
      <w:marBottom w:val="0"/>
      <w:divBdr>
        <w:top w:val="none" w:sz="0" w:space="0" w:color="auto"/>
        <w:left w:val="none" w:sz="0" w:space="0" w:color="auto"/>
        <w:bottom w:val="none" w:sz="0" w:space="0" w:color="auto"/>
        <w:right w:val="none" w:sz="0" w:space="0" w:color="auto"/>
      </w:divBdr>
      <w:divsChild>
        <w:div w:id="1345395998">
          <w:marLeft w:val="0"/>
          <w:marRight w:val="720"/>
          <w:marTop w:val="0"/>
          <w:marBottom w:val="0"/>
          <w:divBdr>
            <w:top w:val="none" w:sz="0" w:space="0" w:color="auto"/>
            <w:left w:val="none" w:sz="0" w:space="0" w:color="auto"/>
            <w:bottom w:val="none" w:sz="0" w:space="0" w:color="auto"/>
            <w:right w:val="none" w:sz="0" w:space="0" w:color="auto"/>
          </w:divBdr>
        </w:div>
        <w:div w:id="667291852">
          <w:marLeft w:val="0"/>
          <w:marRight w:val="0"/>
          <w:marTop w:val="0"/>
          <w:marBottom w:val="0"/>
          <w:divBdr>
            <w:top w:val="none" w:sz="0" w:space="0" w:color="auto"/>
            <w:left w:val="none" w:sz="0" w:space="0" w:color="auto"/>
            <w:bottom w:val="none" w:sz="0" w:space="0" w:color="auto"/>
            <w:right w:val="none" w:sz="0" w:space="0" w:color="auto"/>
          </w:divBdr>
        </w:div>
      </w:divsChild>
    </w:div>
    <w:div w:id="1630210729">
      <w:bodyDiv w:val="1"/>
      <w:marLeft w:val="0"/>
      <w:marRight w:val="0"/>
      <w:marTop w:val="0"/>
      <w:marBottom w:val="0"/>
      <w:divBdr>
        <w:top w:val="none" w:sz="0" w:space="0" w:color="auto"/>
        <w:left w:val="none" w:sz="0" w:space="0" w:color="auto"/>
        <w:bottom w:val="none" w:sz="0" w:space="0" w:color="auto"/>
        <w:right w:val="none" w:sz="0" w:space="0" w:color="auto"/>
      </w:divBdr>
      <w:divsChild>
        <w:div w:id="512955376">
          <w:marLeft w:val="0"/>
          <w:marRight w:val="720"/>
          <w:marTop w:val="0"/>
          <w:marBottom w:val="0"/>
          <w:divBdr>
            <w:top w:val="none" w:sz="0" w:space="0" w:color="auto"/>
            <w:left w:val="none" w:sz="0" w:space="0" w:color="auto"/>
            <w:bottom w:val="none" w:sz="0" w:space="0" w:color="auto"/>
            <w:right w:val="none" w:sz="0" w:space="0" w:color="auto"/>
          </w:divBdr>
        </w:div>
        <w:div w:id="1982268432">
          <w:marLeft w:val="0"/>
          <w:marRight w:val="0"/>
          <w:marTop w:val="0"/>
          <w:marBottom w:val="0"/>
          <w:divBdr>
            <w:top w:val="none" w:sz="0" w:space="0" w:color="auto"/>
            <w:left w:val="none" w:sz="0" w:space="0" w:color="auto"/>
            <w:bottom w:val="none" w:sz="0" w:space="0" w:color="auto"/>
            <w:right w:val="none" w:sz="0" w:space="0" w:color="auto"/>
          </w:divBdr>
        </w:div>
      </w:divsChild>
    </w:div>
    <w:div w:id="2032950180">
      <w:bodyDiv w:val="1"/>
      <w:marLeft w:val="0"/>
      <w:marRight w:val="0"/>
      <w:marTop w:val="0"/>
      <w:marBottom w:val="0"/>
      <w:divBdr>
        <w:top w:val="none" w:sz="0" w:space="0" w:color="auto"/>
        <w:left w:val="none" w:sz="0" w:space="0" w:color="auto"/>
        <w:bottom w:val="none" w:sz="0" w:space="0" w:color="auto"/>
        <w:right w:val="none" w:sz="0" w:space="0" w:color="auto"/>
      </w:divBdr>
      <w:divsChild>
        <w:div w:id="842621698">
          <w:marLeft w:val="0"/>
          <w:marRight w:val="0"/>
          <w:marTop w:val="0"/>
          <w:marBottom w:val="0"/>
          <w:divBdr>
            <w:top w:val="none" w:sz="0" w:space="0" w:color="auto"/>
            <w:left w:val="none" w:sz="0" w:space="0" w:color="auto"/>
            <w:bottom w:val="none" w:sz="0" w:space="0" w:color="auto"/>
            <w:right w:val="none" w:sz="0" w:space="0" w:color="auto"/>
          </w:divBdr>
          <w:divsChild>
            <w:div w:id="2094161529">
              <w:marLeft w:val="0"/>
              <w:marRight w:val="0"/>
              <w:marTop w:val="0"/>
              <w:marBottom w:val="0"/>
              <w:divBdr>
                <w:top w:val="none" w:sz="0" w:space="0" w:color="auto"/>
                <w:left w:val="none" w:sz="0" w:space="0" w:color="auto"/>
                <w:bottom w:val="none" w:sz="0" w:space="0" w:color="auto"/>
                <w:right w:val="none" w:sz="0" w:space="0" w:color="auto"/>
              </w:divBdr>
            </w:div>
            <w:div w:id="212383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pps.dtic.mil/sti/pdfs/ADA394461.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3168/jds.S0022-0302(73)85384-6"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asco.com/resources/blog/417#:~:text=Titration%20is%20necessary%20to%20check"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msiac.nato.int/sites/default/files/media/SurveyonInServiceSurveillanceandStabilityTests/aop-64_eda_v1_e_in-service_surveillance_of_munitions_condition_monitoring_of_energetic_material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himadzu.com/an/service-support/technical-support/analysis-basics/basic/what_is_hplc.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308380\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9EA1EC-B023-4266-9865-E1EDA122A8C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Report design (blank).dotx</Template>
  <TotalTime>5</TotalTime>
  <Pages>6</Pages>
  <Words>1399</Words>
  <Characters>7980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ACDB 4011: Flame Test</vt:lpstr>
    </vt:vector>
  </TitlesOfParts>
  <Company/>
  <LinksUpToDate>false</LinksUpToDate>
  <CharactersWithSpaces>9361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ACDB 4011: Flame Test</dc:title>
  <dc:creator>Adam R. Foley</dc:creator>
  <cp:keywords>Lab Report</cp:keywords>
  <cp:lastModifiedBy>Adam Foley (2308380)</cp:lastModifiedBy>
  <cp:revision>6</cp:revision>
  <dcterms:created xsi:type="dcterms:W3CDTF">2024-03-21T00:48:00Z</dcterms:created>
  <dcterms:modified xsi:type="dcterms:W3CDTF">2024-03-21T00:53:00Z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