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32740685"/>
        <w:docPartObj>
          <w:docPartGallery w:val="Cover Pages"/>
          <w:docPartUnique/>
        </w:docPartObj>
      </w:sdtPr>
      <w:sdtContent>
        <w:p w14:paraId="3F405B2A" w14:textId="490B08D7" w:rsidR="0097059D" w:rsidRDefault="0097059D">
          <w:r>
            <w:rPr>
              <w:noProof/>
            </w:rPr>
            <mc:AlternateContent>
              <mc:Choice Requires="wpg">
                <w:drawing>
                  <wp:anchor distT="0" distB="0" distL="114300" distR="114300" simplePos="0" relativeHeight="251660288" behindDoc="0" locked="0" layoutInCell="1" allowOverlap="1" wp14:anchorId="59EEB81D" wp14:editId="3744EFCA">
                    <wp:simplePos x="0" y="0"/>
                    <wp:positionH relativeFrom="page">
                      <wp:align>right</wp:align>
                    </wp:positionH>
                    <wp:positionV relativeFrom="page">
                      <wp:align>top</wp:align>
                    </wp:positionV>
                    <wp:extent cx="3113670" cy="10058400"/>
                    <wp:effectExtent l="0" t="0" r="5080" b="0"/>
                    <wp:wrapNone/>
                    <wp:docPr id="453" name="Group 252"/>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solidFill>
                                <a:schemeClr val="accent5">
                                  <a:lumMod val="40000"/>
                                  <a:lumOff val="60000"/>
                                </a:schemeClr>
                              </a:solid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5">
                                  <a:lumMod val="20000"/>
                                  <a:lumOff val="8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687E7D81" w14:textId="69A43BEB" w:rsidR="0097059D" w:rsidRDefault="0097059D">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70AF7EBF" w14:textId="23F5AD64" w:rsidR="0097059D" w:rsidRDefault="0097059D">
                                      <w:pPr>
                                        <w:pStyle w:val="NoSpacing"/>
                                        <w:spacing w:line="360" w:lineRule="auto"/>
                                        <w:rPr>
                                          <w:color w:val="FFFFFF" w:themeColor="background1"/>
                                        </w:rPr>
                                      </w:pPr>
                                      <w:r>
                                        <w:rPr>
                                          <w:color w:val="FFFFFF" w:themeColor="background1"/>
                                        </w:rPr>
                                        <w:t>Stefan Tanase (2215982)</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179E4BF7" w14:textId="5C82B4AC" w:rsidR="0097059D" w:rsidRDefault="0097059D">
                                      <w:pPr>
                                        <w:pStyle w:val="NoSpacing"/>
                                        <w:spacing w:line="360" w:lineRule="auto"/>
                                        <w:rPr>
                                          <w:color w:val="FFFFFF" w:themeColor="background1"/>
                                        </w:rPr>
                                      </w:pPr>
                                      <w:r w:rsidRPr="0097059D">
                                        <w:rPr>
                                          <w:color w:val="FFFFFF" w:themeColor="background1"/>
                                        </w:rPr>
                                        <w:t>University of Wales Trinity Saint Davi</w:t>
                                      </w:r>
                                      <w:r>
                                        <w:rPr>
                                          <w:color w:val="FFFFFF" w:themeColor="background1"/>
                                        </w:rPr>
                                        <w:t>d</w:t>
                                      </w:r>
                                    </w:p>
                                  </w:sdtContent>
                                </w:sdt>
                                <w:p w14:paraId="2ED50FD5" w14:textId="0B06C931" w:rsidR="0097059D" w:rsidRDefault="0097059D">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59EEB81D" id="Group 252" o:spid="_x0000_s1026" style="position:absolute;margin-left:193.95pt;margin-top:0;width:245.15pt;height:11in;z-index:251660288;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" fillcolor="#e59edc [1304]" stroked="f" strokecolor="white" strokeweight="1pt">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" fillcolor="#f2ceed [664]"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687E7D81" w14:textId="69A43BEB" w:rsidR="0097059D" w:rsidRDefault="0097059D">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70AF7EBF" w14:textId="23F5AD64" w:rsidR="0097059D" w:rsidRDefault="0097059D">
                                <w:pPr>
                                  <w:pStyle w:val="NoSpacing"/>
                                  <w:spacing w:line="360" w:lineRule="auto"/>
                                  <w:rPr>
                                    <w:color w:val="FFFFFF" w:themeColor="background1"/>
                                  </w:rPr>
                                </w:pPr>
                                <w:r>
                                  <w:rPr>
                                    <w:color w:val="FFFFFF" w:themeColor="background1"/>
                                  </w:rPr>
                                  <w:t>Stefan Tanase (2215982)</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179E4BF7" w14:textId="5C82B4AC" w:rsidR="0097059D" w:rsidRDefault="0097059D">
                                <w:pPr>
                                  <w:pStyle w:val="NoSpacing"/>
                                  <w:spacing w:line="360" w:lineRule="auto"/>
                                  <w:rPr>
                                    <w:color w:val="FFFFFF" w:themeColor="background1"/>
                                  </w:rPr>
                                </w:pPr>
                                <w:r w:rsidRPr="0097059D">
                                  <w:rPr>
                                    <w:color w:val="FFFFFF" w:themeColor="background1"/>
                                  </w:rPr>
                                  <w:t>University of Wales Trinity Saint Davi</w:t>
                                </w:r>
                                <w:r>
                                  <w:rPr>
                                    <w:color w:val="FFFFFF" w:themeColor="background1"/>
                                  </w:rPr>
                                  <w:t>d</w:t>
                                </w:r>
                              </w:p>
                            </w:sdtContent>
                          </w:sdt>
                          <w:p w14:paraId="2ED50FD5" w14:textId="0B06C931" w:rsidR="0097059D" w:rsidRDefault="0097059D">
                            <w:pPr>
                              <w:pStyle w:val="NoSpacing"/>
                              <w:spacing w:line="360" w:lineRule="auto"/>
                              <w:rPr>
                                <w:color w:val="FFFFFF" w:themeColor="background1"/>
                              </w:rPr>
                            </w:pPr>
                          </w:p>
                        </w:txbxContent>
                      </v:textbox>
                    </v:rect>
                    <w10:wrap anchorx="page" anchory="page"/>
                  </v:group>
                </w:pict>
              </mc:Fallback>
            </mc:AlternateContent>
          </w:r>
          <w:r>
            <w:rPr>
              <w:noProof/>
            </w:rPr>
            <mc:AlternateContent>
              <mc:Choice Requires="wps">
                <w:drawing>
                  <wp:anchor distT="0" distB="0" distL="114300" distR="114300" simplePos="0" relativeHeight="251662336" behindDoc="0" locked="0" layoutInCell="0" allowOverlap="1" wp14:anchorId="248AA2D2" wp14:editId="75950683">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D86DCB" w:themeColor="accent5" w:themeTint="99"/>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16B7418" w14:textId="7B58A4C8" w:rsidR="0097059D" w:rsidRDefault="0097059D">
                                    <w:pPr>
                                      <w:pStyle w:val="NoSpacing"/>
                                      <w:jc w:val="right"/>
                                      <w:rPr>
                                        <w:color w:val="FFFFFF" w:themeColor="background1"/>
                                        <w:sz w:val="72"/>
                                        <w:szCs w:val="72"/>
                                      </w:rPr>
                                    </w:pPr>
                                    <w:r w:rsidRPr="0097059D">
                                      <w:rPr>
                                        <w:color w:val="D86DCB" w:themeColor="accent5" w:themeTint="99"/>
                                        <w:sz w:val="72"/>
                                        <w:szCs w:val="72"/>
                                      </w:rPr>
                                      <w:t>Portfolio</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248AA2D2" id="Rectangle 16" o:spid="_x0000_s1031" style="position:absolute;margin-left:0;margin-top:0;width:548.85pt;height:50.4pt;z-index:251662336;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D86DCB" w:themeColor="accent5" w:themeTint="99"/>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16B7418" w14:textId="7B58A4C8" w:rsidR="0097059D" w:rsidRDefault="0097059D">
                              <w:pPr>
                                <w:pStyle w:val="NoSpacing"/>
                                <w:jc w:val="right"/>
                                <w:rPr>
                                  <w:color w:val="FFFFFF" w:themeColor="background1"/>
                                  <w:sz w:val="72"/>
                                  <w:szCs w:val="72"/>
                                </w:rPr>
                              </w:pPr>
                              <w:r w:rsidRPr="0097059D">
                                <w:rPr>
                                  <w:color w:val="D86DCB" w:themeColor="accent5" w:themeTint="99"/>
                                  <w:sz w:val="72"/>
                                  <w:szCs w:val="72"/>
                                </w:rPr>
                                <w:t>Portfolio</w:t>
                              </w:r>
                            </w:p>
                          </w:sdtContent>
                        </w:sdt>
                      </w:txbxContent>
                    </v:textbox>
                    <w10:wrap anchorx="page" anchory="page"/>
                  </v:rect>
                </w:pict>
              </mc:Fallback>
            </mc:AlternateContent>
          </w:r>
        </w:p>
        <w:p w14:paraId="4699B861" w14:textId="475EFAC5" w:rsidR="0097059D" w:rsidRDefault="0097059D">
          <w:r>
            <w:rPr>
              <w:noProof/>
            </w:rPr>
            <w:drawing>
              <wp:anchor distT="0" distB="0" distL="114300" distR="114300" simplePos="0" relativeHeight="251663360" behindDoc="0" locked="0" layoutInCell="1" allowOverlap="1" wp14:anchorId="35052949" wp14:editId="21C7292A">
                <wp:simplePos x="0" y="0"/>
                <wp:positionH relativeFrom="page">
                  <wp:align>right</wp:align>
                </wp:positionH>
                <wp:positionV relativeFrom="margin">
                  <wp:posOffset>2451100</wp:posOffset>
                </wp:positionV>
                <wp:extent cx="5731510" cy="4134485"/>
                <wp:effectExtent l="0" t="0" r="2540" b="0"/>
                <wp:wrapSquare wrapText="bothSides"/>
                <wp:docPr id="140879823" name="Picture 2" descr="A group of children lying in the gr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79823" name="Picture 2" descr="A group of children lying in the gras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4134485"/>
                        </a:xfrm>
                        <a:prstGeom prst="rect">
                          <a:avLst/>
                        </a:prstGeom>
                      </pic:spPr>
                    </pic:pic>
                  </a:graphicData>
                </a:graphic>
              </wp:anchor>
            </w:drawing>
          </w:r>
          <w:r>
            <w:br w:type="page"/>
          </w:r>
        </w:p>
      </w:sdtContent>
    </w:sdt>
    <w:sdt>
      <w:sdtPr>
        <w:rPr>
          <w:rFonts w:asciiTheme="minorHAnsi" w:eastAsiaTheme="minorHAnsi" w:hAnsiTheme="minorHAnsi" w:cstheme="minorBidi"/>
          <w:color w:val="auto"/>
          <w:kern w:val="2"/>
          <w:sz w:val="22"/>
          <w:szCs w:val="22"/>
          <w:lang w:val="en-GB"/>
          <w14:ligatures w14:val="standardContextual"/>
        </w:rPr>
        <w:id w:val="-287352324"/>
        <w:docPartObj>
          <w:docPartGallery w:val="Table of Contents"/>
          <w:docPartUnique/>
        </w:docPartObj>
      </w:sdtPr>
      <w:sdtEndPr>
        <w:rPr>
          <w:b/>
          <w:bCs/>
          <w:noProof/>
        </w:rPr>
      </w:sdtEndPr>
      <w:sdtContent>
        <w:p w14:paraId="3CD9292F" w14:textId="7CAF983D" w:rsidR="004F00B9" w:rsidRPr="005F67CB" w:rsidRDefault="004F00B9">
          <w:pPr>
            <w:pStyle w:val="TOCHeading"/>
            <w:rPr>
              <w:rFonts w:ascii="Arial" w:hAnsi="Arial" w:cs="Arial"/>
              <w:sz w:val="24"/>
              <w:szCs w:val="24"/>
            </w:rPr>
          </w:pPr>
          <w:r w:rsidRPr="005F67CB">
            <w:rPr>
              <w:rFonts w:ascii="Arial" w:hAnsi="Arial" w:cs="Arial"/>
              <w:sz w:val="24"/>
              <w:szCs w:val="24"/>
            </w:rPr>
            <w:t>Contents</w:t>
          </w:r>
        </w:p>
        <w:p w14:paraId="4EFDB65E" w14:textId="78CE0F30" w:rsidR="00BE7414" w:rsidRDefault="004F00B9">
          <w:pPr>
            <w:pStyle w:val="TOC1"/>
            <w:tabs>
              <w:tab w:val="right" w:leader="dot" w:pos="9016"/>
            </w:tabs>
            <w:rPr>
              <w:rFonts w:eastAsiaTheme="minorEastAsia"/>
              <w:noProof/>
              <w:sz w:val="24"/>
              <w:szCs w:val="24"/>
              <w:lang w:eastAsia="en-GB"/>
            </w:rPr>
          </w:pPr>
          <w:r w:rsidRPr="005F67CB">
            <w:rPr>
              <w:rFonts w:ascii="Arial" w:hAnsi="Arial" w:cs="Arial"/>
              <w:sz w:val="24"/>
              <w:szCs w:val="24"/>
            </w:rPr>
            <w:fldChar w:fldCharType="begin"/>
          </w:r>
          <w:r w:rsidRPr="005F67CB">
            <w:rPr>
              <w:rFonts w:ascii="Arial" w:hAnsi="Arial" w:cs="Arial"/>
              <w:sz w:val="24"/>
              <w:szCs w:val="24"/>
            </w:rPr>
            <w:instrText xml:space="preserve"> TOC \o "1-3" \h \z \u </w:instrText>
          </w:r>
          <w:r w:rsidRPr="005F67CB">
            <w:rPr>
              <w:rFonts w:ascii="Arial" w:hAnsi="Arial" w:cs="Arial"/>
              <w:sz w:val="24"/>
              <w:szCs w:val="24"/>
            </w:rPr>
            <w:fldChar w:fldCharType="separate"/>
          </w:r>
          <w:hyperlink w:anchor="_Toc197340835" w:history="1">
            <w:r w:rsidR="00BE7414" w:rsidRPr="009601B2">
              <w:rPr>
                <w:rStyle w:val="Hyperlink"/>
                <w:noProof/>
              </w:rPr>
              <w:t>Video Critique</w:t>
            </w:r>
            <w:r w:rsidR="00BE7414">
              <w:rPr>
                <w:noProof/>
                <w:webHidden/>
              </w:rPr>
              <w:tab/>
            </w:r>
            <w:r w:rsidR="00BE7414">
              <w:rPr>
                <w:noProof/>
                <w:webHidden/>
              </w:rPr>
              <w:fldChar w:fldCharType="begin"/>
            </w:r>
            <w:r w:rsidR="00BE7414">
              <w:rPr>
                <w:noProof/>
                <w:webHidden/>
              </w:rPr>
              <w:instrText xml:space="preserve"> PAGEREF _Toc197340835 \h </w:instrText>
            </w:r>
            <w:r w:rsidR="00BE7414">
              <w:rPr>
                <w:noProof/>
                <w:webHidden/>
              </w:rPr>
            </w:r>
            <w:r w:rsidR="00BE7414">
              <w:rPr>
                <w:noProof/>
                <w:webHidden/>
              </w:rPr>
              <w:fldChar w:fldCharType="separate"/>
            </w:r>
            <w:r w:rsidR="003D0776">
              <w:rPr>
                <w:noProof/>
                <w:webHidden/>
              </w:rPr>
              <w:t>2</w:t>
            </w:r>
            <w:r w:rsidR="00BE7414">
              <w:rPr>
                <w:noProof/>
                <w:webHidden/>
              </w:rPr>
              <w:fldChar w:fldCharType="end"/>
            </w:r>
          </w:hyperlink>
        </w:p>
        <w:p w14:paraId="764A1960" w14:textId="197EDD48" w:rsidR="00BE7414" w:rsidRDefault="00BE7414">
          <w:pPr>
            <w:pStyle w:val="TOC1"/>
            <w:tabs>
              <w:tab w:val="right" w:leader="dot" w:pos="9016"/>
            </w:tabs>
            <w:rPr>
              <w:rFonts w:eastAsiaTheme="minorEastAsia"/>
              <w:noProof/>
              <w:sz w:val="24"/>
              <w:szCs w:val="24"/>
              <w:lang w:eastAsia="en-GB"/>
            </w:rPr>
          </w:pPr>
          <w:hyperlink w:anchor="_Toc197340836" w:history="1">
            <w:r w:rsidRPr="009601B2">
              <w:rPr>
                <w:rStyle w:val="Hyperlink"/>
                <w:noProof/>
              </w:rPr>
              <w:t>Health and Wellbeing for Children Poster</w:t>
            </w:r>
            <w:r>
              <w:rPr>
                <w:noProof/>
                <w:webHidden/>
              </w:rPr>
              <w:tab/>
            </w:r>
            <w:r>
              <w:rPr>
                <w:noProof/>
                <w:webHidden/>
              </w:rPr>
              <w:fldChar w:fldCharType="begin"/>
            </w:r>
            <w:r>
              <w:rPr>
                <w:noProof/>
                <w:webHidden/>
              </w:rPr>
              <w:instrText xml:space="preserve"> PAGEREF _Toc197340836 \h </w:instrText>
            </w:r>
            <w:r>
              <w:rPr>
                <w:noProof/>
                <w:webHidden/>
              </w:rPr>
            </w:r>
            <w:r>
              <w:rPr>
                <w:noProof/>
                <w:webHidden/>
              </w:rPr>
              <w:fldChar w:fldCharType="separate"/>
            </w:r>
            <w:r w:rsidR="003D0776">
              <w:rPr>
                <w:noProof/>
                <w:webHidden/>
              </w:rPr>
              <w:t>5</w:t>
            </w:r>
            <w:r>
              <w:rPr>
                <w:noProof/>
                <w:webHidden/>
              </w:rPr>
              <w:fldChar w:fldCharType="end"/>
            </w:r>
          </w:hyperlink>
        </w:p>
        <w:p w14:paraId="13BC60ED" w14:textId="0030E454" w:rsidR="00BE7414" w:rsidRDefault="00BE7414">
          <w:pPr>
            <w:pStyle w:val="TOC1"/>
            <w:tabs>
              <w:tab w:val="right" w:leader="dot" w:pos="9016"/>
            </w:tabs>
            <w:rPr>
              <w:rFonts w:eastAsiaTheme="minorEastAsia"/>
              <w:noProof/>
              <w:sz w:val="24"/>
              <w:szCs w:val="24"/>
              <w:lang w:eastAsia="en-GB"/>
            </w:rPr>
          </w:pPr>
          <w:hyperlink w:anchor="_Toc197340837" w:history="1">
            <w:r>
              <w:rPr>
                <w:noProof/>
                <w:webHidden/>
              </w:rPr>
              <w:tab/>
            </w:r>
            <w:r>
              <w:rPr>
                <w:noProof/>
                <w:webHidden/>
              </w:rPr>
              <w:fldChar w:fldCharType="begin"/>
            </w:r>
            <w:r>
              <w:rPr>
                <w:noProof/>
                <w:webHidden/>
              </w:rPr>
              <w:instrText xml:space="preserve"> PAGEREF _Toc197340837 \h </w:instrText>
            </w:r>
            <w:r>
              <w:rPr>
                <w:noProof/>
                <w:webHidden/>
              </w:rPr>
            </w:r>
            <w:r>
              <w:rPr>
                <w:noProof/>
                <w:webHidden/>
              </w:rPr>
              <w:fldChar w:fldCharType="separate"/>
            </w:r>
            <w:r w:rsidR="003D0776">
              <w:rPr>
                <w:noProof/>
                <w:webHidden/>
              </w:rPr>
              <w:t>5</w:t>
            </w:r>
            <w:r>
              <w:rPr>
                <w:noProof/>
                <w:webHidden/>
              </w:rPr>
              <w:fldChar w:fldCharType="end"/>
            </w:r>
          </w:hyperlink>
        </w:p>
        <w:p w14:paraId="3CDF310D" w14:textId="0FDE0037" w:rsidR="00BE7414" w:rsidRDefault="00BE7414">
          <w:pPr>
            <w:pStyle w:val="TOC1"/>
            <w:tabs>
              <w:tab w:val="right" w:leader="dot" w:pos="9016"/>
            </w:tabs>
            <w:rPr>
              <w:rFonts w:eastAsiaTheme="minorEastAsia"/>
              <w:noProof/>
              <w:sz w:val="24"/>
              <w:szCs w:val="24"/>
              <w:lang w:eastAsia="en-GB"/>
            </w:rPr>
          </w:pPr>
          <w:hyperlink w:anchor="_Toc197340838" w:history="1">
            <w:r w:rsidRPr="009601B2">
              <w:rPr>
                <w:rStyle w:val="Hyperlink"/>
                <w:noProof/>
              </w:rPr>
              <w:t>Children’s Rights Blog’s</w:t>
            </w:r>
            <w:r>
              <w:rPr>
                <w:noProof/>
                <w:webHidden/>
              </w:rPr>
              <w:tab/>
            </w:r>
            <w:r>
              <w:rPr>
                <w:noProof/>
                <w:webHidden/>
              </w:rPr>
              <w:fldChar w:fldCharType="begin"/>
            </w:r>
            <w:r>
              <w:rPr>
                <w:noProof/>
                <w:webHidden/>
              </w:rPr>
              <w:instrText xml:space="preserve"> PAGEREF _Toc197340838 \h </w:instrText>
            </w:r>
            <w:r>
              <w:rPr>
                <w:noProof/>
                <w:webHidden/>
              </w:rPr>
            </w:r>
            <w:r>
              <w:rPr>
                <w:noProof/>
                <w:webHidden/>
              </w:rPr>
              <w:fldChar w:fldCharType="separate"/>
            </w:r>
            <w:r w:rsidR="003D0776">
              <w:rPr>
                <w:noProof/>
                <w:webHidden/>
              </w:rPr>
              <w:t>6</w:t>
            </w:r>
            <w:r>
              <w:rPr>
                <w:noProof/>
                <w:webHidden/>
              </w:rPr>
              <w:fldChar w:fldCharType="end"/>
            </w:r>
          </w:hyperlink>
        </w:p>
        <w:p w14:paraId="5969881A" w14:textId="6B63096E" w:rsidR="00BE7414" w:rsidRDefault="00BE7414">
          <w:pPr>
            <w:pStyle w:val="TOC2"/>
            <w:tabs>
              <w:tab w:val="right" w:leader="dot" w:pos="9016"/>
            </w:tabs>
            <w:rPr>
              <w:rFonts w:eastAsiaTheme="minorEastAsia"/>
              <w:noProof/>
              <w:sz w:val="24"/>
              <w:szCs w:val="24"/>
              <w:lang w:eastAsia="en-GB"/>
            </w:rPr>
          </w:pPr>
          <w:hyperlink w:anchor="_Toc197340839" w:history="1">
            <w:r w:rsidRPr="009601B2">
              <w:rPr>
                <w:rStyle w:val="Hyperlink"/>
                <w:noProof/>
              </w:rPr>
              <w:t>1. The Right to Education (Article 28, UNCRC)</w:t>
            </w:r>
            <w:r>
              <w:rPr>
                <w:noProof/>
                <w:webHidden/>
              </w:rPr>
              <w:tab/>
            </w:r>
            <w:r>
              <w:rPr>
                <w:noProof/>
                <w:webHidden/>
              </w:rPr>
              <w:fldChar w:fldCharType="begin"/>
            </w:r>
            <w:r>
              <w:rPr>
                <w:noProof/>
                <w:webHidden/>
              </w:rPr>
              <w:instrText xml:space="preserve"> PAGEREF _Toc197340839 \h </w:instrText>
            </w:r>
            <w:r>
              <w:rPr>
                <w:noProof/>
                <w:webHidden/>
              </w:rPr>
            </w:r>
            <w:r>
              <w:rPr>
                <w:noProof/>
                <w:webHidden/>
              </w:rPr>
              <w:fldChar w:fldCharType="separate"/>
            </w:r>
            <w:r w:rsidR="003D0776">
              <w:rPr>
                <w:noProof/>
                <w:webHidden/>
              </w:rPr>
              <w:t>6</w:t>
            </w:r>
            <w:r>
              <w:rPr>
                <w:noProof/>
                <w:webHidden/>
              </w:rPr>
              <w:fldChar w:fldCharType="end"/>
            </w:r>
          </w:hyperlink>
        </w:p>
        <w:p w14:paraId="4097391E" w14:textId="76766998" w:rsidR="00BE7414" w:rsidRDefault="00BE7414">
          <w:pPr>
            <w:pStyle w:val="TOC2"/>
            <w:tabs>
              <w:tab w:val="right" w:leader="dot" w:pos="9016"/>
            </w:tabs>
            <w:rPr>
              <w:rFonts w:eastAsiaTheme="minorEastAsia"/>
              <w:noProof/>
              <w:sz w:val="24"/>
              <w:szCs w:val="24"/>
              <w:lang w:eastAsia="en-GB"/>
            </w:rPr>
          </w:pPr>
          <w:hyperlink w:anchor="_Toc197340840" w:history="1">
            <w:r w:rsidRPr="009601B2">
              <w:rPr>
                <w:rStyle w:val="Hyperlink"/>
                <w:noProof/>
              </w:rPr>
              <w:t>2. The Right to Protection from Harm (Article 19, UNCRC)</w:t>
            </w:r>
            <w:r>
              <w:rPr>
                <w:noProof/>
                <w:webHidden/>
              </w:rPr>
              <w:tab/>
            </w:r>
            <w:r>
              <w:rPr>
                <w:noProof/>
                <w:webHidden/>
              </w:rPr>
              <w:fldChar w:fldCharType="begin"/>
            </w:r>
            <w:r>
              <w:rPr>
                <w:noProof/>
                <w:webHidden/>
              </w:rPr>
              <w:instrText xml:space="preserve"> PAGEREF _Toc197340840 \h </w:instrText>
            </w:r>
            <w:r>
              <w:rPr>
                <w:noProof/>
                <w:webHidden/>
              </w:rPr>
            </w:r>
            <w:r>
              <w:rPr>
                <w:noProof/>
                <w:webHidden/>
              </w:rPr>
              <w:fldChar w:fldCharType="separate"/>
            </w:r>
            <w:r w:rsidR="003D0776">
              <w:rPr>
                <w:noProof/>
                <w:webHidden/>
              </w:rPr>
              <w:t>7</w:t>
            </w:r>
            <w:r>
              <w:rPr>
                <w:noProof/>
                <w:webHidden/>
              </w:rPr>
              <w:fldChar w:fldCharType="end"/>
            </w:r>
          </w:hyperlink>
        </w:p>
        <w:p w14:paraId="04770E6A" w14:textId="0A6BF0D9" w:rsidR="00BE7414" w:rsidRDefault="00BE7414">
          <w:pPr>
            <w:pStyle w:val="TOC2"/>
            <w:tabs>
              <w:tab w:val="right" w:leader="dot" w:pos="9016"/>
            </w:tabs>
            <w:rPr>
              <w:rFonts w:eastAsiaTheme="minorEastAsia"/>
              <w:noProof/>
              <w:sz w:val="24"/>
              <w:szCs w:val="24"/>
              <w:lang w:eastAsia="en-GB"/>
            </w:rPr>
          </w:pPr>
          <w:hyperlink w:anchor="_Toc197340841" w:history="1">
            <w:r w:rsidRPr="009601B2">
              <w:rPr>
                <w:rStyle w:val="Hyperlink"/>
                <w:noProof/>
              </w:rPr>
              <w:t>3. The Right to Be Heard (Article 12, UNCRC)</w:t>
            </w:r>
            <w:r>
              <w:rPr>
                <w:noProof/>
                <w:webHidden/>
              </w:rPr>
              <w:tab/>
            </w:r>
            <w:r>
              <w:rPr>
                <w:noProof/>
                <w:webHidden/>
              </w:rPr>
              <w:fldChar w:fldCharType="begin"/>
            </w:r>
            <w:r>
              <w:rPr>
                <w:noProof/>
                <w:webHidden/>
              </w:rPr>
              <w:instrText xml:space="preserve"> PAGEREF _Toc197340841 \h </w:instrText>
            </w:r>
            <w:r>
              <w:rPr>
                <w:noProof/>
                <w:webHidden/>
              </w:rPr>
            </w:r>
            <w:r>
              <w:rPr>
                <w:noProof/>
                <w:webHidden/>
              </w:rPr>
              <w:fldChar w:fldCharType="separate"/>
            </w:r>
            <w:r w:rsidR="003D0776">
              <w:rPr>
                <w:noProof/>
                <w:webHidden/>
              </w:rPr>
              <w:t>7</w:t>
            </w:r>
            <w:r>
              <w:rPr>
                <w:noProof/>
                <w:webHidden/>
              </w:rPr>
              <w:fldChar w:fldCharType="end"/>
            </w:r>
          </w:hyperlink>
        </w:p>
        <w:p w14:paraId="6670BC2B" w14:textId="1E8C1E78" w:rsidR="00BE7414" w:rsidRDefault="00BE7414">
          <w:pPr>
            <w:pStyle w:val="TOC2"/>
            <w:tabs>
              <w:tab w:val="right" w:leader="dot" w:pos="9016"/>
            </w:tabs>
            <w:rPr>
              <w:rFonts w:eastAsiaTheme="minorEastAsia"/>
              <w:noProof/>
              <w:sz w:val="24"/>
              <w:szCs w:val="24"/>
              <w:lang w:eastAsia="en-GB"/>
            </w:rPr>
          </w:pPr>
          <w:hyperlink w:anchor="_Toc197340842" w:history="1">
            <w:r w:rsidRPr="009601B2">
              <w:rPr>
                <w:rStyle w:val="Hyperlink"/>
                <w:noProof/>
              </w:rPr>
              <w:t>4. The Right to the Highest Attainable Standard of Health (Article 24, UNCRC)</w:t>
            </w:r>
            <w:r>
              <w:rPr>
                <w:noProof/>
                <w:webHidden/>
              </w:rPr>
              <w:tab/>
            </w:r>
            <w:r>
              <w:rPr>
                <w:noProof/>
                <w:webHidden/>
              </w:rPr>
              <w:fldChar w:fldCharType="begin"/>
            </w:r>
            <w:r>
              <w:rPr>
                <w:noProof/>
                <w:webHidden/>
              </w:rPr>
              <w:instrText xml:space="preserve"> PAGEREF _Toc197340842 \h </w:instrText>
            </w:r>
            <w:r>
              <w:rPr>
                <w:noProof/>
                <w:webHidden/>
              </w:rPr>
            </w:r>
            <w:r>
              <w:rPr>
                <w:noProof/>
                <w:webHidden/>
              </w:rPr>
              <w:fldChar w:fldCharType="separate"/>
            </w:r>
            <w:r w:rsidR="003D0776">
              <w:rPr>
                <w:noProof/>
                <w:webHidden/>
              </w:rPr>
              <w:t>8</w:t>
            </w:r>
            <w:r>
              <w:rPr>
                <w:noProof/>
                <w:webHidden/>
              </w:rPr>
              <w:fldChar w:fldCharType="end"/>
            </w:r>
          </w:hyperlink>
        </w:p>
        <w:p w14:paraId="0DEF984A" w14:textId="575AD70A" w:rsidR="00BE7414" w:rsidRDefault="00BE7414">
          <w:pPr>
            <w:pStyle w:val="TOC1"/>
            <w:tabs>
              <w:tab w:val="right" w:leader="dot" w:pos="9016"/>
            </w:tabs>
            <w:rPr>
              <w:rFonts w:eastAsiaTheme="minorEastAsia"/>
              <w:noProof/>
              <w:sz w:val="24"/>
              <w:szCs w:val="24"/>
              <w:lang w:eastAsia="en-GB"/>
            </w:rPr>
          </w:pPr>
          <w:hyperlink w:anchor="_Toc197340843" w:history="1">
            <w:r w:rsidRPr="009601B2">
              <w:rPr>
                <w:rStyle w:val="Hyperlink"/>
                <w:noProof/>
              </w:rPr>
              <w:t>Safeguarding Children, Young People and Families: A Legislative Timeline and Evaluation</w:t>
            </w:r>
            <w:r>
              <w:rPr>
                <w:noProof/>
                <w:webHidden/>
              </w:rPr>
              <w:tab/>
            </w:r>
            <w:r>
              <w:rPr>
                <w:noProof/>
                <w:webHidden/>
              </w:rPr>
              <w:fldChar w:fldCharType="begin"/>
            </w:r>
            <w:r>
              <w:rPr>
                <w:noProof/>
                <w:webHidden/>
              </w:rPr>
              <w:instrText xml:space="preserve"> PAGEREF _Toc197340843 \h </w:instrText>
            </w:r>
            <w:r>
              <w:rPr>
                <w:noProof/>
                <w:webHidden/>
              </w:rPr>
            </w:r>
            <w:r>
              <w:rPr>
                <w:noProof/>
                <w:webHidden/>
              </w:rPr>
              <w:fldChar w:fldCharType="separate"/>
            </w:r>
            <w:r w:rsidR="003D0776">
              <w:rPr>
                <w:noProof/>
                <w:webHidden/>
              </w:rPr>
              <w:t>10</w:t>
            </w:r>
            <w:r>
              <w:rPr>
                <w:noProof/>
                <w:webHidden/>
              </w:rPr>
              <w:fldChar w:fldCharType="end"/>
            </w:r>
          </w:hyperlink>
        </w:p>
        <w:p w14:paraId="3BB1FA1E" w14:textId="244518CE" w:rsidR="00BE7414" w:rsidRDefault="00BE7414">
          <w:pPr>
            <w:pStyle w:val="TOC2"/>
            <w:tabs>
              <w:tab w:val="right" w:leader="dot" w:pos="9016"/>
            </w:tabs>
            <w:rPr>
              <w:rFonts w:eastAsiaTheme="minorEastAsia"/>
              <w:noProof/>
              <w:sz w:val="24"/>
              <w:szCs w:val="24"/>
              <w:lang w:eastAsia="en-GB"/>
            </w:rPr>
          </w:pPr>
          <w:hyperlink w:anchor="_Toc197340844" w:history="1">
            <w:r w:rsidRPr="009601B2">
              <w:rPr>
                <w:rStyle w:val="Hyperlink"/>
                <w:noProof/>
              </w:rPr>
              <w:t>1. The Children and Young Persons Act 1969</w:t>
            </w:r>
            <w:r>
              <w:rPr>
                <w:noProof/>
                <w:webHidden/>
              </w:rPr>
              <w:tab/>
            </w:r>
            <w:r>
              <w:rPr>
                <w:noProof/>
                <w:webHidden/>
              </w:rPr>
              <w:fldChar w:fldCharType="begin"/>
            </w:r>
            <w:r>
              <w:rPr>
                <w:noProof/>
                <w:webHidden/>
              </w:rPr>
              <w:instrText xml:space="preserve"> PAGEREF _Toc197340844 \h </w:instrText>
            </w:r>
            <w:r>
              <w:rPr>
                <w:noProof/>
                <w:webHidden/>
              </w:rPr>
            </w:r>
            <w:r>
              <w:rPr>
                <w:noProof/>
                <w:webHidden/>
              </w:rPr>
              <w:fldChar w:fldCharType="separate"/>
            </w:r>
            <w:r w:rsidR="003D0776">
              <w:rPr>
                <w:noProof/>
                <w:webHidden/>
              </w:rPr>
              <w:t>10</w:t>
            </w:r>
            <w:r>
              <w:rPr>
                <w:noProof/>
                <w:webHidden/>
              </w:rPr>
              <w:fldChar w:fldCharType="end"/>
            </w:r>
          </w:hyperlink>
        </w:p>
        <w:p w14:paraId="35D52352" w14:textId="5A50C58A" w:rsidR="00BE7414" w:rsidRDefault="00BE7414">
          <w:pPr>
            <w:pStyle w:val="TOC2"/>
            <w:tabs>
              <w:tab w:val="right" w:leader="dot" w:pos="9016"/>
            </w:tabs>
            <w:rPr>
              <w:rFonts w:eastAsiaTheme="minorEastAsia"/>
              <w:noProof/>
              <w:sz w:val="24"/>
              <w:szCs w:val="24"/>
              <w:lang w:eastAsia="en-GB"/>
            </w:rPr>
          </w:pPr>
          <w:hyperlink w:anchor="_Toc197340845" w:history="1">
            <w:r w:rsidRPr="009601B2">
              <w:rPr>
                <w:rStyle w:val="Hyperlink"/>
                <w:noProof/>
              </w:rPr>
              <w:t>2. The Children Act 1989</w:t>
            </w:r>
            <w:r>
              <w:rPr>
                <w:noProof/>
                <w:webHidden/>
              </w:rPr>
              <w:tab/>
            </w:r>
            <w:r>
              <w:rPr>
                <w:noProof/>
                <w:webHidden/>
              </w:rPr>
              <w:fldChar w:fldCharType="begin"/>
            </w:r>
            <w:r>
              <w:rPr>
                <w:noProof/>
                <w:webHidden/>
              </w:rPr>
              <w:instrText xml:space="preserve"> PAGEREF _Toc197340845 \h </w:instrText>
            </w:r>
            <w:r>
              <w:rPr>
                <w:noProof/>
                <w:webHidden/>
              </w:rPr>
            </w:r>
            <w:r>
              <w:rPr>
                <w:noProof/>
                <w:webHidden/>
              </w:rPr>
              <w:fldChar w:fldCharType="separate"/>
            </w:r>
            <w:r w:rsidR="003D0776">
              <w:rPr>
                <w:noProof/>
                <w:webHidden/>
              </w:rPr>
              <w:t>10</w:t>
            </w:r>
            <w:r>
              <w:rPr>
                <w:noProof/>
                <w:webHidden/>
              </w:rPr>
              <w:fldChar w:fldCharType="end"/>
            </w:r>
          </w:hyperlink>
        </w:p>
        <w:p w14:paraId="4CB8D323" w14:textId="76E6D2E2" w:rsidR="00BE7414" w:rsidRDefault="00BE7414">
          <w:pPr>
            <w:pStyle w:val="TOC2"/>
            <w:tabs>
              <w:tab w:val="right" w:leader="dot" w:pos="9016"/>
            </w:tabs>
            <w:rPr>
              <w:rFonts w:eastAsiaTheme="minorEastAsia"/>
              <w:noProof/>
              <w:sz w:val="24"/>
              <w:szCs w:val="24"/>
              <w:lang w:eastAsia="en-GB"/>
            </w:rPr>
          </w:pPr>
          <w:hyperlink w:anchor="_Toc197340846" w:history="1">
            <w:r w:rsidRPr="009601B2">
              <w:rPr>
                <w:rStyle w:val="Hyperlink"/>
                <w:noProof/>
              </w:rPr>
              <w:t>3. The Education Act 2002</w:t>
            </w:r>
            <w:r>
              <w:rPr>
                <w:noProof/>
                <w:webHidden/>
              </w:rPr>
              <w:tab/>
            </w:r>
            <w:r>
              <w:rPr>
                <w:noProof/>
                <w:webHidden/>
              </w:rPr>
              <w:fldChar w:fldCharType="begin"/>
            </w:r>
            <w:r>
              <w:rPr>
                <w:noProof/>
                <w:webHidden/>
              </w:rPr>
              <w:instrText xml:space="preserve"> PAGEREF _Toc197340846 \h </w:instrText>
            </w:r>
            <w:r>
              <w:rPr>
                <w:noProof/>
                <w:webHidden/>
              </w:rPr>
            </w:r>
            <w:r>
              <w:rPr>
                <w:noProof/>
                <w:webHidden/>
              </w:rPr>
              <w:fldChar w:fldCharType="separate"/>
            </w:r>
            <w:r w:rsidR="003D0776">
              <w:rPr>
                <w:noProof/>
                <w:webHidden/>
              </w:rPr>
              <w:t>11</w:t>
            </w:r>
            <w:r>
              <w:rPr>
                <w:noProof/>
                <w:webHidden/>
              </w:rPr>
              <w:fldChar w:fldCharType="end"/>
            </w:r>
          </w:hyperlink>
        </w:p>
        <w:p w14:paraId="6988B117" w14:textId="622FCBE4" w:rsidR="00BE7414" w:rsidRDefault="00BE7414">
          <w:pPr>
            <w:pStyle w:val="TOC2"/>
            <w:tabs>
              <w:tab w:val="right" w:leader="dot" w:pos="9016"/>
            </w:tabs>
            <w:rPr>
              <w:rFonts w:eastAsiaTheme="minorEastAsia"/>
              <w:noProof/>
              <w:sz w:val="24"/>
              <w:szCs w:val="24"/>
              <w:lang w:eastAsia="en-GB"/>
            </w:rPr>
          </w:pPr>
          <w:hyperlink w:anchor="_Toc197340847" w:history="1">
            <w:r w:rsidRPr="009601B2">
              <w:rPr>
                <w:rStyle w:val="Hyperlink"/>
                <w:noProof/>
              </w:rPr>
              <w:t>4. The Children Act 2004 and the Every Child Matters Agenda</w:t>
            </w:r>
            <w:r>
              <w:rPr>
                <w:noProof/>
                <w:webHidden/>
              </w:rPr>
              <w:tab/>
            </w:r>
            <w:r>
              <w:rPr>
                <w:noProof/>
                <w:webHidden/>
              </w:rPr>
              <w:fldChar w:fldCharType="begin"/>
            </w:r>
            <w:r>
              <w:rPr>
                <w:noProof/>
                <w:webHidden/>
              </w:rPr>
              <w:instrText xml:space="preserve"> PAGEREF _Toc197340847 \h </w:instrText>
            </w:r>
            <w:r>
              <w:rPr>
                <w:noProof/>
                <w:webHidden/>
              </w:rPr>
            </w:r>
            <w:r>
              <w:rPr>
                <w:noProof/>
                <w:webHidden/>
              </w:rPr>
              <w:fldChar w:fldCharType="separate"/>
            </w:r>
            <w:r w:rsidR="003D0776">
              <w:rPr>
                <w:noProof/>
                <w:webHidden/>
              </w:rPr>
              <w:t>11</w:t>
            </w:r>
            <w:r>
              <w:rPr>
                <w:noProof/>
                <w:webHidden/>
              </w:rPr>
              <w:fldChar w:fldCharType="end"/>
            </w:r>
          </w:hyperlink>
        </w:p>
        <w:p w14:paraId="3BFEB538" w14:textId="4F17FC2D" w:rsidR="00BE7414" w:rsidRDefault="00BE7414">
          <w:pPr>
            <w:pStyle w:val="TOC2"/>
            <w:tabs>
              <w:tab w:val="right" w:leader="dot" w:pos="9016"/>
            </w:tabs>
            <w:rPr>
              <w:rFonts w:eastAsiaTheme="minorEastAsia"/>
              <w:noProof/>
              <w:sz w:val="24"/>
              <w:szCs w:val="24"/>
              <w:lang w:eastAsia="en-GB"/>
            </w:rPr>
          </w:pPr>
          <w:hyperlink w:anchor="_Toc197340848" w:history="1">
            <w:r w:rsidRPr="009601B2">
              <w:rPr>
                <w:rStyle w:val="Hyperlink"/>
                <w:noProof/>
              </w:rPr>
              <w:t>5. The Children and Families Act 2014</w:t>
            </w:r>
            <w:r>
              <w:rPr>
                <w:noProof/>
                <w:webHidden/>
              </w:rPr>
              <w:tab/>
            </w:r>
            <w:r>
              <w:rPr>
                <w:noProof/>
                <w:webHidden/>
              </w:rPr>
              <w:fldChar w:fldCharType="begin"/>
            </w:r>
            <w:r>
              <w:rPr>
                <w:noProof/>
                <w:webHidden/>
              </w:rPr>
              <w:instrText xml:space="preserve"> PAGEREF _Toc197340848 \h </w:instrText>
            </w:r>
            <w:r>
              <w:rPr>
                <w:noProof/>
                <w:webHidden/>
              </w:rPr>
            </w:r>
            <w:r>
              <w:rPr>
                <w:noProof/>
                <w:webHidden/>
              </w:rPr>
              <w:fldChar w:fldCharType="separate"/>
            </w:r>
            <w:r w:rsidR="003D0776">
              <w:rPr>
                <w:noProof/>
                <w:webHidden/>
              </w:rPr>
              <w:t>11</w:t>
            </w:r>
            <w:r>
              <w:rPr>
                <w:noProof/>
                <w:webHidden/>
              </w:rPr>
              <w:fldChar w:fldCharType="end"/>
            </w:r>
          </w:hyperlink>
        </w:p>
        <w:p w14:paraId="357AF478" w14:textId="2C38BBE5" w:rsidR="00BE7414" w:rsidRDefault="00BE7414">
          <w:pPr>
            <w:pStyle w:val="TOC2"/>
            <w:tabs>
              <w:tab w:val="right" w:leader="dot" w:pos="9016"/>
            </w:tabs>
            <w:rPr>
              <w:rFonts w:eastAsiaTheme="minorEastAsia"/>
              <w:noProof/>
              <w:sz w:val="24"/>
              <w:szCs w:val="24"/>
              <w:lang w:eastAsia="en-GB"/>
            </w:rPr>
          </w:pPr>
          <w:hyperlink w:anchor="_Toc197340849" w:history="1">
            <w:r w:rsidRPr="009601B2">
              <w:rPr>
                <w:rStyle w:val="Hyperlink"/>
                <w:noProof/>
              </w:rPr>
              <w:t>6. The Well-being of Future Generations (Wales) Act 2015</w:t>
            </w:r>
            <w:r>
              <w:rPr>
                <w:noProof/>
                <w:webHidden/>
              </w:rPr>
              <w:tab/>
            </w:r>
            <w:r>
              <w:rPr>
                <w:noProof/>
                <w:webHidden/>
              </w:rPr>
              <w:fldChar w:fldCharType="begin"/>
            </w:r>
            <w:r>
              <w:rPr>
                <w:noProof/>
                <w:webHidden/>
              </w:rPr>
              <w:instrText xml:space="preserve"> PAGEREF _Toc197340849 \h </w:instrText>
            </w:r>
            <w:r>
              <w:rPr>
                <w:noProof/>
                <w:webHidden/>
              </w:rPr>
            </w:r>
            <w:r>
              <w:rPr>
                <w:noProof/>
                <w:webHidden/>
              </w:rPr>
              <w:fldChar w:fldCharType="separate"/>
            </w:r>
            <w:r w:rsidR="003D0776">
              <w:rPr>
                <w:noProof/>
                <w:webHidden/>
              </w:rPr>
              <w:t>12</w:t>
            </w:r>
            <w:r>
              <w:rPr>
                <w:noProof/>
                <w:webHidden/>
              </w:rPr>
              <w:fldChar w:fldCharType="end"/>
            </w:r>
          </w:hyperlink>
        </w:p>
        <w:p w14:paraId="4901723D" w14:textId="1AF5D90A" w:rsidR="00BE7414" w:rsidRDefault="00BE7414">
          <w:pPr>
            <w:pStyle w:val="TOC2"/>
            <w:tabs>
              <w:tab w:val="right" w:leader="dot" w:pos="9016"/>
            </w:tabs>
            <w:rPr>
              <w:rFonts w:eastAsiaTheme="minorEastAsia"/>
              <w:noProof/>
              <w:sz w:val="24"/>
              <w:szCs w:val="24"/>
              <w:lang w:eastAsia="en-GB"/>
            </w:rPr>
          </w:pPr>
          <w:hyperlink w:anchor="_Toc197340850" w:history="1">
            <w:r w:rsidRPr="009601B2">
              <w:rPr>
                <w:rStyle w:val="Hyperlink"/>
                <w:noProof/>
              </w:rPr>
              <w:t>7. The Social Services and Well-being (Wales) Act 2014</w:t>
            </w:r>
            <w:r>
              <w:rPr>
                <w:noProof/>
                <w:webHidden/>
              </w:rPr>
              <w:tab/>
            </w:r>
            <w:r>
              <w:rPr>
                <w:noProof/>
                <w:webHidden/>
              </w:rPr>
              <w:fldChar w:fldCharType="begin"/>
            </w:r>
            <w:r>
              <w:rPr>
                <w:noProof/>
                <w:webHidden/>
              </w:rPr>
              <w:instrText xml:space="preserve"> PAGEREF _Toc197340850 \h </w:instrText>
            </w:r>
            <w:r>
              <w:rPr>
                <w:noProof/>
                <w:webHidden/>
              </w:rPr>
            </w:r>
            <w:r>
              <w:rPr>
                <w:noProof/>
                <w:webHidden/>
              </w:rPr>
              <w:fldChar w:fldCharType="separate"/>
            </w:r>
            <w:r w:rsidR="003D0776">
              <w:rPr>
                <w:noProof/>
                <w:webHidden/>
              </w:rPr>
              <w:t>12</w:t>
            </w:r>
            <w:r>
              <w:rPr>
                <w:noProof/>
                <w:webHidden/>
              </w:rPr>
              <w:fldChar w:fldCharType="end"/>
            </w:r>
          </w:hyperlink>
        </w:p>
        <w:p w14:paraId="57887569" w14:textId="1E3309E8" w:rsidR="00BE7414" w:rsidRDefault="00BE7414">
          <w:pPr>
            <w:pStyle w:val="TOC2"/>
            <w:tabs>
              <w:tab w:val="right" w:leader="dot" w:pos="9016"/>
            </w:tabs>
            <w:rPr>
              <w:rFonts w:eastAsiaTheme="minorEastAsia"/>
              <w:noProof/>
              <w:sz w:val="24"/>
              <w:szCs w:val="24"/>
              <w:lang w:eastAsia="en-GB"/>
            </w:rPr>
          </w:pPr>
          <w:hyperlink w:anchor="_Toc197340851" w:history="1">
            <w:r w:rsidRPr="009601B2">
              <w:rPr>
                <w:rStyle w:val="Hyperlink"/>
                <w:noProof/>
              </w:rPr>
              <w:t>8. The United Nations Convention on the Rights of the Child (UNCRC)</w:t>
            </w:r>
            <w:r>
              <w:rPr>
                <w:noProof/>
                <w:webHidden/>
              </w:rPr>
              <w:tab/>
            </w:r>
            <w:r>
              <w:rPr>
                <w:noProof/>
                <w:webHidden/>
              </w:rPr>
              <w:fldChar w:fldCharType="begin"/>
            </w:r>
            <w:r>
              <w:rPr>
                <w:noProof/>
                <w:webHidden/>
              </w:rPr>
              <w:instrText xml:space="preserve"> PAGEREF _Toc197340851 \h </w:instrText>
            </w:r>
            <w:r>
              <w:rPr>
                <w:noProof/>
                <w:webHidden/>
              </w:rPr>
            </w:r>
            <w:r>
              <w:rPr>
                <w:noProof/>
                <w:webHidden/>
              </w:rPr>
              <w:fldChar w:fldCharType="separate"/>
            </w:r>
            <w:r w:rsidR="003D0776">
              <w:rPr>
                <w:noProof/>
                <w:webHidden/>
              </w:rPr>
              <w:t>12</w:t>
            </w:r>
            <w:r>
              <w:rPr>
                <w:noProof/>
                <w:webHidden/>
              </w:rPr>
              <w:fldChar w:fldCharType="end"/>
            </w:r>
          </w:hyperlink>
        </w:p>
        <w:p w14:paraId="290D2286" w14:textId="23F3F731" w:rsidR="00BE7414" w:rsidRDefault="00BE7414">
          <w:pPr>
            <w:pStyle w:val="TOC2"/>
            <w:tabs>
              <w:tab w:val="right" w:leader="dot" w:pos="9016"/>
            </w:tabs>
            <w:rPr>
              <w:rFonts w:eastAsiaTheme="minorEastAsia"/>
              <w:noProof/>
              <w:sz w:val="24"/>
              <w:szCs w:val="24"/>
              <w:lang w:eastAsia="en-GB"/>
            </w:rPr>
          </w:pPr>
          <w:hyperlink w:anchor="_Toc197340852" w:history="1">
            <w:r w:rsidRPr="009601B2">
              <w:rPr>
                <w:rStyle w:val="Hyperlink"/>
                <w:noProof/>
              </w:rPr>
              <w:t>9. Keeping Learners Safe (2023, Wales)</w:t>
            </w:r>
            <w:r>
              <w:rPr>
                <w:noProof/>
                <w:webHidden/>
              </w:rPr>
              <w:tab/>
            </w:r>
            <w:r>
              <w:rPr>
                <w:noProof/>
                <w:webHidden/>
              </w:rPr>
              <w:fldChar w:fldCharType="begin"/>
            </w:r>
            <w:r>
              <w:rPr>
                <w:noProof/>
                <w:webHidden/>
              </w:rPr>
              <w:instrText xml:space="preserve"> PAGEREF _Toc197340852 \h </w:instrText>
            </w:r>
            <w:r>
              <w:rPr>
                <w:noProof/>
                <w:webHidden/>
              </w:rPr>
            </w:r>
            <w:r>
              <w:rPr>
                <w:noProof/>
                <w:webHidden/>
              </w:rPr>
              <w:fldChar w:fldCharType="separate"/>
            </w:r>
            <w:r w:rsidR="003D0776">
              <w:rPr>
                <w:noProof/>
                <w:webHidden/>
              </w:rPr>
              <w:t>13</w:t>
            </w:r>
            <w:r>
              <w:rPr>
                <w:noProof/>
                <w:webHidden/>
              </w:rPr>
              <w:fldChar w:fldCharType="end"/>
            </w:r>
          </w:hyperlink>
        </w:p>
        <w:p w14:paraId="77F23F4D" w14:textId="0D61F287" w:rsidR="00BE7414" w:rsidRDefault="00BE7414">
          <w:pPr>
            <w:pStyle w:val="TOC1"/>
            <w:tabs>
              <w:tab w:val="right" w:leader="dot" w:pos="9016"/>
            </w:tabs>
            <w:rPr>
              <w:rFonts w:eastAsiaTheme="minorEastAsia"/>
              <w:noProof/>
              <w:sz w:val="24"/>
              <w:szCs w:val="24"/>
              <w:lang w:eastAsia="en-GB"/>
            </w:rPr>
          </w:pPr>
          <w:hyperlink w:anchor="_Toc197340853" w:history="1">
            <w:r w:rsidRPr="009601B2">
              <w:rPr>
                <w:rStyle w:val="Hyperlink"/>
                <w:noProof/>
              </w:rPr>
              <w:t>References:</w:t>
            </w:r>
            <w:r>
              <w:rPr>
                <w:noProof/>
                <w:webHidden/>
              </w:rPr>
              <w:tab/>
            </w:r>
            <w:r>
              <w:rPr>
                <w:noProof/>
                <w:webHidden/>
              </w:rPr>
              <w:fldChar w:fldCharType="begin"/>
            </w:r>
            <w:r>
              <w:rPr>
                <w:noProof/>
                <w:webHidden/>
              </w:rPr>
              <w:instrText xml:space="preserve"> PAGEREF _Toc197340853 \h </w:instrText>
            </w:r>
            <w:r>
              <w:rPr>
                <w:noProof/>
                <w:webHidden/>
              </w:rPr>
            </w:r>
            <w:r>
              <w:rPr>
                <w:noProof/>
                <w:webHidden/>
              </w:rPr>
              <w:fldChar w:fldCharType="separate"/>
            </w:r>
            <w:r w:rsidR="003D0776">
              <w:rPr>
                <w:noProof/>
                <w:webHidden/>
              </w:rPr>
              <w:t>14</w:t>
            </w:r>
            <w:r>
              <w:rPr>
                <w:noProof/>
                <w:webHidden/>
              </w:rPr>
              <w:fldChar w:fldCharType="end"/>
            </w:r>
          </w:hyperlink>
        </w:p>
        <w:p w14:paraId="720DC7D0" w14:textId="237357E6" w:rsidR="004F00B9" w:rsidRDefault="004F00B9">
          <w:r w:rsidRPr="005F67CB">
            <w:rPr>
              <w:rFonts w:ascii="Arial" w:hAnsi="Arial" w:cs="Arial"/>
              <w:b/>
              <w:bCs/>
              <w:noProof/>
              <w:sz w:val="24"/>
              <w:szCs w:val="24"/>
            </w:rPr>
            <w:fldChar w:fldCharType="end"/>
          </w:r>
        </w:p>
      </w:sdtContent>
    </w:sdt>
    <w:p w14:paraId="4DFFCB17" w14:textId="77777777" w:rsidR="00BB7961" w:rsidRDefault="00BB7961" w:rsidP="00BB7961">
      <w:pPr>
        <w:pStyle w:val="Heading1"/>
        <w:jc w:val="center"/>
      </w:pPr>
    </w:p>
    <w:p w14:paraId="35BA5CE8" w14:textId="77777777" w:rsidR="00BB7961" w:rsidRDefault="00BB7961" w:rsidP="00BB7961">
      <w:pPr>
        <w:pStyle w:val="Heading1"/>
        <w:jc w:val="center"/>
      </w:pPr>
    </w:p>
    <w:p w14:paraId="765AD591" w14:textId="77777777" w:rsidR="00BB7961" w:rsidRDefault="00BB7961" w:rsidP="00BB7961">
      <w:pPr>
        <w:pStyle w:val="Heading1"/>
        <w:jc w:val="center"/>
      </w:pPr>
    </w:p>
    <w:p w14:paraId="0719CB8E" w14:textId="77777777" w:rsidR="00BB7961" w:rsidRDefault="00BB7961" w:rsidP="00BB7961">
      <w:pPr>
        <w:pStyle w:val="Heading1"/>
        <w:jc w:val="center"/>
      </w:pPr>
    </w:p>
    <w:p w14:paraId="173E4D2A" w14:textId="77777777" w:rsidR="00BB7961" w:rsidRDefault="00BB7961" w:rsidP="00BB7961">
      <w:pPr>
        <w:pStyle w:val="Heading1"/>
        <w:jc w:val="center"/>
      </w:pPr>
    </w:p>
    <w:p w14:paraId="772FFA51" w14:textId="77777777" w:rsidR="00BB7961" w:rsidRDefault="00BB7961" w:rsidP="00BB7961">
      <w:pPr>
        <w:pStyle w:val="Heading1"/>
        <w:jc w:val="center"/>
      </w:pPr>
    </w:p>
    <w:p w14:paraId="68227A35" w14:textId="77777777" w:rsidR="00F322F8" w:rsidRPr="00F322F8" w:rsidRDefault="00F322F8" w:rsidP="00F322F8"/>
    <w:p w14:paraId="0A0B770D" w14:textId="592ABD0A" w:rsidR="00BB7961" w:rsidRDefault="00BB7961" w:rsidP="00BB7961">
      <w:pPr>
        <w:pStyle w:val="Heading1"/>
        <w:jc w:val="center"/>
      </w:pPr>
      <w:bookmarkStart w:id="0" w:name="_Toc197340835"/>
      <w:r>
        <w:lastRenderedPageBreak/>
        <w:t>V</w:t>
      </w:r>
      <w:r w:rsidRPr="00BB7961">
        <w:t xml:space="preserve">ideo </w:t>
      </w:r>
      <w:r>
        <w:t>C</w:t>
      </w:r>
      <w:r w:rsidRPr="00BB7961">
        <w:t>ritique</w:t>
      </w:r>
      <w:bookmarkEnd w:id="0"/>
    </w:p>
    <w:p w14:paraId="50A907DE" w14:textId="6A3928CA" w:rsidR="0053317A" w:rsidRPr="005F67CB" w:rsidRDefault="00BB7961" w:rsidP="005F67CB">
      <w:pPr>
        <w:spacing w:line="360" w:lineRule="auto"/>
        <w:rPr>
          <w:rFonts w:ascii="Arial" w:hAnsi="Arial" w:cs="Arial"/>
          <w:sz w:val="24"/>
          <w:szCs w:val="24"/>
        </w:rPr>
      </w:pPr>
      <w:r w:rsidRPr="005F67CB">
        <w:rPr>
          <w:rFonts w:ascii="Arial" w:hAnsi="Arial" w:cs="Arial"/>
          <w:sz w:val="24"/>
          <w:szCs w:val="24"/>
        </w:rPr>
        <w:t xml:space="preserve">     </w:t>
      </w:r>
      <w:r w:rsidR="0053317A" w:rsidRPr="005F67CB">
        <w:rPr>
          <w:rFonts w:ascii="Arial" w:hAnsi="Arial" w:cs="Arial"/>
          <w:sz w:val="24"/>
          <w:szCs w:val="24"/>
        </w:rPr>
        <w:t xml:space="preserve">The Child and Adolescent Mental Health Service (CAMHS) is a specialised NHS program that </w:t>
      </w:r>
      <w:r w:rsidR="004F00B9" w:rsidRPr="005F67CB">
        <w:rPr>
          <w:rFonts w:ascii="Arial" w:hAnsi="Arial" w:cs="Arial"/>
          <w:sz w:val="24"/>
          <w:szCs w:val="24"/>
        </w:rPr>
        <w:t>evaluates and treats</w:t>
      </w:r>
      <w:r w:rsidR="0053317A" w:rsidRPr="005F67CB">
        <w:rPr>
          <w:rFonts w:ascii="Arial" w:hAnsi="Arial" w:cs="Arial"/>
          <w:sz w:val="24"/>
          <w:szCs w:val="24"/>
        </w:rPr>
        <w:t xml:space="preserve"> children and adolescents facing emotional, behavioural, or mental health challenges. This analysis examines CAMHS, contrasting assertions presented in the NHS promotional video</w:t>
      </w:r>
      <w:r w:rsidR="004C13A9" w:rsidRPr="005F67CB">
        <w:rPr>
          <w:rFonts w:ascii="Arial" w:hAnsi="Arial" w:cs="Arial"/>
          <w:sz w:val="24"/>
          <w:szCs w:val="24"/>
        </w:rPr>
        <w:t xml:space="preserve"> (Norfolk and Suffolk NHS Foundation Trust, 2021)</w:t>
      </w:r>
      <w:r w:rsidR="0053317A" w:rsidRPr="005F67CB">
        <w:rPr>
          <w:rFonts w:ascii="Arial" w:hAnsi="Arial" w:cs="Arial"/>
          <w:sz w:val="24"/>
          <w:szCs w:val="24"/>
        </w:rPr>
        <w:t xml:space="preserve"> with current realities while incorporating pertinent child development theories and UK-related mental health policies, guidelines, and evidence.</w:t>
      </w:r>
    </w:p>
    <w:p w14:paraId="4C2E76C3" w14:textId="527FBED8" w:rsidR="0053317A" w:rsidRPr="005F67CB"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53317A" w:rsidRPr="005F67CB">
        <w:rPr>
          <w:rFonts w:ascii="Arial" w:hAnsi="Arial" w:cs="Arial"/>
          <w:sz w:val="24"/>
          <w:szCs w:val="24"/>
        </w:rPr>
        <w:t xml:space="preserve">CAMHS in the United Kingdom </w:t>
      </w:r>
      <w:r w:rsidR="004F00B9" w:rsidRPr="005F67CB">
        <w:rPr>
          <w:rFonts w:ascii="Arial" w:hAnsi="Arial" w:cs="Arial"/>
          <w:sz w:val="24"/>
          <w:szCs w:val="24"/>
        </w:rPr>
        <w:t>is</w:t>
      </w:r>
      <w:r w:rsidR="0053317A" w:rsidRPr="005F67CB">
        <w:rPr>
          <w:rFonts w:ascii="Arial" w:hAnsi="Arial" w:cs="Arial"/>
          <w:sz w:val="24"/>
          <w:szCs w:val="24"/>
        </w:rPr>
        <w:t xml:space="preserve"> a tiered system that addresses varying mental health needs. In the video, professionals </w:t>
      </w:r>
      <w:r w:rsidR="00CB6E4C" w:rsidRPr="005F67CB">
        <w:rPr>
          <w:rFonts w:ascii="Arial" w:hAnsi="Arial" w:cs="Arial"/>
          <w:sz w:val="24"/>
          <w:szCs w:val="24"/>
        </w:rPr>
        <w:t>discuss a reactive, therapeutic, and youth-oriented service emphasising</w:t>
      </w:r>
      <w:r w:rsidR="0053317A" w:rsidRPr="005F67CB">
        <w:rPr>
          <w:rFonts w:ascii="Arial" w:hAnsi="Arial" w:cs="Arial"/>
          <w:sz w:val="24"/>
          <w:szCs w:val="24"/>
        </w:rPr>
        <w:t xml:space="preserve"> individualised care and patient agency. This is consistent with theoretical frameworks like Bronfenbrenner’s ecological systems theory, which posits that a child's growth is shaped by various systems, including family, school, and healthcare (Bronfenbrenner, 1979). Nevertheless, the real experiences of many young individuals and their families reveal a service that is under strain. Prolonged waiting times and restricted service availability frequently hinder prompt and adaptable responses (NHS England, 2023). While certain regions showcase exemplary care, this inconsistency leads to disparities in mental health outcomes across various areas in the UK.</w:t>
      </w:r>
    </w:p>
    <w:p w14:paraId="2D8EE3A5" w14:textId="085D9452" w:rsidR="0053317A" w:rsidRPr="005F67CB"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53317A" w:rsidRPr="005F67CB">
        <w:rPr>
          <w:rFonts w:ascii="Arial" w:hAnsi="Arial" w:cs="Arial"/>
          <w:sz w:val="24"/>
          <w:szCs w:val="24"/>
        </w:rPr>
        <w:t xml:space="preserve">A significant difference between the video and actual practice is the issue of accessibility. While the video highlights a triage system </w:t>
      </w:r>
      <w:r w:rsidR="0098239C">
        <w:rPr>
          <w:rFonts w:ascii="Arial" w:hAnsi="Arial" w:cs="Arial"/>
          <w:sz w:val="24"/>
          <w:szCs w:val="24"/>
        </w:rPr>
        <w:t xml:space="preserve">that allows options for assessment locations, including </w:t>
      </w:r>
      <w:r w:rsidR="0053317A" w:rsidRPr="005F67CB">
        <w:rPr>
          <w:rFonts w:ascii="Arial" w:hAnsi="Arial" w:cs="Arial"/>
          <w:sz w:val="24"/>
          <w:szCs w:val="24"/>
        </w:rPr>
        <w:t>clinic, home, or video</w:t>
      </w:r>
      <w:r w:rsidR="00FD7FC3" w:rsidRPr="005F67CB">
        <w:rPr>
          <w:rFonts w:ascii="Arial" w:hAnsi="Arial" w:cs="Arial"/>
          <w:sz w:val="24"/>
          <w:szCs w:val="24"/>
        </w:rPr>
        <w:t>,</w:t>
      </w:r>
      <w:r w:rsidR="004C13A9" w:rsidRPr="005F67CB">
        <w:rPr>
          <w:rFonts w:ascii="Arial" w:hAnsi="Arial" w:cs="Arial"/>
          <w:sz w:val="24"/>
          <w:szCs w:val="24"/>
        </w:rPr>
        <w:t xml:space="preserve"> </w:t>
      </w:r>
      <w:r w:rsidR="0053317A" w:rsidRPr="005F67CB">
        <w:rPr>
          <w:rFonts w:ascii="Arial" w:hAnsi="Arial" w:cs="Arial"/>
          <w:sz w:val="24"/>
          <w:szCs w:val="24"/>
        </w:rPr>
        <w:t>many families experience extended wait times and poor communication following the initial referral (Children’s Commissioner, 2023). This situation contradicts the developmental principles described by Erikson (1963), who stressed the importance of timely support for fostering emotional well-being during critical stages of growth. Consequently, mental health often worsens before services are received, which intensifies the severity of cases and makes treatment more complex.</w:t>
      </w:r>
    </w:p>
    <w:p w14:paraId="5DBFEB62" w14:textId="106103A5" w:rsidR="0053317A" w:rsidRPr="005F67CB"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53317A" w:rsidRPr="005F67CB">
        <w:rPr>
          <w:rFonts w:ascii="Arial" w:hAnsi="Arial" w:cs="Arial"/>
          <w:sz w:val="24"/>
          <w:szCs w:val="24"/>
        </w:rPr>
        <w:t xml:space="preserve">The video also showcases a cooperative and inclusive assessment process that encourages parent participation and adaptability. Although this aligns with best practices, evaluations from the Care Quality Commission (2023) reveal inconsistencies in the way assessments are conducted across various </w:t>
      </w:r>
      <w:r w:rsidR="0098239C">
        <w:rPr>
          <w:rFonts w:ascii="Arial" w:hAnsi="Arial" w:cs="Arial"/>
          <w:sz w:val="24"/>
          <w:szCs w:val="24"/>
        </w:rPr>
        <w:t xml:space="preserve">Child and </w:t>
      </w:r>
      <w:r w:rsidR="0098239C">
        <w:rPr>
          <w:rFonts w:ascii="Arial" w:hAnsi="Arial" w:cs="Arial"/>
          <w:sz w:val="24"/>
          <w:szCs w:val="24"/>
        </w:rPr>
        <w:lastRenderedPageBreak/>
        <w:t>Adolescent Mental Health Services (CAMHS)</w:t>
      </w:r>
      <w:r w:rsidR="0053317A" w:rsidRPr="005F67CB">
        <w:rPr>
          <w:rFonts w:ascii="Arial" w:hAnsi="Arial" w:cs="Arial"/>
          <w:sz w:val="24"/>
          <w:szCs w:val="24"/>
        </w:rPr>
        <w:t xml:space="preserve"> teams. These variations may stem from differences in training or staffing levels, </w:t>
      </w:r>
      <w:r w:rsidR="0098239C">
        <w:rPr>
          <w:rFonts w:ascii="Arial" w:hAnsi="Arial" w:cs="Arial"/>
          <w:sz w:val="24"/>
          <w:szCs w:val="24"/>
        </w:rPr>
        <w:t>despite</w:t>
      </w:r>
      <w:r w:rsidR="0053317A" w:rsidRPr="005F67CB">
        <w:rPr>
          <w:rFonts w:ascii="Arial" w:hAnsi="Arial" w:cs="Arial"/>
          <w:sz w:val="24"/>
          <w:szCs w:val="24"/>
        </w:rPr>
        <w:t xml:space="preserve"> a solid theoretical foundation in attachment theory (Bowlby, 1969), which </w:t>
      </w:r>
      <w:r w:rsidR="00BE7414">
        <w:rPr>
          <w:rFonts w:ascii="Arial" w:hAnsi="Arial" w:cs="Arial"/>
          <w:sz w:val="24"/>
          <w:szCs w:val="24"/>
        </w:rPr>
        <w:t>emphasises</w:t>
      </w:r>
      <w:r w:rsidR="0053317A" w:rsidRPr="005F67CB">
        <w:rPr>
          <w:rFonts w:ascii="Arial" w:hAnsi="Arial" w:cs="Arial"/>
          <w:sz w:val="24"/>
          <w:szCs w:val="24"/>
        </w:rPr>
        <w:t xml:space="preserve"> the importance of emotional safety and attunement during assessments. Furthermore, some families indicate they feel judged or disregarded during their first interactions, which can impact their engagement and trust in the service.</w:t>
      </w:r>
    </w:p>
    <w:p w14:paraId="26B60284" w14:textId="2831CC19" w:rsidR="0053317A" w:rsidRPr="005F67CB"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53317A" w:rsidRPr="005F67CB">
        <w:rPr>
          <w:rFonts w:ascii="Arial" w:hAnsi="Arial" w:cs="Arial"/>
          <w:sz w:val="24"/>
          <w:szCs w:val="24"/>
        </w:rPr>
        <w:t>After evaluation, the video outlines initial interventions</w:t>
      </w:r>
      <w:r w:rsidR="0098239C">
        <w:rPr>
          <w:rFonts w:ascii="Arial" w:hAnsi="Arial" w:cs="Arial"/>
          <w:sz w:val="24"/>
          <w:szCs w:val="24"/>
        </w:rPr>
        <w:t>, such as psychoeducation and anxiety management, advancing to additional therapies as</w:t>
      </w:r>
      <w:r w:rsidR="0053317A" w:rsidRPr="005F67CB">
        <w:rPr>
          <w:rFonts w:ascii="Arial" w:hAnsi="Arial" w:cs="Arial"/>
          <w:sz w:val="24"/>
          <w:szCs w:val="24"/>
        </w:rPr>
        <w:t xml:space="preserve"> necessary. This gradual approach aligns with evidence-based practices and developmental theories, such as Vygotsky’s Zone of Proximal Development (1978). Nonetheless, the accessibility of these interventions varies greatly. The House of Commons Education Committee (2021) reports that numerous children in need of therapy face long waiting times or are discharged due to capacity constraints. This situation can severely compromise the continuity and quality of care. Furthermore, frequent staff turnover further disrupts therapeutic relationships, decreasing the consistency essential for achieving positive outcomes.</w:t>
      </w:r>
    </w:p>
    <w:p w14:paraId="2F8B5BB8" w14:textId="318E43BD" w:rsidR="0053317A" w:rsidRPr="005F67CB"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53317A" w:rsidRPr="005F67CB">
        <w:rPr>
          <w:rFonts w:ascii="Arial" w:hAnsi="Arial" w:cs="Arial"/>
          <w:sz w:val="24"/>
          <w:szCs w:val="24"/>
        </w:rPr>
        <w:t>The video underscores how young individuals collaborate with clinicians to establish goals and strategies. This aligns with theoretical frameworks such as self-determination theory (Deci &amp; Ryan, 1985) and legal standards set by the UNCRC. Nonetheless, surveys conducted by Young Minds (2023) reveal that young people frequently feel sidelined from meaningful involvement in decision-making, particularly when there is a focus on quick discharges or short-term interventions instead of prolonged engagement. For participation to be effective, clinicians must cultivate trust and allow space for young individuals to define their own goals, which is challenging to accomplish given the current constraints of time and resources.</w:t>
      </w:r>
    </w:p>
    <w:p w14:paraId="104A6C8D" w14:textId="56587EC5" w:rsidR="0053317A" w:rsidRPr="005F67CB"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53317A" w:rsidRPr="005F67CB">
        <w:rPr>
          <w:rFonts w:ascii="Arial" w:hAnsi="Arial" w:cs="Arial"/>
          <w:sz w:val="24"/>
          <w:szCs w:val="24"/>
        </w:rPr>
        <w:t xml:space="preserve">The video depicts discharge as a </w:t>
      </w:r>
      <w:r w:rsidR="0098239C">
        <w:rPr>
          <w:rFonts w:ascii="Arial" w:hAnsi="Arial" w:cs="Arial"/>
          <w:sz w:val="24"/>
          <w:szCs w:val="24"/>
        </w:rPr>
        <w:t xml:space="preserve">well-coordinated, collaborative process </w:t>
      </w:r>
      <w:r w:rsidR="0053317A" w:rsidRPr="005F67CB">
        <w:rPr>
          <w:rFonts w:ascii="Arial" w:hAnsi="Arial" w:cs="Arial"/>
          <w:sz w:val="24"/>
          <w:szCs w:val="24"/>
        </w:rPr>
        <w:t xml:space="preserve">with continuous support and options for re-referral. Nonetheless, families frequently express feeling "abandoned" once sessions conclude, particularly in the absence of community-based follow-up (Mental Health Foundation, 2023). The guidelines from </w:t>
      </w:r>
      <w:r w:rsidR="00FD7FC3" w:rsidRPr="005F67CB">
        <w:rPr>
          <w:rFonts w:ascii="Arial" w:hAnsi="Arial" w:cs="Arial"/>
          <w:sz w:val="24"/>
          <w:szCs w:val="24"/>
        </w:rPr>
        <w:t>the National Institute for Health and Care Excellence</w:t>
      </w:r>
      <w:r w:rsidR="0053317A" w:rsidRPr="005F67CB">
        <w:rPr>
          <w:rFonts w:ascii="Arial" w:hAnsi="Arial" w:cs="Arial"/>
          <w:sz w:val="24"/>
          <w:szCs w:val="24"/>
        </w:rPr>
        <w:t xml:space="preserve"> (2023) </w:t>
      </w:r>
      <w:r w:rsidR="00FD7FC3" w:rsidRPr="005F67CB">
        <w:rPr>
          <w:rFonts w:ascii="Arial" w:hAnsi="Arial" w:cs="Arial"/>
          <w:sz w:val="24"/>
          <w:szCs w:val="24"/>
        </w:rPr>
        <w:t>emphasise</w:t>
      </w:r>
      <w:r w:rsidR="0053317A" w:rsidRPr="005F67CB">
        <w:rPr>
          <w:rFonts w:ascii="Arial" w:hAnsi="Arial" w:cs="Arial"/>
          <w:sz w:val="24"/>
          <w:szCs w:val="24"/>
        </w:rPr>
        <w:t xml:space="preserve"> the necessity of maintaining continuity of care</w:t>
      </w:r>
      <w:r w:rsidR="0098239C">
        <w:rPr>
          <w:rFonts w:ascii="Arial" w:hAnsi="Arial" w:cs="Arial"/>
          <w:sz w:val="24"/>
          <w:szCs w:val="24"/>
        </w:rPr>
        <w:t>; however, their implementation</w:t>
      </w:r>
      <w:r w:rsidR="0053317A" w:rsidRPr="005F67CB">
        <w:rPr>
          <w:rFonts w:ascii="Arial" w:hAnsi="Arial" w:cs="Arial"/>
          <w:sz w:val="24"/>
          <w:szCs w:val="24"/>
        </w:rPr>
        <w:t xml:space="preserve"> seems inconsistent, leaving several young individuals at risk of relapse. Enhancing </w:t>
      </w:r>
      <w:r w:rsidR="0053317A" w:rsidRPr="005F67CB">
        <w:rPr>
          <w:rFonts w:ascii="Arial" w:hAnsi="Arial" w:cs="Arial"/>
          <w:sz w:val="24"/>
          <w:szCs w:val="24"/>
        </w:rPr>
        <w:lastRenderedPageBreak/>
        <w:t>discharge planning to incorporate family support, coordination with schools, and consistent follow-up could lead to significantly better outcomes.</w:t>
      </w:r>
    </w:p>
    <w:p w14:paraId="1233145F" w14:textId="56142163" w:rsidR="0053317A" w:rsidRPr="005F67CB"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53317A" w:rsidRPr="005F67CB">
        <w:rPr>
          <w:rFonts w:ascii="Arial" w:hAnsi="Arial" w:cs="Arial"/>
          <w:sz w:val="24"/>
          <w:szCs w:val="24"/>
        </w:rPr>
        <w:t xml:space="preserve">An important theme highlighted in the video is the collaboration between multiple agencies, which the staff consider crucial to CAMHS. This is </w:t>
      </w:r>
      <w:r w:rsidR="0098239C">
        <w:rPr>
          <w:rFonts w:ascii="Arial" w:hAnsi="Arial" w:cs="Arial"/>
          <w:sz w:val="24"/>
          <w:szCs w:val="24"/>
        </w:rPr>
        <w:t>undoubtedly</w:t>
      </w:r>
      <w:r w:rsidR="0053317A" w:rsidRPr="005F67CB">
        <w:rPr>
          <w:rFonts w:ascii="Arial" w:hAnsi="Arial" w:cs="Arial"/>
          <w:sz w:val="24"/>
          <w:szCs w:val="24"/>
        </w:rPr>
        <w:t xml:space="preserve"> a theoretical strength and aligns with government strategies promoting integrated care (Public Health England, 2021). However, reports from frontline workers reveal ongoing obstacles such as differing priorities, inadequate information sharing, and a lack of joint commissioning that hinder effective collaboration (Royal College of Psychiatrists, 2022). Enhancements in digital record sharing and inter-agency training could facilitate more consistent and effective teamwork.</w:t>
      </w:r>
    </w:p>
    <w:p w14:paraId="4CA14E5D" w14:textId="5D4B2C17" w:rsidR="0053317A" w:rsidRPr="005F67CB"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53317A" w:rsidRPr="005F67CB">
        <w:rPr>
          <w:rFonts w:ascii="Arial" w:hAnsi="Arial" w:cs="Arial"/>
          <w:sz w:val="24"/>
          <w:szCs w:val="24"/>
        </w:rPr>
        <w:t>From a theoretical standpoint, CAMHS aligns with child development models that highlight the significance of timely and comprehensive support. For instance, resilience theory (Rutter, 1987) reinforces CAMHS' focus on empowerment, nurturing relationships, and tailored interventions. Nevertheless, achieving these objectives often falls short due to systemic limitations</w:t>
      </w:r>
      <w:r w:rsidR="0098239C">
        <w:rPr>
          <w:rFonts w:ascii="Arial" w:hAnsi="Arial" w:cs="Arial"/>
          <w:sz w:val="24"/>
          <w:szCs w:val="24"/>
        </w:rPr>
        <w:t>, including budget constraints and workforce shortages, which continue to hinder CAMHS' capacity to provide consistent and preventive</w:t>
      </w:r>
      <w:r w:rsidR="0053317A" w:rsidRPr="005F67CB">
        <w:rPr>
          <w:rFonts w:ascii="Arial" w:hAnsi="Arial" w:cs="Arial"/>
          <w:sz w:val="24"/>
          <w:szCs w:val="24"/>
        </w:rPr>
        <w:t xml:space="preserve"> care. When planning future enhancements to children's mental health services, policymakers and service commissioners must take these challenges into account.</w:t>
      </w:r>
    </w:p>
    <w:p w14:paraId="7BA508E9" w14:textId="740D89C8" w:rsidR="00B04F8A" w:rsidRPr="008D1277" w:rsidRDefault="00680078" w:rsidP="008D1277">
      <w:pPr>
        <w:spacing w:line="360" w:lineRule="auto"/>
        <w:rPr>
          <w:rFonts w:ascii="Arial" w:hAnsi="Arial" w:cs="Arial"/>
          <w:sz w:val="24"/>
          <w:szCs w:val="24"/>
        </w:rPr>
      </w:pPr>
      <w:r w:rsidRPr="005F67CB">
        <w:rPr>
          <w:rFonts w:ascii="Arial" w:hAnsi="Arial" w:cs="Arial"/>
          <w:sz w:val="24"/>
          <w:szCs w:val="24"/>
        </w:rPr>
        <w:t xml:space="preserve">     </w:t>
      </w:r>
      <w:r w:rsidR="0053317A" w:rsidRPr="005F67CB">
        <w:rPr>
          <w:rFonts w:ascii="Arial" w:hAnsi="Arial" w:cs="Arial"/>
          <w:sz w:val="24"/>
          <w:szCs w:val="24"/>
        </w:rPr>
        <w:t xml:space="preserve">To conclude, while the CAMHS promotional video successfully represents the service’s objectives, principles, and recommended practices, it portrays an overly optimistic version of the situation. </w:t>
      </w:r>
      <w:r w:rsidR="0098239C">
        <w:rPr>
          <w:rFonts w:ascii="Arial" w:hAnsi="Arial" w:cs="Arial"/>
          <w:sz w:val="24"/>
          <w:szCs w:val="24"/>
        </w:rPr>
        <w:t xml:space="preserve">A significant disparity exists </w:t>
      </w:r>
      <w:r w:rsidR="0053317A" w:rsidRPr="005F67CB">
        <w:rPr>
          <w:rFonts w:ascii="Arial" w:hAnsi="Arial" w:cs="Arial"/>
          <w:sz w:val="24"/>
          <w:szCs w:val="24"/>
        </w:rPr>
        <w:t xml:space="preserve">between policy and actual practice in aspects such as access, availability of interventions, care planning, and coordination among agencies. Enhancing the connection between developmental psychology, personal experiences, and service implementation would help ensure CAMHS adequately addresses the needs of all children and young people in the </w:t>
      </w:r>
      <w:r w:rsidR="00FD7FC3" w:rsidRPr="005F67CB">
        <w:rPr>
          <w:rFonts w:ascii="Arial" w:hAnsi="Arial" w:cs="Arial"/>
          <w:sz w:val="24"/>
          <w:szCs w:val="24"/>
        </w:rPr>
        <w:t>United Kingdom</w:t>
      </w:r>
      <w:r w:rsidR="0053317A" w:rsidRPr="005F67CB">
        <w:rPr>
          <w:rFonts w:ascii="Arial" w:hAnsi="Arial" w:cs="Arial"/>
          <w:sz w:val="24"/>
          <w:szCs w:val="24"/>
        </w:rPr>
        <w:t>. Future enhancements should focus on equity, continuity, and collaboration to make sure that mental health services are responsive, inclusive, and genuinely centred on the needs of young people.</w:t>
      </w:r>
    </w:p>
    <w:p w14:paraId="7D8D0C67" w14:textId="1C83ED40" w:rsidR="00B04F8A" w:rsidRPr="00B04F8A" w:rsidRDefault="00B04F8A" w:rsidP="00B04F8A">
      <w:pPr>
        <w:pStyle w:val="Heading1"/>
        <w:jc w:val="center"/>
      </w:pPr>
      <w:bookmarkStart w:id="1" w:name="_Toc197340836"/>
      <w:r w:rsidRPr="00B04F8A">
        <w:lastRenderedPageBreak/>
        <w:t>Health and Wellbeing for Children Poster</w:t>
      </w:r>
      <w:bookmarkEnd w:id="1"/>
    </w:p>
    <w:p w14:paraId="532C2B82" w14:textId="6610BF72" w:rsidR="00B04F8A" w:rsidRDefault="00B04F8A" w:rsidP="00BD5DC3">
      <w:pPr>
        <w:pStyle w:val="Heading1"/>
        <w:jc w:val="center"/>
      </w:pPr>
      <w:bookmarkStart w:id="2" w:name="_Toc197340837"/>
      <w:r>
        <w:rPr>
          <w:noProof/>
        </w:rPr>
        <w:drawing>
          <wp:anchor distT="0" distB="0" distL="114300" distR="114300" simplePos="0" relativeHeight="251658240" behindDoc="1" locked="0" layoutInCell="1" allowOverlap="1" wp14:anchorId="272BF3CF" wp14:editId="2B8D6AD5">
            <wp:simplePos x="0" y="0"/>
            <wp:positionH relativeFrom="margin">
              <wp:align>left</wp:align>
            </wp:positionH>
            <wp:positionV relativeFrom="paragraph">
              <wp:posOffset>581660</wp:posOffset>
            </wp:positionV>
            <wp:extent cx="5721350" cy="7188200"/>
            <wp:effectExtent l="0" t="0" r="0" b="0"/>
            <wp:wrapTight wrapText="bothSides">
              <wp:wrapPolygon edited="0">
                <wp:start x="0" y="0"/>
                <wp:lineTo x="0" y="21524"/>
                <wp:lineTo x="21504" y="21524"/>
                <wp:lineTo x="21504" y="0"/>
                <wp:lineTo x="0" y="0"/>
              </wp:wrapPolygon>
            </wp:wrapTight>
            <wp:docPr id="1089090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1350" cy="7188200"/>
                    </a:xfrm>
                    <a:prstGeom prst="rect">
                      <a:avLst/>
                    </a:prstGeom>
                    <a:noFill/>
                    <a:ln>
                      <a:noFill/>
                    </a:ln>
                  </pic:spPr>
                </pic:pic>
              </a:graphicData>
            </a:graphic>
          </wp:anchor>
        </w:drawing>
      </w:r>
      <w:bookmarkEnd w:id="2"/>
    </w:p>
    <w:p w14:paraId="1BB49034" w14:textId="77777777" w:rsidR="008D1277" w:rsidRDefault="008D1277" w:rsidP="005F67CB">
      <w:pPr>
        <w:pStyle w:val="Heading1"/>
        <w:spacing w:line="360" w:lineRule="auto"/>
        <w:jc w:val="center"/>
      </w:pPr>
    </w:p>
    <w:p w14:paraId="6454EF43" w14:textId="3BED5A78" w:rsidR="00BD5DC3" w:rsidRDefault="00BD5DC3" w:rsidP="005F67CB">
      <w:pPr>
        <w:pStyle w:val="Heading1"/>
        <w:spacing w:line="360" w:lineRule="auto"/>
        <w:jc w:val="center"/>
      </w:pPr>
      <w:bookmarkStart w:id="3" w:name="_Toc197340838"/>
      <w:r>
        <w:lastRenderedPageBreak/>
        <w:t>C</w:t>
      </w:r>
      <w:r w:rsidRPr="00BD5DC3">
        <w:t xml:space="preserve">hildren’s </w:t>
      </w:r>
      <w:r>
        <w:t>R</w:t>
      </w:r>
      <w:r w:rsidRPr="00BD5DC3">
        <w:t>ights</w:t>
      </w:r>
      <w:r>
        <w:t xml:space="preserve"> Blog’s</w:t>
      </w:r>
      <w:bookmarkEnd w:id="3"/>
    </w:p>
    <w:p w14:paraId="5684DD9C" w14:textId="206BD847" w:rsidR="00D04A04" w:rsidRPr="00D04A04" w:rsidRDefault="00D04A04" w:rsidP="005F67CB">
      <w:pPr>
        <w:pStyle w:val="Heading2"/>
        <w:spacing w:line="360" w:lineRule="auto"/>
      </w:pPr>
      <w:bookmarkStart w:id="4" w:name="_Toc197340839"/>
      <w:r w:rsidRPr="00D04A04">
        <w:t>1. The Right to Education (Article 28, UNCRC)</w:t>
      </w:r>
      <w:bookmarkEnd w:id="4"/>
    </w:p>
    <w:p w14:paraId="423690D9" w14:textId="32A14400" w:rsidR="00D04A04" w:rsidRPr="005F67CB" w:rsidRDefault="00680078" w:rsidP="005F67CB">
      <w:pPr>
        <w:spacing w:line="360" w:lineRule="auto"/>
        <w:rPr>
          <w:rFonts w:ascii="Arial" w:hAnsi="Arial" w:cs="Arial"/>
          <w:sz w:val="24"/>
          <w:szCs w:val="24"/>
        </w:rPr>
      </w:pPr>
      <w:r>
        <w:t xml:space="preserve">     </w:t>
      </w:r>
      <w:r w:rsidR="00B2426A" w:rsidRPr="005F67CB">
        <w:rPr>
          <w:rFonts w:ascii="Arial" w:hAnsi="Arial" w:cs="Arial"/>
          <w:sz w:val="24"/>
          <w:szCs w:val="24"/>
        </w:rPr>
        <w:t xml:space="preserve">Education is an essential right that </w:t>
      </w:r>
      <w:r w:rsidR="001304C1" w:rsidRPr="005F67CB">
        <w:rPr>
          <w:rFonts w:ascii="Arial" w:hAnsi="Arial" w:cs="Arial"/>
          <w:sz w:val="24"/>
          <w:szCs w:val="24"/>
        </w:rPr>
        <w:t>is</w:t>
      </w:r>
      <w:r w:rsidR="00B2426A" w:rsidRPr="005F67CB">
        <w:rPr>
          <w:rFonts w:ascii="Arial" w:hAnsi="Arial" w:cs="Arial"/>
          <w:sz w:val="24"/>
          <w:szCs w:val="24"/>
        </w:rPr>
        <w:t xml:space="preserve"> the foundation for lifelong health and well-being. </w:t>
      </w:r>
      <w:r w:rsidR="001304C1" w:rsidRPr="005F67CB">
        <w:rPr>
          <w:rFonts w:ascii="Arial" w:hAnsi="Arial" w:cs="Arial"/>
          <w:sz w:val="24"/>
          <w:szCs w:val="24"/>
        </w:rPr>
        <w:t>Article 28 of the United Nations Convention on the Rights of the Child (UNCRC) (UNICEF, 1989) states that</w:t>
      </w:r>
      <w:r w:rsidR="00B2426A" w:rsidRPr="005F67CB">
        <w:rPr>
          <w:rFonts w:ascii="Arial" w:hAnsi="Arial" w:cs="Arial"/>
          <w:sz w:val="24"/>
          <w:szCs w:val="24"/>
        </w:rPr>
        <w:t xml:space="preserve"> all children are entitled to a free and inclusive education. In the UK and Wales, this right is protected by laws such as the Additional Learning Needs and Education Tribunal (Wales) Act 2018, which guarantees that children with additional needs receive the necessary support (Welsh Government, 2018).</w:t>
      </w:r>
    </w:p>
    <w:p w14:paraId="425FB33E" w14:textId="4B6BE8B6" w:rsidR="00D04A04" w:rsidRPr="005F67CB"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B2426A" w:rsidRPr="005F67CB">
        <w:rPr>
          <w:rFonts w:ascii="Arial" w:hAnsi="Arial" w:cs="Arial"/>
          <w:sz w:val="24"/>
          <w:szCs w:val="24"/>
        </w:rPr>
        <w:t>Access to education serves as a protective factor that promotes social development, boosts self-esteem, and increases economic opportunities. Bronfenbrenner’s Ecological Systems Theory emphasises the influence of a child’s surroundings on their development, especially within educational contexts. Schools are vital for socialisation, the early detection of challenges, and fostering resilience. (Bronfenbrenner, 1979).</w:t>
      </w:r>
    </w:p>
    <w:p w14:paraId="6C6C2644" w14:textId="529F3B1A" w:rsidR="00D04A04" w:rsidRPr="005F67CB"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D04A04" w:rsidRPr="005F67CB">
        <w:rPr>
          <w:rFonts w:ascii="Arial" w:hAnsi="Arial" w:cs="Arial"/>
          <w:sz w:val="24"/>
          <w:szCs w:val="24"/>
        </w:rPr>
        <w:t xml:space="preserve">Furthermore, wellbeing initiatives such as Wales’s </w:t>
      </w:r>
      <w:r w:rsidR="00D04A04" w:rsidRPr="005F67CB">
        <w:rPr>
          <w:rFonts w:ascii="Arial" w:hAnsi="Arial" w:cs="Arial"/>
          <w:i/>
          <w:iCs/>
          <w:sz w:val="24"/>
          <w:szCs w:val="24"/>
        </w:rPr>
        <w:t>Whole School Approach to Emotional and Mental Wellbeing</w:t>
      </w:r>
      <w:r w:rsidR="00D04A04" w:rsidRPr="005F67CB">
        <w:rPr>
          <w:rFonts w:ascii="Arial" w:hAnsi="Arial" w:cs="Arial"/>
          <w:sz w:val="24"/>
          <w:szCs w:val="24"/>
        </w:rPr>
        <w:t xml:space="preserve"> emphasise that positive school environments contribute significantly to mental health and emotional development. When schools actively promote wellbeing through structured activities, accessible counselling, and inclusive practices, children are better equipped to manage challenges and succeed academically</w:t>
      </w:r>
      <w:r w:rsidR="00B2426A" w:rsidRPr="005F67CB">
        <w:rPr>
          <w:rFonts w:ascii="Arial" w:hAnsi="Arial" w:cs="Arial"/>
          <w:sz w:val="24"/>
          <w:szCs w:val="24"/>
        </w:rPr>
        <w:t xml:space="preserve"> (Welsh Government, 2021)</w:t>
      </w:r>
      <w:r w:rsidR="00D04A04" w:rsidRPr="005F67CB">
        <w:rPr>
          <w:rFonts w:ascii="Arial" w:hAnsi="Arial" w:cs="Arial"/>
          <w:sz w:val="24"/>
          <w:szCs w:val="24"/>
        </w:rPr>
        <w:t>.</w:t>
      </w:r>
    </w:p>
    <w:p w14:paraId="0C04E941" w14:textId="06281F51" w:rsidR="00D04A04" w:rsidRPr="005F67CB"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D04A04" w:rsidRPr="005F67CB">
        <w:rPr>
          <w:rFonts w:ascii="Arial" w:hAnsi="Arial" w:cs="Arial"/>
          <w:sz w:val="24"/>
          <w:szCs w:val="24"/>
        </w:rPr>
        <w:t xml:space="preserve">However, disparities still exist, especially for children from disadvantaged backgrounds or those in care. Children living in poverty are more likely to experience exclusion or underachievement, </w:t>
      </w:r>
      <w:r w:rsidR="0098239C">
        <w:rPr>
          <w:rFonts w:ascii="Arial" w:hAnsi="Arial" w:cs="Arial"/>
          <w:sz w:val="24"/>
          <w:szCs w:val="24"/>
        </w:rPr>
        <w:t>which can lead</w:t>
      </w:r>
      <w:r w:rsidR="00D04A04" w:rsidRPr="005F67CB">
        <w:rPr>
          <w:rFonts w:ascii="Arial" w:hAnsi="Arial" w:cs="Arial"/>
          <w:sz w:val="24"/>
          <w:szCs w:val="24"/>
        </w:rPr>
        <w:t xml:space="preserve"> to </w:t>
      </w:r>
      <w:r w:rsidR="001304C1" w:rsidRPr="005F67CB">
        <w:rPr>
          <w:rFonts w:ascii="Arial" w:hAnsi="Arial" w:cs="Arial"/>
          <w:sz w:val="24"/>
          <w:szCs w:val="24"/>
        </w:rPr>
        <w:t>adverse</w:t>
      </w:r>
      <w:r w:rsidR="00D04A04" w:rsidRPr="005F67CB">
        <w:rPr>
          <w:rFonts w:ascii="Arial" w:hAnsi="Arial" w:cs="Arial"/>
          <w:sz w:val="24"/>
          <w:szCs w:val="24"/>
        </w:rPr>
        <w:t xml:space="preserve"> long-term health outcomes. Ensuring access to equitable education not only upholds a legal right but also protects mental health, fosters ambition, and reduces the likelihood of adverse childhood experiences</w:t>
      </w:r>
      <w:r w:rsidR="0035085E" w:rsidRPr="005F67CB">
        <w:rPr>
          <w:rFonts w:ascii="Arial" w:hAnsi="Arial" w:cs="Arial"/>
          <w:sz w:val="24"/>
          <w:szCs w:val="24"/>
        </w:rPr>
        <w:t>.</w:t>
      </w:r>
      <w:r w:rsidR="00D04A04" w:rsidRPr="005F67CB">
        <w:rPr>
          <w:rFonts w:ascii="Arial" w:hAnsi="Arial" w:cs="Arial"/>
          <w:sz w:val="24"/>
          <w:szCs w:val="24"/>
        </w:rPr>
        <w:t xml:space="preserve"> Education is not just a right</w:t>
      </w:r>
      <w:r w:rsidR="001304C1" w:rsidRPr="005F67CB">
        <w:rPr>
          <w:rFonts w:ascii="Arial" w:hAnsi="Arial" w:cs="Arial"/>
          <w:sz w:val="24"/>
          <w:szCs w:val="24"/>
        </w:rPr>
        <w:t xml:space="preserve"> but</w:t>
      </w:r>
      <w:r w:rsidR="00D04A04" w:rsidRPr="005F67CB">
        <w:rPr>
          <w:rFonts w:ascii="Arial" w:hAnsi="Arial" w:cs="Arial"/>
          <w:sz w:val="24"/>
          <w:szCs w:val="24"/>
        </w:rPr>
        <w:t xml:space="preserve"> a key driver of lifelong opportunity, social mobility, and community health</w:t>
      </w:r>
      <w:r w:rsidR="0035085E" w:rsidRPr="005F67CB">
        <w:rPr>
          <w:rFonts w:ascii="Arial" w:hAnsi="Arial" w:cs="Arial"/>
          <w:sz w:val="24"/>
          <w:szCs w:val="24"/>
        </w:rPr>
        <w:t xml:space="preserve"> (Public Health Wales, 202</w:t>
      </w:r>
      <w:r w:rsidR="00E017CD" w:rsidRPr="005F67CB">
        <w:rPr>
          <w:rFonts w:ascii="Arial" w:hAnsi="Arial" w:cs="Arial"/>
          <w:sz w:val="24"/>
          <w:szCs w:val="24"/>
        </w:rPr>
        <w:t>0</w:t>
      </w:r>
      <w:r w:rsidR="0035085E" w:rsidRPr="005F67CB">
        <w:rPr>
          <w:rFonts w:ascii="Arial" w:hAnsi="Arial" w:cs="Arial"/>
          <w:sz w:val="24"/>
          <w:szCs w:val="24"/>
        </w:rPr>
        <w:t>).</w:t>
      </w:r>
    </w:p>
    <w:p w14:paraId="1E6EDFAE" w14:textId="0FE0BA5A" w:rsidR="00D04A04" w:rsidRPr="00D04A04" w:rsidRDefault="00D04A04" w:rsidP="005F67CB">
      <w:pPr>
        <w:spacing w:line="360" w:lineRule="auto"/>
      </w:pPr>
    </w:p>
    <w:p w14:paraId="233F4A4F" w14:textId="77777777" w:rsidR="00D04A04" w:rsidRPr="00D04A04" w:rsidRDefault="00D04A04" w:rsidP="005F67CB">
      <w:pPr>
        <w:pStyle w:val="Heading2"/>
        <w:spacing w:line="360" w:lineRule="auto"/>
      </w:pPr>
      <w:bookmarkStart w:id="5" w:name="_Toc197340840"/>
      <w:r w:rsidRPr="00D04A04">
        <w:lastRenderedPageBreak/>
        <w:t>2. The Right to Protection from Harm (Article 19, UNCRC)</w:t>
      </w:r>
      <w:bookmarkEnd w:id="5"/>
    </w:p>
    <w:p w14:paraId="4E1278EA" w14:textId="08F19264" w:rsidR="00D04A04" w:rsidRPr="005F67CB" w:rsidRDefault="00680078" w:rsidP="005F67CB">
      <w:pPr>
        <w:spacing w:line="360" w:lineRule="auto"/>
        <w:rPr>
          <w:rFonts w:ascii="Arial" w:hAnsi="Arial" w:cs="Arial"/>
          <w:sz w:val="24"/>
          <w:szCs w:val="24"/>
        </w:rPr>
      </w:pPr>
      <w:r>
        <w:t xml:space="preserve">     </w:t>
      </w:r>
      <w:r w:rsidR="0035085E" w:rsidRPr="005F67CB">
        <w:rPr>
          <w:rFonts w:ascii="Arial" w:hAnsi="Arial" w:cs="Arial"/>
          <w:sz w:val="24"/>
          <w:szCs w:val="24"/>
        </w:rPr>
        <w:t>Article 19 of the UNCRC ensures that children are entitled to protection against all types of violence, neglect, and abuse. Safeguarding policies in Wales and England, such as the Children Act 1989 and the guidelines from Working Together to Safeguard Children, have strengthened this entitlement. In Wales, a comprehensive review of safeguarding practices was undertaken, highlighting the importance of multi-agency collaboration in preventing harm (Care Inspectorate Wales, 2022).</w:t>
      </w:r>
    </w:p>
    <w:p w14:paraId="35B57609" w14:textId="29DD5364" w:rsidR="00D04A04" w:rsidRPr="005F67CB"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1304C1" w:rsidRPr="005F67CB">
        <w:rPr>
          <w:rFonts w:ascii="Arial" w:hAnsi="Arial" w:cs="Arial"/>
          <w:sz w:val="24"/>
          <w:szCs w:val="24"/>
        </w:rPr>
        <w:t xml:space="preserve">John Bowlby's (1969) Attachment Theory highlights the crucial role of reliable and secure caregiving in psychological development. When children face neglect or mistreatment, it can </w:t>
      </w:r>
      <w:r w:rsidR="0098239C">
        <w:rPr>
          <w:rFonts w:ascii="Arial" w:hAnsi="Arial" w:cs="Arial"/>
          <w:sz w:val="24"/>
          <w:szCs w:val="24"/>
        </w:rPr>
        <w:t>disrupt their attachment, leading to</w:t>
      </w:r>
      <w:r w:rsidR="001304C1" w:rsidRPr="005F67CB">
        <w:rPr>
          <w:rFonts w:ascii="Arial" w:hAnsi="Arial" w:cs="Arial"/>
          <w:sz w:val="24"/>
          <w:szCs w:val="24"/>
        </w:rPr>
        <w:t xml:space="preserve"> anxiety, depression, and behavioural issues. Thus, safeguarding children from harm is not just a moral responsibility but also a clinical necessity </w:t>
      </w:r>
      <w:r w:rsidR="00F2075F" w:rsidRPr="005F67CB">
        <w:rPr>
          <w:rFonts w:ascii="Arial" w:hAnsi="Arial" w:cs="Arial"/>
          <w:sz w:val="24"/>
          <w:szCs w:val="24"/>
        </w:rPr>
        <w:t>with</w:t>
      </w:r>
      <w:r w:rsidR="001304C1" w:rsidRPr="005F67CB">
        <w:rPr>
          <w:rFonts w:ascii="Arial" w:hAnsi="Arial" w:cs="Arial"/>
          <w:sz w:val="24"/>
          <w:szCs w:val="24"/>
        </w:rPr>
        <w:t xml:space="preserve"> lasting health consequences.</w:t>
      </w:r>
    </w:p>
    <w:p w14:paraId="0D7E069F" w14:textId="1F006FA0" w:rsidR="00D04A04" w:rsidRPr="005F67CB"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1304C1" w:rsidRPr="005F67CB">
        <w:rPr>
          <w:rFonts w:ascii="Arial" w:hAnsi="Arial" w:cs="Arial"/>
          <w:sz w:val="24"/>
          <w:szCs w:val="24"/>
        </w:rPr>
        <w:t xml:space="preserve">Services like CAMHS (Child and Adolescent Mental Health Services) collaborate with social care, educational institutions, and families to provide early intervention and therapeutic assistance to </w:t>
      </w:r>
      <w:r w:rsidR="00F2075F" w:rsidRPr="005F67CB">
        <w:rPr>
          <w:rFonts w:ascii="Arial" w:hAnsi="Arial" w:cs="Arial"/>
          <w:sz w:val="24"/>
          <w:szCs w:val="24"/>
        </w:rPr>
        <w:t>at-risk children</w:t>
      </w:r>
      <w:r w:rsidR="001304C1" w:rsidRPr="005F67CB">
        <w:rPr>
          <w:rFonts w:ascii="Arial" w:hAnsi="Arial" w:cs="Arial"/>
          <w:sz w:val="24"/>
          <w:szCs w:val="24"/>
        </w:rPr>
        <w:t xml:space="preserve">. Nevertheless, </w:t>
      </w:r>
      <w:r w:rsidR="00F2075F" w:rsidRPr="005F67CB">
        <w:rPr>
          <w:rFonts w:ascii="Arial" w:hAnsi="Arial" w:cs="Arial"/>
          <w:sz w:val="24"/>
          <w:szCs w:val="24"/>
        </w:rPr>
        <w:t>growing worries about prolonged waiting periods, insufficient staff, and the disjointed nature of services</w:t>
      </w:r>
      <w:r w:rsidR="001304C1" w:rsidRPr="005F67CB">
        <w:rPr>
          <w:rFonts w:ascii="Arial" w:hAnsi="Arial" w:cs="Arial"/>
          <w:sz w:val="24"/>
          <w:szCs w:val="24"/>
        </w:rPr>
        <w:t xml:space="preserve"> could postpone essential care for at-risk children (Children’s Commissioner for Wales, 2022).</w:t>
      </w:r>
    </w:p>
    <w:p w14:paraId="09D1E076" w14:textId="493B4AA9" w:rsidR="00D04A04" w:rsidRPr="005F67CB"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1304C1" w:rsidRPr="005F67CB">
        <w:rPr>
          <w:rFonts w:ascii="Arial" w:hAnsi="Arial" w:cs="Arial"/>
          <w:sz w:val="24"/>
          <w:szCs w:val="24"/>
        </w:rPr>
        <w:t>Preventing harm involves not only taking action after abuse has happened but also fostering environments that decrease the likelihood of abuse occurring. Schools, youth organisations, and community centres should be secure, supportive, and well-prepared to recognise early indicators of abuse. Encouraging safe environments at home, in educational settings, and within communities helps protect mental health, supports emotional growth, and lowers the chances of trauma. Therefore, safeguarding against harm is fundamental to both health and human rights.</w:t>
      </w:r>
    </w:p>
    <w:p w14:paraId="487A9149" w14:textId="77777777" w:rsidR="001304C1" w:rsidRDefault="001304C1" w:rsidP="005F67CB">
      <w:pPr>
        <w:spacing w:line="360" w:lineRule="auto"/>
      </w:pPr>
    </w:p>
    <w:p w14:paraId="6407044F" w14:textId="575A9107" w:rsidR="00D04A04" w:rsidRPr="00D04A04" w:rsidRDefault="00D04A04" w:rsidP="005F67CB">
      <w:pPr>
        <w:pStyle w:val="Heading2"/>
        <w:spacing w:line="360" w:lineRule="auto"/>
      </w:pPr>
      <w:bookmarkStart w:id="6" w:name="_Toc197340841"/>
      <w:r w:rsidRPr="00D04A04">
        <w:t>3. The Right to Be Heard (Article 12, UNCRC)</w:t>
      </w:r>
      <w:bookmarkEnd w:id="6"/>
    </w:p>
    <w:p w14:paraId="7C3D377E" w14:textId="2F5F8B97" w:rsidR="00D04A04" w:rsidRPr="005F67CB" w:rsidRDefault="00680078" w:rsidP="005F67CB">
      <w:pPr>
        <w:spacing w:line="360" w:lineRule="auto"/>
        <w:rPr>
          <w:rFonts w:ascii="Arial" w:hAnsi="Arial" w:cs="Arial"/>
          <w:sz w:val="24"/>
          <w:szCs w:val="24"/>
        </w:rPr>
      </w:pPr>
      <w:r>
        <w:t xml:space="preserve">     </w:t>
      </w:r>
      <w:r w:rsidR="001304C1" w:rsidRPr="005F67CB">
        <w:rPr>
          <w:rFonts w:ascii="Arial" w:hAnsi="Arial" w:cs="Arial"/>
          <w:sz w:val="24"/>
          <w:szCs w:val="24"/>
        </w:rPr>
        <w:t xml:space="preserve">Article 12 of the UNCRC establishes the right of children </w:t>
      </w:r>
      <w:r w:rsidR="00F2075F" w:rsidRPr="005F67CB">
        <w:rPr>
          <w:rFonts w:ascii="Arial" w:hAnsi="Arial" w:cs="Arial"/>
          <w:sz w:val="24"/>
          <w:szCs w:val="24"/>
        </w:rPr>
        <w:t>to express their opinions on issues that impact them freely</w:t>
      </w:r>
      <w:r w:rsidR="001304C1" w:rsidRPr="005F67CB">
        <w:rPr>
          <w:rFonts w:ascii="Arial" w:hAnsi="Arial" w:cs="Arial"/>
          <w:sz w:val="24"/>
          <w:szCs w:val="24"/>
        </w:rPr>
        <w:t xml:space="preserve">. This right is essential for </w:t>
      </w:r>
      <w:r w:rsidR="00F2075F" w:rsidRPr="005F67CB">
        <w:rPr>
          <w:rFonts w:ascii="Arial" w:hAnsi="Arial" w:cs="Arial"/>
          <w:sz w:val="24"/>
          <w:szCs w:val="24"/>
        </w:rPr>
        <w:t>ensuring</w:t>
      </w:r>
      <w:r w:rsidR="001304C1" w:rsidRPr="005F67CB">
        <w:rPr>
          <w:rFonts w:ascii="Arial" w:hAnsi="Arial" w:cs="Arial"/>
          <w:sz w:val="24"/>
          <w:szCs w:val="24"/>
        </w:rPr>
        <w:t xml:space="preserve"> children feel appreciated and empowered in their personal growth and overall well-being.</w:t>
      </w:r>
    </w:p>
    <w:p w14:paraId="5386D316" w14:textId="276E17BE" w:rsidR="00D04A04" w:rsidRPr="005F67CB" w:rsidRDefault="00680078" w:rsidP="005F67CB">
      <w:pPr>
        <w:spacing w:line="360" w:lineRule="auto"/>
        <w:rPr>
          <w:rFonts w:ascii="Arial" w:hAnsi="Arial" w:cs="Arial"/>
          <w:sz w:val="24"/>
          <w:szCs w:val="24"/>
        </w:rPr>
      </w:pPr>
      <w:r w:rsidRPr="005F67CB">
        <w:rPr>
          <w:rFonts w:ascii="Arial" w:hAnsi="Arial" w:cs="Arial"/>
          <w:sz w:val="24"/>
          <w:szCs w:val="24"/>
        </w:rPr>
        <w:lastRenderedPageBreak/>
        <w:t xml:space="preserve">     </w:t>
      </w:r>
      <w:r w:rsidR="001304C1" w:rsidRPr="005F67CB">
        <w:rPr>
          <w:rFonts w:ascii="Arial" w:hAnsi="Arial" w:cs="Arial"/>
          <w:sz w:val="24"/>
          <w:szCs w:val="24"/>
        </w:rPr>
        <w:t xml:space="preserve">Deci and Ryan’s (1985) Self-Determination Theory suggests that autonomy, competence, and relatedness are crucial psychological necessities. When children are allowed to express themselves and </w:t>
      </w:r>
      <w:r w:rsidR="00F2075F" w:rsidRPr="005F67CB">
        <w:rPr>
          <w:rFonts w:ascii="Arial" w:hAnsi="Arial" w:cs="Arial"/>
          <w:sz w:val="24"/>
          <w:szCs w:val="24"/>
        </w:rPr>
        <w:t>participate in decision-making, be it regarding their care, education, or treatment, they tend to feel more in control and motivated, subsequently improving</w:t>
      </w:r>
      <w:r w:rsidR="001304C1" w:rsidRPr="005F67CB">
        <w:rPr>
          <w:rFonts w:ascii="Arial" w:hAnsi="Arial" w:cs="Arial"/>
          <w:sz w:val="24"/>
          <w:szCs w:val="24"/>
        </w:rPr>
        <w:t xml:space="preserve"> their well-being.</w:t>
      </w:r>
    </w:p>
    <w:p w14:paraId="765CC5A3" w14:textId="1B5E93E5" w:rsidR="00D04A04" w:rsidRPr="005F67CB"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1304C1" w:rsidRPr="005F67CB">
        <w:rPr>
          <w:rFonts w:ascii="Arial" w:hAnsi="Arial" w:cs="Arial"/>
          <w:sz w:val="24"/>
          <w:szCs w:val="24"/>
        </w:rPr>
        <w:t xml:space="preserve">In the UK and Wales, policy documents </w:t>
      </w:r>
      <w:r w:rsidR="0098239C">
        <w:rPr>
          <w:rFonts w:ascii="Arial" w:hAnsi="Arial" w:cs="Arial"/>
          <w:sz w:val="24"/>
          <w:szCs w:val="24"/>
        </w:rPr>
        <w:t>such as the National Participation Standards for Children and Young People, along with the efforts of the Children’s Commissioner for Wales (2022), highlight the importance</w:t>
      </w:r>
      <w:r w:rsidR="001304C1" w:rsidRPr="005F67CB">
        <w:rPr>
          <w:rFonts w:ascii="Arial" w:hAnsi="Arial" w:cs="Arial"/>
          <w:sz w:val="24"/>
          <w:szCs w:val="24"/>
        </w:rPr>
        <w:t xml:space="preserve"> of incorporating children's perspectives in the planning and delivery of services. In health and social care, there is a growing acknowledgement that children should play a role in co-designing their care plans, particularly when utilising services like CAMHS (Royal College of Psychiatrists, 2022).</w:t>
      </w:r>
    </w:p>
    <w:p w14:paraId="6016E577" w14:textId="301772A9" w:rsidR="00D04A04" w:rsidRPr="005F67CB"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1304C1" w:rsidRPr="005F67CB">
        <w:rPr>
          <w:rFonts w:ascii="Arial" w:hAnsi="Arial" w:cs="Arial"/>
          <w:sz w:val="24"/>
          <w:szCs w:val="24"/>
        </w:rPr>
        <w:t>Enabling children to express themselves also promotes safeguarding, as they are more inclined to share their worries when they believe adults will pay attention and take suitable action. Listening is an active engagement, serving as a vital tool for ensuring and improving the well-being of children.</w:t>
      </w:r>
    </w:p>
    <w:p w14:paraId="696DEBC2" w14:textId="08342AC2" w:rsidR="00D04A04" w:rsidRPr="00D04A04" w:rsidRDefault="00680078" w:rsidP="005F67CB">
      <w:pPr>
        <w:spacing w:line="360" w:lineRule="auto"/>
      </w:pPr>
      <w:r w:rsidRPr="005F67CB">
        <w:rPr>
          <w:rFonts w:ascii="Arial" w:hAnsi="Arial" w:cs="Arial"/>
          <w:sz w:val="24"/>
          <w:szCs w:val="24"/>
        </w:rPr>
        <w:t xml:space="preserve">     </w:t>
      </w:r>
      <w:r w:rsidR="001304C1" w:rsidRPr="005F67CB">
        <w:rPr>
          <w:rFonts w:ascii="Arial" w:hAnsi="Arial" w:cs="Arial"/>
          <w:sz w:val="24"/>
          <w:szCs w:val="24"/>
        </w:rPr>
        <w:t xml:space="preserve">Additionally, involvement enhances self-esteem, communication abilities, and a sense of empowerment. </w:t>
      </w:r>
      <w:r w:rsidR="00F2075F" w:rsidRPr="005F67CB">
        <w:rPr>
          <w:rFonts w:ascii="Arial" w:hAnsi="Arial" w:cs="Arial"/>
          <w:sz w:val="24"/>
          <w:szCs w:val="24"/>
        </w:rPr>
        <w:t>Creating frameworks that genuinely incorporate children's perspectives in educational, healthcare, or community environments</w:t>
      </w:r>
      <w:r w:rsidR="001304C1" w:rsidRPr="005F67CB">
        <w:rPr>
          <w:rFonts w:ascii="Arial" w:hAnsi="Arial" w:cs="Arial"/>
          <w:sz w:val="24"/>
          <w:szCs w:val="24"/>
        </w:rPr>
        <w:t xml:space="preserve"> leads to improved results and more inclusive services designed to address actual needs. Children's voices are not merely an added benefit</w:t>
      </w:r>
      <w:r w:rsidR="00F2075F" w:rsidRPr="005F67CB">
        <w:rPr>
          <w:rFonts w:ascii="Arial" w:hAnsi="Arial" w:cs="Arial"/>
          <w:sz w:val="24"/>
          <w:szCs w:val="24"/>
        </w:rPr>
        <w:t xml:space="preserve"> but</w:t>
      </w:r>
      <w:r w:rsidR="001304C1" w:rsidRPr="005F67CB">
        <w:rPr>
          <w:rFonts w:ascii="Arial" w:hAnsi="Arial" w:cs="Arial"/>
          <w:sz w:val="24"/>
          <w:szCs w:val="24"/>
        </w:rPr>
        <w:t xml:space="preserve"> crucial for providing meaningful assistance.</w:t>
      </w:r>
    </w:p>
    <w:p w14:paraId="151E545B" w14:textId="3C73342F" w:rsidR="00D04A04" w:rsidRPr="00D04A04" w:rsidRDefault="00D04A04" w:rsidP="00D04A04"/>
    <w:p w14:paraId="4796DF1B" w14:textId="77777777" w:rsidR="00D04A04" w:rsidRPr="00D04A04" w:rsidRDefault="00D04A04" w:rsidP="00494C27">
      <w:pPr>
        <w:pStyle w:val="Heading2"/>
        <w:spacing w:line="360" w:lineRule="auto"/>
      </w:pPr>
      <w:bookmarkStart w:id="7" w:name="_Toc197340842"/>
      <w:r w:rsidRPr="00D04A04">
        <w:t>4. The Right to the Highest Attainable Standard of Health (Article 24, UNCRC)</w:t>
      </w:r>
      <w:bookmarkEnd w:id="7"/>
    </w:p>
    <w:p w14:paraId="01F9E38E" w14:textId="3E1D2E45" w:rsidR="00D04A04" w:rsidRPr="005F67CB" w:rsidRDefault="00680078" w:rsidP="00494C27">
      <w:pPr>
        <w:spacing w:line="360" w:lineRule="auto"/>
        <w:rPr>
          <w:rFonts w:ascii="Arial" w:hAnsi="Arial" w:cs="Arial"/>
          <w:sz w:val="24"/>
          <w:szCs w:val="24"/>
        </w:rPr>
      </w:pPr>
      <w:r>
        <w:t xml:space="preserve">     </w:t>
      </w:r>
      <w:r w:rsidR="001304C1" w:rsidRPr="005F67CB">
        <w:rPr>
          <w:rFonts w:ascii="Arial" w:hAnsi="Arial" w:cs="Arial"/>
          <w:sz w:val="24"/>
          <w:szCs w:val="24"/>
        </w:rPr>
        <w:t>Article 24 of the UNCRC asserts that children's right to health encompasses physical and mental well-being. This right requires governments to guarantee access to suitable healthcare services, clean drinking water, nutritious food, and safe living conditions.</w:t>
      </w:r>
    </w:p>
    <w:p w14:paraId="6A9B82C5" w14:textId="7AA8C8FB" w:rsidR="00D04A04" w:rsidRPr="005F67CB" w:rsidRDefault="00680078" w:rsidP="00494C27">
      <w:pPr>
        <w:spacing w:line="360" w:lineRule="auto"/>
        <w:rPr>
          <w:rFonts w:ascii="Arial" w:hAnsi="Arial" w:cs="Arial"/>
          <w:sz w:val="24"/>
          <w:szCs w:val="24"/>
        </w:rPr>
      </w:pPr>
      <w:r w:rsidRPr="005F67CB">
        <w:rPr>
          <w:rFonts w:ascii="Arial" w:hAnsi="Arial" w:cs="Arial"/>
          <w:sz w:val="24"/>
          <w:szCs w:val="24"/>
        </w:rPr>
        <w:t xml:space="preserve">     </w:t>
      </w:r>
      <w:r w:rsidR="001304C1" w:rsidRPr="005F67CB">
        <w:rPr>
          <w:rFonts w:ascii="Arial" w:hAnsi="Arial" w:cs="Arial"/>
          <w:sz w:val="24"/>
          <w:szCs w:val="24"/>
        </w:rPr>
        <w:t xml:space="preserve">In Wales, Public Health Wales (2021) has </w:t>
      </w:r>
      <w:r w:rsidR="00BE7414">
        <w:rPr>
          <w:rFonts w:ascii="Arial" w:hAnsi="Arial" w:cs="Arial"/>
          <w:sz w:val="24"/>
          <w:szCs w:val="24"/>
        </w:rPr>
        <w:t>emphasised</w:t>
      </w:r>
      <w:r w:rsidR="001304C1" w:rsidRPr="005F67CB">
        <w:rPr>
          <w:rFonts w:ascii="Arial" w:hAnsi="Arial" w:cs="Arial"/>
          <w:sz w:val="24"/>
          <w:szCs w:val="24"/>
        </w:rPr>
        <w:t xml:space="preserve"> the connection between childhood adversity and long-term health impacts. Mental health is especially crucial, </w:t>
      </w:r>
      <w:r w:rsidR="001304C1" w:rsidRPr="005F67CB">
        <w:rPr>
          <w:rFonts w:ascii="Arial" w:hAnsi="Arial" w:cs="Arial"/>
          <w:sz w:val="24"/>
          <w:szCs w:val="24"/>
        </w:rPr>
        <w:lastRenderedPageBreak/>
        <w:t>as one in six children in the UK encounters a mental health issue (NHS England, 2023). The NICE Guidelines (2023) also promote the necessity of early and ongoing mental health support within schools and healthcare systems.</w:t>
      </w:r>
    </w:p>
    <w:p w14:paraId="6AF4A4A5" w14:textId="0A163C82" w:rsidR="00D04A04" w:rsidRPr="005F67CB" w:rsidRDefault="00680078" w:rsidP="00494C27">
      <w:pPr>
        <w:spacing w:line="360" w:lineRule="auto"/>
        <w:rPr>
          <w:rFonts w:ascii="Arial" w:hAnsi="Arial" w:cs="Arial"/>
          <w:sz w:val="24"/>
          <w:szCs w:val="24"/>
        </w:rPr>
      </w:pPr>
      <w:r w:rsidRPr="005F67CB">
        <w:rPr>
          <w:rFonts w:ascii="Arial" w:hAnsi="Arial" w:cs="Arial"/>
          <w:sz w:val="24"/>
          <w:szCs w:val="24"/>
        </w:rPr>
        <w:t xml:space="preserve">     </w:t>
      </w:r>
      <w:r w:rsidR="001304C1" w:rsidRPr="005F67CB">
        <w:rPr>
          <w:rFonts w:ascii="Arial" w:hAnsi="Arial" w:cs="Arial"/>
          <w:sz w:val="24"/>
          <w:szCs w:val="24"/>
        </w:rPr>
        <w:t>The Mental Health Foundation (2023) emphasises that fostering family resilience, providing support during early childhood, and enhancing emotional literacy can help decrease mental health disparities. The Whole School Approach in Wales promotes the integration of wellbeing into the values and curriculum of schools, ensuring that every child has access to proactive and supportive mental health services (Welsh Government, 2021).</w:t>
      </w:r>
    </w:p>
    <w:p w14:paraId="465D400F" w14:textId="1604B7CD" w:rsidR="00D04A04" w:rsidRPr="005F67CB" w:rsidRDefault="00680078" w:rsidP="00494C27">
      <w:pPr>
        <w:spacing w:line="360" w:lineRule="auto"/>
        <w:rPr>
          <w:rFonts w:ascii="Arial" w:hAnsi="Arial" w:cs="Arial"/>
          <w:sz w:val="24"/>
          <w:szCs w:val="24"/>
        </w:rPr>
      </w:pPr>
      <w:r w:rsidRPr="005F67CB">
        <w:rPr>
          <w:rFonts w:ascii="Arial" w:hAnsi="Arial" w:cs="Arial"/>
          <w:sz w:val="24"/>
          <w:szCs w:val="24"/>
        </w:rPr>
        <w:t xml:space="preserve">     </w:t>
      </w:r>
      <w:r w:rsidR="001304C1" w:rsidRPr="005F67CB">
        <w:rPr>
          <w:rFonts w:ascii="Arial" w:hAnsi="Arial" w:cs="Arial"/>
          <w:sz w:val="24"/>
          <w:szCs w:val="24"/>
        </w:rPr>
        <w:t xml:space="preserve">Healthcare access must be fair for everyone. Children living in poverty, in care, or from </w:t>
      </w:r>
      <w:r w:rsidR="00BE7414">
        <w:rPr>
          <w:rFonts w:ascii="Arial" w:hAnsi="Arial" w:cs="Arial"/>
          <w:sz w:val="24"/>
          <w:szCs w:val="24"/>
        </w:rPr>
        <w:t>marginalised</w:t>
      </w:r>
      <w:r w:rsidR="001304C1" w:rsidRPr="005F67CB">
        <w:rPr>
          <w:rFonts w:ascii="Arial" w:hAnsi="Arial" w:cs="Arial"/>
          <w:sz w:val="24"/>
          <w:szCs w:val="24"/>
        </w:rPr>
        <w:t xml:space="preserve"> communities frequently face obstacles or delays in receiving treatment and mental health support. Upholding this right requires breaking down those barriers and making children’s health a national priority rather than leaving it to chance based on location (Children’s Commissioner for England, 2023).</w:t>
      </w:r>
    </w:p>
    <w:p w14:paraId="199C5A17" w14:textId="77777777" w:rsidR="00F2075F" w:rsidRDefault="00F2075F" w:rsidP="00D04A04"/>
    <w:p w14:paraId="7175C16C" w14:textId="77777777" w:rsidR="00BB7961" w:rsidRDefault="00BB7961" w:rsidP="00D04A04"/>
    <w:p w14:paraId="4C52E5A4" w14:textId="77777777" w:rsidR="00BB7961" w:rsidRDefault="00BB7961" w:rsidP="00D04A04"/>
    <w:p w14:paraId="009465D9" w14:textId="77777777" w:rsidR="00BB7961" w:rsidRDefault="00BB7961" w:rsidP="00D04A04"/>
    <w:p w14:paraId="112C1362" w14:textId="77777777" w:rsidR="00BB7961" w:rsidRDefault="00BB7961" w:rsidP="00D04A04"/>
    <w:p w14:paraId="3596471D" w14:textId="77777777" w:rsidR="00BB7961" w:rsidRDefault="00BB7961" w:rsidP="00D04A04"/>
    <w:p w14:paraId="7AB96E5B" w14:textId="77777777" w:rsidR="00BB7961" w:rsidRDefault="00BB7961" w:rsidP="00D04A04"/>
    <w:p w14:paraId="3B7E7431" w14:textId="77777777" w:rsidR="00BB7961" w:rsidRDefault="00BB7961" w:rsidP="00D04A04"/>
    <w:p w14:paraId="0D3B76F0" w14:textId="77777777" w:rsidR="00BB7961" w:rsidRDefault="00BB7961" w:rsidP="00D04A04"/>
    <w:p w14:paraId="5DCBEAEC" w14:textId="77777777" w:rsidR="00BB7961" w:rsidRDefault="00BB7961" w:rsidP="00D04A04"/>
    <w:p w14:paraId="542D9201" w14:textId="77777777" w:rsidR="00494C27" w:rsidRDefault="00494C27" w:rsidP="00D04A04"/>
    <w:p w14:paraId="0B8C8E75" w14:textId="77777777" w:rsidR="00494C27" w:rsidRDefault="00494C27" w:rsidP="00D04A04"/>
    <w:p w14:paraId="6E902153" w14:textId="77777777" w:rsidR="00BB7961" w:rsidRDefault="00BB7961" w:rsidP="00D04A04"/>
    <w:p w14:paraId="059041FD" w14:textId="77777777" w:rsidR="00F2075F" w:rsidRPr="00F2075F" w:rsidRDefault="00F2075F" w:rsidP="00BB7961">
      <w:pPr>
        <w:pStyle w:val="Heading1"/>
        <w:jc w:val="center"/>
      </w:pPr>
      <w:bookmarkStart w:id="8" w:name="_Toc197340843"/>
      <w:r w:rsidRPr="00F2075F">
        <w:lastRenderedPageBreak/>
        <w:t>Safeguarding Children, Young People and Families: A Legislative Timeline and Evaluation</w:t>
      </w:r>
      <w:bookmarkEnd w:id="8"/>
    </w:p>
    <w:p w14:paraId="0A402E40" w14:textId="3552053B" w:rsidR="00F2075F" w:rsidRPr="00F2075F" w:rsidRDefault="00680078" w:rsidP="005F67CB">
      <w:pPr>
        <w:spacing w:line="360" w:lineRule="auto"/>
        <w:rPr>
          <w:rFonts w:ascii="Arial" w:hAnsi="Arial" w:cs="Arial"/>
          <w:sz w:val="24"/>
          <w:szCs w:val="24"/>
        </w:rPr>
      </w:pPr>
      <w:r>
        <w:t xml:space="preserve">     </w:t>
      </w:r>
      <w:r w:rsidR="00F2075F" w:rsidRPr="00F2075F">
        <w:rPr>
          <w:rFonts w:ascii="Arial" w:hAnsi="Arial" w:cs="Arial"/>
          <w:sz w:val="24"/>
          <w:szCs w:val="24"/>
        </w:rPr>
        <w:t xml:space="preserve">Safeguarding is a crucial </w:t>
      </w:r>
      <w:r w:rsidR="0098239C">
        <w:rPr>
          <w:rFonts w:ascii="Arial" w:hAnsi="Arial" w:cs="Arial"/>
          <w:sz w:val="24"/>
          <w:szCs w:val="24"/>
        </w:rPr>
        <w:t xml:space="preserve">aspect of health and social care, particularly when working with children, young people, and their </w:t>
      </w:r>
      <w:r w:rsidR="00F2075F" w:rsidRPr="00F2075F">
        <w:rPr>
          <w:rFonts w:ascii="Arial" w:hAnsi="Arial" w:cs="Arial"/>
          <w:sz w:val="24"/>
          <w:szCs w:val="24"/>
        </w:rPr>
        <w:t>families. Over the past 60 years, legislation in the UK</w:t>
      </w:r>
      <w:r w:rsidR="00F2075F" w:rsidRPr="005F67CB">
        <w:rPr>
          <w:rFonts w:ascii="Arial" w:hAnsi="Arial" w:cs="Arial"/>
          <w:sz w:val="24"/>
          <w:szCs w:val="24"/>
        </w:rPr>
        <w:t xml:space="preserve">, </w:t>
      </w:r>
      <w:r w:rsidR="00F2075F" w:rsidRPr="00F2075F">
        <w:rPr>
          <w:rFonts w:ascii="Arial" w:hAnsi="Arial" w:cs="Arial"/>
          <w:sz w:val="24"/>
          <w:szCs w:val="24"/>
        </w:rPr>
        <w:t>especially in Wales</w:t>
      </w:r>
      <w:r w:rsidR="00F2075F" w:rsidRPr="005F67CB">
        <w:rPr>
          <w:rFonts w:ascii="Arial" w:hAnsi="Arial" w:cs="Arial"/>
          <w:sz w:val="24"/>
          <w:szCs w:val="24"/>
        </w:rPr>
        <w:t xml:space="preserve">, has played a </w:t>
      </w:r>
      <w:r w:rsidR="0098239C">
        <w:rPr>
          <w:rFonts w:ascii="Arial" w:hAnsi="Arial" w:cs="Arial"/>
          <w:sz w:val="24"/>
          <w:szCs w:val="24"/>
        </w:rPr>
        <w:t>significant</w:t>
      </w:r>
      <w:r w:rsidR="00F2075F" w:rsidRPr="005F67CB">
        <w:rPr>
          <w:rFonts w:ascii="Arial" w:hAnsi="Arial" w:cs="Arial"/>
          <w:sz w:val="24"/>
          <w:szCs w:val="24"/>
        </w:rPr>
        <w:t xml:space="preserve"> role in shaping how we protect, support, and empower children. This essay will outline and evaluate key laws introduced over the decades, </w:t>
      </w:r>
      <w:r w:rsidR="0098239C">
        <w:rPr>
          <w:rFonts w:ascii="Arial" w:hAnsi="Arial" w:cs="Arial"/>
          <w:sz w:val="24"/>
          <w:szCs w:val="24"/>
        </w:rPr>
        <w:t>highlighting their relationship</w:t>
      </w:r>
      <w:r w:rsidR="00F2075F" w:rsidRPr="005F67CB">
        <w:rPr>
          <w:rFonts w:ascii="Arial" w:hAnsi="Arial" w:cs="Arial"/>
          <w:sz w:val="24"/>
          <w:szCs w:val="24"/>
        </w:rPr>
        <w:t xml:space="preserve"> to the well-being</w:t>
      </w:r>
      <w:r w:rsidR="00F2075F" w:rsidRPr="00F2075F">
        <w:rPr>
          <w:rFonts w:ascii="Arial" w:hAnsi="Arial" w:cs="Arial"/>
          <w:sz w:val="24"/>
          <w:szCs w:val="24"/>
        </w:rPr>
        <w:t>, development, and community engagement of children and young people</w:t>
      </w:r>
      <w:r w:rsidR="00923D89" w:rsidRPr="005F67CB">
        <w:rPr>
          <w:rFonts w:ascii="Arial" w:hAnsi="Arial" w:cs="Arial"/>
          <w:sz w:val="24"/>
          <w:szCs w:val="24"/>
        </w:rPr>
        <w:t xml:space="preserve"> (Welsh Government, 2021). </w:t>
      </w:r>
    </w:p>
    <w:p w14:paraId="5B3B0E96" w14:textId="77777777" w:rsidR="00F2075F" w:rsidRPr="005F67CB" w:rsidRDefault="00F2075F" w:rsidP="005F67CB">
      <w:pPr>
        <w:pStyle w:val="Heading2"/>
      </w:pPr>
      <w:bookmarkStart w:id="9" w:name="_Toc197340844"/>
      <w:r w:rsidRPr="005F67CB">
        <w:t>1. The Children and Young Persons Act 1969</w:t>
      </w:r>
      <w:bookmarkEnd w:id="9"/>
    </w:p>
    <w:p w14:paraId="6459F6AF" w14:textId="532D23EE" w:rsidR="00F2075F" w:rsidRPr="00F2075F"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923D89" w:rsidRPr="005F67CB">
        <w:rPr>
          <w:rFonts w:ascii="Arial" w:hAnsi="Arial" w:cs="Arial"/>
          <w:sz w:val="24"/>
          <w:szCs w:val="24"/>
        </w:rPr>
        <w:t xml:space="preserve">This was one of the initial measures to officially tackle the welfare of children engaged in the youth justice system. It established supervision orders and aimed </w:t>
      </w:r>
      <w:r w:rsidR="0098239C">
        <w:rPr>
          <w:rFonts w:ascii="Arial" w:hAnsi="Arial" w:cs="Arial"/>
          <w:sz w:val="24"/>
          <w:szCs w:val="24"/>
        </w:rPr>
        <w:t>to prevent crime</w:t>
      </w:r>
      <w:r w:rsidR="00923D89" w:rsidRPr="005F67CB">
        <w:rPr>
          <w:rFonts w:ascii="Arial" w:hAnsi="Arial" w:cs="Arial"/>
          <w:sz w:val="24"/>
          <w:szCs w:val="24"/>
        </w:rPr>
        <w:t xml:space="preserve"> through care and assistance. At the time, this approach was considered innovative as it acknowledged that young individuals required support rather than punishment. However, it prioritised controlling behaviour over collaborating with young people. From a contemporary perspective, this legislation overlooked emotional well-being and the psychological effects of family dynamics. Today, it is recognised through the biopsychosocial model that a child's development is shaped by a blend of mental, physical, and social influences (Bronfenbrenner, 1979).</w:t>
      </w:r>
    </w:p>
    <w:p w14:paraId="6A5984BE" w14:textId="01D92748" w:rsidR="00F2075F" w:rsidRPr="00F2075F" w:rsidRDefault="00F2075F" w:rsidP="005F67CB">
      <w:pPr>
        <w:spacing w:line="360" w:lineRule="auto"/>
        <w:rPr>
          <w:rFonts w:ascii="Arial" w:hAnsi="Arial" w:cs="Arial"/>
          <w:sz w:val="24"/>
          <w:szCs w:val="24"/>
        </w:rPr>
      </w:pPr>
    </w:p>
    <w:p w14:paraId="07465FD1" w14:textId="77777777" w:rsidR="00F2075F" w:rsidRPr="005F67CB" w:rsidRDefault="00F2075F" w:rsidP="005F67CB">
      <w:pPr>
        <w:pStyle w:val="Heading2"/>
      </w:pPr>
      <w:bookmarkStart w:id="10" w:name="_Toc197340845"/>
      <w:r w:rsidRPr="005F67CB">
        <w:t>2. The Children Act 1989</w:t>
      </w:r>
      <w:bookmarkEnd w:id="10"/>
    </w:p>
    <w:p w14:paraId="0FCE16FD" w14:textId="0855A4CA" w:rsidR="00F2075F" w:rsidRPr="00F2075F"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923D89" w:rsidRPr="005F67CB">
        <w:rPr>
          <w:rFonts w:ascii="Arial" w:hAnsi="Arial" w:cs="Arial"/>
          <w:sz w:val="24"/>
          <w:szCs w:val="24"/>
        </w:rPr>
        <w:t xml:space="preserve">Regarded as a pivotal moment in child protection, this Act introduced the principle that the welfare of the child should be the top priority. It also assigned duties to both parents and local authorities to act in the child’s best interests. This legislation was a reaction to increasing worries about child abuse and neglect, establishing the groundwork for how social services assist families today. The Children Act 1989 corresponds with Bronfenbrenner’s theory by taking into account not only the child but also their surroundings, family, educational institutions, and community. It </w:t>
      </w:r>
      <w:r w:rsidR="00CB6E4C" w:rsidRPr="005F67CB">
        <w:rPr>
          <w:rFonts w:ascii="Arial" w:hAnsi="Arial" w:cs="Arial"/>
          <w:sz w:val="24"/>
          <w:szCs w:val="24"/>
        </w:rPr>
        <w:t>emphasised</w:t>
      </w:r>
      <w:r w:rsidR="00923D89" w:rsidRPr="005F67CB">
        <w:rPr>
          <w:rFonts w:ascii="Arial" w:hAnsi="Arial" w:cs="Arial"/>
          <w:sz w:val="24"/>
          <w:szCs w:val="24"/>
        </w:rPr>
        <w:t xml:space="preserve"> the need for collaboration and early intervention. However, in reality, </w:t>
      </w:r>
      <w:r w:rsidR="00923D89" w:rsidRPr="005F67CB">
        <w:rPr>
          <w:rFonts w:ascii="Arial" w:hAnsi="Arial" w:cs="Arial"/>
          <w:sz w:val="24"/>
          <w:szCs w:val="24"/>
        </w:rPr>
        <w:lastRenderedPageBreak/>
        <w:t>children from disadvantaged backgrounds frequently encounter obstacles in accessing prompt support (Public Health Wales, 2021).</w:t>
      </w:r>
    </w:p>
    <w:p w14:paraId="7054996F" w14:textId="446113D3" w:rsidR="00F2075F" w:rsidRPr="00F2075F" w:rsidRDefault="00F2075F" w:rsidP="005F67CB">
      <w:pPr>
        <w:spacing w:line="360" w:lineRule="auto"/>
        <w:rPr>
          <w:rFonts w:ascii="Arial" w:hAnsi="Arial" w:cs="Arial"/>
          <w:sz w:val="24"/>
          <w:szCs w:val="24"/>
        </w:rPr>
      </w:pPr>
    </w:p>
    <w:p w14:paraId="788F39FF" w14:textId="77777777" w:rsidR="00F2075F" w:rsidRPr="005F67CB" w:rsidRDefault="00F2075F" w:rsidP="005F67CB">
      <w:pPr>
        <w:pStyle w:val="Heading2"/>
      </w:pPr>
      <w:bookmarkStart w:id="11" w:name="_Toc197340846"/>
      <w:r w:rsidRPr="005F67CB">
        <w:t>3. The Education Act 2002</w:t>
      </w:r>
      <w:bookmarkEnd w:id="11"/>
    </w:p>
    <w:p w14:paraId="02127757" w14:textId="4C1B15E4" w:rsidR="00F2075F" w:rsidRPr="00F2075F"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CB6E4C" w:rsidRPr="005F67CB">
        <w:rPr>
          <w:rFonts w:ascii="Arial" w:hAnsi="Arial" w:cs="Arial"/>
          <w:sz w:val="24"/>
          <w:szCs w:val="24"/>
        </w:rPr>
        <w:t>This legislation established a legal obligation for educational institutions to protect students</w:t>
      </w:r>
      <w:r w:rsidR="0098239C">
        <w:rPr>
          <w:rFonts w:ascii="Arial" w:hAnsi="Arial" w:cs="Arial"/>
          <w:sz w:val="24"/>
          <w:szCs w:val="24"/>
        </w:rPr>
        <w:t>, recognising that educators are often in a</w:t>
      </w:r>
      <w:r w:rsidR="00CB6E4C" w:rsidRPr="005F67CB">
        <w:rPr>
          <w:rFonts w:ascii="Arial" w:hAnsi="Arial" w:cs="Arial"/>
          <w:sz w:val="24"/>
          <w:szCs w:val="24"/>
        </w:rPr>
        <w:t xml:space="preserve"> prime position to notice indicators of abuse or mental health challenges. Section 175 mandates that governing bodies and headteachers must take action if a child is potentially at risk. This law was significant because it empowered schools </w:t>
      </w:r>
      <w:r w:rsidR="0098239C">
        <w:rPr>
          <w:rFonts w:ascii="Arial" w:hAnsi="Arial" w:cs="Arial"/>
          <w:sz w:val="24"/>
          <w:szCs w:val="24"/>
        </w:rPr>
        <w:t>to have a louder voice in matters of child protection, reinforcing</w:t>
      </w:r>
      <w:r w:rsidR="00CB6E4C" w:rsidRPr="005F67CB">
        <w:rPr>
          <w:rFonts w:ascii="Arial" w:hAnsi="Arial" w:cs="Arial"/>
          <w:sz w:val="24"/>
          <w:szCs w:val="24"/>
        </w:rPr>
        <w:t xml:space="preserve"> the notion that the well-being of students should be incorporated into their educational journey. Nevertheless, some schools, particularly in rural areas of Wales, continue to face challenges with funding and staffing shortages, hindering their ability </w:t>
      </w:r>
      <w:r w:rsidR="0098239C">
        <w:rPr>
          <w:rFonts w:ascii="Arial" w:hAnsi="Arial" w:cs="Arial"/>
          <w:sz w:val="24"/>
          <w:szCs w:val="24"/>
        </w:rPr>
        <w:t>to fulfil safeguarding responsibilities fully</w:t>
      </w:r>
      <w:r w:rsidR="00CB6E4C" w:rsidRPr="005F67CB">
        <w:rPr>
          <w:rFonts w:ascii="Arial" w:hAnsi="Arial" w:cs="Arial"/>
          <w:sz w:val="24"/>
          <w:szCs w:val="24"/>
        </w:rPr>
        <w:t xml:space="preserve"> (Children’s Commissioner for Wales, 2022).</w:t>
      </w:r>
    </w:p>
    <w:p w14:paraId="1978FFCD" w14:textId="5E548055" w:rsidR="00F2075F" w:rsidRPr="00F2075F" w:rsidRDefault="00F2075F" w:rsidP="005F67CB">
      <w:pPr>
        <w:spacing w:line="360" w:lineRule="auto"/>
        <w:rPr>
          <w:rFonts w:ascii="Arial" w:hAnsi="Arial" w:cs="Arial"/>
          <w:sz w:val="24"/>
          <w:szCs w:val="24"/>
        </w:rPr>
      </w:pPr>
    </w:p>
    <w:p w14:paraId="51FA21FB" w14:textId="77777777" w:rsidR="00F2075F" w:rsidRPr="005F67CB" w:rsidRDefault="00F2075F" w:rsidP="005F67CB">
      <w:pPr>
        <w:pStyle w:val="Heading2"/>
      </w:pPr>
      <w:bookmarkStart w:id="12" w:name="_Toc197340847"/>
      <w:r w:rsidRPr="005F67CB">
        <w:t>4. The Children Act 2004 and the Every Child Matters Agenda</w:t>
      </w:r>
      <w:bookmarkEnd w:id="12"/>
    </w:p>
    <w:p w14:paraId="23D03932" w14:textId="0899583C" w:rsidR="00F2075F" w:rsidRPr="00F2075F"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CB6E4C" w:rsidRPr="005F67CB">
        <w:rPr>
          <w:rFonts w:ascii="Arial" w:hAnsi="Arial" w:cs="Arial"/>
          <w:sz w:val="24"/>
          <w:szCs w:val="24"/>
        </w:rPr>
        <w:t>In response to the tragic death of Victoria Climbié, the Children Act 2004 was implemented to enhance collaboration and accountability among different agencies. It established Local Safeguarding Children Boards and supported the framework of Every Child Matters, which emphasised five primary outcomes: being healthy, remaining safe, enjoying and achieving, making a positive contribution, and attaining economic well-being. This legislation encouraged a holistic approach to child welfare and impacted the way services cooperate. Additionally, it connects to Maslow’s Hierarchy of Needs, where children’s development relies on feelings of safety and being valued. However, challenges have persisted in maintaining consistency among various local authorities, particularly in light of cuts to children’s services (</w:t>
      </w:r>
      <w:r w:rsidR="00BE7414">
        <w:rPr>
          <w:rFonts w:ascii="Arial" w:hAnsi="Arial" w:cs="Arial"/>
          <w:sz w:val="24"/>
          <w:szCs w:val="24"/>
        </w:rPr>
        <w:t>Dfe</w:t>
      </w:r>
      <w:r w:rsidR="00CB6E4C" w:rsidRPr="005F67CB">
        <w:rPr>
          <w:rFonts w:ascii="Arial" w:hAnsi="Arial" w:cs="Arial"/>
          <w:sz w:val="24"/>
          <w:szCs w:val="24"/>
        </w:rPr>
        <w:t>, 2023).</w:t>
      </w:r>
    </w:p>
    <w:p w14:paraId="062EEE49" w14:textId="6394D904" w:rsidR="00F2075F" w:rsidRPr="00F2075F" w:rsidRDefault="00F2075F" w:rsidP="005F67CB">
      <w:pPr>
        <w:spacing w:line="360" w:lineRule="auto"/>
        <w:rPr>
          <w:rFonts w:ascii="Arial" w:hAnsi="Arial" w:cs="Arial"/>
          <w:sz w:val="24"/>
          <w:szCs w:val="24"/>
        </w:rPr>
      </w:pPr>
    </w:p>
    <w:p w14:paraId="5178260F" w14:textId="77777777" w:rsidR="00F2075F" w:rsidRPr="005F67CB" w:rsidRDefault="00F2075F" w:rsidP="005F67CB">
      <w:pPr>
        <w:pStyle w:val="Heading2"/>
      </w:pPr>
      <w:bookmarkStart w:id="13" w:name="_Toc197340848"/>
      <w:r w:rsidRPr="005F67CB">
        <w:t>5. The Children and Families Act 2014</w:t>
      </w:r>
      <w:bookmarkEnd w:id="13"/>
    </w:p>
    <w:p w14:paraId="32DBD17D" w14:textId="7372AC4E" w:rsidR="00F2075F" w:rsidRPr="00F2075F"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CB6E4C" w:rsidRPr="005F67CB">
        <w:rPr>
          <w:rFonts w:ascii="Arial" w:hAnsi="Arial" w:cs="Arial"/>
          <w:sz w:val="24"/>
          <w:szCs w:val="24"/>
        </w:rPr>
        <w:t>This legislation empowered children with special educational needs by introducing Education, Health, and Care Plans (</w:t>
      </w:r>
      <w:r w:rsidR="00BE7414">
        <w:rPr>
          <w:rFonts w:ascii="Arial" w:hAnsi="Arial" w:cs="Arial"/>
          <w:sz w:val="24"/>
          <w:szCs w:val="24"/>
        </w:rPr>
        <w:t>EHCPS</w:t>
      </w:r>
      <w:r w:rsidR="00CB6E4C" w:rsidRPr="005F67CB">
        <w:rPr>
          <w:rFonts w:ascii="Arial" w:hAnsi="Arial" w:cs="Arial"/>
          <w:sz w:val="24"/>
          <w:szCs w:val="24"/>
        </w:rPr>
        <w:t>). It also acknowledged the requirements of young carers and sought to engage families more in the decision-</w:t>
      </w:r>
      <w:r w:rsidR="00CB6E4C" w:rsidRPr="005F67CB">
        <w:rPr>
          <w:rFonts w:ascii="Arial" w:hAnsi="Arial" w:cs="Arial"/>
          <w:sz w:val="24"/>
          <w:szCs w:val="24"/>
        </w:rPr>
        <w:lastRenderedPageBreak/>
        <w:t xml:space="preserve">making process. This strategy aligns with Self-Determination Theory (Deci &amp; Ryan, 1985), which highlights the significance of autonomy and involvement. Allowing children to express their views contributes to the development of self-esteem and enhances emotional well-being. Nonetheless, families continue to experience delays and confusion in obtaining </w:t>
      </w:r>
      <w:r w:rsidR="00BE7414">
        <w:rPr>
          <w:rFonts w:ascii="Arial" w:hAnsi="Arial" w:cs="Arial"/>
          <w:sz w:val="24"/>
          <w:szCs w:val="24"/>
        </w:rPr>
        <w:t>EHCPS</w:t>
      </w:r>
      <w:r w:rsidR="00CB6E4C" w:rsidRPr="005F67CB">
        <w:rPr>
          <w:rFonts w:ascii="Arial" w:hAnsi="Arial" w:cs="Arial"/>
          <w:sz w:val="24"/>
          <w:szCs w:val="24"/>
        </w:rPr>
        <w:t>, which can adversely affect a child's education and growth (Welsh Government, 2022).</w:t>
      </w:r>
    </w:p>
    <w:p w14:paraId="3600663A" w14:textId="024A5EA0" w:rsidR="00F2075F" w:rsidRPr="00F2075F" w:rsidRDefault="00F2075F" w:rsidP="005F67CB">
      <w:pPr>
        <w:spacing w:line="360" w:lineRule="auto"/>
        <w:rPr>
          <w:rFonts w:ascii="Arial" w:hAnsi="Arial" w:cs="Arial"/>
          <w:sz w:val="24"/>
          <w:szCs w:val="24"/>
        </w:rPr>
      </w:pPr>
    </w:p>
    <w:p w14:paraId="485E934A" w14:textId="77777777" w:rsidR="00F2075F" w:rsidRPr="005F67CB" w:rsidRDefault="00F2075F" w:rsidP="005F67CB">
      <w:pPr>
        <w:pStyle w:val="Heading2"/>
      </w:pPr>
      <w:bookmarkStart w:id="14" w:name="_Toc197340849"/>
      <w:r w:rsidRPr="005F67CB">
        <w:t>6. The Well-being of Future Generations (Wales) Act 2015</w:t>
      </w:r>
      <w:bookmarkEnd w:id="14"/>
    </w:p>
    <w:p w14:paraId="53349B04" w14:textId="7E7BE2E9" w:rsidR="00F2075F" w:rsidRPr="00F2075F"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CB6E4C" w:rsidRPr="005F67CB">
        <w:rPr>
          <w:rFonts w:ascii="Arial" w:hAnsi="Arial" w:cs="Arial"/>
          <w:sz w:val="24"/>
          <w:szCs w:val="24"/>
        </w:rPr>
        <w:t>This distinctive Welsh legislation prioritises long-term well-being for all individuals, particularly children and young people. It mandates that public services take into account sustainability, equality, and community involvement in all of their actions. This Act is significant because it connects local strategies to global objectives, such as those outlined in the United Nations Sustainable Development Goals. It encourages children to engage as active citizens within their communities and fosters a healthier Wales through integrated services. However, research indicates that the effectiveness of its implementation can vary based on the local authority (Public Health Wales, 2021).</w:t>
      </w:r>
    </w:p>
    <w:p w14:paraId="242BC118" w14:textId="5CEE5261" w:rsidR="00F2075F" w:rsidRPr="00F2075F" w:rsidRDefault="00F2075F" w:rsidP="005F67CB">
      <w:pPr>
        <w:spacing w:line="360" w:lineRule="auto"/>
        <w:rPr>
          <w:rFonts w:ascii="Arial" w:hAnsi="Arial" w:cs="Arial"/>
          <w:sz w:val="24"/>
          <w:szCs w:val="24"/>
        </w:rPr>
      </w:pPr>
    </w:p>
    <w:p w14:paraId="3D9B8AFD" w14:textId="77777777" w:rsidR="00F2075F" w:rsidRPr="005F67CB" w:rsidRDefault="00F2075F" w:rsidP="005F67CB">
      <w:pPr>
        <w:pStyle w:val="Heading2"/>
      </w:pPr>
      <w:bookmarkStart w:id="15" w:name="_Toc197340850"/>
      <w:r w:rsidRPr="005F67CB">
        <w:t>7. The Social Services and Well-being (Wales) Act 2014</w:t>
      </w:r>
      <w:bookmarkEnd w:id="15"/>
    </w:p>
    <w:p w14:paraId="2DDE9BD2" w14:textId="25222748" w:rsidR="00F2075F" w:rsidRPr="00F2075F"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CB6E4C" w:rsidRPr="005F67CB">
        <w:rPr>
          <w:rFonts w:ascii="Arial" w:hAnsi="Arial" w:cs="Arial"/>
          <w:sz w:val="24"/>
          <w:szCs w:val="24"/>
        </w:rPr>
        <w:t>This legislation promotes the principles of voice, choice, and control for individuals in need of care and support. For children, this entails their participation in the development of their own support plans, particularly in safeguarding contexts. The Act advocates for rights-based frameworks and strives to customise services based on the unique needs of each child. It takes into account both social and emotional wellness, which corresponds with the biopsychosocial model. However, despite its advantages, financial limitations have hindered services from fully achieving their objectives (Care Inspectorate Wales, 2022).</w:t>
      </w:r>
    </w:p>
    <w:p w14:paraId="500CA506" w14:textId="13994E86" w:rsidR="00F2075F" w:rsidRPr="00F2075F" w:rsidRDefault="00F2075F" w:rsidP="005F67CB">
      <w:pPr>
        <w:spacing w:line="360" w:lineRule="auto"/>
        <w:rPr>
          <w:rFonts w:ascii="Arial" w:hAnsi="Arial" w:cs="Arial"/>
          <w:sz w:val="24"/>
          <w:szCs w:val="24"/>
        </w:rPr>
      </w:pPr>
    </w:p>
    <w:p w14:paraId="1023B9F0" w14:textId="77777777" w:rsidR="00F2075F" w:rsidRPr="005F67CB" w:rsidRDefault="00F2075F" w:rsidP="005F67CB">
      <w:pPr>
        <w:pStyle w:val="Heading2"/>
      </w:pPr>
      <w:bookmarkStart w:id="16" w:name="_Toc197340851"/>
      <w:r w:rsidRPr="005F67CB">
        <w:t>8. The United Nations Convention on the Rights of the Child (UNCRC)</w:t>
      </w:r>
      <w:bookmarkEnd w:id="16"/>
    </w:p>
    <w:p w14:paraId="4A0173CA" w14:textId="5D17C542" w:rsidR="00F2075F" w:rsidRPr="00F2075F"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CB6E4C" w:rsidRPr="005F67CB">
        <w:rPr>
          <w:rFonts w:ascii="Arial" w:hAnsi="Arial" w:cs="Arial"/>
          <w:sz w:val="24"/>
          <w:szCs w:val="24"/>
        </w:rPr>
        <w:t xml:space="preserve">Although it is not a law in the UK, the UNCRC was ratified by the UK in 1991 and included in Welsh law in 2011. It safeguards a broad range of children’s rights, </w:t>
      </w:r>
      <w:r w:rsidR="00CB6E4C" w:rsidRPr="005F67CB">
        <w:rPr>
          <w:rFonts w:ascii="Arial" w:hAnsi="Arial" w:cs="Arial"/>
          <w:sz w:val="24"/>
          <w:szCs w:val="24"/>
        </w:rPr>
        <w:lastRenderedPageBreak/>
        <w:t>including the rights to be heard, to maintain health, and to ensure safety. The UNCRC is particularly significant for fostering empowerment and independence. Article 12, which pertains to the right to be heard, is associated with building self-esteem and engaging with the community. Wales has taken a leading role in implementing these rights within schools, youth services, and healthcare. Nevertheless, there are still children who feel that their voices are not adequately considered in decisions that impact them (Children’s Commissioner for Wales, 2022).</w:t>
      </w:r>
    </w:p>
    <w:p w14:paraId="34C3E0D4" w14:textId="7E5140B4" w:rsidR="00F2075F" w:rsidRPr="00F2075F" w:rsidRDefault="00F2075F" w:rsidP="005F67CB">
      <w:pPr>
        <w:spacing w:line="360" w:lineRule="auto"/>
        <w:rPr>
          <w:rFonts w:ascii="Arial" w:hAnsi="Arial" w:cs="Arial"/>
          <w:sz w:val="24"/>
          <w:szCs w:val="24"/>
        </w:rPr>
      </w:pPr>
    </w:p>
    <w:p w14:paraId="5994F3B0" w14:textId="3380E470" w:rsidR="00F2075F" w:rsidRPr="005F67CB" w:rsidRDefault="00F2075F" w:rsidP="005F67CB">
      <w:pPr>
        <w:pStyle w:val="Heading2"/>
      </w:pPr>
      <w:bookmarkStart w:id="17" w:name="_Toc197340852"/>
      <w:r w:rsidRPr="005F67CB">
        <w:t>9. Keeping Learners Safe (2023, Wales)</w:t>
      </w:r>
      <w:bookmarkEnd w:id="17"/>
    </w:p>
    <w:p w14:paraId="6961B41D" w14:textId="672DCB4F" w:rsidR="00F2075F" w:rsidRPr="00F2075F" w:rsidRDefault="00680078" w:rsidP="005F67CB">
      <w:pPr>
        <w:spacing w:line="360" w:lineRule="auto"/>
        <w:rPr>
          <w:rFonts w:ascii="Arial" w:hAnsi="Arial" w:cs="Arial"/>
          <w:sz w:val="24"/>
          <w:szCs w:val="24"/>
        </w:rPr>
      </w:pPr>
      <w:r w:rsidRPr="005F67CB">
        <w:rPr>
          <w:rFonts w:ascii="Arial" w:hAnsi="Arial" w:cs="Arial"/>
          <w:sz w:val="24"/>
          <w:szCs w:val="24"/>
        </w:rPr>
        <w:t xml:space="preserve">     </w:t>
      </w:r>
      <w:r w:rsidR="00CB6E4C" w:rsidRPr="005F67CB">
        <w:rPr>
          <w:rFonts w:ascii="Arial" w:hAnsi="Arial" w:cs="Arial"/>
          <w:sz w:val="24"/>
          <w:szCs w:val="24"/>
        </w:rPr>
        <w:t>This revised guidance reinforces the Whole School Approach to emotional and mental well-being. It assists schools in establishing secure, supportive environments where students feel comfortable expressing their needs and obtaining help. This method aligns with biopsychosocial principles by considering the interrelation of physical, mental, and social health. It also promotes early intervention. Nonetheless, even the most effective guidance depends on the presence of trained personnel and available time, both of which are currently strained in the education system (Welsh Government, 2023).</w:t>
      </w:r>
    </w:p>
    <w:p w14:paraId="04CE42CA" w14:textId="77777777" w:rsidR="00F2075F" w:rsidRPr="005F67CB" w:rsidRDefault="00F2075F" w:rsidP="005F67CB">
      <w:pPr>
        <w:spacing w:line="360" w:lineRule="auto"/>
        <w:rPr>
          <w:rFonts w:ascii="Arial" w:hAnsi="Arial" w:cs="Arial"/>
          <w:sz w:val="24"/>
          <w:szCs w:val="24"/>
        </w:rPr>
      </w:pPr>
    </w:p>
    <w:p w14:paraId="2FCF9ED9" w14:textId="77777777" w:rsidR="0080299B" w:rsidRPr="005F67CB" w:rsidRDefault="0080299B" w:rsidP="005F67CB">
      <w:pPr>
        <w:spacing w:line="360" w:lineRule="auto"/>
        <w:rPr>
          <w:rFonts w:ascii="Arial" w:hAnsi="Arial" w:cs="Arial"/>
          <w:sz w:val="24"/>
          <w:szCs w:val="24"/>
        </w:rPr>
      </w:pPr>
    </w:p>
    <w:p w14:paraId="1221EA71" w14:textId="77777777" w:rsidR="00D04A04" w:rsidRPr="005F67CB" w:rsidRDefault="00D04A04" w:rsidP="005F67CB">
      <w:pPr>
        <w:spacing w:line="360" w:lineRule="auto"/>
        <w:rPr>
          <w:rFonts w:ascii="Arial" w:hAnsi="Arial" w:cs="Arial"/>
          <w:sz w:val="24"/>
          <w:szCs w:val="24"/>
        </w:rPr>
      </w:pPr>
    </w:p>
    <w:p w14:paraId="3A3C1F38" w14:textId="77777777" w:rsidR="00D04A04" w:rsidRPr="005F67CB" w:rsidRDefault="00D04A04" w:rsidP="005F67CB">
      <w:pPr>
        <w:spacing w:line="360" w:lineRule="auto"/>
        <w:rPr>
          <w:rFonts w:ascii="Arial" w:hAnsi="Arial" w:cs="Arial"/>
          <w:sz w:val="24"/>
          <w:szCs w:val="24"/>
        </w:rPr>
      </w:pPr>
    </w:p>
    <w:p w14:paraId="570B0EC1" w14:textId="77777777" w:rsidR="00D04A04" w:rsidRPr="005F67CB" w:rsidRDefault="00D04A04" w:rsidP="005F67CB">
      <w:pPr>
        <w:spacing w:line="360" w:lineRule="auto"/>
        <w:rPr>
          <w:rFonts w:ascii="Arial" w:hAnsi="Arial" w:cs="Arial"/>
          <w:sz w:val="24"/>
          <w:szCs w:val="24"/>
        </w:rPr>
      </w:pPr>
    </w:p>
    <w:p w14:paraId="740F782B" w14:textId="77777777" w:rsidR="00B75391" w:rsidRDefault="00B75391" w:rsidP="005F67CB">
      <w:pPr>
        <w:spacing w:line="360" w:lineRule="auto"/>
        <w:rPr>
          <w:rFonts w:ascii="Arial" w:hAnsi="Arial" w:cs="Arial"/>
          <w:sz w:val="24"/>
          <w:szCs w:val="24"/>
        </w:rPr>
      </w:pPr>
    </w:p>
    <w:p w14:paraId="3A4F59C9" w14:textId="77777777" w:rsidR="00494C27" w:rsidRDefault="00494C27" w:rsidP="005F67CB">
      <w:pPr>
        <w:pStyle w:val="Heading1"/>
      </w:pPr>
    </w:p>
    <w:p w14:paraId="5453991D" w14:textId="77777777" w:rsidR="00BE7414" w:rsidRDefault="00BE7414" w:rsidP="005F67CB">
      <w:pPr>
        <w:pStyle w:val="Heading1"/>
      </w:pPr>
      <w:bookmarkStart w:id="18" w:name="_Toc197340853"/>
    </w:p>
    <w:p w14:paraId="160D5521" w14:textId="77777777" w:rsidR="00BE7414" w:rsidRPr="00BE7414" w:rsidRDefault="00BE7414" w:rsidP="00BE7414"/>
    <w:p w14:paraId="55268C88" w14:textId="729EE211" w:rsidR="0080299B" w:rsidRPr="005F67CB" w:rsidRDefault="0080299B" w:rsidP="005F67CB">
      <w:pPr>
        <w:pStyle w:val="Heading1"/>
      </w:pPr>
      <w:r w:rsidRPr="005F67CB">
        <w:lastRenderedPageBreak/>
        <w:t>References:</w:t>
      </w:r>
      <w:bookmarkEnd w:id="18"/>
    </w:p>
    <w:p w14:paraId="01299F8C" w14:textId="2E41D7E7"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 xml:space="preserve">Appleton, R., Barnett, P., Clarke, C., Yang, J., Begum, S., Edbrooke-Childs, J., Emptage, I., Foye, U., Griffiths, J., Hanson, I., Hunt, N.C., Jarvis, R., McAuliffe, M., Maynard, E., Mitchell, L., Mostafa, I., Pemovska, T., Saunders, R., Trevillion, K. and Waite, P. (2025) </w:t>
      </w:r>
      <w:r w:rsidR="004369DE">
        <w:rPr>
          <w:rFonts w:ascii="Arial" w:hAnsi="Arial" w:cs="Arial"/>
          <w:sz w:val="24"/>
          <w:szCs w:val="24"/>
        </w:rPr>
        <w:t>‘</w:t>
      </w:r>
      <w:r w:rsidRPr="005F67CB">
        <w:rPr>
          <w:rFonts w:ascii="Arial" w:hAnsi="Arial" w:cs="Arial"/>
          <w:sz w:val="24"/>
          <w:szCs w:val="24"/>
        </w:rPr>
        <w:t>Approaches to early intervention for common mental health problems in young people: a systematic review</w:t>
      </w:r>
      <w:r w:rsidR="004369DE">
        <w:rPr>
          <w:rFonts w:ascii="Arial" w:hAnsi="Arial" w:cs="Arial"/>
          <w:sz w:val="24"/>
          <w:szCs w:val="24"/>
        </w:rPr>
        <w:t>’,</w:t>
      </w:r>
      <w:r w:rsidRPr="005F67CB">
        <w:rPr>
          <w:rFonts w:ascii="Arial" w:hAnsi="Arial" w:cs="Arial"/>
          <w:sz w:val="24"/>
          <w:szCs w:val="24"/>
        </w:rPr>
        <w:t> </w:t>
      </w:r>
      <w:r w:rsidRPr="005F67CB">
        <w:rPr>
          <w:rFonts w:ascii="Arial" w:hAnsi="Arial" w:cs="Arial"/>
          <w:i/>
          <w:iCs/>
          <w:sz w:val="24"/>
          <w:szCs w:val="24"/>
        </w:rPr>
        <w:t>(Cold Spring Harbor Laboratory)</w:t>
      </w:r>
      <w:r w:rsidRPr="005F67CB">
        <w:rPr>
          <w:rFonts w:ascii="Arial" w:hAnsi="Arial" w:cs="Arial"/>
          <w:sz w:val="24"/>
          <w:szCs w:val="24"/>
        </w:rPr>
        <w:t>.</w:t>
      </w:r>
      <w:r w:rsidR="004369DE">
        <w:rPr>
          <w:rFonts w:ascii="Arial" w:hAnsi="Arial" w:cs="Arial"/>
          <w:sz w:val="24"/>
          <w:szCs w:val="24"/>
        </w:rPr>
        <w:t xml:space="preserve"> Available at: </w:t>
      </w:r>
      <w:r w:rsidR="004369DE" w:rsidRPr="00F77F4A">
        <w:rPr>
          <w:rFonts w:ascii="Arial" w:hAnsi="Arial" w:cs="Arial"/>
          <w:sz w:val="24"/>
          <w:szCs w:val="24"/>
        </w:rPr>
        <w:t>https://doi.org/10.1101/2025.02.07.25321864</w:t>
      </w:r>
      <w:r w:rsidRPr="005F67CB">
        <w:rPr>
          <w:rFonts w:ascii="Arial" w:hAnsi="Arial" w:cs="Arial"/>
          <w:sz w:val="24"/>
          <w:szCs w:val="24"/>
        </w:rPr>
        <w:t>.</w:t>
      </w:r>
      <w:r w:rsidR="004369DE">
        <w:rPr>
          <w:rFonts w:ascii="Arial" w:hAnsi="Arial" w:cs="Arial"/>
          <w:sz w:val="24"/>
          <w:szCs w:val="24"/>
        </w:rPr>
        <w:t xml:space="preserve">  </w:t>
      </w:r>
    </w:p>
    <w:p w14:paraId="34DA6725" w14:textId="1196ABD3"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Bowlby, J. (1969) Attachment and Loss: Volume I. Attachment. London: Hogarth Press.</w:t>
      </w:r>
    </w:p>
    <w:p w14:paraId="3A0D42E4" w14:textId="686A49CB"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 xml:space="preserve">Bronfenbrenner, U. (1979) </w:t>
      </w:r>
      <w:r w:rsidRPr="005F67CB">
        <w:rPr>
          <w:rFonts w:ascii="Arial" w:hAnsi="Arial" w:cs="Arial"/>
          <w:i/>
          <w:iCs/>
          <w:sz w:val="24"/>
          <w:szCs w:val="24"/>
        </w:rPr>
        <w:t>The Ecology of Human Development</w:t>
      </w:r>
      <w:r w:rsidRPr="005F67CB">
        <w:rPr>
          <w:rFonts w:ascii="Arial" w:hAnsi="Arial" w:cs="Arial"/>
          <w:sz w:val="24"/>
          <w:szCs w:val="24"/>
        </w:rPr>
        <w:t>. Cambridge, MA: Harvard University Press.</w:t>
      </w:r>
    </w:p>
    <w:p w14:paraId="29CBF3E1" w14:textId="27B96F2B"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Care Inspectorate Wales. (2022) </w:t>
      </w:r>
      <w:r w:rsidRPr="005F67CB">
        <w:rPr>
          <w:rFonts w:ascii="Arial" w:hAnsi="Arial" w:cs="Arial"/>
          <w:i/>
          <w:iCs/>
          <w:sz w:val="24"/>
          <w:szCs w:val="24"/>
        </w:rPr>
        <w:t>Safeguarding Policy (HTML document) | Care Inspectorate Wales</w:t>
      </w:r>
      <w:r w:rsidRPr="005F67CB">
        <w:rPr>
          <w:rFonts w:ascii="Arial" w:hAnsi="Arial" w:cs="Arial"/>
          <w:sz w:val="24"/>
          <w:szCs w:val="24"/>
        </w:rPr>
        <w:t xml:space="preserve">. Available at: </w:t>
      </w:r>
      <w:r w:rsidR="005B3C90" w:rsidRPr="00F77F4A">
        <w:rPr>
          <w:rFonts w:ascii="Arial" w:hAnsi="Arial" w:cs="Arial"/>
          <w:sz w:val="24"/>
          <w:szCs w:val="24"/>
        </w:rPr>
        <w:t>https://www.careinspectorate.wales/safeguarding-policy-html. (Accessed 04 May 2025).</w:t>
      </w:r>
      <w:r w:rsidR="005B3C90" w:rsidRPr="00F77F4A">
        <w:rPr>
          <w:rFonts w:ascii="Arial" w:hAnsi="Arial" w:cs="Arial"/>
          <w:sz w:val="24"/>
          <w:szCs w:val="24"/>
        </w:rPr>
        <w:br/>
        <w:t>Children’s</w:t>
      </w:r>
      <w:r w:rsidRPr="005F67CB">
        <w:rPr>
          <w:rFonts w:ascii="Arial" w:hAnsi="Arial" w:cs="Arial"/>
          <w:sz w:val="24"/>
          <w:szCs w:val="24"/>
        </w:rPr>
        <w:t xml:space="preserve">  Commissioner for England. (2023). </w:t>
      </w:r>
      <w:r w:rsidRPr="005F67CB">
        <w:rPr>
          <w:rFonts w:ascii="Arial" w:hAnsi="Arial" w:cs="Arial"/>
          <w:i/>
          <w:iCs/>
          <w:sz w:val="24"/>
          <w:szCs w:val="24"/>
        </w:rPr>
        <w:t>Children’s Mental Health Services 2022–23</w:t>
      </w:r>
      <w:r w:rsidRPr="005F67CB">
        <w:rPr>
          <w:rFonts w:ascii="Arial" w:hAnsi="Arial" w:cs="Arial"/>
          <w:sz w:val="24"/>
          <w:szCs w:val="24"/>
        </w:rPr>
        <w:t xml:space="preserve">. Available at: </w:t>
      </w:r>
      <w:r w:rsidRPr="00F77F4A">
        <w:rPr>
          <w:rFonts w:ascii="Arial" w:hAnsi="Arial" w:cs="Arial"/>
          <w:sz w:val="24"/>
          <w:szCs w:val="24"/>
        </w:rPr>
        <w:t>https://www.childrenscommissioner.gov.uk</w:t>
      </w:r>
      <w:r w:rsidRPr="005F67CB">
        <w:rPr>
          <w:rFonts w:ascii="Arial" w:hAnsi="Arial" w:cs="Arial"/>
          <w:sz w:val="24"/>
          <w:szCs w:val="24"/>
        </w:rPr>
        <w:t xml:space="preserve"> </w:t>
      </w:r>
      <w:r w:rsidR="004369DE">
        <w:rPr>
          <w:rFonts w:ascii="Arial" w:hAnsi="Arial" w:cs="Arial"/>
          <w:sz w:val="24"/>
          <w:szCs w:val="24"/>
        </w:rPr>
        <w:t>(Accessed 04</w:t>
      </w:r>
      <w:r w:rsidR="005B3C90">
        <w:rPr>
          <w:rFonts w:ascii="Arial" w:hAnsi="Arial" w:cs="Arial"/>
          <w:sz w:val="24"/>
          <w:szCs w:val="24"/>
        </w:rPr>
        <w:t xml:space="preserve"> May </w:t>
      </w:r>
      <w:r w:rsidR="004369DE">
        <w:rPr>
          <w:rFonts w:ascii="Arial" w:hAnsi="Arial" w:cs="Arial"/>
          <w:sz w:val="24"/>
          <w:szCs w:val="24"/>
        </w:rPr>
        <w:t>2025).</w:t>
      </w:r>
    </w:p>
    <w:p w14:paraId="1057CA6B" w14:textId="340AC65B"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 xml:space="preserve">Care Quality Commission (2023) State of Care in Mental Health Services 2022/23. </w:t>
      </w:r>
      <w:r w:rsidR="004369DE" w:rsidRPr="005F67CB">
        <w:rPr>
          <w:rFonts w:ascii="Arial" w:hAnsi="Arial" w:cs="Arial"/>
          <w:sz w:val="24"/>
          <w:szCs w:val="24"/>
        </w:rPr>
        <w:t>Available at:</w:t>
      </w:r>
      <w:r w:rsidR="004369DE">
        <w:rPr>
          <w:rFonts w:ascii="Arial" w:hAnsi="Arial" w:cs="Arial"/>
          <w:sz w:val="24"/>
          <w:szCs w:val="24"/>
        </w:rPr>
        <w:t xml:space="preserve"> </w:t>
      </w:r>
      <w:r w:rsidR="004369DE" w:rsidRPr="00F77F4A">
        <w:rPr>
          <w:rFonts w:ascii="Arial" w:hAnsi="Arial" w:cs="Arial"/>
          <w:sz w:val="24"/>
          <w:szCs w:val="24"/>
        </w:rPr>
        <w:t>https://www.cqc.org.uk/publications</w:t>
      </w:r>
      <w:r w:rsidR="004369DE">
        <w:rPr>
          <w:rFonts w:ascii="Arial" w:hAnsi="Arial" w:cs="Arial"/>
          <w:sz w:val="24"/>
          <w:szCs w:val="24"/>
        </w:rPr>
        <w:t xml:space="preserve"> (Accessed 04</w:t>
      </w:r>
      <w:r w:rsidR="005B3C90">
        <w:rPr>
          <w:rFonts w:ascii="Arial" w:hAnsi="Arial" w:cs="Arial"/>
          <w:sz w:val="24"/>
          <w:szCs w:val="24"/>
        </w:rPr>
        <w:t xml:space="preserve"> May </w:t>
      </w:r>
      <w:r w:rsidR="004369DE">
        <w:rPr>
          <w:rFonts w:ascii="Arial" w:hAnsi="Arial" w:cs="Arial"/>
          <w:sz w:val="24"/>
          <w:szCs w:val="24"/>
        </w:rPr>
        <w:t>2025).</w:t>
      </w:r>
    </w:p>
    <w:p w14:paraId="12FD2FE2" w14:textId="6FD9BBC5"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Children’s Commissioner for England. (2023). Children’s Mental Health Services 2022–23.</w:t>
      </w:r>
      <w:r w:rsidR="004369DE">
        <w:rPr>
          <w:rFonts w:ascii="Arial" w:hAnsi="Arial" w:cs="Arial"/>
          <w:sz w:val="24"/>
          <w:szCs w:val="24"/>
        </w:rPr>
        <w:t xml:space="preserve"> </w:t>
      </w:r>
      <w:r w:rsidR="004369DE" w:rsidRPr="005F67CB">
        <w:rPr>
          <w:rFonts w:ascii="Arial" w:hAnsi="Arial" w:cs="Arial"/>
          <w:sz w:val="24"/>
          <w:szCs w:val="24"/>
        </w:rPr>
        <w:t>Available at:</w:t>
      </w:r>
      <w:r w:rsidRPr="005F67CB">
        <w:rPr>
          <w:rFonts w:ascii="Arial" w:hAnsi="Arial" w:cs="Arial"/>
          <w:sz w:val="24"/>
          <w:szCs w:val="24"/>
        </w:rPr>
        <w:t xml:space="preserve"> </w:t>
      </w:r>
      <w:r w:rsidRPr="00F77F4A">
        <w:rPr>
          <w:rFonts w:ascii="Arial" w:hAnsi="Arial" w:cs="Arial"/>
          <w:sz w:val="24"/>
          <w:szCs w:val="24"/>
        </w:rPr>
        <w:t>https://www.childrenscommissioner.gov.uk</w:t>
      </w:r>
      <w:r w:rsidR="004369DE">
        <w:rPr>
          <w:rFonts w:ascii="Arial" w:hAnsi="Arial" w:cs="Arial"/>
          <w:sz w:val="24"/>
          <w:szCs w:val="24"/>
        </w:rPr>
        <w:t xml:space="preserve"> (Accessed 04</w:t>
      </w:r>
      <w:r w:rsidR="005B3C90">
        <w:rPr>
          <w:rFonts w:ascii="Arial" w:hAnsi="Arial" w:cs="Arial"/>
          <w:sz w:val="24"/>
          <w:szCs w:val="24"/>
        </w:rPr>
        <w:t xml:space="preserve"> May </w:t>
      </w:r>
      <w:r w:rsidR="004369DE">
        <w:rPr>
          <w:rFonts w:ascii="Arial" w:hAnsi="Arial" w:cs="Arial"/>
          <w:sz w:val="24"/>
          <w:szCs w:val="24"/>
        </w:rPr>
        <w:t>2025).</w:t>
      </w:r>
    </w:p>
    <w:p w14:paraId="1622AFBF" w14:textId="3FD23243"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 xml:space="preserve">Children’s Commissioner for Wales. (2022) </w:t>
      </w:r>
      <w:r w:rsidRPr="005F67CB">
        <w:rPr>
          <w:rFonts w:ascii="Arial" w:hAnsi="Arial" w:cs="Arial"/>
          <w:i/>
          <w:iCs/>
          <w:sz w:val="24"/>
          <w:szCs w:val="24"/>
        </w:rPr>
        <w:t>Annual Report 2021–2022</w:t>
      </w:r>
      <w:r w:rsidRPr="005F67CB">
        <w:rPr>
          <w:rFonts w:ascii="Arial" w:hAnsi="Arial" w:cs="Arial"/>
          <w:sz w:val="24"/>
          <w:szCs w:val="24"/>
        </w:rPr>
        <w:t xml:space="preserve">. Available at: </w:t>
      </w:r>
      <w:r w:rsidRPr="00F77F4A">
        <w:rPr>
          <w:rFonts w:ascii="Arial" w:hAnsi="Arial" w:cs="Arial"/>
          <w:sz w:val="24"/>
          <w:szCs w:val="24"/>
        </w:rPr>
        <w:t>https://www.childcomwales.org.uk</w:t>
      </w:r>
      <w:r w:rsidRPr="005F67CB">
        <w:rPr>
          <w:rFonts w:ascii="Arial" w:hAnsi="Arial" w:cs="Arial"/>
          <w:sz w:val="24"/>
          <w:szCs w:val="24"/>
        </w:rPr>
        <w:t xml:space="preserve"> </w:t>
      </w:r>
      <w:r w:rsidR="004369DE">
        <w:rPr>
          <w:rFonts w:ascii="Arial" w:hAnsi="Arial" w:cs="Arial"/>
          <w:sz w:val="24"/>
          <w:szCs w:val="24"/>
        </w:rPr>
        <w:t>(Accessed 04</w:t>
      </w:r>
      <w:r w:rsidR="005B3C90">
        <w:rPr>
          <w:rFonts w:ascii="Arial" w:hAnsi="Arial" w:cs="Arial"/>
          <w:sz w:val="24"/>
          <w:szCs w:val="24"/>
        </w:rPr>
        <w:t xml:space="preserve"> May </w:t>
      </w:r>
      <w:r w:rsidR="004369DE">
        <w:rPr>
          <w:rFonts w:ascii="Arial" w:hAnsi="Arial" w:cs="Arial"/>
          <w:sz w:val="24"/>
          <w:szCs w:val="24"/>
        </w:rPr>
        <w:t>2025).</w:t>
      </w:r>
    </w:p>
    <w:p w14:paraId="4BBCE02B" w14:textId="77777777"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 xml:space="preserve">Deci, E. L., &amp; Ryan, R. M. (1985). Intrinsic Motivation and Self-Determination in Human </w:t>
      </w:r>
      <w:r>
        <w:rPr>
          <w:rFonts w:ascii="Arial" w:hAnsi="Arial" w:cs="Arial"/>
          <w:sz w:val="24"/>
          <w:szCs w:val="24"/>
        </w:rPr>
        <w:t>Behaviour</w:t>
      </w:r>
      <w:r w:rsidRPr="005F67CB">
        <w:rPr>
          <w:rFonts w:ascii="Arial" w:hAnsi="Arial" w:cs="Arial"/>
          <w:sz w:val="24"/>
          <w:szCs w:val="24"/>
        </w:rPr>
        <w:t>. New York: Plenum.</w:t>
      </w:r>
    </w:p>
    <w:p w14:paraId="56D4C0B4" w14:textId="2868911B"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 xml:space="preserve">Department for Education. (2023) </w:t>
      </w:r>
      <w:r w:rsidRPr="005F67CB">
        <w:rPr>
          <w:rFonts w:ascii="Arial" w:hAnsi="Arial" w:cs="Arial"/>
          <w:i/>
          <w:iCs/>
          <w:sz w:val="24"/>
          <w:szCs w:val="24"/>
        </w:rPr>
        <w:t>Mental Health and Behaviour in Schools</w:t>
      </w:r>
      <w:r w:rsidRPr="005F67CB">
        <w:rPr>
          <w:rFonts w:ascii="Arial" w:hAnsi="Arial" w:cs="Arial"/>
          <w:sz w:val="24"/>
          <w:szCs w:val="24"/>
        </w:rPr>
        <w:t xml:space="preserve">. Available at: </w:t>
      </w:r>
      <w:r w:rsidRPr="00F77F4A">
        <w:rPr>
          <w:rFonts w:ascii="Arial" w:hAnsi="Arial" w:cs="Arial"/>
          <w:sz w:val="24"/>
          <w:szCs w:val="24"/>
        </w:rPr>
        <w:t>https://www.gov.uk/government/publications</w:t>
      </w:r>
      <w:r w:rsidRPr="005F67CB">
        <w:rPr>
          <w:rFonts w:ascii="Arial" w:hAnsi="Arial" w:cs="Arial"/>
          <w:sz w:val="24"/>
          <w:szCs w:val="24"/>
        </w:rPr>
        <w:t xml:space="preserve"> </w:t>
      </w:r>
      <w:r w:rsidR="00DC787B">
        <w:rPr>
          <w:rFonts w:ascii="Arial" w:hAnsi="Arial" w:cs="Arial"/>
          <w:sz w:val="24"/>
          <w:szCs w:val="24"/>
        </w:rPr>
        <w:t>(Accessed 04</w:t>
      </w:r>
      <w:r w:rsidR="005B3C90">
        <w:rPr>
          <w:rFonts w:ascii="Arial" w:hAnsi="Arial" w:cs="Arial"/>
          <w:sz w:val="24"/>
          <w:szCs w:val="24"/>
        </w:rPr>
        <w:t xml:space="preserve"> May </w:t>
      </w:r>
      <w:r w:rsidR="00DC787B">
        <w:rPr>
          <w:rFonts w:ascii="Arial" w:hAnsi="Arial" w:cs="Arial"/>
          <w:sz w:val="24"/>
          <w:szCs w:val="24"/>
        </w:rPr>
        <w:t>2025).</w:t>
      </w:r>
    </w:p>
    <w:p w14:paraId="3AF19182" w14:textId="0B4E9FEF"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lastRenderedPageBreak/>
        <w:t xml:space="preserve">Egan, S.M. and Pope, J. (2024) </w:t>
      </w:r>
      <w:r w:rsidR="00DC787B">
        <w:rPr>
          <w:rFonts w:ascii="Arial" w:hAnsi="Arial" w:cs="Arial"/>
          <w:sz w:val="24"/>
          <w:szCs w:val="24"/>
        </w:rPr>
        <w:t>‘</w:t>
      </w:r>
      <w:r w:rsidRPr="005F67CB">
        <w:rPr>
          <w:rFonts w:ascii="Arial" w:hAnsi="Arial" w:cs="Arial"/>
          <w:sz w:val="24"/>
          <w:szCs w:val="24"/>
        </w:rPr>
        <w:t xml:space="preserve">Streets ahead: </w:t>
      </w:r>
      <w:r w:rsidR="00DC787B" w:rsidRPr="005F67CB">
        <w:rPr>
          <w:rFonts w:ascii="Arial" w:hAnsi="Arial" w:cs="Arial"/>
          <w:sz w:val="24"/>
          <w:szCs w:val="24"/>
        </w:rPr>
        <w:t>Neighbourhood</w:t>
      </w:r>
      <w:r w:rsidRPr="005F67CB">
        <w:rPr>
          <w:rFonts w:ascii="Arial" w:hAnsi="Arial" w:cs="Arial"/>
          <w:sz w:val="24"/>
          <w:szCs w:val="24"/>
        </w:rPr>
        <w:t xml:space="preserve"> safety and active outdoor play in early childhood using a nationally representative sample of 5</w:t>
      </w:r>
      <w:r w:rsidRPr="005F67CB">
        <w:rPr>
          <w:rFonts w:ascii="Cambria Math" w:hAnsi="Cambria Math" w:cs="Cambria Math"/>
          <w:sz w:val="24"/>
          <w:szCs w:val="24"/>
        </w:rPr>
        <w:t>‐</w:t>
      </w:r>
      <w:r w:rsidRPr="005F67CB">
        <w:rPr>
          <w:rFonts w:ascii="Arial" w:hAnsi="Arial" w:cs="Arial"/>
          <w:sz w:val="24"/>
          <w:szCs w:val="24"/>
        </w:rPr>
        <w:t>year</w:t>
      </w:r>
      <w:r w:rsidRPr="005F67CB">
        <w:rPr>
          <w:rFonts w:ascii="Cambria Math" w:hAnsi="Cambria Math" w:cs="Cambria Math"/>
          <w:sz w:val="24"/>
          <w:szCs w:val="24"/>
        </w:rPr>
        <w:t>‐</w:t>
      </w:r>
      <w:r w:rsidRPr="005F67CB">
        <w:rPr>
          <w:rFonts w:ascii="Arial" w:hAnsi="Arial" w:cs="Arial"/>
          <w:sz w:val="24"/>
          <w:szCs w:val="24"/>
        </w:rPr>
        <w:t>olds</w:t>
      </w:r>
      <w:r w:rsidR="00DC787B">
        <w:rPr>
          <w:rFonts w:ascii="Arial" w:hAnsi="Arial" w:cs="Arial"/>
          <w:sz w:val="24"/>
          <w:szCs w:val="24"/>
        </w:rPr>
        <w:t>’,</w:t>
      </w:r>
      <w:r w:rsidRPr="005F67CB">
        <w:rPr>
          <w:rFonts w:ascii="Arial" w:hAnsi="Arial" w:cs="Arial"/>
          <w:sz w:val="24"/>
          <w:szCs w:val="24"/>
        </w:rPr>
        <w:t> </w:t>
      </w:r>
      <w:r w:rsidRPr="005F67CB">
        <w:rPr>
          <w:rFonts w:ascii="Arial" w:hAnsi="Arial" w:cs="Arial"/>
          <w:i/>
          <w:iCs/>
          <w:sz w:val="24"/>
          <w:szCs w:val="24"/>
        </w:rPr>
        <w:t>Child Development</w:t>
      </w:r>
      <w:r w:rsidRPr="005F67CB">
        <w:rPr>
          <w:rFonts w:ascii="Arial" w:hAnsi="Arial" w:cs="Arial"/>
          <w:sz w:val="24"/>
          <w:szCs w:val="24"/>
        </w:rPr>
        <w:t xml:space="preserve">. </w:t>
      </w:r>
      <w:r w:rsidR="00DC787B" w:rsidRPr="005F67CB">
        <w:rPr>
          <w:rFonts w:ascii="Arial" w:hAnsi="Arial" w:cs="Arial"/>
          <w:sz w:val="24"/>
          <w:szCs w:val="24"/>
        </w:rPr>
        <w:t xml:space="preserve">Available at: </w:t>
      </w:r>
      <w:r w:rsidR="00DC787B" w:rsidRPr="00F77F4A">
        <w:rPr>
          <w:rFonts w:ascii="Arial" w:hAnsi="Arial" w:cs="Arial"/>
          <w:sz w:val="24"/>
          <w:szCs w:val="24"/>
        </w:rPr>
        <w:t>https://doi.org/10.1111/cdev.14132</w:t>
      </w:r>
      <w:r w:rsidRPr="005F67CB">
        <w:rPr>
          <w:rFonts w:ascii="Arial" w:hAnsi="Arial" w:cs="Arial"/>
          <w:sz w:val="24"/>
          <w:szCs w:val="24"/>
        </w:rPr>
        <w:t>.</w:t>
      </w:r>
      <w:r w:rsidR="00DC787B">
        <w:rPr>
          <w:rFonts w:ascii="Arial" w:hAnsi="Arial" w:cs="Arial"/>
          <w:sz w:val="24"/>
          <w:szCs w:val="24"/>
        </w:rPr>
        <w:t xml:space="preserve"> </w:t>
      </w:r>
    </w:p>
    <w:p w14:paraId="6067F314" w14:textId="77777777"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Erikson, E. H. (1963). Childhood and Society. New York: W. W. Norton.</w:t>
      </w:r>
    </w:p>
    <w:p w14:paraId="0EE531B7" w14:textId="2BE5F1A4"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 xml:space="preserve">House of Commons Education Committee. (2021) Children’s Mental Health and the CAMHS Crisis. </w:t>
      </w:r>
      <w:r w:rsidR="00DC787B" w:rsidRPr="005F67CB">
        <w:rPr>
          <w:rFonts w:ascii="Arial" w:hAnsi="Arial" w:cs="Arial"/>
          <w:sz w:val="24"/>
          <w:szCs w:val="24"/>
        </w:rPr>
        <w:t xml:space="preserve">Available at: </w:t>
      </w:r>
      <w:r w:rsidRPr="00F77F4A">
        <w:rPr>
          <w:rFonts w:ascii="Arial" w:hAnsi="Arial" w:cs="Arial"/>
          <w:sz w:val="24"/>
          <w:szCs w:val="24"/>
        </w:rPr>
        <w:t>https://committees.parliament.uk/publications</w:t>
      </w:r>
      <w:r w:rsidR="00DC787B">
        <w:rPr>
          <w:rFonts w:ascii="Arial" w:hAnsi="Arial" w:cs="Arial"/>
          <w:sz w:val="24"/>
          <w:szCs w:val="24"/>
        </w:rPr>
        <w:t xml:space="preserve"> (Accessed 0</w:t>
      </w:r>
      <w:r w:rsidR="00606B0C">
        <w:rPr>
          <w:rFonts w:ascii="Arial" w:hAnsi="Arial" w:cs="Arial"/>
          <w:sz w:val="24"/>
          <w:szCs w:val="24"/>
        </w:rPr>
        <w:t>5</w:t>
      </w:r>
      <w:r w:rsidR="005B3C90">
        <w:rPr>
          <w:rFonts w:ascii="Arial" w:hAnsi="Arial" w:cs="Arial"/>
          <w:sz w:val="24"/>
          <w:szCs w:val="24"/>
        </w:rPr>
        <w:t xml:space="preserve"> May </w:t>
      </w:r>
      <w:r w:rsidR="00DC787B">
        <w:rPr>
          <w:rFonts w:ascii="Arial" w:hAnsi="Arial" w:cs="Arial"/>
          <w:sz w:val="24"/>
          <w:szCs w:val="24"/>
        </w:rPr>
        <w:t>2025).</w:t>
      </w:r>
    </w:p>
    <w:p w14:paraId="09B0FF18" w14:textId="0F188F85"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 xml:space="preserve">Institutionalized Ambivalence </w:t>
      </w:r>
      <w:r w:rsidR="00DC787B">
        <w:rPr>
          <w:rFonts w:ascii="Arial" w:hAnsi="Arial" w:cs="Arial"/>
          <w:sz w:val="24"/>
          <w:szCs w:val="24"/>
        </w:rPr>
        <w:t>‘</w:t>
      </w:r>
      <w:r w:rsidRPr="005F67CB">
        <w:rPr>
          <w:rFonts w:ascii="Arial" w:hAnsi="Arial" w:cs="Arial"/>
          <w:sz w:val="24"/>
          <w:szCs w:val="24"/>
        </w:rPr>
        <w:t>Social Work and the Children and Young Persons Act 1969. (1982)</w:t>
      </w:r>
      <w:r w:rsidR="00DC787B">
        <w:rPr>
          <w:rFonts w:ascii="Arial" w:hAnsi="Arial" w:cs="Arial"/>
          <w:sz w:val="24"/>
          <w:szCs w:val="24"/>
        </w:rPr>
        <w:t>’,</w:t>
      </w:r>
      <w:r w:rsidRPr="005F67CB">
        <w:rPr>
          <w:rFonts w:ascii="Arial" w:hAnsi="Arial" w:cs="Arial"/>
          <w:sz w:val="24"/>
          <w:szCs w:val="24"/>
        </w:rPr>
        <w:t> </w:t>
      </w:r>
      <w:r w:rsidRPr="005F67CB">
        <w:rPr>
          <w:rFonts w:ascii="Arial" w:hAnsi="Arial" w:cs="Arial"/>
          <w:i/>
          <w:iCs/>
          <w:sz w:val="24"/>
          <w:szCs w:val="24"/>
        </w:rPr>
        <w:t>The British Journal of Social Work</w:t>
      </w:r>
      <w:r w:rsidRPr="005F67CB">
        <w:rPr>
          <w:rFonts w:ascii="Arial" w:hAnsi="Arial" w:cs="Arial"/>
          <w:sz w:val="24"/>
          <w:szCs w:val="24"/>
        </w:rPr>
        <w:t xml:space="preserve">. </w:t>
      </w:r>
      <w:r w:rsidR="00DC787B" w:rsidRPr="005F67CB">
        <w:rPr>
          <w:rFonts w:ascii="Arial" w:hAnsi="Arial" w:cs="Arial"/>
          <w:sz w:val="24"/>
          <w:szCs w:val="24"/>
        </w:rPr>
        <w:t>Available at:</w:t>
      </w:r>
      <w:r w:rsidR="00DC787B">
        <w:rPr>
          <w:rFonts w:ascii="Arial" w:hAnsi="Arial" w:cs="Arial"/>
          <w:sz w:val="24"/>
          <w:szCs w:val="24"/>
        </w:rPr>
        <w:t xml:space="preserve"> </w:t>
      </w:r>
      <w:r w:rsidR="00DC787B" w:rsidRPr="00F77F4A">
        <w:rPr>
          <w:rFonts w:ascii="Arial" w:hAnsi="Arial" w:cs="Arial"/>
          <w:sz w:val="24"/>
          <w:szCs w:val="24"/>
        </w:rPr>
        <w:t>https://doi.org/10.1093/oxfordjournals.bjsw.a054731</w:t>
      </w:r>
      <w:r w:rsidRPr="005F67CB">
        <w:rPr>
          <w:rFonts w:ascii="Arial" w:hAnsi="Arial" w:cs="Arial"/>
          <w:sz w:val="24"/>
          <w:szCs w:val="24"/>
        </w:rPr>
        <w:t>.</w:t>
      </w:r>
      <w:r w:rsidR="00DC787B">
        <w:rPr>
          <w:rFonts w:ascii="Arial" w:hAnsi="Arial" w:cs="Arial"/>
          <w:sz w:val="24"/>
          <w:szCs w:val="24"/>
        </w:rPr>
        <w:t xml:space="preserve"> </w:t>
      </w:r>
      <w:r w:rsidRPr="005F67CB">
        <w:rPr>
          <w:rFonts w:ascii="Arial" w:hAnsi="Arial" w:cs="Arial"/>
          <w:sz w:val="24"/>
          <w:szCs w:val="24"/>
        </w:rPr>
        <w:t xml:space="preserve"> </w:t>
      </w:r>
    </w:p>
    <w:p w14:paraId="6636E560" w14:textId="7A317390"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Jongen, C., Campbell, S., Saunders, V., Askew, D., Spurling, G., Gueorguiev, E., Langham, E., Bainbridge, R. and McCalman, J. (2023) Wellbeing and mental health interventions for Indigenous children and youth: A systematic scoping review. </w:t>
      </w:r>
      <w:r w:rsidRPr="005F67CB">
        <w:rPr>
          <w:rFonts w:ascii="Arial" w:hAnsi="Arial" w:cs="Arial"/>
          <w:i/>
          <w:iCs/>
          <w:sz w:val="24"/>
          <w:szCs w:val="24"/>
        </w:rPr>
        <w:t>Children and Youth Services Review</w:t>
      </w:r>
      <w:r w:rsidRPr="005F67CB">
        <w:rPr>
          <w:rFonts w:ascii="Arial" w:hAnsi="Arial" w:cs="Arial"/>
          <w:sz w:val="24"/>
          <w:szCs w:val="24"/>
        </w:rPr>
        <w:t xml:space="preserve">, 145(2), p.106790. </w:t>
      </w:r>
      <w:r w:rsidR="00DC787B" w:rsidRPr="005F67CB">
        <w:rPr>
          <w:rFonts w:ascii="Arial" w:hAnsi="Arial" w:cs="Arial"/>
          <w:sz w:val="24"/>
          <w:szCs w:val="24"/>
        </w:rPr>
        <w:t>Available at:</w:t>
      </w:r>
      <w:r w:rsidR="00DC787B">
        <w:rPr>
          <w:rFonts w:ascii="Arial" w:hAnsi="Arial" w:cs="Arial"/>
          <w:sz w:val="24"/>
          <w:szCs w:val="24"/>
        </w:rPr>
        <w:t xml:space="preserve"> </w:t>
      </w:r>
      <w:r w:rsidR="00DC787B" w:rsidRPr="00F77F4A">
        <w:rPr>
          <w:rFonts w:ascii="Arial" w:hAnsi="Arial" w:cs="Arial"/>
          <w:sz w:val="24"/>
          <w:szCs w:val="24"/>
        </w:rPr>
        <w:t>https://doi.org/10.1016/j.childyouth.2022.106790</w:t>
      </w:r>
      <w:r w:rsidRPr="005F67CB">
        <w:rPr>
          <w:rFonts w:ascii="Arial" w:hAnsi="Arial" w:cs="Arial"/>
          <w:sz w:val="24"/>
          <w:szCs w:val="24"/>
        </w:rPr>
        <w:t>.</w:t>
      </w:r>
      <w:r w:rsidR="00DC787B">
        <w:rPr>
          <w:rFonts w:ascii="Arial" w:hAnsi="Arial" w:cs="Arial"/>
          <w:sz w:val="24"/>
          <w:szCs w:val="24"/>
        </w:rPr>
        <w:t xml:space="preserve"> </w:t>
      </w:r>
    </w:p>
    <w:p w14:paraId="630A93C7" w14:textId="22D513D3"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Mental Health Foundation. (2023) Mental Health Interventions for Children and Young People.</w:t>
      </w:r>
      <w:r w:rsidR="00425B0B">
        <w:rPr>
          <w:rFonts w:ascii="Arial" w:hAnsi="Arial" w:cs="Arial"/>
          <w:sz w:val="24"/>
          <w:szCs w:val="24"/>
        </w:rPr>
        <w:t xml:space="preserve"> </w:t>
      </w:r>
      <w:r w:rsidR="00425B0B" w:rsidRPr="005F67CB">
        <w:rPr>
          <w:rFonts w:ascii="Arial" w:hAnsi="Arial" w:cs="Arial"/>
          <w:sz w:val="24"/>
          <w:szCs w:val="24"/>
        </w:rPr>
        <w:t>Available at:</w:t>
      </w:r>
      <w:r w:rsidR="00425B0B">
        <w:rPr>
          <w:rFonts w:ascii="Arial" w:hAnsi="Arial" w:cs="Arial"/>
          <w:sz w:val="24"/>
          <w:szCs w:val="24"/>
        </w:rPr>
        <w:t xml:space="preserve"> </w:t>
      </w:r>
      <w:r w:rsidR="00425B0B" w:rsidRPr="00F77F4A">
        <w:rPr>
          <w:rFonts w:ascii="Arial" w:hAnsi="Arial" w:cs="Arial"/>
          <w:sz w:val="24"/>
          <w:szCs w:val="24"/>
        </w:rPr>
        <w:t>https://www.mentalhealth.org.uk</w:t>
      </w:r>
      <w:r w:rsidR="00F94D17">
        <w:rPr>
          <w:rFonts w:ascii="Arial" w:hAnsi="Arial" w:cs="Arial"/>
          <w:sz w:val="24"/>
          <w:szCs w:val="24"/>
        </w:rPr>
        <w:t xml:space="preserve"> (</w:t>
      </w:r>
      <w:r w:rsidR="005B3C90">
        <w:rPr>
          <w:rFonts w:ascii="Arial" w:hAnsi="Arial" w:cs="Arial"/>
          <w:sz w:val="24"/>
          <w:szCs w:val="24"/>
        </w:rPr>
        <w:t xml:space="preserve">Accessed </w:t>
      </w:r>
      <w:r w:rsidR="00F94D17">
        <w:rPr>
          <w:rFonts w:ascii="Arial" w:hAnsi="Arial" w:cs="Arial"/>
          <w:sz w:val="24"/>
          <w:szCs w:val="24"/>
        </w:rPr>
        <w:t>05</w:t>
      </w:r>
      <w:r w:rsidR="005B3C90">
        <w:rPr>
          <w:rFonts w:ascii="Arial" w:hAnsi="Arial" w:cs="Arial"/>
          <w:sz w:val="24"/>
          <w:szCs w:val="24"/>
        </w:rPr>
        <w:t xml:space="preserve"> May </w:t>
      </w:r>
      <w:r w:rsidR="00F94D17">
        <w:rPr>
          <w:rFonts w:ascii="Arial" w:hAnsi="Arial" w:cs="Arial"/>
          <w:sz w:val="24"/>
          <w:szCs w:val="24"/>
        </w:rPr>
        <w:t>2025).</w:t>
      </w:r>
    </w:p>
    <w:p w14:paraId="27D41575" w14:textId="177469F4"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 xml:space="preserve">Mental Health Foundation. (2023) </w:t>
      </w:r>
      <w:r w:rsidRPr="005F67CB">
        <w:rPr>
          <w:rFonts w:ascii="Arial" w:hAnsi="Arial" w:cs="Arial"/>
          <w:i/>
          <w:iCs/>
          <w:sz w:val="24"/>
          <w:szCs w:val="24"/>
        </w:rPr>
        <w:t>Supporting Mental Health in Families</w:t>
      </w:r>
      <w:r w:rsidRPr="005F67CB">
        <w:rPr>
          <w:rFonts w:ascii="Arial" w:hAnsi="Arial" w:cs="Arial"/>
          <w:sz w:val="24"/>
          <w:szCs w:val="24"/>
        </w:rPr>
        <w:t xml:space="preserve">. Available at: </w:t>
      </w:r>
      <w:r w:rsidRPr="00F77F4A">
        <w:rPr>
          <w:rFonts w:ascii="Arial" w:hAnsi="Arial" w:cs="Arial"/>
          <w:sz w:val="24"/>
          <w:szCs w:val="24"/>
        </w:rPr>
        <w:t>https://www.mentalhealth.org.uk</w:t>
      </w:r>
      <w:r w:rsidRPr="005F67CB">
        <w:rPr>
          <w:rFonts w:ascii="Arial" w:hAnsi="Arial" w:cs="Arial"/>
          <w:sz w:val="24"/>
          <w:szCs w:val="24"/>
        </w:rPr>
        <w:t xml:space="preserve"> </w:t>
      </w:r>
      <w:r w:rsidR="00425B0B">
        <w:rPr>
          <w:rFonts w:ascii="Arial" w:hAnsi="Arial" w:cs="Arial"/>
          <w:sz w:val="24"/>
          <w:szCs w:val="24"/>
        </w:rPr>
        <w:t>(Accessed 0</w:t>
      </w:r>
      <w:r w:rsidR="00606B0C">
        <w:rPr>
          <w:rFonts w:ascii="Arial" w:hAnsi="Arial" w:cs="Arial"/>
          <w:sz w:val="24"/>
          <w:szCs w:val="24"/>
        </w:rPr>
        <w:t>5</w:t>
      </w:r>
      <w:r w:rsidR="005B3C90">
        <w:rPr>
          <w:rFonts w:ascii="Arial" w:hAnsi="Arial" w:cs="Arial"/>
          <w:sz w:val="24"/>
          <w:szCs w:val="24"/>
        </w:rPr>
        <w:t xml:space="preserve"> May </w:t>
      </w:r>
      <w:r w:rsidR="00425B0B">
        <w:rPr>
          <w:rFonts w:ascii="Arial" w:hAnsi="Arial" w:cs="Arial"/>
          <w:sz w:val="24"/>
          <w:szCs w:val="24"/>
        </w:rPr>
        <w:t>2025).</w:t>
      </w:r>
    </w:p>
    <w:p w14:paraId="0E47ED05" w14:textId="6B06C82B"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 xml:space="preserve">National Institute for Health and Care Excellence. (2023) Social, Emotional and Mental Wellbeing in Primary and Secondary Education. </w:t>
      </w:r>
      <w:r w:rsidR="00C46497" w:rsidRPr="005F67CB">
        <w:rPr>
          <w:rFonts w:ascii="Arial" w:hAnsi="Arial" w:cs="Arial"/>
          <w:sz w:val="24"/>
          <w:szCs w:val="24"/>
        </w:rPr>
        <w:t>Available at:</w:t>
      </w:r>
      <w:r w:rsidR="00C46497">
        <w:rPr>
          <w:rFonts w:ascii="Arial" w:hAnsi="Arial" w:cs="Arial"/>
          <w:sz w:val="24"/>
          <w:szCs w:val="24"/>
        </w:rPr>
        <w:t xml:space="preserve">  </w:t>
      </w:r>
      <w:r w:rsidR="00C46497" w:rsidRPr="00F77F4A">
        <w:rPr>
          <w:rFonts w:ascii="Arial" w:hAnsi="Arial" w:cs="Arial"/>
          <w:sz w:val="24"/>
          <w:szCs w:val="24"/>
        </w:rPr>
        <w:t>https://www.nice.org.uk/guidance/ng223</w:t>
      </w:r>
      <w:r w:rsidR="00C46497">
        <w:rPr>
          <w:rFonts w:ascii="Arial" w:hAnsi="Arial" w:cs="Arial"/>
          <w:sz w:val="24"/>
          <w:szCs w:val="24"/>
        </w:rPr>
        <w:t xml:space="preserve"> (Accessed 04</w:t>
      </w:r>
      <w:r w:rsidR="005B3C90">
        <w:rPr>
          <w:rFonts w:ascii="Arial" w:hAnsi="Arial" w:cs="Arial"/>
          <w:sz w:val="24"/>
          <w:szCs w:val="24"/>
        </w:rPr>
        <w:t xml:space="preserve"> May </w:t>
      </w:r>
      <w:r w:rsidR="00C46497">
        <w:rPr>
          <w:rFonts w:ascii="Arial" w:hAnsi="Arial" w:cs="Arial"/>
          <w:sz w:val="24"/>
          <w:szCs w:val="24"/>
        </w:rPr>
        <w:t>2025).</w:t>
      </w:r>
    </w:p>
    <w:p w14:paraId="785C7F2D" w14:textId="65143932"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 xml:space="preserve">NHS England. (2023) </w:t>
      </w:r>
      <w:r w:rsidRPr="005F67CB">
        <w:rPr>
          <w:rFonts w:ascii="Arial" w:hAnsi="Arial" w:cs="Arial"/>
          <w:i/>
          <w:iCs/>
          <w:sz w:val="24"/>
          <w:szCs w:val="24"/>
        </w:rPr>
        <w:t>Children and Young People’s Mental Health Services</w:t>
      </w:r>
      <w:r w:rsidRPr="005F67CB">
        <w:rPr>
          <w:rFonts w:ascii="Arial" w:hAnsi="Arial" w:cs="Arial"/>
          <w:sz w:val="24"/>
          <w:szCs w:val="24"/>
        </w:rPr>
        <w:t xml:space="preserve">. </w:t>
      </w:r>
      <w:r w:rsidR="00C46497">
        <w:rPr>
          <w:rFonts w:ascii="Arial" w:hAnsi="Arial" w:cs="Arial"/>
          <w:sz w:val="24"/>
          <w:szCs w:val="24"/>
        </w:rPr>
        <w:t xml:space="preserve"> </w:t>
      </w:r>
      <w:r w:rsidR="00C46497" w:rsidRPr="005F67CB">
        <w:rPr>
          <w:rFonts w:ascii="Arial" w:hAnsi="Arial" w:cs="Arial"/>
          <w:sz w:val="24"/>
          <w:szCs w:val="24"/>
        </w:rPr>
        <w:t>Available at:</w:t>
      </w:r>
      <w:r w:rsidR="00C46497">
        <w:rPr>
          <w:rFonts w:ascii="Arial" w:hAnsi="Arial" w:cs="Arial"/>
          <w:sz w:val="24"/>
          <w:szCs w:val="24"/>
        </w:rPr>
        <w:t xml:space="preserve"> </w:t>
      </w:r>
      <w:r w:rsidR="00C46497" w:rsidRPr="00F77F4A">
        <w:rPr>
          <w:rFonts w:ascii="Arial" w:hAnsi="Arial" w:cs="Arial"/>
          <w:sz w:val="24"/>
          <w:szCs w:val="24"/>
        </w:rPr>
        <w:t>https://www.england.nhs.uk/mental-health/cyp</w:t>
      </w:r>
      <w:r w:rsidRPr="005F67CB">
        <w:rPr>
          <w:rFonts w:ascii="Arial" w:hAnsi="Arial" w:cs="Arial"/>
          <w:sz w:val="24"/>
          <w:szCs w:val="24"/>
        </w:rPr>
        <w:t xml:space="preserve"> </w:t>
      </w:r>
      <w:r w:rsidR="00C46497">
        <w:rPr>
          <w:rFonts w:ascii="Arial" w:hAnsi="Arial" w:cs="Arial"/>
          <w:sz w:val="24"/>
          <w:szCs w:val="24"/>
        </w:rPr>
        <w:t>(Accessed 04</w:t>
      </w:r>
      <w:r w:rsidR="005B3C90">
        <w:rPr>
          <w:rFonts w:ascii="Arial" w:hAnsi="Arial" w:cs="Arial"/>
          <w:sz w:val="24"/>
          <w:szCs w:val="24"/>
        </w:rPr>
        <w:t xml:space="preserve"> May </w:t>
      </w:r>
      <w:r w:rsidR="00C46497">
        <w:rPr>
          <w:rFonts w:ascii="Arial" w:hAnsi="Arial" w:cs="Arial"/>
          <w:sz w:val="24"/>
          <w:szCs w:val="24"/>
        </w:rPr>
        <w:t>2025).</w:t>
      </w:r>
    </w:p>
    <w:p w14:paraId="6AE4AFF8" w14:textId="419F41FD"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NHS England. (2023) Improving Access to Children and Young People’s Mental Health Services.</w:t>
      </w:r>
      <w:r w:rsidR="00C46497">
        <w:rPr>
          <w:rFonts w:ascii="Arial" w:hAnsi="Arial" w:cs="Arial"/>
          <w:sz w:val="24"/>
          <w:szCs w:val="24"/>
        </w:rPr>
        <w:t xml:space="preserve"> </w:t>
      </w:r>
      <w:r w:rsidR="00C46497" w:rsidRPr="005F67CB">
        <w:rPr>
          <w:rFonts w:ascii="Arial" w:hAnsi="Arial" w:cs="Arial"/>
          <w:sz w:val="24"/>
          <w:szCs w:val="24"/>
        </w:rPr>
        <w:t>Available at:</w:t>
      </w:r>
      <w:r w:rsidRPr="005F67CB">
        <w:rPr>
          <w:rFonts w:ascii="Arial" w:hAnsi="Arial" w:cs="Arial"/>
          <w:sz w:val="24"/>
          <w:szCs w:val="24"/>
        </w:rPr>
        <w:t xml:space="preserve"> </w:t>
      </w:r>
      <w:r w:rsidRPr="00F77F4A">
        <w:rPr>
          <w:rFonts w:ascii="Arial" w:hAnsi="Arial" w:cs="Arial"/>
          <w:sz w:val="24"/>
          <w:szCs w:val="24"/>
        </w:rPr>
        <w:t>https://www.england.nhs.uk/mental-health/cyp/</w:t>
      </w:r>
      <w:r w:rsidR="00C46497">
        <w:rPr>
          <w:rFonts w:ascii="Arial" w:hAnsi="Arial" w:cs="Arial"/>
          <w:sz w:val="24"/>
          <w:szCs w:val="24"/>
        </w:rPr>
        <w:t xml:space="preserve"> (Accessed 05</w:t>
      </w:r>
      <w:r w:rsidR="005B3C90">
        <w:rPr>
          <w:rFonts w:ascii="Arial" w:hAnsi="Arial" w:cs="Arial"/>
          <w:sz w:val="24"/>
          <w:szCs w:val="24"/>
        </w:rPr>
        <w:t xml:space="preserve"> May </w:t>
      </w:r>
      <w:r w:rsidR="00C46497">
        <w:rPr>
          <w:rFonts w:ascii="Arial" w:hAnsi="Arial" w:cs="Arial"/>
          <w:sz w:val="24"/>
          <w:szCs w:val="24"/>
        </w:rPr>
        <w:t>2025).</w:t>
      </w:r>
    </w:p>
    <w:p w14:paraId="623F9D73" w14:textId="0296F237"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lastRenderedPageBreak/>
        <w:t xml:space="preserve">NICE. (2023) </w:t>
      </w:r>
      <w:r w:rsidRPr="005F67CB">
        <w:rPr>
          <w:rFonts w:ascii="Arial" w:hAnsi="Arial" w:cs="Arial"/>
          <w:i/>
          <w:iCs/>
          <w:sz w:val="24"/>
          <w:szCs w:val="24"/>
        </w:rPr>
        <w:t>Social, Emotional and Mental Wellbeing in Primary and Secondary Education</w:t>
      </w:r>
      <w:r w:rsidRPr="005F67CB">
        <w:rPr>
          <w:rFonts w:ascii="Arial" w:hAnsi="Arial" w:cs="Arial"/>
          <w:sz w:val="24"/>
          <w:szCs w:val="24"/>
        </w:rPr>
        <w:t xml:space="preserve">. Available at: </w:t>
      </w:r>
      <w:r w:rsidRPr="00F77F4A">
        <w:rPr>
          <w:rFonts w:ascii="Arial" w:hAnsi="Arial" w:cs="Arial"/>
          <w:sz w:val="24"/>
          <w:szCs w:val="24"/>
        </w:rPr>
        <w:t>https://www.nice.org.uk/guidance/ng223</w:t>
      </w:r>
      <w:r w:rsidRPr="005F67CB">
        <w:rPr>
          <w:rFonts w:ascii="Arial" w:hAnsi="Arial" w:cs="Arial"/>
          <w:sz w:val="24"/>
          <w:szCs w:val="24"/>
        </w:rPr>
        <w:t xml:space="preserve"> </w:t>
      </w:r>
      <w:r w:rsidR="00C46497">
        <w:rPr>
          <w:rFonts w:ascii="Arial" w:hAnsi="Arial" w:cs="Arial"/>
          <w:sz w:val="24"/>
          <w:szCs w:val="24"/>
        </w:rPr>
        <w:t>(Accessed 05</w:t>
      </w:r>
      <w:r w:rsidR="005B3C90">
        <w:rPr>
          <w:rFonts w:ascii="Arial" w:hAnsi="Arial" w:cs="Arial"/>
          <w:sz w:val="24"/>
          <w:szCs w:val="24"/>
        </w:rPr>
        <w:t xml:space="preserve"> May </w:t>
      </w:r>
      <w:r w:rsidR="00C46497">
        <w:rPr>
          <w:rFonts w:ascii="Arial" w:hAnsi="Arial" w:cs="Arial"/>
          <w:sz w:val="24"/>
          <w:szCs w:val="24"/>
        </w:rPr>
        <w:t>2025).</w:t>
      </w:r>
    </w:p>
    <w:p w14:paraId="3D883565" w14:textId="1E112FAA"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Norfolk and Suffolk NHS Foundation Trust (2021) </w:t>
      </w:r>
      <w:r w:rsidRPr="005F67CB">
        <w:rPr>
          <w:rFonts w:ascii="Arial" w:hAnsi="Arial" w:cs="Arial"/>
          <w:i/>
          <w:iCs/>
          <w:sz w:val="24"/>
          <w:szCs w:val="24"/>
        </w:rPr>
        <w:t>The Child and Adolescent Mental Health Service (CAMHS) at Norfolk and Suffolk NHS Foundation Trust</w:t>
      </w:r>
      <w:r w:rsidRPr="005F67CB">
        <w:rPr>
          <w:rFonts w:ascii="Arial" w:hAnsi="Arial" w:cs="Arial"/>
          <w:sz w:val="24"/>
          <w:szCs w:val="24"/>
        </w:rPr>
        <w:t xml:space="preserve">. YouTube. Available at: </w:t>
      </w:r>
      <w:r w:rsidRPr="00F77F4A">
        <w:rPr>
          <w:rFonts w:ascii="Arial" w:hAnsi="Arial" w:cs="Arial"/>
          <w:sz w:val="24"/>
          <w:szCs w:val="24"/>
        </w:rPr>
        <w:t>https://www.youtube.com/watch?v=em1yckn5TJ4</w:t>
      </w:r>
      <w:r w:rsidRPr="005F67CB">
        <w:rPr>
          <w:rFonts w:ascii="Arial" w:hAnsi="Arial" w:cs="Arial"/>
          <w:sz w:val="24"/>
          <w:szCs w:val="24"/>
        </w:rPr>
        <w:t xml:space="preserve">. </w:t>
      </w:r>
      <w:r w:rsidR="00606B0C">
        <w:rPr>
          <w:rFonts w:ascii="Arial" w:hAnsi="Arial" w:cs="Arial"/>
          <w:sz w:val="24"/>
          <w:szCs w:val="24"/>
        </w:rPr>
        <w:t>(Accessed 04</w:t>
      </w:r>
      <w:r w:rsidR="005B3C90">
        <w:rPr>
          <w:rFonts w:ascii="Arial" w:hAnsi="Arial" w:cs="Arial"/>
          <w:sz w:val="24"/>
          <w:szCs w:val="24"/>
        </w:rPr>
        <w:t xml:space="preserve"> May </w:t>
      </w:r>
      <w:r w:rsidR="00606B0C">
        <w:rPr>
          <w:rFonts w:ascii="Arial" w:hAnsi="Arial" w:cs="Arial"/>
          <w:sz w:val="24"/>
          <w:szCs w:val="24"/>
        </w:rPr>
        <w:t>2025).</w:t>
      </w:r>
    </w:p>
    <w:p w14:paraId="05CEFBB2" w14:textId="171031CC"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 xml:space="preserve">Public Health England. (2021) </w:t>
      </w:r>
      <w:r w:rsidRPr="005F67CB">
        <w:rPr>
          <w:rFonts w:ascii="Arial" w:hAnsi="Arial" w:cs="Arial"/>
          <w:i/>
          <w:iCs/>
          <w:sz w:val="24"/>
          <w:szCs w:val="24"/>
        </w:rPr>
        <w:t>Promoting Children and Young People’s Emotional Health and Wellbeing</w:t>
      </w:r>
      <w:r w:rsidRPr="005F67CB">
        <w:rPr>
          <w:rFonts w:ascii="Arial" w:hAnsi="Arial" w:cs="Arial"/>
          <w:sz w:val="24"/>
          <w:szCs w:val="24"/>
        </w:rPr>
        <w:t xml:space="preserve">. Available at: </w:t>
      </w:r>
      <w:r w:rsidRPr="00F77F4A">
        <w:rPr>
          <w:rFonts w:ascii="Arial" w:hAnsi="Arial" w:cs="Arial"/>
          <w:sz w:val="24"/>
          <w:szCs w:val="24"/>
        </w:rPr>
        <w:t>https://www.gov.uk/government/publications</w:t>
      </w:r>
      <w:r w:rsidRPr="005F67CB">
        <w:rPr>
          <w:rFonts w:ascii="Arial" w:hAnsi="Arial" w:cs="Arial"/>
          <w:sz w:val="24"/>
          <w:szCs w:val="24"/>
        </w:rPr>
        <w:t xml:space="preserve"> </w:t>
      </w:r>
      <w:r w:rsidR="002B3E26">
        <w:rPr>
          <w:rFonts w:ascii="Arial" w:hAnsi="Arial" w:cs="Arial"/>
          <w:sz w:val="24"/>
          <w:szCs w:val="24"/>
        </w:rPr>
        <w:t>(Accessed 04 May 2025).</w:t>
      </w:r>
    </w:p>
    <w:p w14:paraId="709A8253" w14:textId="743C76E1" w:rsidR="00BE7414" w:rsidRPr="002B3E26" w:rsidRDefault="00BE7414" w:rsidP="005F67CB">
      <w:pPr>
        <w:spacing w:line="360" w:lineRule="auto"/>
        <w:rPr>
          <w:rFonts w:ascii="Arial" w:hAnsi="Arial" w:cs="Arial"/>
          <w:sz w:val="24"/>
          <w:szCs w:val="24"/>
        </w:rPr>
      </w:pPr>
      <w:r w:rsidRPr="005F67CB">
        <w:rPr>
          <w:rFonts w:ascii="Arial" w:hAnsi="Arial" w:cs="Arial"/>
          <w:sz w:val="24"/>
          <w:szCs w:val="24"/>
        </w:rPr>
        <w:t xml:space="preserve">Public Health Wales. (2020) </w:t>
      </w:r>
      <w:r w:rsidRPr="005F67CB">
        <w:rPr>
          <w:rFonts w:ascii="Arial" w:hAnsi="Arial" w:cs="Arial"/>
          <w:i/>
          <w:iCs/>
          <w:sz w:val="24"/>
          <w:szCs w:val="24"/>
        </w:rPr>
        <w:t xml:space="preserve">Significant childhood adversity linked to increased risk of homelessness - Public Health Wales. </w:t>
      </w:r>
      <w:r w:rsidRPr="002B3E26">
        <w:rPr>
          <w:rFonts w:ascii="Arial" w:hAnsi="Arial" w:cs="Arial"/>
          <w:sz w:val="24"/>
          <w:szCs w:val="24"/>
        </w:rPr>
        <w:t>Available at:</w:t>
      </w:r>
      <w:r w:rsidRPr="005F67CB">
        <w:rPr>
          <w:rFonts w:ascii="Arial" w:hAnsi="Arial" w:cs="Arial"/>
          <w:i/>
          <w:iCs/>
          <w:sz w:val="24"/>
          <w:szCs w:val="24"/>
        </w:rPr>
        <w:t xml:space="preserve"> </w:t>
      </w:r>
      <w:r w:rsidRPr="00F77F4A">
        <w:rPr>
          <w:rFonts w:ascii="Arial" w:hAnsi="Arial" w:cs="Arial"/>
          <w:i/>
          <w:iCs/>
          <w:sz w:val="24"/>
          <w:szCs w:val="24"/>
        </w:rPr>
        <w:t>https://phw.nhs.wales/news/significant-childhood-adversity-linked-to-increased-risk-of-homelessness/</w:t>
      </w:r>
      <w:r w:rsidR="002B3E26">
        <w:rPr>
          <w:rFonts w:ascii="Arial" w:hAnsi="Arial" w:cs="Arial"/>
          <w:i/>
          <w:iCs/>
          <w:sz w:val="24"/>
          <w:szCs w:val="24"/>
        </w:rPr>
        <w:t xml:space="preserve"> </w:t>
      </w:r>
      <w:r w:rsidR="002B3E26">
        <w:rPr>
          <w:rFonts w:ascii="Arial" w:hAnsi="Arial" w:cs="Arial"/>
          <w:sz w:val="24"/>
          <w:szCs w:val="24"/>
        </w:rPr>
        <w:t>(Accessed 04 May 2025).</w:t>
      </w:r>
    </w:p>
    <w:p w14:paraId="72869FDD" w14:textId="7FF5597F"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 xml:space="preserve">Royal College of Psychiatrists (2022) Role of Mental Health Professionals in CAMHS. </w:t>
      </w:r>
      <w:r w:rsidR="002B3E26" w:rsidRPr="005F67CB">
        <w:rPr>
          <w:rFonts w:ascii="Arial" w:hAnsi="Arial" w:cs="Arial"/>
          <w:sz w:val="24"/>
          <w:szCs w:val="24"/>
        </w:rPr>
        <w:t>Available at:</w:t>
      </w:r>
      <w:r w:rsidR="002B3E26">
        <w:rPr>
          <w:rFonts w:ascii="Arial" w:hAnsi="Arial" w:cs="Arial"/>
          <w:sz w:val="24"/>
          <w:szCs w:val="24"/>
        </w:rPr>
        <w:t xml:space="preserve"> </w:t>
      </w:r>
      <w:r w:rsidR="002B3E26" w:rsidRPr="00F77F4A">
        <w:rPr>
          <w:rFonts w:ascii="Arial" w:hAnsi="Arial" w:cs="Arial"/>
          <w:sz w:val="24"/>
          <w:szCs w:val="24"/>
        </w:rPr>
        <w:t>https://www.rcpsych.ac.uk</w:t>
      </w:r>
      <w:r w:rsidR="002B3E26">
        <w:rPr>
          <w:rFonts w:ascii="Arial" w:hAnsi="Arial" w:cs="Arial"/>
          <w:sz w:val="24"/>
          <w:szCs w:val="24"/>
        </w:rPr>
        <w:t xml:space="preserve"> (Accessed 04 May 2025).</w:t>
      </w:r>
    </w:p>
    <w:p w14:paraId="3FBB7493" w14:textId="02776C1B"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Rutter, M. (1987) Psychosocial Resilience and Protective Mechanisms. American Journal of Orthopsychiatry, 57(3), 316–331.</w:t>
      </w:r>
    </w:p>
    <w:p w14:paraId="157414C1" w14:textId="2FDCD540"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Spencer, L., Redgate, S., Hardy, C., Adams, E.A., Arnott, B., Brown, H., Christie, A., Harrison, H., Kaner, E., Mawson, C., McGovern, W., Rankin, J. and McGovern, R. (2024) Innovative local authority public health interventions to support the mental health of children and young people. </w:t>
      </w:r>
      <w:r w:rsidRPr="005F67CB">
        <w:rPr>
          <w:rFonts w:ascii="Arial" w:hAnsi="Arial" w:cs="Arial"/>
          <w:i/>
          <w:iCs/>
          <w:sz w:val="24"/>
          <w:szCs w:val="24"/>
        </w:rPr>
        <w:t xml:space="preserve">Journal of </w:t>
      </w:r>
      <w:r>
        <w:rPr>
          <w:rFonts w:ascii="Arial" w:hAnsi="Arial" w:cs="Arial"/>
          <w:i/>
          <w:iCs/>
          <w:sz w:val="24"/>
          <w:szCs w:val="24"/>
        </w:rPr>
        <w:t>Children's</w:t>
      </w:r>
      <w:r w:rsidRPr="005F67CB">
        <w:rPr>
          <w:rFonts w:ascii="Arial" w:hAnsi="Arial" w:cs="Arial"/>
          <w:i/>
          <w:iCs/>
          <w:sz w:val="24"/>
          <w:szCs w:val="24"/>
        </w:rPr>
        <w:t xml:space="preserve"> Services</w:t>
      </w:r>
      <w:r w:rsidRPr="005F67CB">
        <w:rPr>
          <w:rFonts w:ascii="Arial" w:hAnsi="Arial" w:cs="Arial"/>
          <w:sz w:val="24"/>
          <w:szCs w:val="24"/>
        </w:rPr>
        <w:t xml:space="preserve">. </w:t>
      </w:r>
      <w:r w:rsidR="00F30ACE" w:rsidRPr="005F67CB">
        <w:rPr>
          <w:rFonts w:ascii="Arial" w:hAnsi="Arial" w:cs="Arial"/>
          <w:sz w:val="24"/>
          <w:szCs w:val="24"/>
        </w:rPr>
        <w:t>Available at:</w:t>
      </w:r>
      <w:r w:rsidR="00F30ACE">
        <w:rPr>
          <w:rFonts w:ascii="Arial" w:hAnsi="Arial" w:cs="Arial"/>
          <w:sz w:val="24"/>
          <w:szCs w:val="24"/>
        </w:rPr>
        <w:t xml:space="preserve"> </w:t>
      </w:r>
      <w:r w:rsidR="00F30ACE" w:rsidRPr="00F77F4A">
        <w:rPr>
          <w:rFonts w:ascii="Arial" w:hAnsi="Arial" w:cs="Arial"/>
          <w:sz w:val="24"/>
          <w:szCs w:val="24"/>
        </w:rPr>
        <w:t>https://doi.org/10.1108/jcs-04-2023-0019</w:t>
      </w:r>
      <w:r w:rsidRPr="005F67CB">
        <w:rPr>
          <w:rFonts w:ascii="Arial" w:hAnsi="Arial" w:cs="Arial"/>
          <w:sz w:val="24"/>
          <w:szCs w:val="24"/>
        </w:rPr>
        <w:t>.</w:t>
      </w:r>
      <w:r w:rsidR="00F30ACE">
        <w:rPr>
          <w:rFonts w:ascii="Arial" w:hAnsi="Arial" w:cs="Arial"/>
          <w:sz w:val="24"/>
          <w:szCs w:val="24"/>
        </w:rPr>
        <w:t xml:space="preserve"> </w:t>
      </w:r>
    </w:p>
    <w:p w14:paraId="214CF26D" w14:textId="6300E26B"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Stangl, J.M. (2024) Promoting Health and Wellbeing: Key to Building Citizenship. </w:t>
      </w:r>
      <w:r w:rsidRPr="005F67CB">
        <w:rPr>
          <w:rFonts w:ascii="Arial" w:hAnsi="Arial" w:cs="Arial"/>
          <w:i/>
          <w:iCs/>
          <w:sz w:val="24"/>
          <w:szCs w:val="24"/>
        </w:rPr>
        <w:t>Journal of Quality in Health Care &amp; Economics</w:t>
      </w:r>
      <w:r w:rsidRPr="005F67CB">
        <w:rPr>
          <w:rFonts w:ascii="Arial" w:hAnsi="Arial" w:cs="Arial"/>
          <w:sz w:val="24"/>
          <w:szCs w:val="24"/>
        </w:rPr>
        <w:t xml:space="preserve">, 7(4), pp.1–2. </w:t>
      </w:r>
      <w:r w:rsidR="00417E95" w:rsidRPr="005F67CB">
        <w:rPr>
          <w:rFonts w:ascii="Arial" w:hAnsi="Arial" w:cs="Arial"/>
          <w:sz w:val="24"/>
          <w:szCs w:val="24"/>
        </w:rPr>
        <w:t>Available at:</w:t>
      </w:r>
      <w:r w:rsidR="00417E95">
        <w:rPr>
          <w:rFonts w:ascii="Arial" w:hAnsi="Arial" w:cs="Arial"/>
          <w:sz w:val="24"/>
          <w:szCs w:val="24"/>
        </w:rPr>
        <w:t xml:space="preserve"> </w:t>
      </w:r>
      <w:r w:rsidR="00417E95" w:rsidRPr="00F77F4A">
        <w:rPr>
          <w:rFonts w:ascii="Arial" w:hAnsi="Arial" w:cs="Arial"/>
          <w:sz w:val="24"/>
          <w:szCs w:val="24"/>
        </w:rPr>
        <w:t>https://doi.org/10.23880/jqhe-16000397</w:t>
      </w:r>
      <w:r w:rsidRPr="005F67CB">
        <w:rPr>
          <w:rFonts w:ascii="Arial" w:hAnsi="Arial" w:cs="Arial"/>
          <w:sz w:val="24"/>
          <w:szCs w:val="24"/>
        </w:rPr>
        <w:t>.</w:t>
      </w:r>
      <w:r w:rsidR="00417E95">
        <w:rPr>
          <w:rFonts w:ascii="Arial" w:hAnsi="Arial" w:cs="Arial"/>
          <w:sz w:val="24"/>
          <w:szCs w:val="24"/>
        </w:rPr>
        <w:t xml:space="preserve"> </w:t>
      </w:r>
    </w:p>
    <w:p w14:paraId="1FFD0FEC" w14:textId="6522540D"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UNICEF (1989) </w:t>
      </w:r>
      <w:r w:rsidRPr="005F67CB">
        <w:rPr>
          <w:rFonts w:ascii="Arial" w:hAnsi="Arial" w:cs="Arial"/>
          <w:i/>
          <w:iCs/>
          <w:sz w:val="24"/>
          <w:szCs w:val="24"/>
        </w:rPr>
        <w:t>UN Convention on the Rights of the Child (UNCRC)</w:t>
      </w:r>
      <w:r w:rsidRPr="005F67CB">
        <w:rPr>
          <w:rFonts w:ascii="Arial" w:hAnsi="Arial" w:cs="Arial"/>
          <w:sz w:val="24"/>
          <w:szCs w:val="24"/>
        </w:rPr>
        <w:t xml:space="preserve">. [online] UNICEF. Available at: </w:t>
      </w:r>
      <w:r w:rsidRPr="00F77F4A">
        <w:rPr>
          <w:rFonts w:ascii="Arial" w:hAnsi="Arial" w:cs="Arial"/>
          <w:sz w:val="24"/>
          <w:szCs w:val="24"/>
        </w:rPr>
        <w:t>https://www.unicef.org.uk/what-we-do/un-convention-child-rights/</w:t>
      </w:r>
      <w:r w:rsidRPr="005F67CB">
        <w:rPr>
          <w:rFonts w:ascii="Arial" w:hAnsi="Arial" w:cs="Arial"/>
          <w:sz w:val="24"/>
          <w:szCs w:val="24"/>
        </w:rPr>
        <w:t xml:space="preserve">. </w:t>
      </w:r>
      <w:r w:rsidR="006D079C">
        <w:rPr>
          <w:rFonts w:ascii="Arial" w:hAnsi="Arial" w:cs="Arial"/>
          <w:sz w:val="24"/>
          <w:szCs w:val="24"/>
        </w:rPr>
        <w:t>(Accessed 04 May 2025).</w:t>
      </w:r>
      <w:r w:rsidRPr="005F67CB">
        <w:rPr>
          <w:rFonts w:ascii="Arial" w:hAnsi="Arial" w:cs="Arial"/>
          <w:sz w:val="24"/>
          <w:szCs w:val="24"/>
        </w:rPr>
        <w:br/>
      </w:r>
      <w:r w:rsidRPr="005F67CB">
        <w:rPr>
          <w:rFonts w:ascii="Arial" w:hAnsi="Arial" w:cs="Arial"/>
          <w:sz w:val="24"/>
          <w:szCs w:val="24"/>
        </w:rPr>
        <w:lastRenderedPageBreak/>
        <w:t>Welsh Government (2021) </w:t>
      </w:r>
      <w:r w:rsidRPr="005F67CB">
        <w:rPr>
          <w:rFonts w:ascii="Arial" w:hAnsi="Arial" w:cs="Arial"/>
          <w:i/>
          <w:iCs/>
          <w:sz w:val="24"/>
          <w:szCs w:val="24"/>
        </w:rPr>
        <w:t>Safeguarding | Law Wales</w:t>
      </w:r>
      <w:r w:rsidRPr="005F67CB">
        <w:rPr>
          <w:rFonts w:ascii="Arial" w:hAnsi="Arial" w:cs="Arial"/>
          <w:sz w:val="24"/>
          <w:szCs w:val="24"/>
        </w:rPr>
        <w:t xml:space="preserve">. Available at: </w:t>
      </w:r>
      <w:r w:rsidRPr="00F77F4A">
        <w:rPr>
          <w:rFonts w:ascii="Arial" w:hAnsi="Arial" w:cs="Arial"/>
          <w:sz w:val="24"/>
          <w:szCs w:val="24"/>
        </w:rPr>
        <w:t>https://law.gov.wales/safeguarding</w:t>
      </w:r>
      <w:r w:rsidRPr="005F67CB">
        <w:rPr>
          <w:rFonts w:ascii="Arial" w:hAnsi="Arial" w:cs="Arial"/>
          <w:sz w:val="24"/>
          <w:szCs w:val="24"/>
        </w:rPr>
        <w:t xml:space="preserve">. </w:t>
      </w:r>
      <w:r w:rsidR="006D079C">
        <w:rPr>
          <w:rFonts w:ascii="Arial" w:hAnsi="Arial" w:cs="Arial"/>
          <w:sz w:val="24"/>
          <w:szCs w:val="24"/>
        </w:rPr>
        <w:t>(Accessed 05 May 2025).</w:t>
      </w:r>
    </w:p>
    <w:p w14:paraId="4A589FC9" w14:textId="70FF6AA2"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Vygotsky, L. S. (1978) Mind in Society: The Development of Higher Psychological Processes. Cambridge, MA: Harvard University Press.</w:t>
      </w:r>
    </w:p>
    <w:p w14:paraId="44F6ADB2" w14:textId="248D14B8"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Welsh Government (2018) </w:t>
      </w:r>
      <w:r w:rsidRPr="005F67CB">
        <w:rPr>
          <w:rFonts w:ascii="Arial" w:hAnsi="Arial" w:cs="Arial"/>
          <w:i/>
          <w:iCs/>
          <w:sz w:val="24"/>
          <w:szCs w:val="24"/>
        </w:rPr>
        <w:t>Additional Learning Needs and Education Tribunal (Wales) Act 2018</w:t>
      </w:r>
      <w:r w:rsidRPr="005F67CB">
        <w:rPr>
          <w:rFonts w:ascii="Arial" w:hAnsi="Arial" w:cs="Arial"/>
          <w:sz w:val="24"/>
          <w:szCs w:val="24"/>
        </w:rPr>
        <w:t>.</w:t>
      </w:r>
      <w:r w:rsidR="006D079C">
        <w:rPr>
          <w:rFonts w:ascii="Arial" w:hAnsi="Arial" w:cs="Arial"/>
          <w:sz w:val="24"/>
          <w:szCs w:val="24"/>
        </w:rPr>
        <w:t xml:space="preserve"> </w:t>
      </w:r>
      <w:r w:rsidRPr="005F67CB">
        <w:rPr>
          <w:rFonts w:ascii="Arial" w:hAnsi="Arial" w:cs="Arial"/>
          <w:sz w:val="24"/>
          <w:szCs w:val="24"/>
        </w:rPr>
        <w:t xml:space="preserve">Legislation.gov.uk. Available at: </w:t>
      </w:r>
      <w:r w:rsidRPr="00F77F4A">
        <w:rPr>
          <w:rFonts w:ascii="Arial" w:hAnsi="Arial" w:cs="Arial"/>
          <w:sz w:val="24"/>
          <w:szCs w:val="24"/>
        </w:rPr>
        <w:t>https://www.legislation.gov.uk/anaw/2018/2/contents</w:t>
      </w:r>
      <w:r w:rsidRPr="005F67CB">
        <w:rPr>
          <w:rFonts w:ascii="Arial" w:hAnsi="Arial" w:cs="Arial"/>
          <w:sz w:val="24"/>
          <w:szCs w:val="24"/>
        </w:rPr>
        <w:t xml:space="preserve">. </w:t>
      </w:r>
      <w:r w:rsidR="006D079C">
        <w:rPr>
          <w:rFonts w:ascii="Arial" w:hAnsi="Arial" w:cs="Arial"/>
          <w:sz w:val="24"/>
          <w:szCs w:val="24"/>
        </w:rPr>
        <w:t>(Accessed 05 May 2025).</w:t>
      </w:r>
    </w:p>
    <w:p w14:paraId="46727109" w14:textId="1E7DCACD"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Welsh Government (2021) </w:t>
      </w:r>
      <w:r w:rsidRPr="005F67CB">
        <w:rPr>
          <w:rFonts w:ascii="Arial" w:hAnsi="Arial" w:cs="Arial"/>
          <w:i/>
          <w:iCs/>
          <w:sz w:val="24"/>
          <w:szCs w:val="24"/>
        </w:rPr>
        <w:t>Framework on embedding a whole-school approach to emotional and mental wellbeing</w:t>
      </w:r>
      <w:r w:rsidRPr="005F67CB">
        <w:rPr>
          <w:rFonts w:ascii="Arial" w:hAnsi="Arial" w:cs="Arial"/>
          <w:sz w:val="24"/>
          <w:szCs w:val="24"/>
        </w:rPr>
        <w:t xml:space="preserve">. Available at: </w:t>
      </w:r>
      <w:r w:rsidRPr="00F77F4A">
        <w:rPr>
          <w:rFonts w:ascii="Arial" w:hAnsi="Arial" w:cs="Arial"/>
          <w:sz w:val="24"/>
          <w:szCs w:val="24"/>
        </w:rPr>
        <w:t>https://www.gov.wales/framework-embedding-whole-school-approach-emotional-and-mental-wellbeing</w:t>
      </w:r>
      <w:r w:rsidRPr="005F67CB">
        <w:rPr>
          <w:rFonts w:ascii="Arial" w:hAnsi="Arial" w:cs="Arial"/>
          <w:sz w:val="24"/>
          <w:szCs w:val="24"/>
        </w:rPr>
        <w:t xml:space="preserve">. </w:t>
      </w:r>
      <w:r w:rsidR="006D079C">
        <w:rPr>
          <w:rFonts w:ascii="Arial" w:hAnsi="Arial" w:cs="Arial"/>
          <w:sz w:val="24"/>
          <w:szCs w:val="24"/>
        </w:rPr>
        <w:t>(Accessed 04 May 2025).</w:t>
      </w:r>
    </w:p>
    <w:p w14:paraId="2F674B46" w14:textId="39B77A47"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Wu, H.-H., Li, H., Zong, X.-N. and Zhang, Y.-Q. (2021) Proper protein intake, adequate sleep and short screen time can promote physical growth and reduce the incidence of obesity in children aged 3~7 years.</w:t>
      </w:r>
      <w:r w:rsidR="006D079C">
        <w:rPr>
          <w:rFonts w:ascii="Arial" w:hAnsi="Arial" w:cs="Arial"/>
          <w:sz w:val="24"/>
          <w:szCs w:val="24"/>
        </w:rPr>
        <w:t xml:space="preserve"> </w:t>
      </w:r>
      <w:r w:rsidR="006D079C" w:rsidRPr="005F67CB">
        <w:rPr>
          <w:rFonts w:ascii="Arial" w:hAnsi="Arial" w:cs="Arial"/>
          <w:sz w:val="24"/>
          <w:szCs w:val="24"/>
        </w:rPr>
        <w:t>Available at:</w:t>
      </w:r>
      <w:r w:rsidR="006D079C">
        <w:rPr>
          <w:rFonts w:ascii="Arial" w:hAnsi="Arial" w:cs="Arial"/>
          <w:sz w:val="24"/>
          <w:szCs w:val="24"/>
        </w:rPr>
        <w:t xml:space="preserve"> </w:t>
      </w:r>
      <w:r w:rsidR="006D079C" w:rsidRPr="00F77F4A">
        <w:rPr>
          <w:rFonts w:ascii="Arial" w:hAnsi="Arial" w:cs="Arial"/>
          <w:sz w:val="24"/>
          <w:szCs w:val="24"/>
        </w:rPr>
        <w:t>https://doi.org/10.21203/rs.3.rs-828936/v1</w:t>
      </w:r>
      <w:r w:rsidRPr="005F67CB">
        <w:rPr>
          <w:rFonts w:ascii="Arial" w:hAnsi="Arial" w:cs="Arial"/>
          <w:sz w:val="24"/>
          <w:szCs w:val="24"/>
        </w:rPr>
        <w:t>.</w:t>
      </w:r>
      <w:r w:rsidR="006D079C">
        <w:rPr>
          <w:rFonts w:ascii="Arial" w:hAnsi="Arial" w:cs="Arial"/>
          <w:sz w:val="24"/>
          <w:szCs w:val="24"/>
        </w:rPr>
        <w:t xml:space="preserve"> </w:t>
      </w:r>
    </w:p>
    <w:p w14:paraId="28BF9093" w14:textId="5ECA2D11" w:rsidR="00BE7414" w:rsidRPr="005F67CB" w:rsidRDefault="00BE7414" w:rsidP="005F67CB">
      <w:pPr>
        <w:spacing w:line="360" w:lineRule="auto"/>
        <w:rPr>
          <w:rFonts w:ascii="Arial" w:hAnsi="Arial" w:cs="Arial"/>
          <w:sz w:val="24"/>
          <w:szCs w:val="24"/>
        </w:rPr>
      </w:pPr>
      <w:r w:rsidRPr="005F67CB">
        <w:rPr>
          <w:rFonts w:ascii="Arial" w:hAnsi="Arial" w:cs="Arial"/>
          <w:sz w:val="24"/>
          <w:szCs w:val="24"/>
        </w:rPr>
        <w:t xml:space="preserve">Young Minds. (2023) CAMHS Explained: A Guide for Young People and Parents. </w:t>
      </w:r>
      <w:r w:rsidRPr="00F77F4A">
        <w:rPr>
          <w:rFonts w:ascii="Arial" w:hAnsi="Arial" w:cs="Arial"/>
          <w:sz w:val="24"/>
          <w:szCs w:val="24"/>
        </w:rPr>
        <w:t>https://www.youngminds.org.uk</w:t>
      </w:r>
    </w:p>
    <w:p w14:paraId="22F986FB" w14:textId="77777777" w:rsidR="00AA1788" w:rsidRPr="004C13A9" w:rsidRDefault="00AA1788" w:rsidP="004C13A9"/>
    <w:p w14:paraId="671FB01B" w14:textId="77777777" w:rsidR="0080299B" w:rsidRDefault="0080299B"/>
    <w:sectPr w:rsidR="0080299B" w:rsidSect="0097059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9E4722" w14:textId="77777777" w:rsidR="004B0AEA" w:rsidRDefault="004B0AEA" w:rsidP="005F67CB">
      <w:pPr>
        <w:spacing w:after="0" w:line="240" w:lineRule="auto"/>
      </w:pPr>
      <w:r>
        <w:separator/>
      </w:r>
    </w:p>
  </w:endnote>
  <w:endnote w:type="continuationSeparator" w:id="0">
    <w:p w14:paraId="3B3DC40C" w14:textId="77777777" w:rsidR="004B0AEA" w:rsidRDefault="004B0AEA" w:rsidP="005F6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0611293"/>
      <w:docPartObj>
        <w:docPartGallery w:val="Page Numbers (Bottom of Page)"/>
        <w:docPartUnique/>
      </w:docPartObj>
    </w:sdtPr>
    <w:sdtEndPr>
      <w:rPr>
        <w:noProof/>
      </w:rPr>
    </w:sdtEndPr>
    <w:sdtContent>
      <w:p w14:paraId="187277B2" w14:textId="77777777" w:rsidR="005F67CB" w:rsidRDefault="005F67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67E251" w14:textId="77777777" w:rsidR="005F67CB" w:rsidRDefault="005F67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FA4193" w14:textId="77777777" w:rsidR="004B0AEA" w:rsidRDefault="004B0AEA" w:rsidP="005F67CB">
      <w:pPr>
        <w:spacing w:after="0" w:line="240" w:lineRule="auto"/>
      </w:pPr>
      <w:r>
        <w:separator/>
      </w:r>
    </w:p>
  </w:footnote>
  <w:footnote w:type="continuationSeparator" w:id="0">
    <w:p w14:paraId="1EA3E898" w14:textId="77777777" w:rsidR="004B0AEA" w:rsidRDefault="004B0AEA" w:rsidP="005F67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977B7D"/>
    <w:multiLevelType w:val="multilevel"/>
    <w:tmpl w:val="6C521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22875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AD0"/>
    <w:rsid w:val="00015D0C"/>
    <w:rsid w:val="000363A5"/>
    <w:rsid w:val="001253CD"/>
    <w:rsid w:val="001304C1"/>
    <w:rsid w:val="00164450"/>
    <w:rsid w:val="002B3E26"/>
    <w:rsid w:val="002F3498"/>
    <w:rsid w:val="0035085E"/>
    <w:rsid w:val="003B68BB"/>
    <w:rsid w:val="003D0776"/>
    <w:rsid w:val="00417E95"/>
    <w:rsid w:val="00425B0B"/>
    <w:rsid w:val="00426769"/>
    <w:rsid w:val="004369DE"/>
    <w:rsid w:val="00455A3D"/>
    <w:rsid w:val="00494C27"/>
    <w:rsid w:val="004A0AD0"/>
    <w:rsid w:val="004B0AEA"/>
    <w:rsid w:val="004C13A9"/>
    <w:rsid w:val="004F00B9"/>
    <w:rsid w:val="0053317A"/>
    <w:rsid w:val="005B3C90"/>
    <w:rsid w:val="005F67CB"/>
    <w:rsid w:val="00601A23"/>
    <w:rsid w:val="00606B0C"/>
    <w:rsid w:val="00680078"/>
    <w:rsid w:val="006D079C"/>
    <w:rsid w:val="007F2C71"/>
    <w:rsid w:val="0080299B"/>
    <w:rsid w:val="008D1277"/>
    <w:rsid w:val="008E1472"/>
    <w:rsid w:val="009057B1"/>
    <w:rsid w:val="00923D89"/>
    <w:rsid w:val="0097059D"/>
    <w:rsid w:val="0098239C"/>
    <w:rsid w:val="00AA1788"/>
    <w:rsid w:val="00AD6CFE"/>
    <w:rsid w:val="00B04F8A"/>
    <w:rsid w:val="00B14E84"/>
    <w:rsid w:val="00B2426A"/>
    <w:rsid w:val="00B75391"/>
    <w:rsid w:val="00BB7961"/>
    <w:rsid w:val="00BD5DC3"/>
    <w:rsid w:val="00BE7414"/>
    <w:rsid w:val="00C46497"/>
    <w:rsid w:val="00CB6E4C"/>
    <w:rsid w:val="00CD7FF0"/>
    <w:rsid w:val="00CF1BA9"/>
    <w:rsid w:val="00D04A04"/>
    <w:rsid w:val="00D14CE4"/>
    <w:rsid w:val="00DC787B"/>
    <w:rsid w:val="00E017CD"/>
    <w:rsid w:val="00E501EF"/>
    <w:rsid w:val="00EA4A73"/>
    <w:rsid w:val="00F2075F"/>
    <w:rsid w:val="00F30ACE"/>
    <w:rsid w:val="00F322F8"/>
    <w:rsid w:val="00F77F4A"/>
    <w:rsid w:val="00F94D17"/>
    <w:rsid w:val="00FD7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334502"/>
  <w15:chartTrackingRefBased/>
  <w15:docId w15:val="{9A168388-2040-440A-81D3-9EBA470C6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A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A0A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0A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0A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0A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0A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0A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0A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0A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0A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A0A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0A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0A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0A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0A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0A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0A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0AD0"/>
    <w:rPr>
      <w:rFonts w:eastAsiaTheme="majorEastAsia" w:cstheme="majorBidi"/>
      <w:color w:val="272727" w:themeColor="text1" w:themeTint="D8"/>
    </w:rPr>
  </w:style>
  <w:style w:type="paragraph" w:styleId="Title">
    <w:name w:val="Title"/>
    <w:basedOn w:val="Normal"/>
    <w:next w:val="Normal"/>
    <w:link w:val="TitleChar"/>
    <w:uiPriority w:val="10"/>
    <w:qFormat/>
    <w:rsid w:val="004A0A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0A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0A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0A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0AD0"/>
    <w:pPr>
      <w:spacing w:before="160"/>
      <w:jc w:val="center"/>
    </w:pPr>
    <w:rPr>
      <w:i/>
      <w:iCs/>
      <w:color w:val="404040" w:themeColor="text1" w:themeTint="BF"/>
    </w:rPr>
  </w:style>
  <w:style w:type="character" w:customStyle="1" w:styleId="QuoteChar">
    <w:name w:val="Quote Char"/>
    <w:basedOn w:val="DefaultParagraphFont"/>
    <w:link w:val="Quote"/>
    <w:uiPriority w:val="29"/>
    <w:rsid w:val="004A0AD0"/>
    <w:rPr>
      <w:i/>
      <w:iCs/>
      <w:color w:val="404040" w:themeColor="text1" w:themeTint="BF"/>
    </w:rPr>
  </w:style>
  <w:style w:type="paragraph" w:styleId="ListParagraph">
    <w:name w:val="List Paragraph"/>
    <w:basedOn w:val="Normal"/>
    <w:uiPriority w:val="34"/>
    <w:qFormat/>
    <w:rsid w:val="004A0AD0"/>
    <w:pPr>
      <w:ind w:left="720"/>
      <w:contextualSpacing/>
    </w:pPr>
  </w:style>
  <w:style w:type="character" w:styleId="IntenseEmphasis">
    <w:name w:val="Intense Emphasis"/>
    <w:basedOn w:val="DefaultParagraphFont"/>
    <w:uiPriority w:val="21"/>
    <w:qFormat/>
    <w:rsid w:val="004A0AD0"/>
    <w:rPr>
      <w:i/>
      <w:iCs/>
      <w:color w:val="0F4761" w:themeColor="accent1" w:themeShade="BF"/>
    </w:rPr>
  </w:style>
  <w:style w:type="paragraph" w:styleId="IntenseQuote">
    <w:name w:val="Intense Quote"/>
    <w:basedOn w:val="Normal"/>
    <w:next w:val="Normal"/>
    <w:link w:val="IntenseQuoteChar"/>
    <w:uiPriority w:val="30"/>
    <w:qFormat/>
    <w:rsid w:val="004A0A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0AD0"/>
    <w:rPr>
      <w:i/>
      <w:iCs/>
      <w:color w:val="0F4761" w:themeColor="accent1" w:themeShade="BF"/>
    </w:rPr>
  </w:style>
  <w:style w:type="character" w:styleId="IntenseReference">
    <w:name w:val="Intense Reference"/>
    <w:basedOn w:val="DefaultParagraphFont"/>
    <w:uiPriority w:val="32"/>
    <w:qFormat/>
    <w:rsid w:val="004A0AD0"/>
    <w:rPr>
      <w:b/>
      <w:bCs/>
      <w:smallCaps/>
      <w:color w:val="0F4761" w:themeColor="accent1" w:themeShade="BF"/>
      <w:spacing w:val="5"/>
    </w:rPr>
  </w:style>
  <w:style w:type="character" w:styleId="Hyperlink">
    <w:name w:val="Hyperlink"/>
    <w:basedOn w:val="DefaultParagraphFont"/>
    <w:uiPriority w:val="99"/>
    <w:unhideWhenUsed/>
    <w:rsid w:val="0080299B"/>
    <w:rPr>
      <w:color w:val="467886" w:themeColor="hyperlink"/>
      <w:u w:val="single"/>
    </w:rPr>
  </w:style>
  <w:style w:type="character" w:styleId="UnresolvedMention">
    <w:name w:val="Unresolved Mention"/>
    <w:basedOn w:val="DefaultParagraphFont"/>
    <w:uiPriority w:val="99"/>
    <w:semiHidden/>
    <w:unhideWhenUsed/>
    <w:rsid w:val="0080299B"/>
    <w:rPr>
      <w:color w:val="605E5C"/>
      <w:shd w:val="clear" w:color="auto" w:fill="E1DFDD"/>
    </w:rPr>
  </w:style>
  <w:style w:type="character" w:styleId="FollowedHyperlink">
    <w:name w:val="FollowedHyperlink"/>
    <w:basedOn w:val="DefaultParagraphFont"/>
    <w:uiPriority w:val="99"/>
    <w:semiHidden/>
    <w:unhideWhenUsed/>
    <w:rsid w:val="0080299B"/>
    <w:rPr>
      <w:color w:val="96607D" w:themeColor="followedHyperlink"/>
      <w:u w:val="single"/>
    </w:rPr>
  </w:style>
  <w:style w:type="paragraph" w:styleId="NoSpacing">
    <w:name w:val="No Spacing"/>
    <w:link w:val="NoSpacingChar"/>
    <w:uiPriority w:val="1"/>
    <w:qFormat/>
    <w:rsid w:val="0097059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7059D"/>
    <w:rPr>
      <w:rFonts w:eastAsiaTheme="minorEastAsia"/>
      <w:kern w:val="0"/>
      <w:lang w:val="en-US"/>
      <w14:ligatures w14:val="none"/>
    </w:rPr>
  </w:style>
  <w:style w:type="paragraph" w:styleId="TOCHeading">
    <w:name w:val="TOC Heading"/>
    <w:basedOn w:val="Heading1"/>
    <w:next w:val="Normal"/>
    <w:uiPriority w:val="39"/>
    <w:unhideWhenUsed/>
    <w:qFormat/>
    <w:rsid w:val="004F00B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F00B9"/>
    <w:pPr>
      <w:spacing w:after="100"/>
    </w:pPr>
  </w:style>
  <w:style w:type="paragraph" w:styleId="TOC2">
    <w:name w:val="toc 2"/>
    <w:basedOn w:val="Normal"/>
    <w:next w:val="Normal"/>
    <w:autoRedefine/>
    <w:uiPriority w:val="39"/>
    <w:unhideWhenUsed/>
    <w:rsid w:val="004F00B9"/>
    <w:pPr>
      <w:spacing w:after="100"/>
      <w:ind w:left="220"/>
    </w:pPr>
  </w:style>
  <w:style w:type="paragraph" w:styleId="Header">
    <w:name w:val="header"/>
    <w:basedOn w:val="Normal"/>
    <w:link w:val="HeaderChar"/>
    <w:uiPriority w:val="99"/>
    <w:unhideWhenUsed/>
    <w:rsid w:val="005F67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7CB"/>
  </w:style>
  <w:style w:type="paragraph" w:styleId="Footer">
    <w:name w:val="footer"/>
    <w:basedOn w:val="Normal"/>
    <w:link w:val="FooterChar"/>
    <w:uiPriority w:val="99"/>
    <w:unhideWhenUsed/>
    <w:rsid w:val="005F67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7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61288">
      <w:bodyDiv w:val="1"/>
      <w:marLeft w:val="0"/>
      <w:marRight w:val="0"/>
      <w:marTop w:val="0"/>
      <w:marBottom w:val="0"/>
      <w:divBdr>
        <w:top w:val="none" w:sz="0" w:space="0" w:color="auto"/>
        <w:left w:val="none" w:sz="0" w:space="0" w:color="auto"/>
        <w:bottom w:val="none" w:sz="0" w:space="0" w:color="auto"/>
        <w:right w:val="none" w:sz="0" w:space="0" w:color="auto"/>
      </w:divBdr>
    </w:div>
    <w:div w:id="203905007">
      <w:bodyDiv w:val="1"/>
      <w:marLeft w:val="0"/>
      <w:marRight w:val="0"/>
      <w:marTop w:val="0"/>
      <w:marBottom w:val="0"/>
      <w:divBdr>
        <w:top w:val="none" w:sz="0" w:space="0" w:color="auto"/>
        <w:left w:val="none" w:sz="0" w:space="0" w:color="auto"/>
        <w:bottom w:val="none" w:sz="0" w:space="0" w:color="auto"/>
        <w:right w:val="none" w:sz="0" w:space="0" w:color="auto"/>
      </w:divBdr>
    </w:div>
    <w:div w:id="273442721">
      <w:bodyDiv w:val="1"/>
      <w:marLeft w:val="0"/>
      <w:marRight w:val="0"/>
      <w:marTop w:val="0"/>
      <w:marBottom w:val="0"/>
      <w:divBdr>
        <w:top w:val="none" w:sz="0" w:space="0" w:color="auto"/>
        <w:left w:val="none" w:sz="0" w:space="0" w:color="auto"/>
        <w:bottom w:val="none" w:sz="0" w:space="0" w:color="auto"/>
        <w:right w:val="none" w:sz="0" w:space="0" w:color="auto"/>
      </w:divBdr>
    </w:div>
    <w:div w:id="324165211">
      <w:bodyDiv w:val="1"/>
      <w:marLeft w:val="0"/>
      <w:marRight w:val="0"/>
      <w:marTop w:val="0"/>
      <w:marBottom w:val="0"/>
      <w:divBdr>
        <w:top w:val="none" w:sz="0" w:space="0" w:color="auto"/>
        <w:left w:val="none" w:sz="0" w:space="0" w:color="auto"/>
        <w:bottom w:val="none" w:sz="0" w:space="0" w:color="auto"/>
        <w:right w:val="none" w:sz="0" w:space="0" w:color="auto"/>
      </w:divBdr>
    </w:div>
    <w:div w:id="372313369">
      <w:bodyDiv w:val="1"/>
      <w:marLeft w:val="0"/>
      <w:marRight w:val="0"/>
      <w:marTop w:val="0"/>
      <w:marBottom w:val="0"/>
      <w:divBdr>
        <w:top w:val="none" w:sz="0" w:space="0" w:color="auto"/>
        <w:left w:val="none" w:sz="0" w:space="0" w:color="auto"/>
        <w:bottom w:val="none" w:sz="0" w:space="0" w:color="auto"/>
        <w:right w:val="none" w:sz="0" w:space="0" w:color="auto"/>
      </w:divBdr>
    </w:div>
    <w:div w:id="402797975">
      <w:bodyDiv w:val="1"/>
      <w:marLeft w:val="0"/>
      <w:marRight w:val="0"/>
      <w:marTop w:val="0"/>
      <w:marBottom w:val="0"/>
      <w:divBdr>
        <w:top w:val="none" w:sz="0" w:space="0" w:color="auto"/>
        <w:left w:val="none" w:sz="0" w:space="0" w:color="auto"/>
        <w:bottom w:val="none" w:sz="0" w:space="0" w:color="auto"/>
        <w:right w:val="none" w:sz="0" w:space="0" w:color="auto"/>
      </w:divBdr>
      <w:divsChild>
        <w:div w:id="184683014">
          <w:marLeft w:val="0"/>
          <w:marRight w:val="0"/>
          <w:marTop w:val="0"/>
          <w:marBottom w:val="0"/>
          <w:divBdr>
            <w:top w:val="none" w:sz="0" w:space="0" w:color="auto"/>
            <w:left w:val="none" w:sz="0" w:space="0" w:color="auto"/>
            <w:bottom w:val="none" w:sz="0" w:space="0" w:color="auto"/>
            <w:right w:val="none" w:sz="0" w:space="0" w:color="auto"/>
          </w:divBdr>
          <w:divsChild>
            <w:div w:id="1227230249">
              <w:marLeft w:val="0"/>
              <w:marRight w:val="0"/>
              <w:marTop w:val="0"/>
              <w:marBottom w:val="0"/>
              <w:divBdr>
                <w:top w:val="none" w:sz="0" w:space="0" w:color="auto"/>
                <w:left w:val="none" w:sz="0" w:space="0" w:color="auto"/>
                <w:bottom w:val="none" w:sz="0" w:space="0" w:color="auto"/>
                <w:right w:val="none" w:sz="0" w:space="0" w:color="auto"/>
              </w:divBdr>
              <w:divsChild>
                <w:div w:id="798691504">
                  <w:marLeft w:val="0"/>
                  <w:marRight w:val="0"/>
                  <w:marTop w:val="0"/>
                  <w:marBottom w:val="0"/>
                  <w:divBdr>
                    <w:top w:val="none" w:sz="0" w:space="0" w:color="auto"/>
                    <w:left w:val="none" w:sz="0" w:space="0" w:color="auto"/>
                    <w:bottom w:val="none" w:sz="0" w:space="0" w:color="auto"/>
                    <w:right w:val="none" w:sz="0" w:space="0" w:color="auto"/>
                  </w:divBdr>
                  <w:divsChild>
                    <w:div w:id="982084106">
                      <w:marLeft w:val="0"/>
                      <w:marRight w:val="0"/>
                      <w:marTop w:val="0"/>
                      <w:marBottom w:val="0"/>
                      <w:divBdr>
                        <w:top w:val="none" w:sz="0" w:space="0" w:color="auto"/>
                        <w:left w:val="none" w:sz="0" w:space="0" w:color="auto"/>
                        <w:bottom w:val="none" w:sz="0" w:space="0" w:color="auto"/>
                        <w:right w:val="none" w:sz="0" w:space="0" w:color="auto"/>
                      </w:divBdr>
                      <w:divsChild>
                        <w:div w:id="642731895">
                          <w:marLeft w:val="0"/>
                          <w:marRight w:val="0"/>
                          <w:marTop w:val="0"/>
                          <w:marBottom w:val="0"/>
                          <w:divBdr>
                            <w:top w:val="none" w:sz="0" w:space="0" w:color="auto"/>
                            <w:left w:val="none" w:sz="0" w:space="0" w:color="auto"/>
                            <w:bottom w:val="none" w:sz="0" w:space="0" w:color="auto"/>
                            <w:right w:val="none" w:sz="0" w:space="0" w:color="auto"/>
                          </w:divBdr>
                          <w:divsChild>
                            <w:div w:id="619413080">
                              <w:marLeft w:val="0"/>
                              <w:marRight w:val="0"/>
                              <w:marTop w:val="0"/>
                              <w:marBottom w:val="0"/>
                              <w:divBdr>
                                <w:top w:val="none" w:sz="0" w:space="0" w:color="auto"/>
                                <w:left w:val="none" w:sz="0" w:space="0" w:color="auto"/>
                                <w:bottom w:val="none" w:sz="0" w:space="0" w:color="auto"/>
                                <w:right w:val="none" w:sz="0" w:space="0" w:color="auto"/>
                              </w:divBdr>
                              <w:divsChild>
                                <w:div w:id="1165704904">
                                  <w:marLeft w:val="0"/>
                                  <w:marRight w:val="0"/>
                                  <w:marTop w:val="0"/>
                                  <w:marBottom w:val="0"/>
                                  <w:divBdr>
                                    <w:top w:val="none" w:sz="0" w:space="0" w:color="auto"/>
                                    <w:left w:val="none" w:sz="0" w:space="0" w:color="auto"/>
                                    <w:bottom w:val="none" w:sz="0" w:space="0" w:color="auto"/>
                                    <w:right w:val="none" w:sz="0" w:space="0" w:color="auto"/>
                                  </w:divBdr>
                                  <w:divsChild>
                                    <w:div w:id="687172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3396749">
          <w:marLeft w:val="0"/>
          <w:marRight w:val="0"/>
          <w:marTop w:val="0"/>
          <w:marBottom w:val="0"/>
          <w:divBdr>
            <w:top w:val="none" w:sz="0" w:space="0" w:color="auto"/>
            <w:left w:val="none" w:sz="0" w:space="0" w:color="auto"/>
            <w:bottom w:val="none" w:sz="0" w:space="0" w:color="auto"/>
            <w:right w:val="none" w:sz="0" w:space="0" w:color="auto"/>
          </w:divBdr>
          <w:divsChild>
            <w:div w:id="378170064">
              <w:marLeft w:val="0"/>
              <w:marRight w:val="0"/>
              <w:marTop w:val="0"/>
              <w:marBottom w:val="0"/>
              <w:divBdr>
                <w:top w:val="none" w:sz="0" w:space="0" w:color="auto"/>
                <w:left w:val="none" w:sz="0" w:space="0" w:color="auto"/>
                <w:bottom w:val="none" w:sz="0" w:space="0" w:color="auto"/>
                <w:right w:val="none" w:sz="0" w:space="0" w:color="auto"/>
              </w:divBdr>
              <w:divsChild>
                <w:div w:id="2043944792">
                  <w:marLeft w:val="0"/>
                  <w:marRight w:val="0"/>
                  <w:marTop w:val="0"/>
                  <w:marBottom w:val="0"/>
                  <w:divBdr>
                    <w:top w:val="none" w:sz="0" w:space="0" w:color="auto"/>
                    <w:left w:val="none" w:sz="0" w:space="0" w:color="auto"/>
                    <w:bottom w:val="none" w:sz="0" w:space="0" w:color="auto"/>
                    <w:right w:val="none" w:sz="0" w:space="0" w:color="auto"/>
                  </w:divBdr>
                  <w:divsChild>
                    <w:div w:id="1566990993">
                      <w:marLeft w:val="0"/>
                      <w:marRight w:val="0"/>
                      <w:marTop w:val="0"/>
                      <w:marBottom w:val="0"/>
                      <w:divBdr>
                        <w:top w:val="none" w:sz="0" w:space="0" w:color="auto"/>
                        <w:left w:val="none" w:sz="0" w:space="0" w:color="auto"/>
                        <w:bottom w:val="none" w:sz="0" w:space="0" w:color="auto"/>
                        <w:right w:val="none" w:sz="0" w:space="0" w:color="auto"/>
                      </w:divBdr>
                      <w:divsChild>
                        <w:div w:id="1392194012">
                          <w:marLeft w:val="0"/>
                          <w:marRight w:val="0"/>
                          <w:marTop w:val="0"/>
                          <w:marBottom w:val="0"/>
                          <w:divBdr>
                            <w:top w:val="none" w:sz="0" w:space="0" w:color="auto"/>
                            <w:left w:val="none" w:sz="0" w:space="0" w:color="auto"/>
                            <w:bottom w:val="none" w:sz="0" w:space="0" w:color="auto"/>
                            <w:right w:val="none" w:sz="0" w:space="0" w:color="auto"/>
                          </w:divBdr>
                          <w:divsChild>
                            <w:div w:id="39787747">
                              <w:marLeft w:val="0"/>
                              <w:marRight w:val="0"/>
                              <w:marTop w:val="0"/>
                              <w:marBottom w:val="0"/>
                              <w:divBdr>
                                <w:top w:val="none" w:sz="0" w:space="0" w:color="auto"/>
                                <w:left w:val="none" w:sz="0" w:space="0" w:color="auto"/>
                                <w:bottom w:val="none" w:sz="0" w:space="0" w:color="auto"/>
                                <w:right w:val="none" w:sz="0" w:space="0" w:color="auto"/>
                              </w:divBdr>
                              <w:divsChild>
                                <w:div w:id="2098018478">
                                  <w:marLeft w:val="0"/>
                                  <w:marRight w:val="0"/>
                                  <w:marTop w:val="0"/>
                                  <w:marBottom w:val="0"/>
                                  <w:divBdr>
                                    <w:top w:val="none" w:sz="0" w:space="0" w:color="auto"/>
                                    <w:left w:val="none" w:sz="0" w:space="0" w:color="auto"/>
                                    <w:bottom w:val="none" w:sz="0" w:space="0" w:color="auto"/>
                                    <w:right w:val="none" w:sz="0" w:space="0" w:color="auto"/>
                                  </w:divBdr>
                                  <w:divsChild>
                                    <w:div w:id="1759213643">
                                      <w:marLeft w:val="0"/>
                                      <w:marRight w:val="0"/>
                                      <w:marTop w:val="0"/>
                                      <w:marBottom w:val="0"/>
                                      <w:divBdr>
                                        <w:top w:val="none" w:sz="0" w:space="0" w:color="auto"/>
                                        <w:left w:val="none" w:sz="0" w:space="0" w:color="auto"/>
                                        <w:bottom w:val="none" w:sz="0" w:space="0" w:color="auto"/>
                                        <w:right w:val="none" w:sz="0" w:space="0" w:color="auto"/>
                                      </w:divBdr>
                                      <w:divsChild>
                                        <w:div w:id="15206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1337666">
          <w:marLeft w:val="0"/>
          <w:marRight w:val="0"/>
          <w:marTop w:val="0"/>
          <w:marBottom w:val="0"/>
          <w:divBdr>
            <w:top w:val="none" w:sz="0" w:space="0" w:color="auto"/>
            <w:left w:val="none" w:sz="0" w:space="0" w:color="auto"/>
            <w:bottom w:val="none" w:sz="0" w:space="0" w:color="auto"/>
            <w:right w:val="none" w:sz="0" w:space="0" w:color="auto"/>
          </w:divBdr>
          <w:divsChild>
            <w:div w:id="1421835438">
              <w:marLeft w:val="0"/>
              <w:marRight w:val="0"/>
              <w:marTop w:val="0"/>
              <w:marBottom w:val="0"/>
              <w:divBdr>
                <w:top w:val="none" w:sz="0" w:space="0" w:color="auto"/>
                <w:left w:val="none" w:sz="0" w:space="0" w:color="auto"/>
                <w:bottom w:val="none" w:sz="0" w:space="0" w:color="auto"/>
                <w:right w:val="none" w:sz="0" w:space="0" w:color="auto"/>
              </w:divBdr>
              <w:divsChild>
                <w:div w:id="51856104">
                  <w:marLeft w:val="0"/>
                  <w:marRight w:val="0"/>
                  <w:marTop w:val="0"/>
                  <w:marBottom w:val="0"/>
                  <w:divBdr>
                    <w:top w:val="none" w:sz="0" w:space="0" w:color="auto"/>
                    <w:left w:val="none" w:sz="0" w:space="0" w:color="auto"/>
                    <w:bottom w:val="none" w:sz="0" w:space="0" w:color="auto"/>
                    <w:right w:val="none" w:sz="0" w:space="0" w:color="auto"/>
                  </w:divBdr>
                  <w:divsChild>
                    <w:div w:id="1879004753">
                      <w:marLeft w:val="0"/>
                      <w:marRight w:val="0"/>
                      <w:marTop w:val="0"/>
                      <w:marBottom w:val="0"/>
                      <w:divBdr>
                        <w:top w:val="none" w:sz="0" w:space="0" w:color="auto"/>
                        <w:left w:val="none" w:sz="0" w:space="0" w:color="auto"/>
                        <w:bottom w:val="none" w:sz="0" w:space="0" w:color="auto"/>
                        <w:right w:val="none" w:sz="0" w:space="0" w:color="auto"/>
                      </w:divBdr>
                      <w:divsChild>
                        <w:div w:id="1069887758">
                          <w:marLeft w:val="0"/>
                          <w:marRight w:val="0"/>
                          <w:marTop w:val="0"/>
                          <w:marBottom w:val="0"/>
                          <w:divBdr>
                            <w:top w:val="none" w:sz="0" w:space="0" w:color="auto"/>
                            <w:left w:val="none" w:sz="0" w:space="0" w:color="auto"/>
                            <w:bottom w:val="none" w:sz="0" w:space="0" w:color="auto"/>
                            <w:right w:val="none" w:sz="0" w:space="0" w:color="auto"/>
                          </w:divBdr>
                          <w:divsChild>
                            <w:div w:id="229124651">
                              <w:marLeft w:val="0"/>
                              <w:marRight w:val="0"/>
                              <w:marTop w:val="0"/>
                              <w:marBottom w:val="0"/>
                              <w:divBdr>
                                <w:top w:val="none" w:sz="0" w:space="0" w:color="auto"/>
                                <w:left w:val="none" w:sz="0" w:space="0" w:color="auto"/>
                                <w:bottom w:val="none" w:sz="0" w:space="0" w:color="auto"/>
                                <w:right w:val="none" w:sz="0" w:space="0" w:color="auto"/>
                              </w:divBdr>
                              <w:divsChild>
                                <w:div w:id="1994719609">
                                  <w:marLeft w:val="0"/>
                                  <w:marRight w:val="0"/>
                                  <w:marTop w:val="0"/>
                                  <w:marBottom w:val="0"/>
                                  <w:divBdr>
                                    <w:top w:val="none" w:sz="0" w:space="0" w:color="auto"/>
                                    <w:left w:val="none" w:sz="0" w:space="0" w:color="auto"/>
                                    <w:bottom w:val="none" w:sz="0" w:space="0" w:color="auto"/>
                                    <w:right w:val="none" w:sz="0" w:space="0" w:color="auto"/>
                                  </w:divBdr>
                                  <w:divsChild>
                                    <w:div w:id="996760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3183553">
      <w:bodyDiv w:val="1"/>
      <w:marLeft w:val="0"/>
      <w:marRight w:val="0"/>
      <w:marTop w:val="0"/>
      <w:marBottom w:val="0"/>
      <w:divBdr>
        <w:top w:val="none" w:sz="0" w:space="0" w:color="auto"/>
        <w:left w:val="none" w:sz="0" w:space="0" w:color="auto"/>
        <w:bottom w:val="none" w:sz="0" w:space="0" w:color="auto"/>
        <w:right w:val="none" w:sz="0" w:space="0" w:color="auto"/>
      </w:divBdr>
    </w:div>
    <w:div w:id="498422451">
      <w:bodyDiv w:val="1"/>
      <w:marLeft w:val="0"/>
      <w:marRight w:val="0"/>
      <w:marTop w:val="0"/>
      <w:marBottom w:val="0"/>
      <w:divBdr>
        <w:top w:val="none" w:sz="0" w:space="0" w:color="auto"/>
        <w:left w:val="none" w:sz="0" w:space="0" w:color="auto"/>
        <w:bottom w:val="none" w:sz="0" w:space="0" w:color="auto"/>
        <w:right w:val="none" w:sz="0" w:space="0" w:color="auto"/>
      </w:divBdr>
    </w:div>
    <w:div w:id="533814659">
      <w:bodyDiv w:val="1"/>
      <w:marLeft w:val="0"/>
      <w:marRight w:val="0"/>
      <w:marTop w:val="0"/>
      <w:marBottom w:val="0"/>
      <w:divBdr>
        <w:top w:val="none" w:sz="0" w:space="0" w:color="auto"/>
        <w:left w:val="none" w:sz="0" w:space="0" w:color="auto"/>
        <w:bottom w:val="none" w:sz="0" w:space="0" w:color="auto"/>
        <w:right w:val="none" w:sz="0" w:space="0" w:color="auto"/>
      </w:divBdr>
    </w:div>
    <w:div w:id="594048105">
      <w:bodyDiv w:val="1"/>
      <w:marLeft w:val="0"/>
      <w:marRight w:val="0"/>
      <w:marTop w:val="0"/>
      <w:marBottom w:val="0"/>
      <w:divBdr>
        <w:top w:val="none" w:sz="0" w:space="0" w:color="auto"/>
        <w:left w:val="none" w:sz="0" w:space="0" w:color="auto"/>
        <w:bottom w:val="none" w:sz="0" w:space="0" w:color="auto"/>
        <w:right w:val="none" w:sz="0" w:space="0" w:color="auto"/>
      </w:divBdr>
    </w:div>
    <w:div w:id="674844672">
      <w:bodyDiv w:val="1"/>
      <w:marLeft w:val="0"/>
      <w:marRight w:val="0"/>
      <w:marTop w:val="0"/>
      <w:marBottom w:val="0"/>
      <w:divBdr>
        <w:top w:val="none" w:sz="0" w:space="0" w:color="auto"/>
        <w:left w:val="none" w:sz="0" w:space="0" w:color="auto"/>
        <w:bottom w:val="none" w:sz="0" w:space="0" w:color="auto"/>
        <w:right w:val="none" w:sz="0" w:space="0" w:color="auto"/>
      </w:divBdr>
    </w:div>
    <w:div w:id="714423838">
      <w:bodyDiv w:val="1"/>
      <w:marLeft w:val="0"/>
      <w:marRight w:val="0"/>
      <w:marTop w:val="0"/>
      <w:marBottom w:val="0"/>
      <w:divBdr>
        <w:top w:val="none" w:sz="0" w:space="0" w:color="auto"/>
        <w:left w:val="none" w:sz="0" w:space="0" w:color="auto"/>
        <w:bottom w:val="none" w:sz="0" w:space="0" w:color="auto"/>
        <w:right w:val="none" w:sz="0" w:space="0" w:color="auto"/>
      </w:divBdr>
    </w:div>
    <w:div w:id="751782613">
      <w:bodyDiv w:val="1"/>
      <w:marLeft w:val="0"/>
      <w:marRight w:val="0"/>
      <w:marTop w:val="0"/>
      <w:marBottom w:val="0"/>
      <w:divBdr>
        <w:top w:val="none" w:sz="0" w:space="0" w:color="auto"/>
        <w:left w:val="none" w:sz="0" w:space="0" w:color="auto"/>
        <w:bottom w:val="none" w:sz="0" w:space="0" w:color="auto"/>
        <w:right w:val="none" w:sz="0" w:space="0" w:color="auto"/>
      </w:divBdr>
    </w:div>
    <w:div w:id="766468059">
      <w:bodyDiv w:val="1"/>
      <w:marLeft w:val="0"/>
      <w:marRight w:val="0"/>
      <w:marTop w:val="0"/>
      <w:marBottom w:val="0"/>
      <w:divBdr>
        <w:top w:val="none" w:sz="0" w:space="0" w:color="auto"/>
        <w:left w:val="none" w:sz="0" w:space="0" w:color="auto"/>
        <w:bottom w:val="none" w:sz="0" w:space="0" w:color="auto"/>
        <w:right w:val="none" w:sz="0" w:space="0" w:color="auto"/>
      </w:divBdr>
    </w:div>
    <w:div w:id="783310401">
      <w:bodyDiv w:val="1"/>
      <w:marLeft w:val="0"/>
      <w:marRight w:val="0"/>
      <w:marTop w:val="0"/>
      <w:marBottom w:val="0"/>
      <w:divBdr>
        <w:top w:val="none" w:sz="0" w:space="0" w:color="auto"/>
        <w:left w:val="none" w:sz="0" w:space="0" w:color="auto"/>
        <w:bottom w:val="none" w:sz="0" w:space="0" w:color="auto"/>
        <w:right w:val="none" w:sz="0" w:space="0" w:color="auto"/>
      </w:divBdr>
    </w:div>
    <w:div w:id="793791698">
      <w:bodyDiv w:val="1"/>
      <w:marLeft w:val="0"/>
      <w:marRight w:val="0"/>
      <w:marTop w:val="0"/>
      <w:marBottom w:val="0"/>
      <w:divBdr>
        <w:top w:val="none" w:sz="0" w:space="0" w:color="auto"/>
        <w:left w:val="none" w:sz="0" w:space="0" w:color="auto"/>
        <w:bottom w:val="none" w:sz="0" w:space="0" w:color="auto"/>
        <w:right w:val="none" w:sz="0" w:space="0" w:color="auto"/>
      </w:divBdr>
    </w:div>
    <w:div w:id="803737101">
      <w:bodyDiv w:val="1"/>
      <w:marLeft w:val="0"/>
      <w:marRight w:val="0"/>
      <w:marTop w:val="0"/>
      <w:marBottom w:val="0"/>
      <w:divBdr>
        <w:top w:val="none" w:sz="0" w:space="0" w:color="auto"/>
        <w:left w:val="none" w:sz="0" w:space="0" w:color="auto"/>
        <w:bottom w:val="none" w:sz="0" w:space="0" w:color="auto"/>
        <w:right w:val="none" w:sz="0" w:space="0" w:color="auto"/>
      </w:divBdr>
    </w:div>
    <w:div w:id="896087787">
      <w:bodyDiv w:val="1"/>
      <w:marLeft w:val="0"/>
      <w:marRight w:val="0"/>
      <w:marTop w:val="0"/>
      <w:marBottom w:val="0"/>
      <w:divBdr>
        <w:top w:val="none" w:sz="0" w:space="0" w:color="auto"/>
        <w:left w:val="none" w:sz="0" w:space="0" w:color="auto"/>
        <w:bottom w:val="none" w:sz="0" w:space="0" w:color="auto"/>
        <w:right w:val="none" w:sz="0" w:space="0" w:color="auto"/>
      </w:divBdr>
    </w:div>
    <w:div w:id="916404573">
      <w:bodyDiv w:val="1"/>
      <w:marLeft w:val="0"/>
      <w:marRight w:val="0"/>
      <w:marTop w:val="0"/>
      <w:marBottom w:val="0"/>
      <w:divBdr>
        <w:top w:val="none" w:sz="0" w:space="0" w:color="auto"/>
        <w:left w:val="none" w:sz="0" w:space="0" w:color="auto"/>
        <w:bottom w:val="none" w:sz="0" w:space="0" w:color="auto"/>
        <w:right w:val="none" w:sz="0" w:space="0" w:color="auto"/>
      </w:divBdr>
      <w:divsChild>
        <w:div w:id="1969318941">
          <w:marLeft w:val="0"/>
          <w:marRight w:val="0"/>
          <w:marTop w:val="0"/>
          <w:marBottom w:val="0"/>
          <w:divBdr>
            <w:top w:val="none" w:sz="0" w:space="0" w:color="auto"/>
            <w:left w:val="none" w:sz="0" w:space="0" w:color="auto"/>
            <w:bottom w:val="none" w:sz="0" w:space="0" w:color="auto"/>
            <w:right w:val="none" w:sz="0" w:space="0" w:color="auto"/>
          </w:divBdr>
          <w:divsChild>
            <w:div w:id="680592854">
              <w:marLeft w:val="0"/>
              <w:marRight w:val="0"/>
              <w:marTop w:val="0"/>
              <w:marBottom w:val="0"/>
              <w:divBdr>
                <w:top w:val="none" w:sz="0" w:space="0" w:color="auto"/>
                <w:left w:val="none" w:sz="0" w:space="0" w:color="auto"/>
                <w:bottom w:val="none" w:sz="0" w:space="0" w:color="auto"/>
                <w:right w:val="none" w:sz="0" w:space="0" w:color="auto"/>
              </w:divBdr>
              <w:divsChild>
                <w:div w:id="527259785">
                  <w:marLeft w:val="0"/>
                  <w:marRight w:val="0"/>
                  <w:marTop w:val="0"/>
                  <w:marBottom w:val="0"/>
                  <w:divBdr>
                    <w:top w:val="none" w:sz="0" w:space="0" w:color="auto"/>
                    <w:left w:val="none" w:sz="0" w:space="0" w:color="auto"/>
                    <w:bottom w:val="none" w:sz="0" w:space="0" w:color="auto"/>
                    <w:right w:val="none" w:sz="0" w:space="0" w:color="auto"/>
                  </w:divBdr>
                  <w:divsChild>
                    <w:div w:id="775172143">
                      <w:marLeft w:val="0"/>
                      <w:marRight w:val="0"/>
                      <w:marTop w:val="0"/>
                      <w:marBottom w:val="0"/>
                      <w:divBdr>
                        <w:top w:val="none" w:sz="0" w:space="0" w:color="auto"/>
                        <w:left w:val="none" w:sz="0" w:space="0" w:color="auto"/>
                        <w:bottom w:val="none" w:sz="0" w:space="0" w:color="auto"/>
                        <w:right w:val="none" w:sz="0" w:space="0" w:color="auto"/>
                      </w:divBdr>
                      <w:divsChild>
                        <w:div w:id="1151143875">
                          <w:marLeft w:val="0"/>
                          <w:marRight w:val="0"/>
                          <w:marTop w:val="0"/>
                          <w:marBottom w:val="0"/>
                          <w:divBdr>
                            <w:top w:val="none" w:sz="0" w:space="0" w:color="auto"/>
                            <w:left w:val="none" w:sz="0" w:space="0" w:color="auto"/>
                            <w:bottom w:val="none" w:sz="0" w:space="0" w:color="auto"/>
                            <w:right w:val="none" w:sz="0" w:space="0" w:color="auto"/>
                          </w:divBdr>
                          <w:divsChild>
                            <w:div w:id="1886870179">
                              <w:marLeft w:val="0"/>
                              <w:marRight w:val="0"/>
                              <w:marTop w:val="0"/>
                              <w:marBottom w:val="0"/>
                              <w:divBdr>
                                <w:top w:val="none" w:sz="0" w:space="0" w:color="auto"/>
                                <w:left w:val="none" w:sz="0" w:space="0" w:color="auto"/>
                                <w:bottom w:val="none" w:sz="0" w:space="0" w:color="auto"/>
                                <w:right w:val="none" w:sz="0" w:space="0" w:color="auto"/>
                              </w:divBdr>
                              <w:divsChild>
                                <w:div w:id="1782338332">
                                  <w:marLeft w:val="0"/>
                                  <w:marRight w:val="0"/>
                                  <w:marTop w:val="0"/>
                                  <w:marBottom w:val="0"/>
                                  <w:divBdr>
                                    <w:top w:val="none" w:sz="0" w:space="0" w:color="auto"/>
                                    <w:left w:val="none" w:sz="0" w:space="0" w:color="auto"/>
                                    <w:bottom w:val="none" w:sz="0" w:space="0" w:color="auto"/>
                                    <w:right w:val="none" w:sz="0" w:space="0" w:color="auto"/>
                                  </w:divBdr>
                                  <w:divsChild>
                                    <w:div w:id="1706633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7663285">
          <w:marLeft w:val="0"/>
          <w:marRight w:val="0"/>
          <w:marTop w:val="0"/>
          <w:marBottom w:val="0"/>
          <w:divBdr>
            <w:top w:val="none" w:sz="0" w:space="0" w:color="auto"/>
            <w:left w:val="none" w:sz="0" w:space="0" w:color="auto"/>
            <w:bottom w:val="none" w:sz="0" w:space="0" w:color="auto"/>
            <w:right w:val="none" w:sz="0" w:space="0" w:color="auto"/>
          </w:divBdr>
          <w:divsChild>
            <w:div w:id="1302271649">
              <w:marLeft w:val="0"/>
              <w:marRight w:val="0"/>
              <w:marTop w:val="0"/>
              <w:marBottom w:val="0"/>
              <w:divBdr>
                <w:top w:val="none" w:sz="0" w:space="0" w:color="auto"/>
                <w:left w:val="none" w:sz="0" w:space="0" w:color="auto"/>
                <w:bottom w:val="none" w:sz="0" w:space="0" w:color="auto"/>
                <w:right w:val="none" w:sz="0" w:space="0" w:color="auto"/>
              </w:divBdr>
              <w:divsChild>
                <w:div w:id="1372879239">
                  <w:marLeft w:val="0"/>
                  <w:marRight w:val="0"/>
                  <w:marTop w:val="0"/>
                  <w:marBottom w:val="0"/>
                  <w:divBdr>
                    <w:top w:val="none" w:sz="0" w:space="0" w:color="auto"/>
                    <w:left w:val="none" w:sz="0" w:space="0" w:color="auto"/>
                    <w:bottom w:val="none" w:sz="0" w:space="0" w:color="auto"/>
                    <w:right w:val="none" w:sz="0" w:space="0" w:color="auto"/>
                  </w:divBdr>
                  <w:divsChild>
                    <w:div w:id="234555228">
                      <w:marLeft w:val="0"/>
                      <w:marRight w:val="0"/>
                      <w:marTop w:val="0"/>
                      <w:marBottom w:val="0"/>
                      <w:divBdr>
                        <w:top w:val="none" w:sz="0" w:space="0" w:color="auto"/>
                        <w:left w:val="none" w:sz="0" w:space="0" w:color="auto"/>
                        <w:bottom w:val="none" w:sz="0" w:space="0" w:color="auto"/>
                        <w:right w:val="none" w:sz="0" w:space="0" w:color="auto"/>
                      </w:divBdr>
                      <w:divsChild>
                        <w:div w:id="1150100156">
                          <w:marLeft w:val="0"/>
                          <w:marRight w:val="0"/>
                          <w:marTop w:val="0"/>
                          <w:marBottom w:val="0"/>
                          <w:divBdr>
                            <w:top w:val="none" w:sz="0" w:space="0" w:color="auto"/>
                            <w:left w:val="none" w:sz="0" w:space="0" w:color="auto"/>
                            <w:bottom w:val="none" w:sz="0" w:space="0" w:color="auto"/>
                            <w:right w:val="none" w:sz="0" w:space="0" w:color="auto"/>
                          </w:divBdr>
                          <w:divsChild>
                            <w:div w:id="1366441146">
                              <w:marLeft w:val="0"/>
                              <w:marRight w:val="0"/>
                              <w:marTop w:val="0"/>
                              <w:marBottom w:val="0"/>
                              <w:divBdr>
                                <w:top w:val="none" w:sz="0" w:space="0" w:color="auto"/>
                                <w:left w:val="none" w:sz="0" w:space="0" w:color="auto"/>
                                <w:bottom w:val="none" w:sz="0" w:space="0" w:color="auto"/>
                                <w:right w:val="none" w:sz="0" w:space="0" w:color="auto"/>
                              </w:divBdr>
                              <w:divsChild>
                                <w:div w:id="465050995">
                                  <w:marLeft w:val="0"/>
                                  <w:marRight w:val="0"/>
                                  <w:marTop w:val="0"/>
                                  <w:marBottom w:val="0"/>
                                  <w:divBdr>
                                    <w:top w:val="none" w:sz="0" w:space="0" w:color="auto"/>
                                    <w:left w:val="none" w:sz="0" w:space="0" w:color="auto"/>
                                    <w:bottom w:val="none" w:sz="0" w:space="0" w:color="auto"/>
                                    <w:right w:val="none" w:sz="0" w:space="0" w:color="auto"/>
                                  </w:divBdr>
                                  <w:divsChild>
                                    <w:div w:id="127286320">
                                      <w:marLeft w:val="0"/>
                                      <w:marRight w:val="0"/>
                                      <w:marTop w:val="0"/>
                                      <w:marBottom w:val="0"/>
                                      <w:divBdr>
                                        <w:top w:val="none" w:sz="0" w:space="0" w:color="auto"/>
                                        <w:left w:val="none" w:sz="0" w:space="0" w:color="auto"/>
                                        <w:bottom w:val="none" w:sz="0" w:space="0" w:color="auto"/>
                                        <w:right w:val="none" w:sz="0" w:space="0" w:color="auto"/>
                                      </w:divBdr>
                                      <w:divsChild>
                                        <w:div w:id="126184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5468376">
          <w:marLeft w:val="0"/>
          <w:marRight w:val="0"/>
          <w:marTop w:val="0"/>
          <w:marBottom w:val="0"/>
          <w:divBdr>
            <w:top w:val="none" w:sz="0" w:space="0" w:color="auto"/>
            <w:left w:val="none" w:sz="0" w:space="0" w:color="auto"/>
            <w:bottom w:val="none" w:sz="0" w:space="0" w:color="auto"/>
            <w:right w:val="none" w:sz="0" w:space="0" w:color="auto"/>
          </w:divBdr>
          <w:divsChild>
            <w:div w:id="494224694">
              <w:marLeft w:val="0"/>
              <w:marRight w:val="0"/>
              <w:marTop w:val="0"/>
              <w:marBottom w:val="0"/>
              <w:divBdr>
                <w:top w:val="none" w:sz="0" w:space="0" w:color="auto"/>
                <w:left w:val="none" w:sz="0" w:space="0" w:color="auto"/>
                <w:bottom w:val="none" w:sz="0" w:space="0" w:color="auto"/>
                <w:right w:val="none" w:sz="0" w:space="0" w:color="auto"/>
              </w:divBdr>
              <w:divsChild>
                <w:div w:id="1793330645">
                  <w:marLeft w:val="0"/>
                  <w:marRight w:val="0"/>
                  <w:marTop w:val="0"/>
                  <w:marBottom w:val="0"/>
                  <w:divBdr>
                    <w:top w:val="none" w:sz="0" w:space="0" w:color="auto"/>
                    <w:left w:val="none" w:sz="0" w:space="0" w:color="auto"/>
                    <w:bottom w:val="none" w:sz="0" w:space="0" w:color="auto"/>
                    <w:right w:val="none" w:sz="0" w:space="0" w:color="auto"/>
                  </w:divBdr>
                  <w:divsChild>
                    <w:div w:id="599335944">
                      <w:marLeft w:val="0"/>
                      <w:marRight w:val="0"/>
                      <w:marTop w:val="0"/>
                      <w:marBottom w:val="0"/>
                      <w:divBdr>
                        <w:top w:val="none" w:sz="0" w:space="0" w:color="auto"/>
                        <w:left w:val="none" w:sz="0" w:space="0" w:color="auto"/>
                        <w:bottom w:val="none" w:sz="0" w:space="0" w:color="auto"/>
                        <w:right w:val="none" w:sz="0" w:space="0" w:color="auto"/>
                      </w:divBdr>
                      <w:divsChild>
                        <w:div w:id="71776858">
                          <w:marLeft w:val="0"/>
                          <w:marRight w:val="0"/>
                          <w:marTop w:val="0"/>
                          <w:marBottom w:val="0"/>
                          <w:divBdr>
                            <w:top w:val="none" w:sz="0" w:space="0" w:color="auto"/>
                            <w:left w:val="none" w:sz="0" w:space="0" w:color="auto"/>
                            <w:bottom w:val="none" w:sz="0" w:space="0" w:color="auto"/>
                            <w:right w:val="none" w:sz="0" w:space="0" w:color="auto"/>
                          </w:divBdr>
                          <w:divsChild>
                            <w:div w:id="9458313">
                              <w:marLeft w:val="0"/>
                              <w:marRight w:val="0"/>
                              <w:marTop w:val="0"/>
                              <w:marBottom w:val="0"/>
                              <w:divBdr>
                                <w:top w:val="none" w:sz="0" w:space="0" w:color="auto"/>
                                <w:left w:val="none" w:sz="0" w:space="0" w:color="auto"/>
                                <w:bottom w:val="none" w:sz="0" w:space="0" w:color="auto"/>
                                <w:right w:val="none" w:sz="0" w:space="0" w:color="auto"/>
                              </w:divBdr>
                              <w:divsChild>
                                <w:div w:id="1539275734">
                                  <w:marLeft w:val="0"/>
                                  <w:marRight w:val="0"/>
                                  <w:marTop w:val="0"/>
                                  <w:marBottom w:val="0"/>
                                  <w:divBdr>
                                    <w:top w:val="none" w:sz="0" w:space="0" w:color="auto"/>
                                    <w:left w:val="none" w:sz="0" w:space="0" w:color="auto"/>
                                    <w:bottom w:val="none" w:sz="0" w:space="0" w:color="auto"/>
                                    <w:right w:val="none" w:sz="0" w:space="0" w:color="auto"/>
                                  </w:divBdr>
                                  <w:divsChild>
                                    <w:div w:id="104182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0575934">
      <w:bodyDiv w:val="1"/>
      <w:marLeft w:val="0"/>
      <w:marRight w:val="0"/>
      <w:marTop w:val="0"/>
      <w:marBottom w:val="0"/>
      <w:divBdr>
        <w:top w:val="none" w:sz="0" w:space="0" w:color="auto"/>
        <w:left w:val="none" w:sz="0" w:space="0" w:color="auto"/>
        <w:bottom w:val="none" w:sz="0" w:space="0" w:color="auto"/>
        <w:right w:val="none" w:sz="0" w:space="0" w:color="auto"/>
      </w:divBdr>
    </w:div>
    <w:div w:id="944002861">
      <w:bodyDiv w:val="1"/>
      <w:marLeft w:val="0"/>
      <w:marRight w:val="0"/>
      <w:marTop w:val="0"/>
      <w:marBottom w:val="0"/>
      <w:divBdr>
        <w:top w:val="none" w:sz="0" w:space="0" w:color="auto"/>
        <w:left w:val="none" w:sz="0" w:space="0" w:color="auto"/>
        <w:bottom w:val="none" w:sz="0" w:space="0" w:color="auto"/>
        <w:right w:val="none" w:sz="0" w:space="0" w:color="auto"/>
      </w:divBdr>
    </w:div>
    <w:div w:id="951090645">
      <w:bodyDiv w:val="1"/>
      <w:marLeft w:val="0"/>
      <w:marRight w:val="0"/>
      <w:marTop w:val="0"/>
      <w:marBottom w:val="0"/>
      <w:divBdr>
        <w:top w:val="none" w:sz="0" w:space="0" w:color="auto"/>
        <w:left w:val="none" w:sz="0" w:space="0" w:color="auto"/>
        <w:bottom w:val="none" w:sz="0" w:space="0" w:color="auto"/>
        <w:right w:val="none" w:sz="0" w:space="0" w:color="auto"/>
      </w:divBdr>
    </w:div>
    <w:div w:id="1032269603">
      <w:bodyDiv w:val="1"/>
      <w:marLeft w:val="0"/>
      <w:marRight w:val="0"/>
      <w:marTop w:val="0"/>
      <w:marBottom w:val="0"/>
      <w:divBdr>
        <w:top w:val="none" w:sz="0" w:space="0" w:color="auto"/>
        <w:left w:val="none" w:sz="0" w:space="0" w:color="auto"/>
        <w:bottom w:val="none" w:sz="0" w:space="0" w:color="auto"/>
        <w:right w:val="none" w:sz="0" w:space="0" w:color="auto"/>
      </w:divBdr>
    </w:div>
    <w:div w:id="1035809694">
      <w:bodyDiv w:val="1"/>
      <w:marLeft w:val="0"/>
      <w:marRight w:val="0"/>
      <w:marTop w:val="0"/>
      <w:marBottom w:val="0"/>
      <w:divBdr>
        <w:top w:val="none" w:sz="0" w:space="0" w:color="auto"/>
        <w:left w:val="none" w:sz="0" w:space="0" w:color="auto"/>
        <w:bottom w:val="none" w:sz="0" w:space="0" w:color="auto"/>
        <w:right w:val="none" w:sz="0" w:space="0" w:color="auto"/>
      </w:divBdr>
    </w:div>
    <w:div w:id="1103066893">
      <w:bodyDiv w:val="1"/>
      <w:marLeft w:val="0"/>
      <w:marRight w:val="0"/>
      <w:marTop w:val="0"/>
      <w:marBottom w:val="0"/>
      <w:divBdr>
        <w:top w:val="none" w:sz="0" w:space="0" w:color="auto"/>
        <w:left w:val="none" w:sz="0" w:space="0" w:color="auto"/>
        <w:bottom w:val="none" w:sz="0" w:space="0" w:color="auto"/>
        <w:right w:val="none" w:sz="0" w:space="0" w:color="auto"/>
      </w:divBdr>
    </w:div>
    <w:div w:id="1118136296">
      <w:bodyDiv w:val="1"/>
      <w:marLeft w:val="0"/>
      <w:marRight w:val="0"/>
      <w:marTop w:val="0"/>
      <w:marBottom w:val="0"/>
      <w:divBdr>
        <w:top w:val="none" w:sz="0" w:space="0" w:color="auto"/>
        <w:left w:val="none" w:sz="0" w:space="0" w:color="auto"/>
        <w:bottom w:val="none" w:sz="0" w:space="0" w:color="auto"/>
        <w:right w:val="none" w:sz="0" w:space="0" w:color="auto"/>
      </w:divBdr>
    </w:div>
    <w:div w:id="1123302521">
      <w:bodyDiv w:val="1"/>
      <w:marLeft w:val="0"/>
      <w:marRight w:val="0"/>
      <w:marTop w:val="0"/>
      <w:marBottom w:val="0"/>
      <w:divBdr>
        <w:top w:val="none" w:sz="0" w:space="0" w:color="auto"/>
        <w:left w:val="none" w:sz="0" w:space="0" w:color="auto"/>
        <w:bottom w:val="none" w:sz="0" w:space="0" w:color="auto"/>
        <w:right w:val="none" w:sz="0" w:space="0" w:color="auto"/>
      </w:divBdr>
    </w:div>
    <w:div w:id="1233661797">
      <w:bodyDiv w:val="1"/>
      <w:marLeft w:val="0"/>
      <w:marRight w:val="0"/>
      <w:marTop w:val="0"/>
      <w:marBottom w:val="0"/>
      <w:divBdr>
        <w:top w:val="none" w:sz="0" w:space="0" w:color="auto"/>
        <w:left w:val="none" w:sz="0" w:space="0" w:color="auto"/>
        <w:bottom w:val="none" w:sz="0" w:space="0" w:color="auto"/>
        <w:right w:val="none" w:sz="0" w:space="0" w:color="auto"/>
      </w:divBdr>
    </w:div>
    <w:div w:id="1243905659">
      <w:bodyDiv w:val="1"/>
      <w:marLeft w:val="0"/>
      <w:marRight w:val="0"/>
      <w:marTop w:val="0"/>
      <w:marBottom w:val="0"/>
      <w:divBdr>
        <w:top w:val="none" w:sz="0" w:space="0" w:color="auto"/>
        <w:left w:val="none" w:sz="0" w:space="0" w:color="auto"/>
        <w:bottom w:val="none" w:sz="0" w:space="0" w:color="auto"/>
        <w:right w:val="none" w:sz="0" w:space="0" w:color="auto"/>
      </w:divBdr>
    </w:div>
    <w:div w:id="1326711302">
      <w:bodyDiv w:val="1"/>
      <w:marLeft w:val="0"/>
      <w:marRight w:val="0"/>
      <w:marTop w:val="0"/>
      <w:marBottom w:val="0"/>
      <w:divBdr>
        <w:top w:val="none" w:sz="0" w:space="0" w:color="auto"/>
        <w:left w:val="none" w:sz="0" w:space="0" w:color="auto"/>
        <w:bottom w:val="none" w:sz="0" w:space="0" w:color="auto"/>
        <w:right w:val="none" w:sz="0" w:space="0" w:color="auto"/>
      </w:divBdr>
    </w:div>
    <w:div w:id="1385713305">
      <w:bodyDiv w:val="1"/>
      <w:marLeft w:val="0"/>
      <w:marRight w:val="0"/>
      <w:marTop w:val="0"/>
      <w:marBottom w:val="0"/>
      <w:divBdr>
        <w:top w:val="none" w:sz="0" w:space="0" w:color="auto"/>
        <w:left w:val="none" w:sz="0" w:space="0" w:color="auto"/>
        <w:bottom w:val="none" w:sz="0" w:space="0" w:color="auto"/>
        <w:right w:val="none" w:sz="0" w:space="0" w:color="auto"/>
      </w:divBdr>
    </w:div>
    <w:div w:id="1482773425">
      <w:bodyDiv w:val="1"/>
      <w:marLeft w:val="0"/>
      <w:marRight w:val="0"/>
      <w:marTop w:val="0"/>
      <w:marBottom w:val="0"/>
      <w:divBdr>
        <w:top w:val="none" w:sz="0" w:space="0" w:color="auto"/>
        <w:left w:val="none" w:sz="0" w:space="0" w:color="auto"/>
        <w:bottom w:val="none" w:sz="0" w:space="0" w:color="auto"/>
        <w:right w:val="none" w:sz="0" w:space="0" w:color="auto"/>
      </w:divBdr>
    </w:div>
    <w:div w:id="1500850553">
      <w:bodyDiv w:val="1"/>
      <w:marLeft w:val="0"/>
      <w:marRight w:val="0"/>
      <w:marTop w:val="0"/>
      <w:marBottom w:val="0"/>
      <w:divBdr>
        <w:top w:val="none" w:sz="0" w:space="0" w:color="auto"/>
        <w:left w:val="none" w:sz="0" w:space="0" w:color="auto"/>
        <w:bottom w:val="none" w:sz="0" w:space="0" w:color="auto"/>
        <w:right w:val="none" w:sz="0" w:space="0" w:color="auto"/>
      </w:divBdr>
    </w:div>
    <w:div w:id="1596085776">
      <w:bodyDiv w:val="1"/>
      <w:marLeft w:val="0"/>
      <w:marRight w:val="0"/>
      <w:marTop w:val="0"/>
      <w:marBottom w:val="0"/>
      <w:divBdr>
        <w:top w:val="none" w:sz="0" w:space="0" w:color="auto"/>
        <w:left w:val="none" w:sz="0" w:space="0" w:color="auto"/>
        <w:bottom w:val="none" w:sz="0" w:space="0" w:color="auto"/>
        <w:right w:val="none" w:sz="0" w:space="0" w:color="auto"/>
      </w:divBdr>
    </w:div>
    <w:div w:id="1678145623">
      <w:bodyDiv w:val="1"/>
      <w:marLeft w:val="0"/>
      <w:marRight w:val="0"/>
      <w:marTop w:val="0"/>
      <w:marBottom w:val="0"/>
      <w:divBdr>
        <w:top w:val="none" w:sz="0" w:space="0" w:color="auto"/>
        <w:left w:val="none" w:sz="0" w:space="0" w:color="auto"/>
        <w:bottom w:val="none" w:sz="0" w:space="0" w:color="auto"/>
        <w:right w:val="none" w:sz="0" w:space="0" w:color="auto"/>
      </w:divBdr>
    </w:div>
    <w:div w:id="1740514938">
      <w:bodyDiv w:val="1"/>
      <w:marLeft w:val="0"/>
      <w:marRight w:val="0"/>
      <w:marTop w:val="0"/>
      <w:marBottom w:val="0"/>
      <w:divBdr>
        <w:top w:val="none" w:sz="0" w:space="0" w:color="auto"/>
        <w:left w:val="none" w:sz="0" w:space="0" w:color="auto"/>
        <w:bottom w:val="none" w:sz="0" w:space="0" w:color="auto"/>
        <w:right w:val="none" w:sz="0" w:space="0" w:color="auto"/>
      </w:divBdr>
    </w:div>
    <w:div w:id="1781102799">
      <w:bodyDiv w:val="1"/>
      <w:marLeft w:val="0"/>
      <w:marRight w:val="0"/>
      <w:marTop w:val="0"/>
      <w:marBottom w:val="0"/>
      <w:divBdr>
        <w:top w:val="none" w:sz="0" w:space="0" w:color="auto"/>
        <w:left w:val="none" w:sz="0" w:space="0" w:color="auto"/>
        <w:bottom w:val="none" w:sz="0" w:space="0" w:color="auto"/>
        <w:right w:val="none" w:sz="0" w:space="0" w:color="auto"/>
      </w:divBdr>
    </w:div>
    <w:div w:id="1834687431">
      <w:bodyDiv w:val="1"/>
      <w:marLeft w:val="0"/>
      <w:marRight w:val="0"/>
      <w:marTop w:val="0"/>
      <w:marBottom w:val="0"/>
      <w:divBdr>
        <w:top w:val="none" w:sz="0" w:space="0" w:color="auto"/>
        <w:left w:val="none" w:sz="0" w:space="0" w:color="auto"/>
        <w:bottom w:val="none" w:sz="0" w:space="0" w:color="auto"/>
        <w:right w:val="none" w:sz="0" w:space="0" w:color="auto"/>
      </w:divBdr>
    </w:div>
    <w:div w:id="1881092652">
      <w:bodyDiv w:val="1"/>
      <w:marLeft w:val="0"/>
      <w:marRight w:val="0"/>
      <w:marTop w:val="0"/>
      <w:marBottom w:val="0"/>
      <w:divBdr>
        <w:top w:val="none" w:sz="0" w:space="0" w:color="auto"/>
        <w:left w:val="none" w:sz="0" w:space="0" w:color="auto"/>
        <w:bottom w:val="none" w:sz="0" w:space="0" w:color="auto"/>
        <w:right w:val="none" w:sz="0" w:space="0" w:color="auto"/>
      </w:divBdr>
    </w:div>
    <w:div w:id="1921791740">
      <w:bodyDiv w:val="1"/>
      <w:marLeft w:val="0"/>
      <w:marRight w:val="0"/>
      <w:marTop w:val="0"/>
      <w:marBottom w:val="0"/>
      <w:divBdr>
        <w:top w:val="none" w:sz="0" w:space="0" w:color="auto"/>
        <w:left w:val="none" w:sz="0" w:space="0" w:color="auto"/>
        <w:bottom w:val="none" w:sz="0" w:space="0" w:color="auto"/>
        <w:right w:val="none" w:sz="0" w:space="0" w:color="auto"/>
      </w:divBdr>
    </w:div>
    <w:div w:id="1955096084">
      <w:bodyDiv w:val="1"/>
      <w:marLeft w:val="0"/>
      <w:marRight w:val="0"/>
      <w:marTop w:val="0"/>
      <w:marBottom w:val="0"/>
      <w:divBdr>
        <w:top w:val="none" w:sz="0" w:space="0" w:color="auto"/>
        <w:left w:val="none" w:sz="0" w:space="0" w:color="auto"/>
        <w:bottom w:val="none" w:sz="0" w:space="0" w:color="auto"/>
        <w:right w:val="none" w:sz="0" w:space="0" w:color="auto"/>
      </w:divBdr>
    </w:div>
    <w:div w:id="1963225814">
      <w:bodyDiv w:val="1"/>
      <w:marLeft w:val="0"/>
      <w:marRight w:val="0"/>
      <w:marTop w:val="0"/>
      <w:marBottom w:val="0"/>
      <w:divBdr>
        <w:top w:val="none" w:sz="0" w:space="0" w:color="auto"/>
        <w:left w:val="none" w:sz="0" w:space="0" w:color="auto"/>
        <w:bottom w:val="none" w:sz="0" w:space="0" w:color="auto"/>
        <w:right w:val="none" w:sz="0" w:space="0" w:color="auto"/>
      </w:divBdr>
    </w:div>
    <w:div w:id="1976451077">
      <w:bodyDiv w:val="1"/>
      <w:marLeft w:val="0"/>
      <w:marRight w:val="0"/>
      <w:marTop w:val="0"/>
      <w:marBottom w:val="0"/>
      <w:divBdr>
        <w:top w:val="none" w:sz="0" w:space="0" w:color="auto"/>
        <w:left w:val="none" w:sz="0" w:space="0" w:color="auto"/>
        <w:bottom w:val="none" w:sz="0" w:space="0" w:color="auto"/>
        <w:right w:val="none" w:sz="0" w:space="0" w:color="auto"/>
      </w:divBdr>
    </w:div>
    <w:div w:id="2007324051">
      <w:bodyDiv w:val="1"/>
      <w:marLeft w:val="0"/>
      <w:marRight w:val="0"/>
      <w:marTop w:val="0"/>
      <w:marBottom w:val="0"/>
      <w:divBdr>
        <w:top w:val="none" w:sz="0" w:space="0" w:color="auto"/>
        <w:left w:val="none" w:sz="0" w:space="0" w:color="auto"/>
        <w:bottom w:val="none" w:sz="0" w:space="0" w:color="auto"/>
        <w:right w:val="none" w:sz="0" w:space="0" w:color="auto"/>
      </w:divBdr>
    </w:div>
    <w:div w:id="2017461520">
      <w:bodyDiv w:val="1"/>
      <w:marLeft w:val="0"/>
      <w:marRight w:val="0"/>
      <w:marTop w:val="0"/>
      <w:marBottom w:val="0"/>
      <w:divBdr>
        <w:top w:val="none" w:sz="0" w:space="0" w:color="auto"/>
        <w:left w:val="none" w:sz="0" w:space="0" w:color="auto"/>
        <w:bottom w:val="none" w:sz="0" w:space="0" w:color="auto"/>
        <w:right w:val="none" w:sz="0" w:space="0" w:color="auto"/>
      </w:divBdr>
    </w:div>
    <w:div w:id="2052807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2025-05-05T00:00:00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18</Pages>
  <Words>4187</Words>
  <Characters>26676</Characters>
  <Application>Microsoft Office Word</Application>
  <DocSecurity>0</DocSecurity>
  <Lines>494</Lines>
  <Paragraphs>130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
  <dc:creator>Stefan Tanase (2215982)</dc:creator>
  <cp:keywords/>
  <dc:description/>
  <cp:lastModifiedBy>Stefan Tanase (2215982)</cp:lastModifiedBy>
  <cp:revision>47</cp:revision>
  <dcterms:created xsi:type="dcterms:W3CDTF">2025-05-03T10:22:00Z</dcterms:created>
  <dcterms:modified xsi:type="dcterms:W3CDTF">2025-05-09T19:40:00Z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81080123-cd99-4a12-a853-e2c5fc274165</vt:lpwstr>
  </property>
</Properties>
</file>