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A07B9" w14:textId="77777777" w:rsidR="00584C8E" w:rsidRDefault="00584C8E">
      <w:pPr>
        <w:pStyle w:val="BodyText"/>
        <w:rPr>
          <w:rFonts w:ascii="Arial" w:hAnsi="Arial"/>
          <w:b/>
          <w:bCs/>
          <w:color w:val="000000"/>
          <w:shd w:val="clear" w:color="auto" w:fill="FF4000"/>
        </w:rPr>
      </w:pPr>
    </w:p>
    <w:p w14:paraId="1B96EE3F"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UNIVERSITY OF WALES TRINITY SAINT DAVID</w:t>
      </w:r>
    </w:p>
    <w:p w14:paraId="083E968C" w14:textId="77777777" w:rsidR="00584C8E" w:rsidRDefault="00584C8E">
      <w:pPr>
        <w:spacing w:line="480" w:lineRule="auto"/>
        <w:jc w:val="center"/>
        <w:rPr>
          <w:rFonts w:ascii="Arial" w:eastAsia="Arial" w:hAnsi="Arial" w:cs="Arial"/>
          <w:b/>
          <w:bCs/>
          <w:color w:val="000000"/>
          <w:shd w:val="clear" w:color="auto" w:fill="FFFFFF"/>
        </w:rPr>
      </w:pPr>
    </w:p>
    <w:p w14:paraId="6422310E" w14:textId="77777777" w:rsidR="00584C8E" w:rsidRDefault="00584C8E">
      <w:pPr>
        <w:spacing w:line="480" w:lineRule="auto"/>
        <w:jc w:val="center"/>
        <w:rPr>
          <w:rFonts w:ascii="Arial" w:eastAsia="Arial" w:hAnsi="Arial" w:cs="Arial"/>
          <w:b/>
          <w:bCs/>
          <w:color w:val="000000"/>
          <w:shd w:val="clear" w:color="auto" w:fill="FFFFFF"/>
        </w:rPr>
      </w:pPr>
    </w:p>
    <w:p w14:paraId="0EC0C8C5"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SOCIAL-SCIENTIFIC MODELS FOR INTERPRETING BIBLICAL TEXTS</w:t>
      </w:r>
    </w:p>
    <w:p w14:paraId="14E2E983" w14:textId="77777777" w:rsidR="00584C8E" w:rsidRDefault="00584C8E">
      <w:pPr>
        <w:spacing w:line="480" w:lineRule="auto"/>
        <w:jc w:val="center"/>
        <w:rPr>
          <w:rFonts w:ascii="Arial" w:eastAsia="Arial" w:hAnsi="Arial" w:cs="Arial"/>
          <w:b/>
          <w:bCs/>
          <w:color w:val="000000"/>
          <w:shd w:val="clear" w:color="auto" w:fill="FFFFFF"/>
        </w:rPr>
      </w:pPr>
    </w:p>
    <w:p w14:paraId="6025060D" w14:textId="77777777" w:rsidR="00584C8E" w:rsidRDefault="00584C8E">
      <w:pPr>
        <w:spacing w:line="480" w:lineRule="auto"/>
        <w:jc w:val="center"/>
        <w:rPr>
          <w:rFonts w:ascii="Arial" w:eastAsia="Arial" w:hAnsi="Arial" w:cs="Arial"/>
          <w:b/>
          <w:bCs/>
          <w:color w:val="000000"/>
          <w:shd w:val="clear" w:color="auto" w:fill="FFFFFF"/>
        </w:rPr>
      </w:pPr>
    </w:p>
    <w:p w14:paraId="07661B29" w14:textId="77777777" w:rsidR="00584C8E" w:rsidRDefault="00000000">
      <w:pPr>
        <w:jc w:val="center"/>
        <w:rPr>
          <w:rFonts w:hint="eastAsia"/>
          <w:shd w:val="clear" w:color="auto" w:fill="FFFFFF"/>
        </w:rPr>
      </w:pPr>
      <w:r>
        <w:rPr>
          <w:rFonts w:ascii="Arial" w:eastAsia="Arial" w:hAnsi="Arial" w:cs="Arial"/>
          <w:b/>
          <w:bCs/>
          <w:color w:val="000000"/>
          <w:shd w:val="clear" w:color="auto" w:fill="FFFFFF"/>
        </w:rPr>
        <w:t>SUBMITTED TO DR JESSICA KEADY IN PARTIAL FULFILMENT OF INTERPRETING THE HEBREW BIBLE FROM CONTEMPORARY PERSPECTIVES (HPRS6907)</w:t>
      </w:r>
    </w:p>
    <w:p w14:paraId="732C9FBA" w14:textId="77777777" w:rsidR="00584C8E" w:rsidRDefault="00584C8E">
      <w:pPr>
        <w:jc w:val="center"/>
        <w:rPr>
          <w:rFonts w:ascii="Arial" w:eastAsia="Arial" w:hAnsi="Arial" w:cs="Arial"/>
          <w:b/>
          <w:bCs/>
          <w:color w:val="000000"/>
          <w:shd w:val="clear" w:color="auto" w:fill="FFFFFF"/>
        </w:rPr>
      </w:pPr>
    </w:p>
    <w:p w14:paraId="11F88661" w14:textId="77777777" w:rsidR="00584C8E" w:rsidRDefault="00584C8E">
      <w:pPr>
        <w:spacing w:line="480" w:lineRule="auto"/>
        <w:jc w:val="center"/>
        <w:rPr>
          <w:rFonts w:ascii="Arial" w:eastAsia="Arial" w:hAnsi="Arial" w:cs="Arial"/>
          <w:b/>
          <w:bCs/>
          <w:color w:val="000000"/>
          <w:shd w:val="clear" w:color="auto" w:fill="FFFFFF"/>
        </w:rPr>
      </w:pPr>
    </w:p>
    <w:p w14:paraId="0647E89F" w14:textId="77777777" w:rsidR="00584C8E" w:rsidRDefault="00584C8E">
      <w:pPr>
        <w:spacing w:line="480" w:lineRule="auto"/>
        <w:jc w:val="center"/>
        <w:rPr>
          <w:rFonts w:ascii="Arial" w:eastAsia="Arial" w:hAnsi="Arial" w:cs="Arial"/>
          <w:b/>
          <w:bCs/>
          <w:color w:val="000000"/>
          <w:shd w:val="clear" w:color="auto" w:fill="FFFFFF"/>
        </w:rPr>
      </w:pPr>
    </w:p>
    <w:p w14:paraId="0FB3C3C7" w14:textId="77777777" w:rsidR="00584C8E" w:rsidRDefault="00000000">
      <w:pPr>
        <w:jc w:val="center"/>
        <w:rPr>
          <w:rFonts w:hint="eastAsia"/>
          <w:shd w:val="clear" w:color="auto" w:fill="FFFFFF"/>
        </w:rPr>
      </w:pPr>
      <w:r>
        <w:rPr>
          <w:rFonts w:ascii="Arial" w:eastAsia="Arial" w:hAnsi="Arial" w:cs="Arial"/>
          <w:b/>
          <w:bCs/>
          <w:color w:val="000000"/>
          <w:shd w:val="clear" w:color="auto" w:fill="FFFFFF"/>
        </w:rPr>
        <w:t>BY</w:t>
      </w:r>
      <w:r>
        <w:rPr>
          <w:color w:val="000000"/>
          <w:shd w:val="clear" w:color="auto" w:fill="FFFFFF"/>
        </w:rPr>
        <w:br/>
      </w:r>
    </w:p>
    <w:p w14:paraId="7E6A5C9E" w14:textId="77777777" w:rsidR="00584C8E" w:rsidRDefault="00584C8E">
      <w:pPr>
        <w:jc w:val="center"/>
        <w:rPr>
          <w:rFonts w:hint="eastAsia"/>
          <w:shd w:val="clear" w:color="auto" w:fill="FFFFFF"/>
        </w:rPr>
      </w:pPr>
    </w:p>
    <w:p w14:paraId="5170037F" w14:textId="5907BAF5" w:rsidR="00584C8E" w:rsidRDefault="00000000">
      <w:pPr>
        <w:jc w:val="center"/>
        <w:rPr>
          <w:rFonts w:hint="eastAsia"/>
          <w:shd w:val="clear" w:color="auto" w:fill="FFFFFF"/>
        </w:rPr>
      </w:pPr>
      <w:r>
        <w:rPr>
          <w:rFonts w:ascii="Arial" w:eastAsia="Arial" w:hAnsi="Arial" w:cs="Arial"/>
          <w:b/>
          <w:bCs/>
          <w:color w:val="000000"/>
          <w:shd w:val="clear" w:color="auto" w:fill="FFFFFF"/>
        </w:rPr>
        <w:t>DAVID SPEIRS (DECEMBER 2</w:t>
      </w:r>
      <w:r w:rsidR="002F4E2D">
        <w:rPr>
          <w:rFonts w:ascii="Arial" w:eastAsia="Arial" w:hAnsi="Arial" w:cs="Arial"/>
          <w:b/>
          <w:bCs/>
          <w:color w:val="000000"/>
          <w:shd w:val="clear" w:color="auto" w:fill="FFFFFF"/>
        </w:rPr>
        <w:t>0th</w:t>
      </w:r>
      <w:r>
        <w:rPr>
          <w:rFonts w:ascii="Arial" w:eastAsia="Arial" w:hAnsi="Arial" w:cs="Arial"/>
          <w:b/>
          <w:bCs/>
          <w:color w:val="000000"/>
          <w:shd w:val="clear" w:color="auto" w:fill="FFFFFF"/>
        </w:rPr>
        <w:t>, 2023)</w:t>
      </w:r>
    </w:p>
    <w:p w14:paraId="514300C4" w14:textId="77777777" w:rsidR="00584C8E" w:rsidRDefault="00584C8E">
      <w:pPr>
        <w:spacing w:line="480" w:lineRule="auto"/>
        <w:jc w:val="center"/>
        <w:rPr>
          <w:rFonts w:ascii="Arial" w:hAnsi="Arial"/>
          <w:b/>
          <w:bCs/>
          <w:color w:val="000000"/>
          <w:shd w:val="clear" w:color="auto" w:fill="FF4000"/>
        </w:rPr>
      </w:pPr>
    </w:p>
    <w:p w14:paraId="1281530C" w14:textId="77777777" w:rsidR="00584C8E" w:rsidRDefault="00000000">
      <w:pPr>
        <w:spacing w:line="480" w:lineRule="auto"/>
        <w:jc w:val="center"/>
        <w:rPr>
          <w:rFonts w:ascii="Arial" w:hAnsi="Arial"/>
          <w:b/>
          <w:bCs/>
          <w:color w:val="000000"/>
          <w:shd w:val="clear" w:color="auto" w:fill="FF4000"/>
        </w:rPr>
      </w:pPr>
      <w:r>
        <w:br w:type="page"/>
      </w:r>
    </w:p>
    <w:p w14:paraId="065B9FCC" w14:textId="77777777" w:rsidR="00584C8E" w:rsidRDefault="00584C8E">
      <w:pPr>
        <w:spacing w:line="480" w:lineRule="auto"/>
        <w:jc w:val="center"/>
        <w:rPr>
          <w:rFonts w:ascii="Arial" w:hAnsi="Arial"/>
          <w:b/>
          <w:bCs/>
          <w:color w:val="000000"/>
          <w:shd w:val="clear" w:color="auto" w:fill="FF4000"/>
        </w:rPr>
      </w:pPr>
    </w:p>
    <w:p w14:paraId="040DFD93"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SOCIAL-SCIENTIFIC MODELS FOR INTERPRETING BIBLICAL TEXTS</w:t>
      </w:r>
    </w:p>
    <w:p w14:paraId="27C5A72D" w14:textId="77777777" w:rsidR="00584C8E" w:rsidRDefault="00584C8E">
      <w:pPr>
        <w:spacing w:line="480" w:lineRule="auto"/>
        <w:jc w:val="center"/>
        <w:rPr>
          <w:rFonts w:hint="eastAsia"/>
          <w:shd w:val="clear" w:color="auto" w:fill="FF4000"/>
        </w:rPr>
      </w:pPr>
    </w:p>
    <w:p w14:paraId="64AB3AB8" w14:textId="77777777" w:rsidR="00584C8E" w:rsidRDefault="00000000">
      <w:pPr>
        <w:spacing w:line="480" w:lineRule="auto"/>
        <w:jc w:val="center"/>
        <w:rPr>
          <w:rFonts w:hint="eastAsia"/>
          <w:shd w:val="clear" w:color="auto" w:fill="FFFFFF"/>
        </w:rPr>
      </w:pPr>
      <w:r>
        <w:rPr>
          <w:rFonts w:ascii="Arial" w:hAnsi="Arial"/>
          <w:b/>
          <w:bCs/>
          <w:color w:val="000000"/>
          <w:shd w:val="clear" w:color="auto" w:fill="FFFFFF"/>
        </w:rPr>
        <w:t xml:space="preserve">Introduction </w:t>
      </w:r>
    </w:p>
    <w:p w14:paraId="5B9CB8B5" w14:textId="08964F54" w:rsidR="00B17681" w:rsidRDefault="00000000">
      <w:pPr>
        <w:spacing w:line="480" w:lineRule="auto"/>
        <w:rPr>
          <w:rFonts w:ascii="Arial" w:hAnsi="Arial" w:cs="Arial"/>
          <w:color w:val="000000"/>
          <w:shd w:val="clear" w:color="auto" w:fill="FFFFFF"/>
        </w:rPr>
      </w:pPr>
      <w:r>
        <w:rPr>
          <w:rFonts w:ascii="Arial" w:hAnsi="Arial" w:cs="Arial"/>
          <w:color w:val="000000"/>
          <w:shd w:val="clear" w:color="auto" w:fill="FFFFFF"/>
        </w:rPr>
        <w:t>There are numerous contemporary approaches being used to bring fresh perspectives to the bible. One of the broadest and most commonly used fields are social-scientific models.</w:t>
      </w:r>
      <w:r>
        <w:rPr>
          <w:rFonts w:ascii="Arial" w:hAnsi="Arial" w:cs="Arial"/>
          <w:color w:val="000000"/>
          <w:shd w:val="clear" w:color="auto" w:fill="FF4000"/>
        </w:rPr>
        <w:t xml:space="preserve"> </w:t>
      </w:r>
      <w:r>
        <w:rPr>
          <w:rFonts w:ascii="Arial" w:hAnsi="Arial" w:cs="Arial"/>
          <w:color w:val="000000"/>
          <w:shd w:val="clear" w:color="auto" w:fill="FFFFFF"/>
        </w:rPr>
        <w:t>These look not just at the text, but at all the information available. This can include archaeological evidence, cultural knowledge, sociology or anthropology.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can help </w:t>
      </w:r>
      <w:r w:rsidR="00466E0E">
        <w:rPr>
          <w:rFonts w:ascii="Arial" w:hAnsi="Arial" w:cs="Arial"/>
          <w:color w:val="000000"/>
          <w:shd w:val="clear" w:color="auto" w:fill="FFFFFF"/>
        </w:rPr>
        <w:t>bring</w:t>
      </w:r>
      <w:r>
        <w:rPr>
          <w:rFonts w:ascii="Arial" w:hAnsi="Arial" w:cs="Arial"/>
          <w:color w:val="000000"/>
          <w:shd w:val="clear" w:color="auto" w:fill="FFFFFF"/>
        </w:rPr>
        <w:t xml:space="preserve"> context, show problems with </w:t>
      </w:r>
      <w:r w:rsidR="00466E0E">
        <w:rPr>
          <w:rFonts w:ascii="Arial" w:hAnsi="Arial" w:cs="Arial"/>
          <w:color w:val="000000"/>
          <w:shd w:val="clear" w:color="auto" w:fill="FFFFFF"/>
        </w:rPr>
        <w:t xml:space="preserve">past </w:t>
      </w:r>
      <w:r>
        <w:rPr>
          <w:rFonts w:ascii="Arial" w:hAnsi="Arial" w:cs="Arial"/>
          <w:color w:val="000000"/>
          <w:shd w:val="clear" w:color="auto" w:fill="FFFFFF"/>
        </w:rPr>
        <w:t>assumptio</w:t>
      </w:r>
      <w:r w:rsidR="00466E0E">
        <w:rPr>
          <w:rFonts w:ascii="Arial" w:hAnsi="Arial" w:cs="Arial"/>
          <w:color w:val="000000"/>
          <w:shd w:val="clear" w:color="auto" w:fill="FFFFFF"/>
        </w:rPr>
        <w:t>ns</w:t>
      </w:r>
      <w:r>
        <w:rPr>
          <w:rFonts w:ascii="Arial" w:hAnsi="Arial" w:cs="Arial"/>
          <w:color w:val="000000"/>
          <w:shd w:val="clear" w:color="auto" w:fill="FFFFFF"/>
        </w:rPr>
        <w:t xml:space="preserve"> and bring fresh understandings. </w:t>
      </w:r>
    </w:p>
    <w:p w14:paraId="5260DBEF" w14:textId="77777777" w:rsidR="00B17681" w:rsidRDefault="00B17681">
      <w:pPr>
        <w:spacing w:line="480" w:lineRule="auto"/>
        <w:rPr>
          <w:rFonts w:ascii="Arial" w:hAnsi="Arial" w:cs="Arial"/>
          <w:color w:val="000000"/>
          <w:shd w:val="clear" w:color="auto" w:fill="FFFFFF"/>
        </w:rPr>
      </w:pPr>
    </w:p>
    <w:p w14:paraId="17F888BA" w14:textId="7AC9671F" w:rsidR="00584C8E" w:rsidRDefault="00000000">
      <w:pPr>
        <w:spacing w:line="480" w:lineRule="auto"/>
        <w:rPr>
          <w:rFonts w:hint="eastAsia"/>
          <w:shd w:val="clear" w:color="auto" w:fill="FF4000"/>
        </w:rPr>
      </w:pPr>
      <w:r>
        <w:rPr>
          <w:rFonts w:ascii="Arial" w:hAnsi="Arial" w:cs="Arial"/>
          <w:color w:val="000000"/>
          <w:shd w:val="clear" w:color="auto" w:fill="FFFFFF"/>
        </w:rPr>
        <w:t>In this essay, a brief overview of the range of soci</w:t>
      </w:r>
      <w:r w:rsidR="00853634">
        <w:rPr>
          <w:rFonts w:ascii="Arial" w:hAnsi="Arial" w:cs="Arial"/>
          <w:color w:val="000000"/>
          <w:shd w:val="clear" w:color="auto" w:fill="FFFFFF"/>
        </w:rPr>
        <w:t>al</w:t>
      </w:r>
      <w:r>
        <w:rPr>
          <w:rFonts w:ascii="Arial" w:hAnsi="Arial" w:cs="Arial"/>
          <w:color w:val="000000"/>
          <w:shd w:val="clear" w:color="auto" w:fill="FFFFFF"/>
        </w:rPr>
        <w:t>-scientific methods is first given. How these methods are applied to three parts of the bible are then looked at. Firstly is the book of Ruth</w:t>
      </w:r>
      <w:r w:rsidR="002F4E2D">
        <w:rPr>
          <w:rFonts w:ascii="Arial" w:hAnsi="Arial" w:cs="Arial"/>
          <w:color w:val="000000"/>
          <w:shd w:val="clear" w:color="auto" w:fill="FFFFFF"/>
        </w:rPr>
        <w:t>,</w:t>
      </w:r>
      <w:r>
        <w:rPr>
          <w:rFonts w:ascii="Arial" w:hAnsi="Arial" w:cs="Arial"/>
          <w:color w:val="000000"/>
          <w:shd w:val="clear" w:color="auto" w:fill="FFFFFF"/>
        </w:rPr>
        <w:t xml:space="preserve"> where identity, social affiliation and endogamy are considered. Secondly </w:t>
      </w:r>
      <w:r w:rsidR="00466E0E">
        <w:rPr>
          <w:rFonts w:ascii="Arial" w:hAnsi="Arial" w:cs="Arial"/>
          <w:color w:val="000000"/>
          <w:shd w:val="clear" w:color="auto" w:fill="FFFFFF"/>
        </w:rPr>
        <w:t>S</w:t>
      </w:r>
      <w:r>
        <w:rPr>
          <w:rFonts w:ascii="Arial" w:hAnsi="Arial" w:cs="Arial"/>
          <w:color w:val="000000"/>
          <w:shd w:val="clear" w:color="auto" w:fill="FFFFFF"/>
        </w:rPr>
        <w:t xml:space="preserve">ocial </w:t>
      </w:r>
      <w:r w:rsidR="00210B0A">
        <w:rPr>
          <w:rFonts w:ascii="Arial" w:hAnsi="Arial" w:cs="Arial"/>
          <w:color w:val="000000"/>
          <w:shd w:val="clear" w:color="auto" w:fill="FFFFFF"/>
        </w:rPr>
        <w:t>i</w:t>
      </w:r>
      <w:r>
        <w:rPr>
          <w:rFonts w:ascii="Arial" w:hAnsi="Arial" w:cs="Arial"/>
          <w:color w:val="000000"/>
          <w:shd w:val="clear" w:color="auto" w:fill="FFFFFF"/>
        </w:rPr>
        <w:t xml:space="preserve">dentity </w:t>
      </w:r>
      <w:r w:rsidR="00210B0A">
        <w:rPr>
          <w:rFonts w:ascii="Arial" w:hAnsi="Arial" w:cs="Arial"/>
          <w:color w:val="000000"/>
          <w:shd w:val="clear" w:color="auto" w:fill="FFFFFF"/>
        </w:rPr>
        <w:t>t</w:t>
      </w:r>
      <w:r>
        <w:rPr>
          <w:rFonts w:ascii="Arial" w:hAnsi="Arial" w:cs="Arial"/>
          <w:color w:val="000000"/>
          <w:shd w:val="clear" w:color="auto" w:fill="FFFFFF"/>
        </w:rPr>
        <w:t xml:space="preserve">heory is </w:t>
      </w:r>
      <w:r w:rsidR="00466E0E">
        <w:rPr>
          <w:rFonts w:ascii="Arial" w:hAnsi="Arial" w:cs="Arial"/>
          <w:color w:val="000000"/>
          <w:shd w:val="clear" w:color="auto" w:fill="FFFFFF"/>
        </w:rPr>
        <w:t>used to interpret</w:t>
      </w:r>
      <w:r>
        <w:rPr>
          <w:rFonts w:ascii="Arial" w:hAnsi="Arial" w:cs="Arial"/>
          <w:color w:val="000000"/>
          <w:shd w:val="clear" w:color="auto" w:fill="FFFFFF"/>
        </w:rPr>
        <w:t xml:space="preserve"> the Psalms of Asaph. Finally Jonah is discussed, particularly through postcolonial readings. </w:t>
      </w:r>
    </w:p>
    <w:p w14:paraId="34A1FFEB" w14:textId="77777777" w:rsidR="00584C8E" w:rsidRDefault="00584C8E">
      <w:pPr>
        <w:spacing w:line="480" w:lineRule="auto"/>
        <w:rPr>
          <w:rFonts w:hint="eastAsia"/>
          <w:shd w:val="clear" w:color="auto" w:fill="FFFFFF"/>
        </w:rPr>
      </w:pPr>
    </w:p>
    <w:p w14:paraId="45E3A4A0" w14:textId="77777777" w:rsidR="00584C8E" w:rsidRDefault="00000000">
      <w:pPr>
        <w:spacing w:line="480" w:lineRule="auto"/>
        <w:jc w:val="center"/>
        <w:rPr>
          <w:rFonts w:hint="eastAsia"/>
        </w:rPr>
      </w:pPr>
      <w:r>
        <w:rPr>
          <w:rFonts w:ascii="Arial" w:eastAsia="Arial" w:hAnsi="Arial" w:cs="Arial"/>
          <w:b/>
          <w:bCs/>
          <w:color w:val="000000"/>
          <w:shd w:val="clear" w:color="auto" w:fill="FFFFFF"/>
        </w:rPr>
        <w:t xml:space="preserve">Part A – Social-Scientific Models </w:t>
      </w:r>
    </w:p>
    <w:p w14:paraId="492F6830" w14:textId="511C3CCF" w:rsidR="00584C8E" w:rsidRDefault="00000000">
      <w:pPr>
        <w:spacing w:line="480" w:lineRule="auto"/>
        <w:rPr>
          <w:rFonts w:ascii="Arial" w:hAnsi="Arial"/>
          <w:shd w:val="clear" w:color="auto" w:fill="FFFFFF"/>
        </w:rPr>
      </w:pPr>
      <w:r>
        <w:rPr>
          <w:rFonts w:ascii="Arial" w:hAnsi="Arial"/>
          <w:shd w:val="clear" w:color="auto" w:fill="FFFFFF"/>
        </w:rPr>
        <w:t xml:space="preserve">Social-scientific models include such a range of approaches that it is difficult to put a boundary on them. Horrell states that </w:t>
      </w:r>
      <w:r>
        <w:rPr>
          <w:rFonts w:ascii="Arial" w:hAnsi="Arial"/>
          <w:color w:val="000000"/>
          <w:shd w:val="clear" w:color="auto" w:fill="FFFFFF"/>
        </w:rPr>
        <w:t>while having clear forerunners, their use has exploded since the 1970s, exploring many possible directions</w:t>
      </w:r>
      <w:r>
        <w:rPr>
          <w:rFonts w:ascii="Arial" w:hAnsi="Arial"/>
          <w:shd w:val="clear" w:color="auto" w:fill="FFFFFF"/>
        </w:rPr>
        <w:t>.</w:t>
      </w:r>
      <w:r>
        <w:rPr>
          <w:rStyle w:val="FootnoteAnchor"/>
          <w:rFonts w:ascii="Arial" w:hAnsi="Arial"/>
          <w:shd w:val="clear" w:color="auto" w:fill="FFFFFF"/>
        </w:rPr>
        <w:footnoteReference w:id="1"/>
      </w:r>
      <w:r>
        <w:rPr>
          <w:rFonts w:ascii="Arial" w:hAnsi="Arial"/>
          <w:shd w:val="clear" w:color="auto" w:fill="FFFFFF"/>
        </w:rPr>
        <w:t xml:space="preserve">  Despite being seen as a reaction to historical critical approaches, they are often used in conjunction with </w:t>
      </w:r>
      <w:r>
        <w:rPr>
          <w:rFonts w:ascii="Arial" w:hAnsi="Arial"/>
          <w:color w:val="000000"/>
          <w:shd w:val="clear" w:color="auto" w:fill="FFFFFF"/>
        </w:rPr>
        <w:t>this</w:t>
      </w:r>
      <w:r>
        <w:rPr>
          <w:rFonts w:ascii="Arial" w:hAnsi="Arial"/>
          <w:shd w:val="clear" w:color="auto" w:fill="FFFFFF"/>
        </w:rPr>
        <w:t xml:space="preserve"> method. Other approaches such as literary analysis, postcolonial studies, anthropology and </w:t>
      </w:r>
      <w:r w:rsidR="002F4E2D">
        <w:rPr>
          <w:rFonts w:ascii="Arial" w:hAnsi="Arial"/>
          <w:shd w:val="clear" w:color="auto" w:fill="FFFFFF"/>
        </w:rPr>
        <w:t>archaeology</w:t>
      </w:r>
      <w:r>
        <w:rPr>
          <w:rFonts w:ascii="Arial" w:hAnsi="Arial"/>
          <w:shd w:val="clear" w:color="auto" w:fill="FFFFFF"/>
        </w:rPr>
        <w:t xml:space="preserve"> can also be included. Esler declares that they are particularly helpful </w:t>
      </w:r>
      <w:r>
        <w:rPr>
          <w:rFonts w:ascii="Arial" w:hAnsi="Arial"/>
          <w:shd w:val="clear" w:color="auto" w:fill="FFFFFF"/>
        </w:rPr>
        <w:lastRenderedPageBreak/>
        <w:t>because they lessen the pre-conceived ideas from our own culture.</w:t>
      </w:r>
      <w:r>
        <w:rPr>
          <w:rStyle w:val="FootnoteAnchor"/>
          <w:rFonts w:ascii="Arial" w:hAnsi="Arial"/>
          <w:shd w:val="clear" w:color="auto" w:fill="FFFFFF"/>
        </w:rPr>
        <w:footnoteReference w:id="2"/>
      </w:r>
      <w:r>
        <w:rPr>
          <w:rFonts w:ascii="Arial" w:hAnsi="Arial"/>
          <w:shd w:val="clear" w:color="auto" w:fill="FFFFFF"/>
        </w:rPr>
        <w:t xml:space="preserve"> Yet he warns that they rarely give definite answers. Also that models should never go beyond the often limited data that they have.</w:t>
      </w:r>
      <w:r>
        <w:rPr>
          <w:rStyle w:val="FootnoteAnchor"/>
          <w:rFonts w:ascii="Arial" w:hAnsi="Arial"/>
          <w:shd w:val="clear" w:color="auto" w:fill="FFFFFF"/>
        </w:rPr>
        <w:footnoteReference w:id="3"/>
      </w:r>
      <w:r>
        <w:rPr>
          <w:rFonts w:ascii="Arial" w:hAnsi="Arial"/>
          <w:shd w:val="clear" w:color="auto" w:fill="FFFFFF"/>
        </w:rPr>
        <w:t xml:space="preserve"> Instead they can be used to improve on theories and argue where the data best fits.</w:t>
      </w:r>
      <w:r>
        <w:rPr>
          <w:rStyle w:val="FootnoteAnchor"/>
          <w:rFonts w:ascii="Arial" w:hAnsi="Arial"/>
          <w:shd w:val="clear" w:color="auto" w:fill="FFFFFF"/>
        </w:rPr>
        <w:footnoteReference w:id="4"/>
      </w:r>
      <w:r>
        <w:rPr>
          <w:rFonts w:ascii="Arial" w:hAnsi="Arial"/>
          <w:shd w:val="clear" w:color="auto" w:fill="FFFFFF"/>
        </w:rPr>
        <w:t xml:space="preserve"> Whitelam expands on the lack of data, suggesting that the Hebrew bible comes from the second temple period, which is a period </w:t>
      </w:r>
      <w:r w:rsidR="00B17681">
        <w:rPr>
          <w:rFonts w:ascii="Arial" w:hAnsi="Arial"/>
          <w:shd w:val="clear" w:color="auto" w:fill="FFFFFF"/>
        </w:rPr>
        <w:t xml:space="preserve">of overlapping cultures </w:t>
      </w:r>
      <w:r>
        <w:rPr>
          <w:rFonts w:ascii="Arial" w:hAnsi="Arial"/>
          <w:shd w:val="clear" w:color="auto" w:fill="FFFFFF"/>
        </w:rPr>
        <w:t>that little is known about.</w:t>
      </w:r>
      <w:r>
        <w:rPr>
          <w:rStyle w:val="FootnoteAnchor"/>
          <w:rFonts w:ascii="Arial" w:hAnsi="Arial"/>
          <w:shd w:val="clear" w:color="auto" w:fill="FFFFFF"/>
        </w:rPr>
        <w:footnoteReference w:id="5"/>
      </w:r>
      <w:r>
        <w:rPr>
          <w:rFonts w:ascii="Arial" w:hAnsi="Arial"/>
          <w:shd w:val="clear" w:color="auto" w:fill="FFFFFF"/>
        </w:rPr>
        <w:t xml:space="preserve"> Yet this ignores</w:t>
      </w:r>
      <w:r w:rsidR="00B17681">
        <w:rPr>
          <w:rFonts w:ascii="Arial" w:hAnsi="Arial"/>
          <w:shd w:val="clear" w:color="auto" w:fill="FFFFFF"/>
        </w:rPr>
        <w:t xml:space="preserve"> that</w:t>
      </w:r>
      <w:r>
        <w:rPr>
          <w:rFonts w:ascii="Arial" w:hAnsi="Arial"/>
          <w:shd w:val="clear" w:color="auto" w:fill="FFFFFF"/>
        </w:rPr>
        <w:t xml:space="preserve"> the</w:t>
      </w:r>
      <w:r w:rsidR="00B17681">
        <w:rPr>
          <w:rFonts w:ascii="Arial" w:hAnsi="Arial"/>
          <w:shd w:val="clear" w:color="auto" w:fill="FFFFFF"/>
        </w:rPr>
        <w:t xml:space="preserve"> text</w:t>
      </w:r>
      <w:r>
        <w:rPr>
          <w:rFonts w:ascii="Arial" w:hAnsi="Arial"/>
          <w:shd w:val="clear" w:color="auto" w:fill="FFFFFF"/>
        </w:rPr>
        <w:t xml:space="preserve"> relate</w:t>
      </w:r>
      <w:r w:rsidR="00B17681">
        <w:rPr>
          <w:rFonts w:ascii="Arial" w:hAnsi="Arial"/>
          <w:shd w:val="clear" w:color="auto" w:fill="FFFFFF"/>
        </w:rPr>
        <w:t>s</w:t>
      </w:r>
      <w:r>
        <w:rPr>
          <w:rFonts w:ascii="Arial" w:hAnsi="Arial"/>
          <w:shd w:val="clear" w:color="auto" w:fill="FFFFFF"/>
        </w:rPr>
        <w:t xml:space="preserve"> to a time period before, where historical data and information on the society is </w:t>
      </w:r>
      <w:r w:rsidR="00466E0E">
        <w:rPr>
          <w:rFonts w:ascii="Arial" w:hAnsi="Arial"/>
          <w:shd w:val="clear" w:color="auto" w:fill="FFFFFF"/>
        </w:rPr>
        <w:t>known in part</w:t>
      </w:r>
      <w:r>
        <w:rPr>
          <w:rFonts w:ascii="Arial" w:hAnsi="Arial"/>
          <w:shd w:val="clear" w:color="auto" w:fill="FFFFFF"/>
        </w:rPr>
        <w:t xml:space="preserve">. </w:t>
      </w:r>
    </w:p>
    <w:p w14:paraId="3ABCE004" w14:textId="77777777" w:rsidR="00584C8E" w:rsidRDefault="00584C8E">
      <w:pPr>
        <w:spacing w:line="480" w:lineRule="auto"/>
        <w:rPr>
          <w:rFonts w:ascii="Arial" w:hAnsi="Arial"/>
          <w:shd w:val="clear" w:color="auto" w:fill="FFFFFF"/>
        </w:rPr>
      </w:pPr>
    </w:p>
    <w:p w14:paraId="7AEAC67A" w14:textId="454D1C52" w:rsidR="00584C8E" w:rsidRDefault="00000000">
      <w:pPr>
        <w:spacing w:line="480" w:lineRule="auto"/>
        <w:rPr>
          <w:rFonts w:ascii="Arial" w:hAnsi="Arial"/>
          <w:shd w:val="clear" w:color="auto" w:fill="FFFFFF"/>
        </w:rPr>
      </w:pPr>
      <w:r>
        <w:rPr>
          <w:rFonts w:ascii="Arial" w:hAnsi="Arial"/>
          <w:shd w:val="clear" w:color="auto" w:fill="FFFFFF"/>
        </w:rPr>
        <w:t>Both Whitelam and Sneed give many examples of texts from the Hebrew bible that are illuminated by soci</w:t>
      </w:r>
      <w:r w:rsidR="00853634">
        <w:rPr>
          <w:rFonts w:ascii="Arial" w:hAnsi="Arial"/>
          <w:shd w:val="clear" w:color="auto" w:fill="FFFFFF"/>
        </w:rPr>
        <w:t>al</w:t>
      </w:r>
      <w:r>
        <w:rPr>
          <w:rFonts w:ascii="Arial" w:hAnsi="Arial"/>
          <w:shd w:val="clear" w:color="auto" w:fill="FFFFFF"/>
        </w:rPr>
        <w:t>-scientific methods. Whitelam reviews research that gives a new perspective on prophets as intermediaries through cross-cultural parallels and ethnographical materials. Dissonance theory for the adaptability of prophetic texts.</w:t>
      </w:r>
      <w:r>
        <w:rPr>
          <w:rStyle w:val="FootnoteAnchor"/>
          <w:rFonts w:ascii="Arial" w:hAnsi="Arial"/>
          <w:shd w:val="clear" w:color="auto" w:fill="FFFFFF"/>
        </w:rPr>
        <w:footnoteReference w:id="6"/>
      </w:r>
      <w:r>
        <w:rPr>
          <w:rFonts w:ascii="Arial" w:hAnsi="Arial"/>
          <w:shd w:val="clear" w:color="auto" w:fill="FFFFFF"/>
        </w:rPr>
        <w:t xml:space="preserve"> Sneed gives the example of a typical social scientific approach, comparing ancient Israel with a similar non-industrial contemporary society.</w:t>
      </w:r>
      <w:r>
        <w:rPr>
          <w:rStyle w:val="FootnoteAnchor"/>
          <w:rFonts w:ascii="Arial" w:hAnsi="Arial"/>
          <w:shd w:val="clear" w:color="auto" w:fill="FFFFFF"/>
        </w:rPr>
        <w:footnoteReference w:id="7"/>
      </w:r>
      <w:r>
        <w:rPr>
          <w:rFonts w:ascii="Arial" w:hAnsi="Arial"/>
          <w:shd w:val="clear" w:color="auto" w:fill="FFFFFF"/>
        </w:rPr>
        <w:t xml:space="preserve"> He reviews research that helps explain the story of Cain from an anthropological perspective (Gen. 4). </w:t>
      </w:r>
      <w:r w:rsidR="00B17681">
        <w:rPr>
          <w:rFonts w:ascii="Arial" w:hAnsi="Arial"/>
          <w:shd w:val="clear" w:color="auto" w:fill="FFFFFF"/>
        </w:rPr>
        <w:t xml:space="preserve">Honour and status in society showing </w:t>
      </w:r>
      <w:r>
        <w:rPr>
          <w:rFonts w:ascii="Arial" w:hAnsi="Arial"/>
          <w:shd w:val="clear" w:color="auto" w:fill="FFFFFF"/>
        </w:rPr>
        <w:t>Jephthah as a hero for sacrificing family for country (Judg. 11). Or Abimelech not rebelling against God, but society</w:t>
      </w:r>
      <w:r w:rsidR="00466E0E">
        <w:rPr>
          <w:rFonts w:ascii="Arial" w:hAnsi="Arial"/>
          <w:shd w:val="clear" w:color="auto" w:fill="FFFFFF"/>
        </w:rPr>
        <w:t>,</w:t>
      </w:r>
      <w:r>
        <w:rPr>
          <w:rFonts w:ascii="Arial" w:hAnsi="Arial"/>
          <w:shd w:val="clear" w:color="auto" w:fill="FFFFFF"/>
        </w:rPr>
        <w:t xml:space="preserve"> when he tries to use his mother’s lineage to gain Kingship (Judg. 9).</w:t>
      </w:r>
      <w:r>
        <w:rPr>
          <w:rStyle w:val="FootnoteAnchor"/>
          <w:rFonts w:ascii="Arial" w:hAnsi="Arial"/>
          <w:shd w:val="clear" w:color="auto" w:fill="FFFFFF"/>
        </w:rPr>
        <w:footnoteReference w:id="8"/>
      </w:r>
      <w:r>
        <w:rPr>
          <w:rFonts w:ascii="Arial" w:hAnsi="Arial"/>
          <w:shd w:val="clear" w:color="auto" w:fill="FFFFFF"/>
        </w:rPr>
        <w:br/>
      </w:r>
    </w:p>
    <w:p w14:paraId="1BCD2C09" w14:textId="69765116" w:rsidR="00584C8E" w:rsidRDefault="00B17681">
      <w:pPr>
        <w:spacing w:line="480" w:lineRule="auto"/>
        <w:rPr>
          <w:rFonts w:ascii="Arial" w:hAnsi="Arial"/>
          <w:shd w:val="clear" w:color="auto" w:fill="FFBF00"/>
        </w:rPr>
      </w:pPr>
      <w:r>
        <w:rPr>
          <w:rFonts w:ascii="Arial" w:hAnsi="Arial" w:cs="Arial"/>
          <w:color w:val="000000"/>
          <w:shd w:val="clear" w:color="auto" w:fill="FFFFFF"/>
        </w:rPr>
        <w:t>Both Ruth and Jonah have seen a change in understanding, at least partially due to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Traditionally these have been understood as showing a moral progress </w:t>
      </w:r>
      <w:r>
        <w:rPr>
          <w:rFonts w:ascii="Arial" w:hAnsi="Arial" w:cs="Arial"/>
          <w:color w:val="000000"/>
          <w:shd w:val="clear" w:color="auto" w:fill="FFFFFF"/>
        </w:rPr>
        <w:lastRenderedPageBreak/>
        <w:t>of gentiles, culminating in the New Testament. Yet confidence in this interpretation has eroded.</w:t>
      </w:r>
      <w:r>
        <w:rPr>
          <w:rStyle w:val="FootnoteAnchor"/>
          <w:rFonts w:ascii="Arial" w:hAnsi="Arial" w:cs="Arial"/>
          <w:color w:val="000000"/>
          <w:shd w:val="clear" w:color="auto" w:fill="FFFFFF"/>
        </w:rPr>
        <w:footnoteReference w:id="9"/>
      </w:r>
      <w:r>
        <w:rPr>
          <w:rFonts w:ascii="Arial" w:hAnsi="Arial" w:cs="Arial"/>
          <w:color w:val="000000"/>
          <w:shd w:val="clear" w:color="auto" w:fill="FFFFFF"/>
        </w:rPr>
        <w:t xml:space="preserve"> This essay examines both of </w:t>
      </w:r>
      <w:r w:rsidR="002F4E2D">
        <w:rPr>
          <w:rFonts w:ascii="Arial" w:hAnsi="Arial" w:cs="Arial"/>
          <w:color w:val="000000"/>
          <w:shd w:val="clear" w:color="auto" w:fill="FFFFFF"/>
        </w:rPr>
        <w:t>these books</w:t>
      </w:r>
      <w:r>
        <w:rPr>
          <w:rFonts w:ascii="Arial" w:hAnsi="Arial" w:cs="Arial"/>
          <w:color w:val="000000"/>
          <w:shd w:val="clear" w:color="auto" w:fill="FFFFFF"/>
        </w:rPr>
        <w:t xml:space="preserve">, first looking at Ruth. </w:t>
      </w:r>
    </w:p>
    <w:p w14:paraId="291F1689" w14:textId="77777777" w:rsidR="00584C8E" w:rsidRDefault="00584C8E">
      <w:pPr>
        <w:spacing w:line="480" w:lineRule="auto"/>
        <w:rPr>
          <w:rFonts w:ascii="Arial" w:hAnsi="Arial"/>
          <w:shd w:val="clear" w:color="auto" w:fill="FFBF00"/>
        </w:rPr>
      </w:pPr>
    </w:p>
    <w:p w14:paraId="28B04144" w14:textId="77777777" w:rsidR="00584C8E" w:rsidRDefault="00000000">
      <w:pPr>
        <w:spacing w:line="480" w:lineRule="auto"/>
        <w:jc w:val="center"/>
        <w:rPr>
          <w:rFonts w:ascii="Arial" w:hAnsi="Arial"/>
          <w:shd w:val="clear" w:color="auto" w:fill="FFBF00"/>
        </w:rPr>
      </w:pPr>
      <w:r>
        <w:rPr>
          <w:rFonts w:ascii="Arial" w:eastAsia="Arial" w:hAnsi="Arial" w:cs="Arial"/>
          <w:b/>
          <w:bCs/>
          <w:color w:val="000000"/>
          <w:shd w:val="clear" w:color="auto" w:fill="FFFFFF"/>
        </w:rPr>
        <w:t>Part B – Ruth</w:t>
      </w:r>
    </w:p>
    <w:p w14:paraId="0CC489B9" w14:textId="3B3C3B36" w:rsidR="00584C8E" w:rsidRDefault="00000000">
      <w:pPr>
        <w:spacing w:line="480" w:lineRule="auto"/>
        <w:rPr>
          <w:rFonts w:hint="eastAsia"/>
        </w:rPr>
      </w:pPr>
      <w:r>
        <w:rPr>
          <w:rFonts w:ascii="Arial" w:hAnsi="Arial" w:cs="Arial"/>
          <w:color w:val="000000"/>
          <w:shd w:val="clear" w:color="auto" w:fill="FFFFFF"/>
        </w:rPr>
        <w:t xml:space="preserve">Many scholars comment on the depth of Ruth that is covered within just four </w:t>
      </w:r>
      <w:r w:rsidR="00466E0E">
        <w:rPr>
          <w:rFonts w:ascii="Arial" w:hAnsi="Arial" w:cs="Arial"/>
          <w:color w:val="000000"/>
          <w:shd w:val="clear" w:color="auto" w:fill="FFFFFF"/>
        </w:rPr>
        <w:t xml:space="preserve">short </w:t>
      </w:r>
      <w:r>
        <w:rPr>
          <w:rFonts w:ascii="Arial" w:hAnsi="Arial" w:cs="Arial"/>
          <w:color w:val="000000"/>
          <w:shd w:val="clear" w:color="auto" w:fill="FFFFFF"/>
        </w:rPr>
        <w:t xml:space="preserve">chapters. It is a story of two women who are drawn to Israel after the death of their husbands; one returning after famine </w:t>
      </w:r>
      <w:r w:rsidR="00466E0E">
        <w:rPr>
          <w:rFonts w:ascii="Arial" w:hAnsi="Arial" w:cs="Arial"/>
          <w:color w:val="000000"/>
          <w:shd w:val="clear" w:color="auto" w:fill="FFFFFF"/>
        </w:rPr>
        <w:t>had</w:t>
      </w:r>
      <w:r>
        <w:rPr>
          <w:rFonts w:ascii="Arial" w:hAnsi="Arial" w:cs="Arial"/>
          <w:color w:val="000000"/>
          <w:shd w:val="clear" w:color="auto" w:fill="FFFFFF"/>
        </w:rPr>
        <w:t xml:space="preserve"> pushed her out, and the other her daughter-in-law. It is a story of loss, relationships and ethnic identity.</w:t>
      </w:r>
      <w:r>
        <w:rPr>
          <w:rStyle w:val="FootnoteAnchor"/>
          <w:rFonts w:ascii="Arial" w:hAnsi="Arial" w:cs="Arial"/>
          <w:color w:val="000000"/>
          <w:shd w:val="clear" w:color="auto" w:fill="FFFFFF"/>
        </w:rPr>
        <w:footnoteReference w:id="10"/>
      </w:r>
      <w:r>
        <w:rPr>
          <w:rFonts w:ascii="Arial" w:hAnsi="Arial" w:cs="Arial"/>
          <w:color w:val="000000"/>
          <w:shd w:val="clear" w:color="auto" w:fill="FFFFFF"/>
        </w:rPr>
        <w:t xml:space="preserve"> While it has been studied extensively,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can help bring more understanding on the roles of identity, social affiliation and endogamy in Ruth.  </w:t>
      </w:r>
    </w:p>
    <w:p w14:paraId="6AE444A3" w14:textId="77777777" w:rsidR="00584C8E" w:rsidRDefault="00584C8E">
      <w:pPr>
        <w:spacing w:line="480" w:lineRule="auto"/>
        <w:rPr>
          <w:rFonts w:hint="eastAsia"/>
          <w:shd w:val="clear" w:color="auto" w:fill="FF4000"/>
        </w:rPr>
      </w:pPr>
    </w:p>
    <w:p w14:paraId="522A1787" w14:textId="3A59BA9F" w:rsidR="00584C8E" w:rsidRDefault="00000000">
      <w:pPr>
        <w:spacing w:line="480" w:lineRule="auto"/>
        <w:rPr>
          <w:rFonts w:hint="eastAsia"/>
        </w:rPr>
      </w:pPr>
      <w:r>
        <w:rPr>
          <w:rFonts w:ascii="Arial" w:hAnsi="Arial" w:cs="Arial"/>
          <w:color w:val="000000"/>
          <w:shd w:val="clear" w:color="auto" w:fill="FFFFFF"/>
        </w:rPr>
        <w:t>Firstly, the identity of both Naomi and Ruth are vital to understanding the book’s message. Naomi is the main character in the first chapter</w:t>
      </w:r>
      <w:r w:rsidR="00466E0E">
        <w:rPr>
          <w:rFonts w:ascii="Arial" w:hAnsi="Arial" w:cs="Arial"/>
          <w:color w:val="000000"/>
          <w:shd w:val="clear" w:color="auto" w:fill="FFFFFF"/>
        </w:rPr>
        <w:t>, and perhaps the whole book</w:t>
      </w:r>
      <w:r>
        <w:rPr>
          <w:rFonts w:ascii="Arial" w:hAnsi="Arial" w:cs="Arial"/>
          <w:color w:val="000000"/>
          <w:shd w:val="clear" w:color="auto" w:fill="FFFFFF"/>
        </w:rPr>
        <w:t>. Giles and Doan propose that she is, “the initiator and planner of the activity that drive the drama.” They argue that this shifts the story from one of love to one that challenges the ethnic boundaries of God’s people.</w:t>
      </w:r>
      <w:r>
        <w:rPr>
          <w:rStyle w:val="FootnoteAnchor"/>
          <w:rFonts w:ascii="Arial" w:hAnsi="Arial" w:cs="Arial"/>
          <w:color w:val="000000"/>
          <w:shd w:val="clear" w:color="auto" w:fill="FFFFFF"/>
        </w:rPr>
        <w:footnoteReference w:id="11"/>
      </w:r>
      <w:r>
        <w:rPr>
          <w:rFonts w:ascii="Arial" w:hAnsi="Arial" w:cs="Arial"/>
          <w:color w:val="000000"/>
          <w:shd w:val="clear" w:color="auto" w:fill="FFFFFF"/>
        </w:rPr>
        <w:t xml:space="preserve"> Naomi is shown as a woman who has lost everything when her husband dies. Schipper suggests she is not described exactly as a widow, but instead as one who has lost the protection of the clan she married into.</w:t>
      </w:r>
      <w:r>
        <w:rPr>
          <w:rStyle w:val="FootnoteAnchor"/>
          <w:rFonts w:ascii="Arial" w:hAnsi="Arial" w:cs="Arial"/>
          <w:color w:val="000000"/>
          <w:shd w:val="clear" w:color="auto" w:fill="FFFFFF"/>
        </w:rPr>
        <w:footnoteReference w:id="12"/>
      </w:r>
      <w:r>
        <w:rPr>
          <w:rFonts w:ascii="Arial" w:hAnsi="Arial" w:cs="Arial"/>
          <w:color w:val="000000"/>
          <w:shd w:val="clear" w:color="auto" w:fill="FFFFFF"/>
        </w:rPr>
        <w:t xml:space="preserve"> Both Naomi and Ruth have the chance to return to their original clan. This </w:t>
      </w:r>
      <w:r w:rsidR="00466E0E">
        <w:rPr>
          <w:rFonts w:ascii="Arial" w:hAnsi="Arial" w:cs="Arial"/>
          <w:color w:val="000000"/>
          <w:shd w:val="clear" w:color="auto" w:fill="FFFFFF"/>
        </w:rPr>
        <w:t>is</w:t>
      </w:r>
      <w:r>
        <w:rPr>
          <w:rFonts w:ascii="Arial" w:hAnsi="Arial" w:cs="Arial"/>
          <w:color w:val="000000"/>
          <w:shd w:val="clear" w:color="auto" w:fill="FFFFFF"/>
        </w:rPr>
        <w:t xml:space="preserve"> what Naomi does</w:t>
      </w:r>
      <w:r w:rsidR="00466E0E">
        <w:rPr>
          <w:rFonts w:ascii="Arial" w:hAnsi="Arial" w:cs="Arial"/>
          <w:color w:val="000000"/>
          <w:shd w:val="clear" w:color="auto" w:fill="FFFFFF"/>
        </w:rPr>
        <w:t xml:space="preserve"> and s</w:t>
      </w:r>
      <w:r>
        <w:rPr>
          <w:rFonts w:ascii="Arial" w:hAnsi="Arial" w:cs="Arial"/>
          <w:color w:val="000000"/>
          <w:shd w:val="clear" w:color="auto" w:fill="FFFFFF"/>
        </w:rPr>
        <w:t xml:space="preserve">he quickly regains at least some of her identity </w:t>
      </w:r>
      <w:r w:rsidR="00466E0E">
        <w:rPr>
          <w:rFonts w:ascii="Arial" w:hAnsi="Arial" w:cs="Arial"/>
          <w:color w:val="000000"/>
          <w:shd w:val="clear" w:color="auto" w:fill="FFFFFF"/>
        </w:rPr>
        <w:t>in</w:t>
      </w:r>
      <w:r>
        <w:rPr>
          <w:rFonts w:ascii="Arial" w:hAnsi="Arial" w:cs="Arial"/>
          <w:color w:val="000000"/>
          <w:shd w:val="clear" w:color="auto" w:fill="FFFFFF"/>
        </w:rPr>
        <w:t xml:space="preserve"> Bethlehem</w:t>
      </w:r>
      <w:r w:rsidR="00466E0E">
        <w:rPr>
          <w:rFonts w:ascii="Arial" w:hAnsi="Arial" w:cs="Arial"/>
          <w:color w:val="000000"/>
          <w:shd w:val="clear" w:color="auto" w:fill="FFFFFF"/>
        </w:rPr>
        <w:t>,</w:t>
      </w:r>
      <w:r>
        <w:rPr>
          <w:rFonts w:ascii="Arial" w:hAnsi="Arial" w:cs="Arial"/>
          <w:color w:val="000000"/>
          <w:shd w:val="clear" w:color="auto" w:fill="FFFFFF"/>
        </w:rPr>
        <w:t xml:space="preserve"> where she is widely known (Ruth 1:19). Ruth’s identity transforms more slowly and inconstantly, across each chapter, as she moves from Moabite to daughter.</w:t>
      </w:r>
      <w:r>
        <w:rPr>
          <w:rStyle w:val="FootnoteAnchor"/>
          <w:rFonts w:ascii="Arial" w:hAnsi="Arial" w:cs="Arial"/>
          <w:color w:val="000000"/>
          <w:shd w:val="clear" w:color="auto" w:fill="FFFFFF"/>
        </w:rPr>
        <w:footnoteReference w:id="13"/>
      </w:r>
      <w:r>
        <w:rPr>
          <w:rFonts w:ascii="Arial" w:hAnsi="Arial" w:cs="Arial"/>
          <w:color w:val="000000"/>
          <w:shd w:val="clear" w:color="auto" w:fill="FFFFFF"/>
        </w:rPr>
        <w:t xml:space="preserve"> While this transformation does occur across the book, </w:t>
      </w:r>
      <w:r>
        <w:rPr>
          <w:rFonts w:ascii="Arial" w:hAnsi="Arial" w:cs="Arial"/>
          <w:color w:val="000000"/>
          <w:shd w:val="clear" w:color="auto" w:fill="FFFFFF"/>
        </w:rPr>
        <w:lastRenderedPageBreak/>
        <w:t>Chapman is right to point to the research of Leach.</w:t>
      </w:r>
      <w:r w:rsidR="007238AC">
        <w:rPr>
          <w:rStyle w:val="FootnoteReference"/>
          <w:rFonts w:ascii="Arial" w:hAnsi="Arial" w:cs="Arial"/>
          <w:color w:val="000000"/>
          <w:shd w:val="clear" w:color="auto" w:fill="FFFFFF"/>
        </w:rPr>
        <w:footnoteReference w:id="14"/>
      </w:r>
      <w:r>
        <w:rPr>
          <w:rFonts w:ascii="Arial" w:hAnsi="Arial" w:cs="Arial"/>
          <w:color w:val="000000"/>
          <w:shd w:val="clear" w:color="auto" w:fill="FFFFFF"/>
        </w:rPr>
        <w:t xml:space="preserve"> He states that the biggest fundamental change is when she does not return to her own </w:t>
      </w:r>
      <w:proofErr w:type="gramStart"/>
      <w:r>
        <w:rPr>
          <w:rFonts w:ascii="Arial" w:hAnsi="Arial" w:cs="Arial"/>
          <w:color w:val="000000"/>
          <w:shd w:val="clear" w:color="auto" w:fill="FFFFFF"/>
        </w:rPr>
        <w:t>people, but</w:t>
      </w:r>
      <w:proofErr w:type="gramEnd"/>
      <w:r>
        <w:rPr>
          <w:rFonts w:ascii="Arial" w:hAnsi="Arial" w:cs="Arial"/>
          <w:color w:val="000000"/>
          <w:shd w:val="clear" w:color="auto" w:fill="FFFFFF"/>
        </w:rPr>
        <w:t xml:space="preserve"> makes the move from her natal to her future marital home. He relates this to ethnographic research done in Papua New Guinea, where the disruptive nature of this causes a change in a person’s identity.</w:t>
      </w:r>
      <w:r>
        <w:rPr>
          <w:rStyle w:val="FootnoteAnchor"/>
          <w:rFonts w:ascii="Arial" w:hAnsi="Arial" w:cs="Arial"/>
          <w:color w:val="000000"/>
          <w:shd w:val="clear" w:color="auto" w:fill="FFFFFF"/>
        </w:rPr>
        <w:footnoteReference w:id="15"/>
      </w:r>
      <w:r>
        <w:rPr>
          <w:rFonts w:ascii="Arial" w:hAnsi="Arial" w:cs="Arial"/>
          <w:color w:val="000000"/>
          <w:shd w:val="clear" w:color="auto" w:fill="FFFFFF"/>
        </w:rPr>
        <w:t xml:space="preserve"> Ruth’s change in identity is therefore both gradual and sudden. It takes place slowly across the book as she struggles for acceptance, but her oath shows immediately her commitment (Ruth 1:16-17). It is a commitment that Naomi both has seen and believes in. Unlike Orpah, who is told to go back to her gods, Ruth is accepted first by Naomi as travelling companion and later kin. </w:t>
      </w:r>
    </w:p>
    <w:p w14:paraId="33D568B1" w14:textId="77777777" w:rsidR="00584C8E" w:rsidRDefault="00584C8E">
      <w:pPr>
        <w:spacing w:line="480" w:lineRule="auto"/>
        <w:rPr>
          <w:rFonts w:ascii="0" w:hAnsi="0" w:hint="eastAsia"/>
          <w:sz w:val="14"/>
        </w:rPr>
      </w:pPr>
    </w:p>
    <w:p w14:paraId="1D1E0F31" w14:textId="75C55F43" w:rsidR="00584C8E" w:rsidRDefault="00000000">
      <w:pPr>
        <w:spacing w:line="480" w:lineRule="auto"/>
        <w:rPr>
          <w:rFonts w:ascii="Arial" w:hAnsi="Arial" w:cs="Arial"/>
          <w:color w:val="000000"/>
          <w:shd w:val="clear" w:color="auto" w:fill="FFFFFF"/>
        </w:rPr>
      </w:pPr>
      <w:r>
        <w:rPr>
          <w:rFonts w:ascii="Arial" w:hAnsi="Arial" w:cs="Arial"/>
          <w:color w:val="000000"/>
          <w:shd w:val="clear" w:color="auto" w:fill="FFFFFF"/>
        </w:rPr>
        <w:t xml:space="preserve">Second is social affiliation. From the time that Naomi and Ruth enter Bethlehem, they are trying not only to survive, but to integrate into the community. Ruth is shown as a vulnerable immigrant woman, one that can be easily paralleled in modern society. They arrive at an opportune time because it was harvest (Ruth 1:22) and the harvest was good (Ruth 1:6).  However, not only is the timing important, but how Naomi and Ruth use it. Chapman finds that Boaz’s instruction to stay in his field, drink water from his vessels, and </w:t>
      </w:r>
      <w:r w:rsidR="007238AC">
        <w:rPr>
          <w:rFonts w:ascii="Arial" w:hAnsi="Arial" w:cs="Arial"/>
          <w:color w:val="000000"/>
          <w:shd w:val="clear" w:color="auto" w:fill="FFFFFF"/>
        </w:rPr>
        <w:t>eat bread</w:t>
      </w:r>
      <w:r>
        <w:rPr>
          <w:rFonts w:ascii="Arial" w:hAnsi="Arial" w:cs="Arial"/>
          <w:color w:val="000000"/>
          <w:shd w:val="clear" w:color="auto" w:fill="FFFFFF"/>
        </w:rPr>
        <w:t xml:space="preserve"> with his reapers, are all important steps to making Ruth kin.</w:t>
      </w:r>
      <w:r>
        <w:rPr>
          <w:rStyle w:val="FootnoteAnchor"/>
          <w:rFonts w:ascii="Arial" w:hAnsi="Arial" w:cs="Arial"/>
          <w:color w:val="000000"/>
          <w:shd w:val="clear" w:color="auto" w:fill="FFFFFF"/>
        </w:rPr>
        <w:footnoteReference w:id="16"/>
      </w:r>
      <w:r>
        <w:rPr>
          <w:rFonts w:ascii="Arial" w:hAnsi="Arial" w:cs="Arial"/>
          <w:color w:val="000000"/>
          <w:shd w:val="clear" w:color="auto" w:fill="FFFFFF"/>
        </w:rPr>
        <w:t xml:space="preserve"> She uses anthropological and archaeological studies to show this, stating that these activities shared among people are more important in creating family than genetic relations. Ruth could have survived through gleaning, but having access to water, food and protection is what builds family. Perhaps the most important of the three is water. Chapman draws attention to how water connects to taking a wife in Proverbs, and how </w:t>
      </w:r>
      <w:r w:rsidR="007238AC">
        <w:rPr>
          <w:rFonts w:ascii="Arial" w:hAnsi="Arial" w:cs="Arial"/>
          <w:color w:val="000000"/>
          <w:shd w:val="clear" w:color="auto" w:fill="FFFFFF"/>
        </w:rPr>
        <w:t>Proverbs</w:t>
      </w:r>
      <w:r>
        <w:rPr>
          <w:rFonts w:ascii="Arial" w:hAnsi="Arial" w:cs="Arial"/>
          <w:color w:val="000000"/>
          <w:shd w:val="clear" w:color="auto" w:fill="FFFFFF"/>
        </w:rPr>
        <w:t xml:space="preserve"> is in direct opposition to sharing water with outsiders</w:t>
      </w:r>
      <w:r w:rsidR="007238AC">
        <w:rPr>
          <w:rFonts w:ascii="Arial" w:hAnsi="Arial" w:cs="Arial"/>
          <w:color w:val="000000"/>
          <w:shd w:val="clear" w:color="auto" w:fill="FFFFFF"/>
        </w:rPr>
        <w:t xml:space="preserve"> (Prov. 5:15-23)</w:t>
      </w:r>
      <w:r>
        <w:rPr>
          <w:rFonts w:ascii="Arial" w:hAnsi="Arial" w:cs="Arial"/>
          <w:color w:val="000000"/>
          <w:shd w:val="clear" w:color="auto" w:fill="FFFFFF"/>
        </w:rPr>
        <w:t>.</w:t>
      </w:r>
      <w:r>
        <w:rPr>
          <w:rStyle w:val="FootnoteAnchor"/>
          <w:rFonts w:ascii="Arial" w:hAnsi="Arial" w:cs="Arial"/>
          <w:color w:val="000000"/>
          <w:shd w:val="clear" w:color="auto" w:fill="FFFFFF"/>
        </w:rPr>
        <w:footnoteReference w:id="17"/>
      </w:r>
      <w:r>
        <w:rPr>
          <w:rFonts w:ascii="Arial" w:hAnsi="Arial" w:cs="Arial"/>
          <w:color w:val="000000"/>
          <w:shd w:val="clear" w:color="auto" w:fill="FFFFFF"/>
        </w:rPr>
        <w:t xml:space="preserve"> </w:t>
      </w:r>
      <w:r>
        <w:rPr>
          <w:rFonts w:ascii="Arial" w:hAnsi="Arial"/>
          <w:shd w:val="clear" w:color="auto" w:fill="FFFFFF"/>
        </w:rPr>
        <w:t xml:space="preserve"> Chapman too reviews </w:t>
      </w:r>
      <w:r>
        <w:rPr>
          <w:rFonts w:ascii="Arial" w:hAnsi="Arial"/>
          <w:shd w:val="clear" w:color="auto" w:fill="FFFFFF"/>
        </w:rPr>
        <w:lastRenderedPageBreak/>
        <w:t>ethnographic studies in Southeast Asia that show the importance of active work in gaining acceptance, and sharing food grown on their own land to show a bond of kinship.</w:t>
      </w:r>
      <w:r>
        <w:rPr>
          <w:rStyle w:val="FootnoteAnchor"/>
          <w:rFonts w:ascii="Arial" w:hAnsi="Arial"/>
          <w:shd w:val="clear" w:color="auto" w:fill="FFFFFF"/>
        </w:rPr>
        <w:footnoteReference w:id="18"/>
      </w:r>
    </w:p>
    <w:p w14:paraId="253989D1" w14:textId="77777777" w:rsidR="00584C8E" w:rsidRDefault="00584C8E">
      <w:pPr>
        <w:spacing w:line="480" w:lineRule="auto"/>
        <w:rPr>
          <w:rFonts w:hint="eastAsia"/>
          <w:shd w:val="clear" w:color="auto" w:fill="FFBF00"/>
        </w:rPr>
      </w:pPr>
    </w:p>
    <w:p w14:paraId="2B68E78D" w14:textId="2AE5A0AB" w:rsidR="00584C8E" w:rsidRDefault="00000000">
      <w:pPr>
        <w:spacing w:line="480" w:lineRule="auto"/>
        <w:rPr>
          <w:rFonts w:hint="eastAsia"/>
          <w:shd w:val="clear" w:color="auto" w:fill="FFFFFF"/>
        </w:rPr>
      </w:pPr>
      <w:r>
        <w:rPr>
          <w:rFonts w:ascii="Arial" w:hAnsi="Arial" w:cs="Arial"/>
          <w:color w:val="000000"/>
          <w:shd w:val="clear" w:color="auto" w:fill="FFFFFF"/>
        </w:rPr>
        <w:t xml:space="preserve">Finally endogamy, the importance of marrying within the culture, is considered. Ruth has been seen as an attempt to encourage a welcoming of foreigners into Jewish </w:t>
      </w:r>
      <w:proofErr w:type="gramStart"/>
      <w:r w:rsidR="002F4E2D">
        <w:rPr>
          <w:rFonts w:ascii="Arial" w:hAnsi="Arial" w:cs="Arial"/>
          <w:color w:val="000000"/>
          <w:shd w:val="clear" w:color="auto" w:fill="FFFFFF"/>
        </w:rPr>
        <w:t>society</w:t>
      </w:r>
      <w:r w:rsidR="007238AC">
        <w:rPr>
          <w:rFonts w:ascii="Arial" w:hAnsi="Arial" w:cs="Arial"/>
          <w:color w:val="000000"/>
          <w:shd w:val="clear" w:color="auto" w:fill="FFFFFF"/>
        </w:rPr>
        <w:t>,</w:t>
      </w:r>
      <w:r w:rsidR="002F4E2D">
        <w:rPr>
          <w:rFonts w:ascii="Arial" w:hAnsi="Arial" w:cs="Arial"/>
          <w:color w:val="000000"/>
          <w:shd w:val="clear" w:color="auto" w:fill="FFFFFF"/>
        </w:rPr>
        <w:t xml:space="preserve"> if</w:t>
      </w:r>
      <w:proofErr w:type="gramEnd"/>
      <w:r>
        <w:rPr>
          <w:rFonts w:ascii="Arial" w:hAnsi="Arial" w:cs="Arial"/>
          <w:color w:val="000000"/>
          <w:shd w:val="clear" w:color="auto" w:fill="FFFFFF"/>
        </w:rPr>
        <w:t xml:space="preserve"> they follow God. This raises the issue of when Ruth was written, generally thought to be between 950-700BC. If it was written in the earlier part of this range, then it perhaps can be seen as a defence of David’s ancestry.</w:t>
      </w:r>
      <w:r>
        <w:rPr>
          <w:rStyle w:val="FootnoteAnchor"/>
          <w:rFonts w:ascii="Arial" w:hAnsi="Arial" w:cs="Arial"/>
          <w:color w:val="000000"/>
          <w:shd w:val="clear" w:color="auto" w:fill="FFFFFF"/>
        </w:rPr>
        <w:footnoteReference w:id="19"/>
      </w:r>
      <w:r>
        <w:rPr>
          <w:rFonts w:ascii="Arial" w:hAnsi="Arial" w:cs="Arial"/>
          <w:color w:val="000000"/>
          <w:shd w:val="clear" w:color="auto" w:fill="FFFFFF"/>
        </w:rPr>
        <w:t xml:space="preserve"> Schipper argues that while defending a Davidic dynasty is sound, this does not help with dating the book as this could have been important at various points in Israel’s history.</w:t>
      </w:r>
      <w:r w:rsidR="00BF611F">
        <w:rPr>
          <w:rStyle w:val="FootnoteReference"/>
          <w:rFonts w:ascii="Arial" w:hAnsi="Arial" w:cs="Arial"/>
          <w:color w:val="000000"/>
          <w:shd w:val="clear" w:color="auto" w:fill="FFFFFF"/>
        </w:rPr>
        <w:footnoteReference w:id="20"/>
      </w:r>
      <w:r>
        <w:rPr>
          <w:rFonts w:ascii="Arial" w:hAnsi="Arial" w:cs="Arial"/>
          <w:color w:val="000000"/>
          <w:shd w:val="clear" w:color="auto" w:fill="FFFFFF"/>
        </w:rPr>
        <w:t xml:space="preserve"> What can be seen throughout the book of Ruth is the trust that first Naomi, and then Ruth puts in God. This helps create their social identity as one of God’s people. It is to the idea of social identity, and how it is shown in Psalms, that is now turned to. </w:t>
      </w:r>
    </w:p>
    <w:p w14:paraId="7287D0C7" w14:textId="77777777" w:rsidR="00584C8E" w:rsidRDefault="00584C8E">
      <w:pPr>
        <w:spacing w:line="480" w:lineRule="auto"/>
        <w:jc w:val="center"/>
        <w:rPr>
          <w:rFonts w:ascii="Arial" w:eastAsia="Arial" w:hAnsi="Arial" w:cs="Arial"/>
          <w:b/>
          <w:bCs/>
          <w:color w:val="000000"/>
          <w:shd w:val="clear" w:color="auto" w:fill="FFFFFF"/>
        </w:rPr>
      </w:pPr>
    </w:p>
    <w:p w14:paraId="5F616A36" w14:textId="77777777" w:rsidR="00584C8E" w:rsidRDefault="00000000">
      <w:pPr>
        <w:spacing w:line="480" w:lineRule="auto"/>
        <w:jc w:val="center"/>
        <w:rPr>
          <w:rFonts w:hint="eastAsia"/>
        </w:rPr>
      </w:pPr>
      <w:r>
        <w:rPr>
          <w:rFonts w:ascii="Arial" w:eastAsia="Arial" w:hAnsi="Arial" w:cs="Arial"/>
          <w:b/>
          <w:bCs/>
          <w:color w:val="000000"/>
          <w:shd w:val="clear" w:color="auto" w:fill="FFFFFF"/>
        </w:rPr>
        <w:t>Part C – Psalms of Asaph</w:t>
      </w:r>
    </w:p>
    <w:p w14:paraId="373486A4" w14:textId="77777777" w:rsidR="00584C8E" w:rsidRDefault="00584C8E">
      <w:pPr>
        <w:spacing w:line="480" w:lineRule="auto"/>
        <w:rPr>
          <w:rFonts w:ascii="Arial" w:hAnsi="Arial"/>
          <w:color w:val="000000"/>
        </w:rPr>
      </w:pPr>
    </w:p>
    <w:p w14:paraId="751E0011" w14:textId="4D0A7AF9" w:rsidR="00584C8E" w:rsidRDefault="00000000">
      <w:pPr>
        <w:spacing w:line="480" w:lineRule="auto"/>
        <w:rPr>
          <w:rFonts w:hint="eastAsia"/>
        </w:rPr>
      </w:pPr>
      <w:r>
        <w:rPr>
          <w:rFonts w:ascii="Arial" w:hAnsi="Arial"/>
          <w:color w:val="000000"/>
          <w:shd w:val="clear" w:color="auto" w:fill="FFFFFF"/>
        </w:rPr>
        <w:t>Psalms 50, and 73 through to 83 are credited to Asaph</w:t>
      </w:r>
      <w:r w:rsidR="0067701B">
        <w:rPr>
          <w:rFonts w:ascii="Arial" w:hAnsi="Arial"/>
          <w:color w:val="000000"/>
          <w:shd w:val="clear" w:color="auto" w:fill="FFFFFF"/>
        </w:rPr>
        <w:t>.</w:t>
      </w:r>
      <w:r>
        <w:rPr>
          <w:rFonts w:ascii="Arial" w:hAnsi="Arial"/>
          <w:color w:val="000000"/>
          <w:shd w:val="clear" w:color="auto" w:fill="FFFFFF"/>
        </w:rPr>
        <w:t xml:space="preserve"> </w:t>
      </w:r>
      <w:r w:rsidR="0067701B">
        <w:rPr>
          <w:rFonts w:ascii="Arial" w:hAnsi="Arial"/>
          <w:color w:val="000000"/>
          <w:shd w:val="clear" w:color="auto" w:fill="FFFFFF"/>
        </w:rPr>
        <w:t xml:space="preserve">However, </w:t>
      </w:r>
      <w:r>
        <w:rPr>
          <w:rFonts w:ascii="Arial" w:hAnsi="Arial"/>
          <w:color w:val="000000"/>
          <w:shd w:val="clear" w:color="auto" w:fill="FFFFFF"/>
        </w:rPr>
        <w:t xml:space="preserve">they relate to </w:t>
      </w:r>
      <w:r w:rsidR="0067701B">
        <w:rPr>
          <w:rFonts w:ascii="Arial" w:hAnsi="Arial"/>
          <w:color w:val="000000"/>
          <w:shd w:val="clear" w:color="auto" w:fill="FFFFFF"/>
        </w:rPr>
        <w:t xml:space="preserve">the Assyrian invasions and Babylonian exile, </w:t>
      </w:r>
      <w:r>
        <w:rPr>
          <w:rFonts w:ascii="Arial" w:hAnsi="Arial"/>
          <w:color w:val="000000"/>
          <w:shd w:val="clear" w:color="auto" w:fill="FFFFFF"/>
        </w:rPr>
        <w:t>events that occurred much later than h</w:t>
      </w:r>
      <w:r w:rsidR="0067701B">
        <w:rPr>
          <w:rFonts w:ascii="Arial" w:hAnsi="Arial"/>
          <w:color w:val="000000"/>
          <w:shd w:val="clear" w:color="auto" w:fill="FFFFFF"/>
        </w:rPr>
        <w:t>im</w:t>
      </w:r>
      <w:r>
        <w:rPr>
          <w:rFonts w:ascii="Arial" w:hAnsi="Arial"/>
          <w:color w:val="000000"/>
          <w:shd w:val="clear" w:color="auto" w:fill="FFFFFF"/>
        </w:rPr>
        <w:t xml:space="preserve">. These Psalms focus on the search for a collective identity after these events. A social identity approach is useful to </w:t>
      </w:r>
      <w:r w:rsidR="0067701B">
        <w:rPr>
          <w:rFonts w:ascii="Arial" w:hAnsi="Arial"/>
          <w:color w:val="000000"/>
          <w:shd w:val="clear" w:color="auto" w:fill="FFFFFF"/>
        </w:rPr>
        <w:t>find</w:t>
      </w:r>
      <w:r>
        <w:rPr>
          <w:rFonts w:ascii="Arial" w:hAnsi="Arial"/>
          <w:color w:val="000000"/>
          <w:shd w:val="clear" w:color="auto" w:fill="FFFFFF"/>
        </w:rPr>
        <w:t xml:space="preserve"> how this </w:t>
      </w:r>
      <w:r w:rsidR="00210B0A">
        <w:rPr>
          <w:rFonts w:ascii="Arial" w:hAnsi="Arial"/>
          <w:color w:val="000000"/>
          <w:shd w:val="clear" w:color="auto" w:fill="FFFFFF"/>
        </w:rPr>
        <w:t>was done</w:t>
      </w:r>
      <w:r>
        <w:rPr>
          <w:rFonts w:ascii="Arial" w:hAnsi="Arial"/>
          <w:color w:val="000000"/>
          <w:shd w:val="clear" w:color="auto" w:fill="FFFFFF"/>
        </w:rPr>
        <w:t xml:space="preserve">.  Social identity theory (SIT) was developed by Tajfel and Turner in 1978. It hypothesises a creation of an ingroup and outgroup, and that being part of the ingroup leads to a desire for the positive distinctiveness of the group </w:t>
      </w:r>
      <w:r>
        <w:rPr>
          <w:rFonts w:ascii="Arial" w:hAnsi="Arial"/>
          <w:color w:val="000000"/>
          <w:shd w:val="clear" w:color="auto" w:fill="FFFFFF"/>
        </w:rPr>
        <w:lastRenderedPageBreak/>
        <w:t>from other, similar groups. The ingroup members form biases towards their group and derive their social identity from being part of it.</w:t>
      </w:r>
      <w:r>
        <w:rPr>
          <w:rStyle w:val="FootnoteAnchor"/>
          <w:rFonts w:ascii="Arial" w:hAnsi="Arial"/>
          <w:color w:val="000000"/>
          <w:shd w:val="clear" w:color="auto" w:fill="FFFFFF"/>
        </w:rPr>
        <w:footnoteReference w:id="21"/>
      </w:r>
    </w:p>
    <w:p w14:paraId="1AF578C0" w14:textId="77777777" w:rsidR="00584C8E" w:rsidRDefault="00584C8E">
      <w:pPr>
        <w:spacing w:line="480" w:lineRule="auto"/>
        <w:rPr>
          <w:rFonts w:ascii="Arial" w:hAnsi="Arial"/>
          <w:color w:val="2A2A2A"/>
          <w:sz w:val="22"/>
          <w:szCs w:val="22"/>
          <w:shd w:val="clear" w:color="auto" w:fill="FFFF00"/>
        </w:rPr>
      </w:pPr>
    </w:p>
    <w:p w14:paraId="562618DE" w14:textId="48E54F23" w:rsidR="00584C8E" w:rsidRDefault="00000000">
      <w:pPr>
        <w:spacing w:line="480" w:lineRule="auto"/>
        <w:rPr>
          <w:rFonts w:hint="eastAsia"/>
          <w:shd w:val="clear" w:color="auto" w:fill="FFFFFF"/>
        </w:rPr>
      </w:pPr>
      <w:r>
        <w:rPr>
          <w:rFonts w:ascii="Arial" w:hAnsi="Arial"/>
          <w:color w:val="000000"/>
          <w:shd w:val="clear" w:color="auto" w:fill="FFFFFF"/>
        </w:rPr>
        <w:t xml:space="preserve">SIT can bring </w:t>
      </w:r>
      <w:r w:rsidR="0067701B">
        <w:rPr>
          <w:rFonts w:ascii="Arial" w:hAnsi="Arial"/>
          <w:color w:val="000000"/>
          <w:shd w:val="clear" w:color="auto" w:fill="FFFFFF"/>
        </w:rPr>
        <w:t xml:space="preserve">greater </w:t>
      </w:r>
      <w:r>
        <w:rPr>
          <w:rFonts w:ascii="Arial" w:hAnsi="Arial"/>
          <w:color w:val="000000"/>
          <w:shd w:val="clear" w:color="auto" w:fill="FFFFFF"/>
        </w:rPr>
        <w:t xml:space="preserve">understanding of the Psalms through the social change that the invasion and exile caused. There were a large number of refugees moving from the north of Israel up to Jerusalem. This </w:t>
      </w:r>
      <w:r w:rsidR="00B22DD7">
        <w:rPr>
          <w:rFonts w:ascii="Arial" w:hAnsi="Arial"/>
          <w:color w:val="000000"/>
          <w:shd w:val="clear" w:color="auto" w:fill="FFFFFF"/>
        </w:rPr>
        <w:t>leads</w:t>
      </w:r>
      <w:r>
        <w:rPr>
          <w:rFonts w:ascii="Arial" w:hAnsi="Arial"/>
          <w:color w:val="000000"/>
          <w:shd w:val="clear" w:color="auto" w:fill="FFFFFF"/>
        </w:rPr>
        <w:t xml:space="preserve"> to two different groups within Jerusalem, that despite having a common ancestry, </w:t>
      </w:r>
      <w:r w:rsidR="00B22DD7">
        <w:rPr>
          <w:rFonts w:ascii="Arial" w:hAnsi="Arial"/>
          <w:color w:val="000000"/>
          <w:shd w:val="clear" w:color="auto" w:fill="FFFFFF"/>
        </w:rPr>
        <w:t>are</w:t>
      </w:r>
      <w:r>
        <w:rPr>
          <w:rFonts w:ascii="Arial" w:hAnsi="Arial"/>
          <w:color w:val="000000"/>
          <w:shd w:val="clear" w:color="auto" w:fill="FFFFFF"/>
        </w:rPr>
        <w:t xml:space="preserve"> divided in more recent customs and history. However, the Psalms focus on creating an ingroup through the shared history, the temple, obeying the Torah and worshipping God. </w:t>
      </w:r>
      <w:r w:rsidR="002F4E2D">
        <w:rPr>
          <w:rFonts w:ascii="Arial" w:hAnsi="Arial"/>
          <w:shd w:val="clear" w:color="auto" w:fill="FFFFFF"/>
        </w:rPr>
        <w:t>Brueggemann</w:t>
      </w:r>
      <w:r>
        <w:rPr>
          <w:rFonts w:ascii="Arial" w:hAnsi="Arial"/>
          <w:shd w:val="clear" w:color="auto" w:fill="FFFFFF"/>
        </w:rPr>
        <w:t xml:space="preserve"> noting how this worship subverts the deferential and passive worship of idols in the outgroup.</w:t>
      </w:r>
      <w:r>
        <w:rPr>
          <w:rStyle w:val="FootnoteAnchor"/>
          <w:rFonts w:ascii="Arial" w:hAnsi="Arial"/>
          <w:shd w:val="clear" w:color="auto" w:fill="FFFFFF"/>
        </w:rPr>
        <w:footnoteReference w:id="22"/>
      </w:r>
      <w:r w:rsidR="002F4E2D">
        <w:rPr>
          <w:rFonts w:ascii="Arial" w:hAnsi="Arial"/>
          <w:shd w:val="clear" w:color="auto" w:fill="FFFFFF"/>
        </w:rPr>
        <w:t xml:space="preserve"> </w:t>
      </w:r>
      <w:r>
        <w:rPr>
          <w:rFonts w:ascii="Arial" w:hAnsi="Arial"/>
          <w:color w:val="000000"/>
          <w:shd w:val="clear" w:color="auto" w:fill="FFFFFF"/>
        </w:rPr>
        <w:t>Secondly there is identity that comes from anti-imperialism, with a clear divide made between Israel and the other nations.</w:t>
      </w:r>
      <w:r>
        <w:rPr>
          <w:rStyle w:val="FootnoteAnchor"/>
          <w:rFonts w:ascii="Arial" w:hAnsi="Arial"/>
          <w:color w:val="000000"/>
          <w:shd w:val="clear" w:color="auto" w:fill="FFFFFF"/>
        </w:rPr>
        <w:footnoteReference w:id="23"/>
      </w:r>
      <w:r>
        <w:rPr>
          <w:rFonts w:ascii="Arial" w:hAnsi="Arial"/>
          <w:color w:val="000000"/>
          <w:shd w:val="clear" w:color="auto" w:fill="FFFFFF"/>
        </w:rPr>
        <w:t xml:space="preserve"> </w:t>
      </w:r>
      <w:r>
        <w:rPr>
          <w:rStyle w:val="FootnoteAnchor"/>
          <w:rFonts w:ascii="Arial" w:hAnsi="Arial"/>
          <w:color w:val="000000"/>
          <w:shd w:val="clear" w:color="auto" w:fill="FFFFFF"/>
        </w:rPr>
        <w:footnoteReference w:id="24"/>
      </w:r>
      <w:r>
        <w:rPr>
          <w:rFonts w:ascii="Arial" w:hAnsi="Arial"/>
          <w:color w:val="000000"/>
          <w:shd w:val="clear" w:color="auto" w:fill="FFFFFF"/>
        </w:rPr>
        <w:t xml:space="preserve"> </w:t>
      </w:r>
      <w:r>
        <w:rPr>
          <w:rStyle w:val="FootnoteAnchor"/>
          <w:rFonts w:ascii="Arial" w:hAnsi="Arial"/>
          <w:color w:val="000000"/>
          <w:shd w:val="clear" w:color="auto" w:fill="FFFFFF"/>
        </w:rPr>
        <w:footnoteReference w:id="25"/>
      </w:r>
      <w:r>
        <w:rPr>
          <w:rFonts w:ascii="Arial" w:hAnsi="Arial"/>
          <w:color w:val="000000"/>
          <w:shd w:val="clear" w:color="auto" w:fill="FFFFFF"/>
        </w:rPr>
        <w:t xml:space="preserve"> </w:t>
      </w:r>
      <w:r w:rsidR="002F4E2D">
        <w:rPr>
          <w:rFonts w:ascii="Arial" w:hAnsi="Arial"/>
          <w:color w:val="000000"/>
          <w:shd w:val="clear" w:color="auto" w:fill="FFFFFF"/>
        </w:rPr>
        <w:t>T</w:t>
      </w:r>
      <w:r>
        <w:rPr>
          <w:rFonts w:ascii="Arial" w:hAnsi="Arial"/>
          <w:color w:val="000000"/>
          <w:shd w:val="clear" w:color="auto" w:fill="FFFFFF"/>
        </w:rPr>
        <w:t xml:space="preserve">he ingroup </w:t>
      </w:r>
      <w:r w:rsidR="002F4E2D">
        <w:rPr>
          <w:rFonts w:ascii="Arial" w:hAnsi="Arial"/>
          <w:color w:val="000000"/>
          <w:shd w:val="clear" w:color="auto" w:fill="FFFFFF"/>
        </w:rPr>
        <w:t>is</w:t>
      </w:r>
      <w:r>
        <w:rPr>
          <w:rFonts w:ascii="Arial" w:hAnsi="Arial"/>
          <w:color w:val="000000"/>
          <w:shd w:val="clear" w:color="auto" w:fill="FFFFFF"/>
        </w:rPr>
        <w:t xml:space="preserve"> altered by a redrawing of the boundary.</w:t>
      </w:r>
      <w:r>
        <w:rPr>
          <w:rStyle w:val="FootnoteAnchor"/>
          <w:rFonts w:ascii="Arial" w:hAnsi="Arial"/>
          <w:color w:val="000000"/>
          <w:shd w:val="clear" w:color="auto" w:fill="FFFFFF"/>
        </w:rPr>
        <w:footnoteReference w:id="26"/>
      </w:r>
      <w:r>
        <w:rPr>
          <w:rFonts w:ascii="Arial" w:hAnsi="Arial"/>
          <w:color w:val="000000"/>
          <w:shd w:val="clear" w:color="auto" w:fill="FFFFFF"/>
        </w:rPr>
        <w:t xml:space="preserve"> The refugees from Northern Israel are now included within the group, having allowed themselves to be assimilated to it through the carrying out of similar actions. </w:t>
      </w:r>
    </w:p>
    <w:p w14:paraId="0E94E28E" w14:textId="77777777" w:rsidR="00584C8E" w:rsidRDefault="00584C8E">
      <w:pPr>
        <w:spacing w:line="480" w:lineRule="auto"/>
        <w:rPr>
          <w:rFonts w:hint="eastAsia"/>
          <w:shd w:val="clear" w:color="auto" w:fill="FFFFFF"/>
        </w:rPr>
      </w:pPr>
    </w:p>
    <w:p w14:paraId="00C41644" w14:textId="5F491F3F" w:rsidR="00584C8E" w:rsidRDefault="00000000">
      <w:pPr>
        <w:spacing w:line="480" w:lineRule="auto"/>
        <w:rPr>
          <w:rFonts w:hint="eastAsia"/>
          <w:shd w:val="clear" w:color="auto" w:fill="FFFFFF"/>
        </w:rPr>
      </w:pPr>
      <w:r>
        <w:rPr>
          <w:rFonts w:ascii="Arial" w:hAnsi="Arial"/>
          <w:color w:val="000000"/>
          <w:shd w:val="clear" w:color="auto" w:fill="FFFFFF"/>
        </w:rPr>
        <w:t>Taking</w:t>
      </w:r>
      <w:r>
        <w:rPr>
          <w:rFonts w:ascii="Arial" w:hAnsi="Arial"/>
          <w:shd w:val="clear" w:color="auto" w:fill="FFFFFF"/>
        </w:rPr>
        <w:t xml:space="preserve"> the Psalms individually, the differences between the ingroup and outgroup </w:t>
      </w:r>
      <w:r>
        <w:rPr>
          <w:rFonts w:ascii="Arial" w:hAnsi="Arial"/>
          <w:color w:val="000000"/>
          <w:shd w:val="clear" w:color="auto" w:fill="FFFFFF"/>
        </w:rPr>
        <w:t xml:space="preserve">are </w:t>
      </w:r>
      <w:r w:rsidR="00210B0A">
        <w:rPr>
          <w:rFonts w:ascii="Arial" w:hAnsi="Arial"/>
          <w:color w:val="000000"/>
          <w:shd w:val="clear" w:color="auto" w:fill="FFFFFF"/>
        </w:rPr>
        <w:t>more specifically made</w:t>
      </w:r>
      <w:r>
        <w:rPr>
          <w:rFonts w:ascii="Arial" w:hAnsi="Arial"/>
          <w:shd w:val="clear" w:color="auto" w:fill="FFFFFF"/>
        </w:rPr>
        <w:t>. Psalm 50 finds the ingroup as the one that calls upon God, the outgroup as the one that rejects the covenant.</w:t>
      </w:r>
      <w:r>
        <w:rPr>
          <w:rStyle w:val="FootnoteAnchor"/>
          <w:rFonts w:ascii="Arial" w:hAnsi="Arial"/>
          <w:shd w:val="clear" w:color="auto" w:fill="FFFFFF"/>
        </w:rPr>
        <w:footnoteReference w:id="27"/>
      </w:r>
      <w:r>
        <w:rPr>
          <w:rFonts w:ascii="Arial" w:hAnsi="Arial"/>
          <w:shd w:val="clear" w:color="auto" w:fill="FFFFFF"/>
        </w:rPr>
        <w:t xml:space="preserve"> Psalm 73 is </w:t>
      </w:r>
      <w:r>
        <w:rPr>
          <w:rFonts w:ascii="Arial" w:hAnsi="Arial"/>
          <w:color w:val="000000"/>
          <w:shd w:val="clear" w:color="auto" w:fill="FFFFFF"/>
        </w:rPr>
        <w:t xml:space="preserve">divided by those in the sanctuary of God, </w:t>
      </w:r>
      <w:r w:rsidR="00210B0A">
        <w:rPr>
          <w:rFonts w:ascii="Arial" w:hAnsi="Arial"/>
          <w:color w:val="000000"/>
          <w:shd w:val="clear" w:color="auto" w:fill="FFFFFF"/>
        </w:rPr>
        <w:t>from</w:t>
      </w:r>
      <w:r>
        <w:rPr>
          <w:rFonts w:ascii="Arial" w:hAnsi="Arial"/>
          <w:color w:val="000000"/>
          <w:shd w:val="clear" w:color="auto" w:fill="FFFFFF"/>
        </w:rPr>
        <w:t xml:space="preserve"> those away from it</w:t>
      </w:r>
      <w:r>
        <w:rPr>
          <w:rFonts w:ascii="Arial" w:hAnsi="Arial"/>
          <w:shd w:val="clear" w:color="auto" w:fill="FFFFFF"/>
        </w:rPr>
        <w:t>.</w:t>
      </w:r>
      <w:r>
        <w:rPr>
          <w:rStyle w:val="FootnoteAnchor"/>
          <w:rFonts w:ascii="Arial" w:hAnsi="Arial"/>
          <w:shd w:val="clear" w:color="auto" w:fill="FFFFFF"/>
        </w:rPr>
        <w:footnoteReference w:id="28"/>
      </w:r>
      <w:r>
        <w:rPr>
          <w:rFonts w:ascii="Arial" w:hAnsi="Arial"/>
          <w:shd w:val="clear" w:color="auto" w:fill="FFFFFF"/>
        </w:rPr>
        <w:t xml:space="preserve"> </w:t>
      </w:r>
      <w:r>
        <w:rPr>
          <w:rFonts w:ascii="Arial" w:hAnsi="Arial"/>
          <w:color w:val="2A2A2A"/>
          <w:shd w:val="clear" w:color="auto" w:fill="FFFFFF"/>
        </w:rPr>
        <w:t>Psalm 76 show that all God’s people, both the economically poor and humble, are the in-group to be saved.</w:t>
      </w:r>
      <w:r>
        <w:rPr>
          <w:rStyle w:val="FootnoteAnchor"/>
          <w:rFonts w:ascii="Arial" w:hAnsi="Arial"/>
          <w:color w:val="2A2A2A"/>
          <w:shd w:val="clear" w:color="auto" w:fill="FFFFFF"/>
        </w:rPr>
        <w:footnoteReference w:id="29"/>
      </w:r>
      <w:r>
        <w:rPr>
          <w:rFonts w:ascii="Arial" w:hAnsi="Arial"/>
          <w:color w:val="2A2A2A"/>
          <w:shd w:val="clear" w:color="auto" w:fill="FFFFFF"/>
        </w:rPr>
        <w:t xml:space="preserve"> </w:t>
      </w:r>
      <w:r>
        <w:rPr>
          <w:rFonts w:ascii="Arial" w:hAnsi="Arial"/>
          <w:shd w:val="clear" w:color="auto" w:fill="FFFFFF"/>
        </w:rPr>
        <w:t xml:space="preserve">Psalm 78 draws the </w:t>
      </w:r>
      <w:r>
        <w:rPr>
          <w:rFonts w:ascii="Arial" w:hAnsi="Arial"/>
          <w:shd w:val="clear" w:color="auto" w:fill="FFFFFF"/>
        </w:rPr>
        <w:lastRenderedPageBreak/>
        <w:t>division between the current generation that teach the Torah as the ingroup and their ancestors that rejected it as the outgroup.</w:t>
      </w:r>
      <w:r>
        <w:rPr>
          <w:rStyle w:val="FootnoteAnchor"/>
          <w:rFonts w:ascii="Arial" w:hAnsi="Arial"/>
          <w:shd w:val="clear" w:color="auto" w:fill="FFFFFF"/>
        </w:rPr>
        <w:footnoteReference w:id="30"/>
      </w:r>
      <w:r>
        <w:rPr>
          <w:rFonts w:ascii="Arial" w:hAnsi="Arial"/>
          <w:shd w:val="clear" w:color="auto" w:fill="FFFFFF"/>
        </w:rPr>
        <w:t xml:space="preserve"> </w:t>
      </w:r>
    </w:p>
    <w:p w14:paraId="7D96D669" w14:textId="77777777" w:rsidR="00584C8E" w:rsidRDefault="00584C8E">
      <w:pPr>
        <w:pStyle w:val="BodyText"/>
        <w:spacing w:line="480" w:lineRule="auto"/>
        <w:rPr>
          <w:rFonts w:hint="eastAsia"/>
          <w:shd w:val="clear" w:color="auto" w:fill="FFD8CE"/>
        </w:rPr>
      </w:pPr>
    </w:p>
    <w:p w14:paraId="1EAC84B1" w14:textId="031AA496" w:rsidR="00584C8E" w:rsidRDefault="00000000">
      <w:pPr>
        <w:spacing w:line="480" w:lineRule="auto"/>
        <w:rPr>
          <w:rFonts w:hint="eastAsia"/>
          <w:shd w:val="clear" w:color="auto" w:fill="FFFFFF"/>
        </w:rPr>
      </w:pPr>
      <w:r>
        <w:rPr>
          <w:rFonts w:ascii="Arial" w:hAnsi="Arial"/>
          <w:color w:val="2A2A2A"/>
          <w:shd w:val="clear" w:color="auto" w:fill="FFFFFF"/>
        </w:rPr>
        <w:t>The difference between ingroup and outgroup is perhaps drawn most starkly in Psalms 74 and 79</w:t>
      </w:r>
      <w:r w:rsidR="0067701B">
        <w:rPr>
          <w:rFonts w:ascii="Arial" w:hAnsi="Arial"/>
          <w:color w:val="2A2A2A"/>
          <w:shd w:val="clear" w:color="auto" w:fill="FFFFFF"/>
        </w:rPr>
        <w:t>.</w:t>
      </w:r>
      <w:r>
        <w:rPr>
          <w:rFonts w:ascii="Arial" w:hAnsi="Arial"/>
          <w:color w:val="2A2A2A"/>
          <w:shd w:val="clear" w:color="auto" w:fill="FFFFFF"/>
        </w:rPr>
        <w:t xml:space="preserve"> </w:t>
      </w:r>
      <w:r w:rsidR="0067701B">
        <w:rPr>
          <w:rFonts w:ascii="Arial" w:hAnsi="Arial"/>
          <w:color w:val="2A2A2A"/>
          <w:shd w:val="clear" w:color="auto" w:fill="FFFFFF"/>
        </w:rPr>
        <w:t>H</w:t>
      </w:r>
      <w:r>
        <w:rPr>
          <w:rFonts w:ascii="Arial" w:hAnsi="Arial"/>
          <w:color w:val="2A2A2A"/>
          <w:shd w:val="clear" w:color="auto" w:fill="FFFFFF"/>
        </w:rPr>
        <w:t>ere the ingroup belongs to God, the outgroup is the enemy. While Brueggemann does not use SIT, he makes an even more distinct difference between the two groups by suggesting that the psalter celebrates humans as next to God</w:t>
      </w:r>
      <w:r w:rsidR="001549A6">
        <w:rPr>
          <w:rFonts w:ascii="Arial" w:hAnsi="Arial"/>
          <w:color w:val="2A2A2A"/>
          <w:shd w:val="clear" w:color="auto" w:fill="FFFFFF"/>
        </w:rPr>
        <w:t>. That they are</w:t>
      </w:r>
      <w:r>
        <w:rPr>
          <w:rFonts w:ascii="Arial" w:hAnsi="Arial"/>
          <w:color w:val="2A2A2A"/>
          <w:shd w:val="clear" w:color="auto" w:fill="FFFFFF"/>
        </w:rPr>
        <w:t xml:space="preserve"> derived from him, linked to him and living a life before </w:t>
      </w:r>
      <w:r w:rsidR="001549A6">
        <w:rPr>
          <w:rFonts w:ascii="Arial" w:hAnsi="Arial"/>
          <w:color w:val="2A2A2A"/>
          <w:shd w:val="clear" w:color="auto" w:fill="FFFFFF"/>
        </w:rPr>
        <w:t>him</w:t>
      </w:r>
      <w:r>
        <w:rPr>
          <w:rFonts w:ascii="Arial" w:hAnsi="Arial"/>
          <w:color w:val="2A2A2A"/>
          <w:shd w:val="clear" w:color="auto" w:fill="FFFFFF"/>
        </w:rPr>
        <w:t>.</w:t>
      </w:r>
      <w:r>
        <w:rPr>
          <w:rStyle w:val="FootnoteAnchor"/>
          <w:rFonts w:ascii="Arial" w:hAnsi="Arial"/>
          <w:color w:val="2A2A2A"/>
          <w:shd w:val="clear" w:color="auto" w:fill="FFFFFF"/>
        </w:rPr>
        <w:footnoteReference w:id="31"/>
      </w:r>
      <w:r>
        <w:rPr>
          <w:rFonts w:ascii="Arial" w:hAnsi="Arial"/>
          <w:color w:val="2A2A2A"/>
          <w:shd w:val="clear" w:color="auto" w:fill="FFFFFF"/>
        </w:rPr>
        <w:t xml:space="preserve"> The enemy on the other hand are dehumanised, most specifically when they are described as wild animals (Psalm 74:19). This is consistent with SIT, where Brown reviews research that suggests “people seem to perceive their fellow ingroup members as more prototypically human than they do outgroup members...such beliefs could lead to actual dehumanisation of the outgroup thus legitimating inhuman treatment of it.</w:t>
      </w:r>
      <w:r w:rsidR="001549A6">
        <w:rPr>
          <w:rFonts w:ascii="Arial" w:hAnsi="Arial"/>
          <w:color w:val="2A2A2A"/>
          <w:shd w:val="clear" w:color="auto" w:fill="FFFFFF"/>
        </w:rPr>
        <w:t>”</w:t>
      </w:r>
      <w:r>
        <w:rPr>
          <w:rStyle w:val="FootnoteAnchor"/>
          <w:rFonts w:ascii="Arial" w:hAnsi="Arial"/>
          <w:color w:val="2A2A2A"/>
          <w:shd w:val="clear" w:color="auto" w:fill="FFFFFF"/>
        </w:rPr>
        <w:footnoteReference w:id="32"/>
      </w:r>
    </w:p>
    <w:p w14:paraId="5B6B33C5" w14:textId="77777777" w:rsidR="00584C8E" w:rsidRDefault="00584C8E">
      <w:pPr>
        <w:spacing w:line="480" w:lineRule="auto"/>
        <w:rPr>
          <w:rFonts w:hint="eastAsia"/>
          <w:shd w:val="clear" w:color="auto" w:fill="FFFFFF"/>
        </w:rPr>
      </w:pPr>
    </w:p>
    <w:p w14:paraId="3AADF29F" w14:textId="1BEFD1FF" w:rsidR="00584C8E" w:rsidRDefault="00000000">
      <w:pPr>
        <w:spacing w:line="480" w:lineRule="auto"/>
        <w:rPr>
          <w:rFonts w:ascii="Arial" w:hAnsi="Arial"/>
          <w:color w:val="2A2A2A"/>
          <w:shd w:val="clear" w:color="auto" w:fill="FFFFFF"/>
        </w:rPr>
      </w:pPr>
      <w:r>
        <w:rPr>
          <w:rFonts w:ascii="Arial" w:hAnsi="Arial"/>
          <w:color w:val="2A2A2A"/>
          <w:shd w:val="clear" w:color="auto" w:fill="FFFFFF"/>
        </w:rPr>
        <w:t>Psalm 74 enhance</w:t>
      </w:r>
      <w:r w:rsidR="00210B0A">
        <w:rPr>
          <w:rFonts w:ascii="Arial" w:hAnsi="Arial"/>
          <w:color w:val="2A2A2A"/>
          <w:shd w:val="clear" w:color="auto" w:fill="FFFFFF"/>
        </w:rPr>
        <w:t>s</w:t>
      </w:r>
      <w:r>
        <w:rPr>
          <w:rFonts w:ascii="Arial" w:hAnsi="Arial"/>
          <w:color w:val="2A2A2A"/>
          <w:shd w:val="clear" w:color="auto" w:fill="FFFFFF"/>
        </w:rPr>
        <w:t xml:space="preserve"> the collective identity of the ingroup</w:t>
      </w:r>
      <w:r w:rsidR="00210B0A">
        <w:rPr>
          <w:rFonts w:ascii="Arial" w:hAnsi="Arial"/>
          <w:color w:val="2A2A2A"/>
          <w:shd w:val="clear" w:color="auto" w:fill="FFFFFF"/>
        </w:rPr>
        <w:t xml:space="preserve"> by dehumanising the outgroup</w:t>
      </w:r>
      <w:r>
        <w:rPr>
          <w:rFonts w:ascii="Arial" w:hAnsi="Arial"/>
          <w:color w:val="2A2A2A"/>
          <w:shd w:val="clear" w:color="auto" w:fill="FFFFFF"/>
        </w:rPr>
        <w:t>. The temple is key to this identity because it affirms the presence of God. Therefore the enemy that destroyed the temple are against this collective identity.</w:t>
      </w:r>
      <w:r>
        <w:rPr>
          <w:rStyle w:val="FootnoteAnchor"/>
          <w:rFonts w:ascii="Arial" w:hAnsi="Arial"/>
          <w:color w:val="2A2A2A"/>
          <w:shd w:val="clear" w:color="auto" w:fill="FFFFFF"/>
        </w:rPr>
        <w:footnoteReference w:id="33"/>
      </w:r>
      <w:r>
        <w:rPr>
          <w:rFonts w:ascii="Arial" w:hAnsi="Arial"/>
          <w:color w:val="2A2A2A"/>
          <w:shd w:val="clear" w:color="auto" w:fill="FFFFFF"/>
        </w:rPr>
        <w:t xml:space="preserve"> Psalm 79 looks too at the temple and the enemy, but the focus of SIT here is in worship. This worship both focuses on a belonging to God, a desire for a compassionate response to his people, but also punishment to an arrogant enemy that </w:t>
      </w:r>
      <w:r w:rsidR="00210B0A">
        <w:rPr>
          <w:rFonts w:ascii="Arial" w:hAnsi="Arial"/>
          <w:color w:val="2A2A2A"/>
          <w:shd w:val="clear" w:color="auto" w:fill="FFFFFF"/>
        </w:rPr>
        <w:t>has</w:t>
      </w:r>
      <w:r>
        <w:rPr>
          <w:rFonts w:ascii="Arial" w:hAnsi="Arial"/>
          <w:color w:val="2A2A2A"/>
          <w:shd w:val="clear" w:color="auto" w:fill="FFFFFF"/>
        </w:rPr>
        <w:t xml:space="preserve"> destroyed the temple.</w:t>
      </w:r>
      <w:r>
        <w:rPr>
          <w:rStyle w:val="FootnoteAnchor"/>
          <w:rFonts w:ascii="Arial" w:hAnsi="Arial"/>
          <w:color w:val="2A2A2A"/>
          <w:shd w:val="clear" w:color="auto" w:fill="FFFFFF"/>
        </w:rPr>
        <w:footnoteReference w:id="34"/>
      </w:r>
      <w:r>
        <w:rPr>
          <w:rFonts w:ascii="Arial" w:hAnsi="Arial"/>
          <w:color w:val="2A2A2A"/>
          <w:shd w:val="clear" w:color="auto" w:fill="FFFFFF"/>
        </w:rPr>
        <w:t xml:space="preserve"> </w:t>
      </w:r>
      <w:r w:rsidR="0067701B">
        <w:rPr>
          <w:rFonts w:ascii="Arial" w:hAnsi="Arial"/>
          <w:color w:val="2A2A2A"/>
          <w:shd w:val="clear" w:color="auto" w:fill="FFFFFF"/>
        </w:rPr>
        <w:t>T</w:t>
      </w:r>
      <w:r>
        <w:rPr>
          <w:rFonts w:ascii="Arial" w:hAnsi="Arial"/>
          <w:color w:val="2A2A2A"/>
          <w:shd w:val="clear" w:color="auto" w:fill="FFFFFF"/>
        </w:rPr>
        <w:t>here is less mention of a reduction in suffering</w:t>
      </w:r>
      <w:r w:rsidR="001549A6">
        <w:rPr>
          <w:rFonts w:ascii="Arial" w:hAnsi="Arial"/>
          <w:color w:val="2A2A2A"/>
          <w:shd w:val="clear" w:color="auto" w:fill="FFFFFF"/>
        </w:rPr>
        <w:t>.</w:t>
      </w:r>
      <w:r>
        <w:rPr>
          <w:rFonts w:ascii="Arial" w:hAnsi="Arial"/>
          <w:color w:val="2A2A2A"/>
          <w:shd w:val="clear" w:color="auto" w:fill="FFFFFF"/>
        </w:rPr>
        <w:t xml:space="preserve"> </w:t>
      </w:r>
      <w:r w:rsidR="001549A6">
        <w:rPr>
          <w:rFonts w:ascii="Arial" w:hAnsi="Arial"/>
          <w:color w:val="2A2A2A"/>
          <w:shd w:val="clear" w:color="auto" w:fill="FFFFFF"/>
        </w:rPr>
        <w:t>T</w:t>
      </w:r>
      <w:r>
        <w:rPr>
          <w:rFonts w:ascii="Arial" w:hAnsi="Arial"/>
          <w:color w:val="2A2A2A"/>
          <w:shd w:val="clear" w:color="auto" w:fill="FFFFFF"/>
        </w:rPr>
        <w:t>his too is consistent with SIT</w:t>
      </w:r>
      <w:r w:rsidR="001549A6">
        <w:rPr>
          <w:rFonts w:ascii="Arial" w:hAnsi="Arial"/>
          <w:color w:val="2A2A2A"/>
          <w:shd w:val="clear" w:color="auto" w:fill="FFFFFF"/>
        </w:rPr>
        <w:t>,</w:t>
      </w:r>
      <w:r>
        <w:rPr>
          <w:rFonts w:ascii="Arial" w:hAnsi="Arial"/>
          <w:color w:val="2A2A2A"/>
          <w:shd w:val="clear" w:color="auto" w:fill="FFFFFF"/>
        </w:rPr>
        <w:t xml:space="preserve"> which focuses on rewarding the ingroup more, not punishing it less.</w:t>
      </w:r>
      <w:r>
        <w:rPr>
          <w:rStyle w:val="FootnoteAnchor"/>
          <w:rFonts w:ascii="Arial" w:hAnsi="Arial"/>
          <w:color w:val="2A2A2A"/>
          <w:shd w:val="clear" w:color="auto" w:fill="FFFFFF"/>
        </w:rPr>
        <w:footnoteReference w:id="35"/>
      </w:r>
      <w:r>
        <w:rPr>
          <w:rFonts w:ascii="Arial" w:hAnsi="Arial"/>
          <w:color w:val="2A2A2A"/>
          <w:shd w:val="clear" w:color="auto" w:fill="FFFFFF"/>
        </w:rPr>
        <w:t xml:space="preserve"> The worship of God reinforces social boundaries and gives a social identity.</w:t>
      </w:r>
    </w:p>
    <w:p w14:paraId="3E418060" w14:textId="77777777" w:rsidR="00584C8E" w:rsidRDefault="00584C8E">
      <w:pPr>
        <w:spacing w:line="480" w:lineRule="auto"/>
        <w:rPr>
          <w:rFonts w:hint="eastAsia"/>
          <w:shd w:val="clear" w:color="auto" w:fill="FFFFFF"/>
        </w:rPr>
      </w:pPr>
    </w:p>
    <w:p w14:paraId="71E6A8B5" w14:textId="0A21C41A" w:rsidR="00584C8E" w:rsidRDefault="00000000">
      <w:pPr>
        <w:spacing w:line="480" w:lineRule="auto"/>
        <w:rPr>
          <w:rFonts w:ascii="Arial" w:hAnsi="Arial"/>
        </w:rPr>
      </w:pPr>
      <w:r>
        <w:rPr>
          <w:rFonts w:ascii="Arial" w:hAnsi="Arial"/>
          <w:shd w:val="clear" w:color="auto" w:fill="FFFFFF"/>
        </w:rPr>
        <w:t>Throughout the twelve Psalms of Asaph, a collective identity is formed</w:t>
      </w:r>
      <w:r w:rsidR="0067701B">
        <w:rPr>
          <w:rFonts w:ascii="Arial" w:hAnsi="Arial"/>
          <w:shd w:val="clear" w:color="auto" w:fill="FFFFFF"/>
        </w:rPr>
        <w:t xml:space="preserve">, in part </w:t>
      </w:r>
      <w:r>
        <w:rPr>
          <w:rFonts w:ascii="Arial" w:hAnsi="Arial"/>
          <w:shd w:val="clear" w:color="auto" w:fill="FFFFFF"/>
        </w:rPr>
        <w:t>gr</w:t>
      </w:r>
      <w:r w:rsidR="0067701B">
        <w:rPr>
          <w:rFonts w:ascii="Arial" w:hAnsi="Arial"/>
          <w:shd w:val="clear" w:color="auto" w:fill="FFFFFF"/>
        </w:rPr>
        <w:t>owing</w:t>
      </w:r>
      <w:r>
        <w:rPr>
          <w:rFonts w:ascii="Arial" w:hAnsi="Arial"/>
          <w:shd w:val="clear" w:color="auto" w:fill="FFFFFF"/>
        </w:rPr>
        <w:t xml:space="preserve"> from the Assyrian invasion. Jonah too found himself standing against Assyria, and it is to this book that the final section turns, through considering Jonah from a postcolonial viewpoint. </w:t>
      </w:r>
    </w:p>
    <w:p w14:paraId="38E30CAF" w14:textId="77777777" w:rsidR="00584C8E" w:rsidRDefault="00584C8E">
      <w:pPr>
        <w:spacing w:line="480" w:lineRule="auto"/>
        <w:rPr>
          <w:rFonts w:ascii="Arial" w:hAnsi="Arial"/>
          <w:color w:val="2A2A2A"/>
          <w:sz w:val="22"/>
          <w:szCs w:val="22"/>
          <w:shd w:val="clear" w:color="auto" w:fill="FFFF00"/>
        </w:rPr>
      </w:pPr>
    </w:p>
    <w:p w14:paraId="796A62D2"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Part D – Jonah</w:t>
      </w:r>
    </w:p>
    <w:p w14:paraId="015E1CE9" w14:textId="6018927C" w:rsidR="00584C8E" w:rsidRDefault="00000000">
      <w:pPr>
        <w:spacing w:line="480" w:lineRule="auto"/>
        <w:rPr>
          <w:rFonts w:hint="eastAsia"/>
          <w:shd w:val="clear" w:color="auto" w:fill="FF4000"/>
        </w:rPr>
      </w:pPr>
      <w:r>
        <w:rPr>
          <w:rFonts w:ascii="Arial" w:hAnsi="Arial"/>
          <w:color w:val="000000"/>
          <w:shd w:val="clear" w:color="auto" w:fill="FFFFFF"/>
        </w:rPr>
        <w:t>Postcolonial studies can be considered a soci</w:t>
      </w:r>
      <w:r w:rsidR="00853634">
        <w:rPr>
          <w:rFonts w:ascii="Arial" w:hAnsi="Arial"/>
          <w:color w:val="000000"/>
          <w:shd w:val="clear" w:color="auto" w:fill="FFFFFF"/>
        </w:rPr>
        <w:t>al</w:t>
      </w:r>
      <w:r>
        <w:rPr>
          <w:rFonts w:ascii="Arial" w:hAnsi="Arial"/>
          <w:color w:val="000000"/>
          <w:shd w:val="clear" w:color="auto" w:fill="FFFFFF"/>
        </w:rPr>
        <w:t xml:space="preserve">-scientific approach as </w:t>
      </w:r>
      <w:r w:rsidR="00210B0A">
        <w:rPr>
          <w:rFonts w:ascii="Arial" w:hAnsi="Arial"/>
          <w:color w:val="000000"/>
          <w:shd w:val="clear" w:color="auto" w:fill="FFFFFF"/>
        </w:rPr>
        <w:t xml:space="preserve">they rely </w:t>
      </w:r>
      <w:r>
        <w:rPr>
          <w:rFonts w:ascii="Arial" w:hAnsi="Arial"/>
          <w:color w:val="000000"/>
          <w:shd w:val="clear" w:color="auto" w:fill="FFFFFF"/>
        </w:rPr>
        <w:t xml:space="preserve">on understanding the socio-economic condition of the people, and that the consequences of external control can be long-lasting. Postcolonial theory can help us understand the collective identity formed by people who have been subjugated. It also challenges traditional Western </w:t>
      </w:r>
      <w:r w:rsidR="00210B0A">
        <w:rPr>
          <w:rFonts w:ascii="Arial" w:hAnsi="Arial"/>
          <w:color w:val="000000"/>
          <w:shd w:val="clear" w:color="auto" w:fill="FFFFFF"/>
        </w:rPr>
        <w:t>stances</w:t>
      </w:r>
      <w:r>
        <w:rPr>
          <w:rFonts w:ascii="Arial" w:hAnsi="Arial"/>
          <w:color w:val="000000"/>
          <w:shd w:val="clear" w:color="auto" w:fill="FFFFFF"/>
        </w:rPr>
        <w:t xml:space="preserve">, instead bringing </w:t>
      </w:r>
      <w:r w:rsidR="001549A6">
        <w:rPr>
          <w:rFonts w:ascii="Arial" w:hAnsi="Arial"/>
          <w:color w:val="000000"/>
          <w:shd w:val="clear" w:color="auto" w:fill="FFFFFF"/>
        </w:rPr>
        <w:t>the viewpoint of the</w:t>
      </w:r>
      <w:r>
        <w:rPr>
          <w:rFonts w:ascii="Arial" w:hAnsi="Arial"/>
          <w:color w:val="000000"/>
          <w:shd w:val="clear" w:color="auto" w:fill="FFFFFF"/>
        </w:rPr>
        <w:t xml:space="preserve"> colonised. The political economic subordination that people felt at the time of Jesus has been used to help understand his teachings more,</w:t>
      </w:r>
      <w:r>
        <w:rPr>
          <w:rStyle w:val="FootnoteAnchor"/>
          <w:rFonts w:ascii="Arial" w:hAnsi="Arial"/>
          <w:color w:val="000000"/>
          <w:shd w:val="clear" w:color="auto" w:fill="FFFFFF"/>
        </w:rPr>
        <w:footnoteReference w:id="36"/>
      </w:r>
      <w:r>
        <w:rPr>
          <w:rFonts w:ascii="Arial" w:hAnsi="Arial"/>
          <w:color w:val="000000"/>
          <w:shd w:val="clear" w:color="auto" w:fill="FFFFFF"/>
        </w:rPr>
        <w:t xml:space="preserve"> and similar approaches can help bring understanding to passages in the Hebrew bible.</w:t>
      </w:r>
    </w:p>
    <w:p w14:paraId="1287CB9F" w14:textId="77777777" w:rsidR="00584C8E" w:rsidRDefault="00584C8E">
      <w:pPr>
        <w:spacing w:line="480" w:lineRule="auto"/>
        <w:rPr>
          <w:rFonts w:hint="eastAsia"/>
          <w:shd w:val="clear" w:color="auto" w:fill="FF4000"/>
        </w:rPr>
      </w:pPr>
    </w:p>
    <w:p w14:paraId="7E9B5658" w14:textId="3B6AA8DD" w:rsidR="00584C8E" w:rsidRDefault="00000000">
      <w:pPr>
        <w:spacing w:line="480" w:lineRule="auto"/>
        <w:rPr>
          <w:rFonts w:hint="eastAsia"/>
          <w:shd w:val="clear" w:color="auto" w:fill="FF4000"/>
        </w:rPr>
      </w:pPr>
      <w:r>
        <w:rPr>
          <w:rFonts w:ascii="Arial" w:hAnsi="Arial"/>
          <w:color w:val="000000"/>
          <w:shd w:val="clear" w:color="auto" w:fill="FFFFFF"/>
        </w:rPr>
        <w:t>Jonah 4</w:t>
      </w:r>
      <w:r w:rsidR="001549A6">
        <w:rPr>
          <w:rFonts w:ascii="Arial" w:hAnsi="Arial"/>
          <w:color w:val="000000"/>
          <w:shd w:val="clear" w:color="auto" w:fill="FFFFFF"/>
        </w:rPr>
        <w:t xml:space="preserve"> </w:t>
      </w:r>
      <w:r>
        <w:rPr>
          <w:rFonts w:ascii="Arial" w:hAnsi="Arial"/>
          <w:color w:val="000000"/>
          <w:shd w:val="clear" w:color="auto" w:fill="FFFFFF"/>
        </w:rPr>
        <w:t xml:space="preserve">is perhaps </w:t>
      </w:r>
      <w:r w:rsidR="001549A6">
        <w:rPr>
          <w:rFonts w:ascii="Arial" w:hAnsi="Arial"/>
          <w:color w:val="000000"/>
          <w:shd w:val="clear" w:color="auto" w:fill="FFFFFF"/>
        </w:rPr>
        <w:t xml:space="preserve">a </w:t>
      </w:r>
      <w:r>
        <w:rPr>
          <w:rFonts w:ascii="Arial" w:hAnsi="Arial"/>
          <w:color w:val="000000"/>
          <w:shd w:val="clear" w:color="auto" w:fill="FFFFFF"/>
        </w:rPr>
        <w:t xml:space="preserve">particularly important </w:t>
      </w:r>
      <w:r w:rsidR="001549A6">
        <w:rPr>
          <w:rFonts w:ascii="Arial" w:hAnsi="Arial"/>
          <w:color w:val="000000"/>
          <w:shd w:val="clear" w:color="auto" w:fill="FFFFFF"/>
        </w:rPr>
        <w:t xml:space="preserve">passage </w:t>
      </w:r>
      <w:r>
        <w:rPr>
          <w:rFonts w:ascii="Arial" w:hAnsi="Arial"/>
          <w:color w:val="000000"/>
          <w:shd w:val="clear" w:color="auto" w:fill="FFFFFF"/>
        </w:rPr>
        <w:t xml:space="preserve">to consider </w:t>
      </w:r>
      <w:r w:rsidR="00210B0A">
        <w:rPr>
          <w:rFonts w:ascii="Arial" w:hAnsi="Arial"/>
          <w:color w:val="000000"/>
          <w:shd w:val="clear" w:color="auto" w:fill="FFFFFF"/>
        </w:rPr>
        <w:t>from</w:t>
      </w:r>
      <w:r w:rsidR="001549A6">
        <w:rPr>
          <w:rFonts w:ascii="Arial" w:hAnsi="Arial"/>
          <w:color w:val="000000"/>
          <w:shd w:val="clear" w:color="auto" w:fill="FFFFFF"/>
        </w:rPr>
        <w:t xml:space="preserve"> </w:t>
      </w:r>
      <w:r>
        <w:rPr>
          <w:rFonts w:ascii="Arial" w:hAnsi="Arial"/>
          <w:color w:val="000000"/>
          <w:shd w:val="clear" w:color="auto" w:fill="FFFFFF"/>
        </w:rPr>
        <w:t>a postcolonial view</w:t>
      </w:r>
      <w:r w:rsidR="001549A6">
        <w:rPr>
          <w:rFonts w:ascii="Arial" w:hAnsi="Arial"/>
          <w:color w:val="000000"/>
          <w:shd w:val="clear" w:color="auto" w:fill="FFFFFF"/>
        </w:rPr>
        <w:t>,</w:t>
      </w:r>
      <w:r>
        <w:rPr>
          <w:rFonts w:ascii="Arial" w:hAnsi="Arial"/>
          <w:color w:val="000000"/>
          <w:shd w:val="clear" w:color="auto" w:fill="FFFFFF"/>
        </w:rPr>
        <w:t xml:space="preserve"> as writers from Augustine through to the Enlightenment used it to portray negative stereotypes of Judaism. Sherwood reviews the history of this, first from Luther</w:t>
      </w:r>
      <w:r w:rsidR="00210B0A">
        <w:rPr>
          <w:rFonts w:ascii="Arial" w:hAnsi="Arial"/>
          <w:color w:val="000000"/>
          <w:shd w:val="clear" w:color="auto" w:fill="FFFFFF"/>
        </w:rPr>
        <w:t>, who</w:t>
      </w:r>
      <w:r>
        <w:rPr>
          <w:rFonts w:ascii="Arial" w:hAnsi="Arial"/>
          <w:color w:val="000000"/>
          <w:shd w:val="clear" w:color="auto" w:fill="FFFFFF"/>
        </w:rPr>
        <w:t xml:space="preserve"> saw Jonah as an embodiment of the Jewish spirit that demanded anger on nations that did not know God. Also </w:t>
      </w:r>
      <w:r w:rsidR="00210B0A">
        <w:rPr>
          <w:rFonts w:ascii="Arial" w:hAnsi="Arial"/>
          <w:color w:val="000000"/>
          <w:shd w:val="clear" w:color="auto" w:fill="FFFFFF"/>
        </w:rPr>
        <w:t>as</w:t>
      </w:r>
      <w:r>
        <w:rPr>
          <w:rFonts w:ascii="Arial" w:hAnsi="Arial"/>
          <w:color w:val="000000"/>
          <w:shd w:val="clear" w:color="auto" w:fill="FFFFFF"/>
        </w:rPr>
        <w:t xml:space="preserve"> the pioneer of preaching to gentiles, which makes Judaism superfluous.</w:t>
      </w:r>
      <w:r>
        <w:rPr>
          <w:rStyle w:val="FootnoteAnchor"/>
          <w:rFonts w:ascii="Arial" w:hAnsi="Arial"/>
          <w:color w:val="000000"/>
          <w:shd w:val="clear" w:color="auto" w:fill="FFFFFF"/>
        </w:rPr>
        <w:footnoteReference w:id="37"/>
      </w:r>
      <w:r>
        <w:rPr>
          <w:rFonts w:ascii="Arial" w:hAnsi="Arial"/>
          <w:color w:val="000000"/>
          <w:shd w:val="clear" w:color="auto" w:fill="FFFFFF"/>
        </w:rPr>
        <w:t xml:space="preserve"> This anti-Judaism grew through the Enlightenment. Jonah was painted as a </w:t>
      </w:r>
      <w:r>
        <w:rPr>
          <w:rFonts w:ascii="Arial" w:hAnsi="Arial"/>
          <w:color w:val="000000"/>
          <w:shd w:val="clear" w:color="auto" w:fill="FFFFFF"/>
        </w:rPr>
        <w:lastRenderedPageBreak/>
        <w:t>proud, vicious, hate-filled man, who showed why the bible had been taken away from the Jewish people.</w:t>
      </w:r>
      <w:r>
        <w:rPr>
          <w:rStyle w:val="FootnoteAnchor"/>
          <w:rFonts w:ascii="Arial" w:hAnsi="Arial"/>
          <w:color w:val="000000"/>
          <w:shd w:val="clear" w:color="auto" w:fill="FFFFFF"/>
        </w:rPr>
        <w:footnoteReference w:id="38"/>
      </w:r>
      <w:r>
        <w:rPr>
          <w:rFonts w:ascii="Arial" w:hAnsi="Arial"/>
          <w:color w:val="000000"/>
          <w:shd w:val="clear" w:color="auto" w:fill="FFFFFF"/>
        </w:rPr>
        <w:t xml:space="preserve"> </w:t>
      </w:r>
    </w:p>
    <w:p w14:paraId="284C7388" w14:textId="77777777" w:rsidR="00584C8E" w:rsidRDefault="00584C8E">
      <w:pPr>
        <w:spacing w:line="480" w:lineRule="auto"/>
        <w:rPr>
          <w:rFonts w:hint="eastAsia"/>
          <w:shd w:val="clear" w:color="auto" w:fill="FF4000"/>
        </w:rPr>
      </w:pPr>
    </w:p>
    <w:p w14:paraId="17F8E686" w14:textId="5AAF5C13" w:rsidR="00584C8E" w:rsidRDefault="00000000">
      <w:pPr>
        <w:spacing w:line="480" w:lineRule="auto"/>
        <w:rPr>
          <w:rFonts w:hint="eastAsia"/>
          <w:shd w:val="clear" w:color="auto" w:fill="FF4000"/>
        </w:rPr>
      </w:pPr>
      <w:r>
        <w:rPr>
          <w:rFonts w:ascii="Arial" w:hAnsi="Arial"/>
          <w:color w:val="000000"/>
          <w:shd w:val="clear" w:color="auto" w:fill="FFFFFF"/>
        </w:rPr>
        <w:t>Contemporary readings have at least softened this attack on Judaism, but still look at Jonah from the viewpoint of a Western audience. Stuart’s summary of the story is perhaps indicative of how the book is seen by contemporary Western readers. That the ancient Israelite Jonah was a northern prophet who had to learn the hard way that God was a god of compassion and forgiveness. Also that Jonah was an ardent nationalist, pro-Israel and if not anti-foreign, then at least anti-Assyrian. In Chapter 4 therefore the narrator encourages the audience to reject Jonah’s narrow nationalism and embrace God’s mercy.</w:t>
      </w:r>
      <w:r>
        <w:rPr>
          <w:rStyle w:val="FootnoteAnchor"/>
          <w:rFonts w:ascii="Arial" w:hAnsi="Arial"/>
          <w:color w:val="000000"/>
          <w:shd w:val="clear" w:color="auto" w:fill="FFFFFF"/>
        </w:rPr>
        <w:footnoteReference w:id="39"/>
      </w:r>
      <w:r>
        <w:rPr>
          <w:rFonts w:ascii="Arial" w:hAnsi="Arial"/>
          <w:color w:val="000000"/>
          <w:shd w:val="clear" w:color="auto" w:fill="FFFFFF"/>
        </w:rPr>
        <w:t xml:space="preserve"> </w:t>
      </w:r>
    </w:p>
    <w:p w14:paraId="42B06C69" w14:textId="77777777" w:rsidR="00584C8E" w:rsidRDefault="00584C8E">
      <w:pPr>
        <w:spacing w:line="480" w:lineRule="auto"/>
        <w:rPr>
          <w:rFonts w:hint="eastAsia"/>
        </w:rPr>
      </w:pPr>
    </w:p>
    <w:p w14:paraId="053BC7CC" w14:textId="113C50F9" w:rsidR="00584C8E" w:rsidRDefault="00000000">
      <w:pPr>
        <w:spacing w:line="480" w:lineRule="auto"/>
        <w:rPr>
          <w:rFonts w:hint="eastAsia"/>
        </w:rPr>
      </w:pPr>
      <w:r>
        <w:rPr>
          <w:rFonts w:ascii="Arial" w:hAnsi="Arial"/>
          <w:color w:val="000000"/>
          <w:shd w:val="clear" w:color="auto" w:fill="FFFFFF"/>
        </w:rPr>
        <w:t>A postcolonial view brings a different interpretation. Claassen highlights how postcolonial trauma can be read through Jonah. That imperial invasion and forced migration has caused trauma through dispossession, land loss and racism.</w:t>
      </w:r>
      <w:r>
        <w:rPr>
          <w:rStyle w:val="FootnoteAnchor"/>
          <w:rFonts w:ascii="Arial" w:hAnsi="Arial"/>
          <w:color w:val="000000"/>
          <w:shd w:val="clear" w:color="auto" w:fill="FFFFFF"/>
        </w:rPr>
        <w:footnoteReference w:id="40"/>
      </w:r>
      <w:r>
        <w:rPr>
          <w:rFonts w:ascii="Arial" w:hAnsi="Arial"/>
          <w:color w:val="000000"/>
          <w:shd w:val="clear" w:color="auto" w:fill="FFFFFF"/>
        </w:rPr>
        <w:t xml:space="preserve"> Comparisons are drawn too with modern societies, Havea claiming that Ninevehs still roam around Oceania, exploiting territories.</w:t>
      </w:r>
      <w:r>
        <w:rPr>
          <w:rStyle w:val="FootnoteAnchor"/>
          <w:rFonts w:ascii="Arial" w:hAnsi="Arial"/>
          <w:color w:val="000000"/>
          <w:shd w:val="clear" w:color="auto" w:fill="FFFFFF"/>
        </w:rPr>
        <w:footnoteReference w:id="41"/>
      </w:r>
      <w:r>
        <w:rPr>
          <w:rFonts w:ascii="Arial" w:hAnsi="Arial"/>
          <w:color w:val="000000"/>
          <w:shd w:val="clear" w:color="auto" w:fill="FFFFFF"/>
        </w:rPr>
        <w:t xml:space="preserve"> Ryu proposes that Jonah being angry that Nineveh was not destroyed is both a legitimate response, and understandable from a colonized viewpoint.</w:t>
      </w:r>
      <w:r>
        <w:rPr>
          <w:rStyle w:val="FootnoteAnchor"/>
          <w:rFonts w:ascii="Arial" w:hAnsi="Arial"/>
          <w:color w:val="000000"/>
          <w:shd w:val="clear" w:color="auto" w:fill="FFFFFF"/>
        </w:rPr>
        <w:footnoteReference w:id="42"/>
      </w:r>
    </w:p>
    <w:p w14:paraId="616C93CE" w14:textId="77777777" w:rsidR="00584C8E" w:rsidRDefault="00584C8E">
      <w:pPr>
        <w:spacing w:line="480" w:lineRule="auto"/>
        <w:rPr>
          <w:rFonts w:ascii="Arial" w:hAnsi="Arial"/>
          <w:color w:val="000000"/>
          <w:shd w:val="clear" w:color="auto" w:fill="FFFFFF"/>
        </w:rPr>
      </w:pPr>
    </w:p>
    <w:p w14:paraId="1D6F369B" w14:textId="77777777" w:rsidR="00584C8E" w:rsidRDefault="00000000">
      <w:pPr>
        <w:spacing w:line="480" w:lineRule="auto"/>
        <w:rPr>
          <w:rFonts w:hint="eastAsia"/>
        </w:rPr>
      </w:pPr>
      <w:r>
        <w:rPr>
          <w:rFonts w:ascii="Arial" w:hAnsi="Arial"/>
          <w:color w:val="000000"/>
          <w:shd w:val="clear" w:color="auto" w:fill="FFFFFF"/>
        </w:rPr>
        <w:t>Ryu’s argument is strongly supported by historical evidence. Stuart himself states that “Nineveh got away with a great deal of evil before Jonah’s visit, and it would do so again for another century and a half until its downfall in 611 B.C.”</w:t>
      </w:r>
      <w:r>
        <w:rPr>
          <w:rStyle w:val="FootnoteAnchor"/>
          <w:rFonts w:ascii="Arial" w:hAnsi="Arial"/>
          <w:color w:val="000000"/>
          <w:shd w:val="clear" w:color="auto" w:fill="FFFFFF"/>
        </w:rPr>
        <w:footnoteReference w:id="43"/>
      </w:r>
      <w:r>
        <w:rPr>
          <w:rFonts w:ascii="Arial" w:hAnsi="Arial"/>
          <w:color w:val="000000"/>
          <w:shd w:val="clear" w:color="auto" w:fill="FFFFFF"/>
        </w:rPr>
        <w:t xml:space="preserve"> It perhaps takes someone who is from a colonized country to see that Nineveh makes no true repentance.</w:t>
      </w:r>
      <w:r>
        <w:rPr>
          <w:rStyle w:val="FootnoteAnchor"/>
          <w:rFonts w:ascii="Arial" w:hAnsi="Arial"/>
          <w:color w:val="000000"/>
          <w:shd w:val="clear" w:color="auto" w:fill="FFFFFF"/>
        </w:rPr>
        <w:footnoteReference w:id="44"/>
      </w:r>
      <w:r>
        <w:rPr>
          <w:rFonts w:ascii="Arial" w:hAnsi="Arial"/>
          <w:color w:val="000000"/>
          <w:shd w:val="clear" w:color="auto" w:fill="FFFFFF"/>
        </w:rPr>
        <w:t xml:space="preserve"> Ryu </w:t>
      </w:r>
      <w:r>
        <w:rPr>
          <w:rFonts w:ascii="Arial" w:hAnsi="Arial"/>
          <w:color w:val="000000"/>
          <w:shd w:val="clear" w:color="auto" w:fill="FFFFFF"/>
        </w:rPr>
        <w:lastRenderedPageBreak/>
        <w:t xml:space="preserve">makes his reading from the viewpoint of being Korean, a country that was colonized by Japan until 1945, and still has a difficult relationship with Japan.   </w:t>
      </w:r>
    </w:p>
    <w:p w14:paraId="4E8E99F2" w14:textId="77777777" w:rsidR="00584C8E" w:rsidRDefault="00584C8E">
      <w:pPr>
        <w:spacing w:line="480" w:lineRule="auto"/>
        <w:rPr>
          <w:rFonts w:hint="eastAsia"/>
          <w:shd w:val="clear" w:color="auto" w:fill="FF4000"/>
        </w:rPr>
      </w:pPr>
    </w:p>
    <w:p w14:paraId="4FB4B740" w14:textId="77777777" w:rsidR="00584C8E" w:rsidRDefault="00000000">
      <w:pPr>
        <w:spacing w:line="480" w:lineRule="auto"/>
        <w:rPr>
          <w:rFonts w:hint="eastAsia"/>
          <w:shd w:val="clear" w:color="auto" w:fill="FF4000"/>
        </w:rPr>
      </w:pPr>
      <w:r>
        <w:rPr>
          <w:rFonts w:ascii="Arial" w:hAnsi="Arial"/>
          <w:color w:val="000000"/>
          <w:shd w:val="clear" w:color="auto" w:fill="FFFFFF"/>
        </w:rPr>
        <w:t>Ryu suggests that the Jewish audience would be correct in challenging the viewpoint of God’s forgiveness as justice, as a Korean would under Japanese colonization. Yet looking at the history of Korea under colonisation shows other responses and interpretations are possible. When Korea looked to America for help, they asked for help in making all of the Orient (sic) both Christian and democratic, starting with Japan. They were not looking for destruction of the country, but change and forgiveness.</w:t>
      </w:r>
      <w:r>
        <w:rPr>
          <w:rStyle w:val="FootnoteAnchor"/>
          <w:rFonts w:ascii="Arial" w:hAnsi="Arial"/>
          <w:color w:val="000000"/>
          <w:shd w:val="clear" w:color="auto" w:fill="FFFFFF"/>
        </w:rPr>
        <w:footnoteReference w:id="45"/>
      </w:r>
    </w:p>
    <w:p w14:paraId="62E6E006" w14:textId="77777777" w:rsidR="00584C8E" w:rsidRDefault="00584C8E">
      <w:pPr>
        <w:spacing w:line="480" w:lineRule="auto"/>
        <w:rPr>
          <w:rFonts w:hint="eastAsia"/>
          <w:shd w:val="clear" w:color="auto" w:fill="FF4000"/>
        </w:rPr>
      </w:pPr>
    </w:p>
    <w:p w14:paraId="4E2D34D9" w14:textId="77777777" w:rsidR="00584C8E" w:rsidRDefault="00000000">
      <w:pPr>
        <w:spacing w:line="480" w:lineRule="auto"/>
        <w:rPr>
          <w:rFonts w:hint="eastAsia"/>
          <w:shd w:val="clear" w:color="auto" w:fill="FFBF00"/>
        </w:rPr>
      </w:pPr>
      <w:r>
        <w:rPr>
          <w:rFonts w:ascii="Arial" w:hAnsi="Arial"/>
          <w:color w:val="000000"/>
          <w:shd w:val="clear" w:color="auto" w:fill="FFFFFF"/>
        </w:rPr>
        <w:t>Further parallels can be drawn from the work of Kang. Korea struggled with socio-economic inequality, and Koreans were marginalised in their own country. Yet Kang writes that the initial response of the church was submission to Japan, the Korean church arguing that it was biblical to submit to rulers.</w:t>
      </w:r>
      <w:r>
        <w:rPr>
          <w:rStyle w:val="FootnoteAnchor"/>
          <w:rFonts w:ascii="Arial" w:hAnsi="Arial"/>
          <w:color w:val="000000"/>
          <w:shd w:val="clear" w:color="auto" w:fill="FFFFFF"/>
        </w:rPr>
        <w:footnoteReference w:id="46"/>
      </w:r>
      <w:r>
        <w:rPr>
          <w:rFonts w:ascii="Arial" w:hAnsi="Arial"/>
          <w:color w:val="000000"/>
          <w:shd w:val="clear" w:color="auto" w:fill="FFFFFF"/>
        </w:rPr>
        <w:t xml:space="preserve"> Perhaps Israel was trying a similar approach. As is often seen through the Hebrew bible, prophets only show masculine traits until compared to God. Jonah is often passive in the book, it is God who is active. Was Israel quietly submitting to Assyria in faith that God would protect, and Jonah finally rebelling against this? </w:t>
      </w:r>
      <w:r>
        <w:rPr>
          <w:rFonts w:ascii="Arial" w:hAnsi="Arial"/>
          <w:color w:val="2A2A2A"/>
          <w:shd w:val="clear" w:color="auto" w:fill="FFFFFF"/>
        </w:rPr>
        <w:t>Ryu sums up his argument by suggesting that it is only possible for the stronger to be inclusive to the weak, but not for the weak to be inclusive to the strong as that only leads to destruction. That is why Jonah is angry, he sees Israel’s destruction in God’s mercy.</w:t>
      </w:r>
      <w:r>
        <w:rPr>
          <w:rStyle w:val="FootnoteAnchor"/>
          <w:rFonts w:ascii="Arial" w:hAnsi="Arial"/>
          <w:color w:val="2A2A2A"/>
          <w:shd w:val="clear" w:color="auto" w:fill="FFFFFF"/>
        </w:rPr>
        <w:footnoteReference w:id="47"/>
      </w:r>
    </w:p>
    <w:p w14:paraId="37514D89" w14:textId="27EDCCDC" w:rsidR="00584C8E" w:rsidRDefault="00584C8E">
      <w:pPr>
        <w:spacing w:line="480" w:lineRule="auto"/>
        <w:rPr>
          <w:rFonts w:hint="eastAsia"/>
          <w:shd w:val="clear" w:color="auto" w:fill="FFBF00"/>
        </w:rPr>
      </w:pPr>
    </w:p>
    <w:p w14:paraId="63E431FF" w14:textId="77777777" w:rsidR="006B62DD" w:rsidRDefault="006B62DD">
      <w:pPr>
        <w:spacing w:line="480" w:lineRule="auto"/>
        <w:rPr>
          <w:rFonts w:hint="eastAsia"/>
          <w:shd w:val="clear" w:color="auto" w:fill="FFBF00"/>
        </w:rPr>
      </w:pPr>
    </w:p>
    <w:p w14:paraId="068021B4" w14:textId="77777777" w:rsidR="006B62DD" w:rsidRDefault="006B62DD">
      <w:pPr>
        <w:spacing w:line="480" w:lineRule="auto"/>
        <w:rPr>
          <w:rFonts w:hint="eastAsia"/>
          <w:shd w:val="clear" w:color="auto" w:fill="FFBF00"/>
        </w:rPr>
      </w:pPr>
    </w:p>
    <w:p w14:paraId="2D980103" w14:textId="77777777" w:rsidR="006B62DD" w:rsidRDefault="006B62DD">
      <w:pPr>
        <w:spacing w:line="480" w:lineRule="auto"/>
        <w:rPr>
          <w:rFonts w:hint="eastAsia"/>
          <w:shd w:val="clear" w:color="auto" w:fill="FFBF00"/>
        </w:rPr>
      </w:pPr>
    </w:p>
    <w:p w14:paraId="45185F67" w14:textId="77777777" w:rsidR="00584C8E" w:rsidRDefault="00000000">
      <w:pPr>
        <w:spacing w:line="480" w:lineRule="auto"/>
        <w:jc w:val="center"/>
        <w:rPr>
          <w:rFonts w:hint="eastAsia"/>
          <w:shd w:val="clear" w:color="auto" w:fill="FFFFFF"/>
        </w:rPr>
      </w:pPr>
      <w:r>
        <w:rPr>
          <w:rFonts w:ascii="Arial" w:hAnsi="Arial"/>
          <w:b/>
          <w:bCs/>
          <w:color w:val="000000"/>
          <w:shd w:val="clear" w:color="auto" w:fill="FFFFFF"/>
        </w:rPr>
        <w:lastRenderedPageBreak/>
        <w:t>Conclusion</w:t>
      </w:r>
    </w:p>
    <w:p w14:paraId="5310DC11" w14:textId="77777777" w:rsidR="00584C8E" w:rsidRDefault="00584C8E">
      <w:pPr>
        <w:spacing w:line="480" w:lineRule="auto"/>
        <w:rPr>
          <w:rFonts w:ascii="Arial" w:hAnsi="Arial"/>
          <w:color w:val="000000"/>
          <w:shd w:val="clear" w:color="auto" w:fill="FFFFFF"/>
        </w:rPr>
      </w:pPr>
    </w:p>
    <w:p w14:paraId="0818EDA1" w14:textId="1A07562F" w:rsidR="00584C8E" w:rsidRPr="00513DCF" w:rsidRDefault="00000000">
      <w:pPr>
        <w:spacing w:line="480" w:lineRule="auto"/>
        <w:rPr>
          <w:rFonts w:hint="eastAsia"/>
        </w:rPr>
      </w:pPr>
      <w:r>
        <w:rPr>
          <w:rFonts w:ascii="Arial" w:hAnsi="Arial"/>
          <w:color w:val="000000"/>
          <w:shd w:val="clear" w:color="auto" w:fill="FFFFFF"/>
        </w:rPr>
        <w:t>Through the essay a wide range of soci</w:t>
      </w:r>
      <w:r w:rsidR="00853634">
        <w:rPr>
          <w:rFonts w:ascii="Arial" w:hAnsi="Arial"/>
          <w:color w:val="000000"/>
          <w:shd w:val="clear" w:color="auto" w:fill="FFFFFF"/>
        </w:rPr>
        <w:t>al</w:t>
      </w:r>
      <w:r>
        <w:rPr>
          <w:rFonts w:ascii="Arial" w:hAnsi="Arial"/>
          <w:color w:val="000000"/>
          <w:shd w:val="clear" w:color="auto" w:fill="FFFFFF"/>
        </w:rPr>
        <w:t xml:space="preserve">-scientific models and how they can be applied to the Hebrew Bible have been considered. The use of ethnography and anthropology bring greater understanding to Ruth’s changing identity. Social identity theory helps understand the collective </w:t>
      </w:r>
      <w:r w:rsidR="006B62DD">
        <w:rPr>
          <w:rFonts w:ascii="Arial" w:hAnsi="Arial"/>
          <w:color w:val="000000"/>
          <w:shd w:val="clear" w:color="auto" w:fill="FFFFFF"/>
        </w:rPr>
        <w:t>group</w:t>
      </w:r>
      <w:r>
        <w:rPr>
          <w:rFonts w:ascii="Arial" w:hAnsi="Arial"/>
          <w:color w:val="000000"/>
          <w:shd w:val="clear" w:color="auto" w:fill="FFFFFF"/>
        </w:rPr>
        <w:t xml:space="preserve"> formed in the Psalms of Asaph. And a postcolonial view can become a starting point to looking at Jonah from a different angle. With the number of different models available, and the reflections they can bring, it is unsurprising that soci</w:t>
      </w:r>
      <w:r w:rsidR="00853634">
        <w:rPr>
          <w:rFonts w:ascii="Arial" w:hAnsi="Arial"/>
          <w:color w:val="000000"/>
          <w:shd w:val="clear" w:color="auto" w:fill="FFFFFF"/>
        </w:rPr>
        <w:t>al</w:t>
      </w:r>
      <w:r>
        <w:rPr>
          <w:rFonts w:ascii="Arial" w:hAnsi="Arial"/>
          <w:color w:val="000000"/>
          <w:shd w:val="clear" w:color="auto" w:fill="FFFFFF"/>
        </w:rPr>
        <w:t xml:space="preserve">-scientific models continue to be a popular </w:t>
      </w:r>
      <w:r w:rsidR="001549A6">
        <w:rPr>
          <w:rFonts w:ascii="Arial" w:hAnsi="Arial"/>
          <w:color w:val="000000"/>
          <w:shd w:val="clear" w:color="auto" w:fill="FFFFFF"/>
        </w:rPr>
        <w:t>method</w:t>
      </w:r>
      <w:r>
        <w:rPr>
          <w:rFonts w:ascii="Arial" w:hAnsi="Arial"/>
          <w:color w:val="000000"/>
          <w:shd w:val="clear" w:color="auto" w:fill="FFFFFF"/>
        </w:rPr>
        <w:t xml:space="preserve"> of bible</w:t>
      </w:r>
      <w:r w:rsidR="001549A6">
        <w:rPr>
          <w:rFonts w:ascii="Arial" w:hAnsi="Arial"/>
          <w:color w:val="000000"/>
          <w:shd w:val="clear" w:color="auto" w:fill="FFFFFF"/>
        </w:rPr>
        <w:t xml:space="preserve"> interpretation</w:t>
      </w:r>
      <w:r>
        <w:rPr>
          <w:rFonts w:ascii="Arial" w:hAnsi="Arial"/>
          <w:color w:val="000000"/>
          <w:shd w:val="clear" w:color="auto" w:fill="FFFFFF"/>
        </w:rPr>
        <w:t xml:space="preserve">.  </w:t>
      </w:r>
    </w:p>
    <w:p w14:paraId="5D0EAB5D" w14:textId="77777777" w:rsidR="00584C8E" w:rsidRDefault="00000000">
      <w:pPr>
        <w:rPr>
          <w:rFonts w:ascii="Arial" w:hAnsi="Arial"/>
          <w:color w:val="000000"/>
        </w:rPr>
      </w:pPr>
      <w:r>
        <w:br w:type="page"/>
      </w:r>
    </w:p>
    <w:p w14:paraId="16D0FB49" w14:textId="77777777" w:rsidR="00584C8E" w:rsidRDefault="00000000">
      <w:pPr>
        <w:spacing w:line="480" w:lineRule="auto"/>
        <w:jc w:val="center"/>
        <w:rPr>
          <w:rFonts w:hint="eastAsia"/>
          <w:shd w:val="clear" w:color="auto" w:fill="FF4000"/>
        </w:rPr>
      </w:pPr>
      <w:r>
        <w:rPr>
          <w:rFonts w:ascii="Arial" w:hAnsi="Arial" w:cs="Arial"/>
          <w:b/>
          <w:bCs/>
          <w:color w:val="000000"/>
          <w:shd w:val="clear" w:color="auto" w:fill="FFFFFF"/>
        </w:rPr>
        <w:lastRenderedPageBreak/>
        <w:t xml:space="preserve">Bibliography </w:t>
      </w:r>
    </w:p>
    <w:p w14:paraId="6A44EA98" w14:textId="77777777" w:rsidR="00584C8E" w:rsidRDefault="00000000">
      <w:pPr>
        <w:rPr>
          <w:rFonts w:hint="eastAsia"/>
          <w:shd w:val="clear" w:color="auto" w:fill="FFFFFF"/>
        </w:rPr>
      </w:pPr>
      <w:r>
        <w:rPr>
          <w:rFonts w:ascii="Arial" w:hAnsi="Arial"/>
          <w:color w:val="000000"/>
          <w:shd w:val="clear" w:color="auto" w:fill="FFFFFF"/>
        </w:rPr>
        <w:t xml:space="preserve">Brown, Rupert, ‘Social identity theory: Past achievements, current problems and future challenges.’ </w:t>
      </w:r>
      <w:r>
        <w:rPr>
          <w:rFonts w:ascii="Arial" w:hAnsi="Arial"/>
          <w:i/>
          <w:iCs/>
          <w:color w:val="000000"/>
          <w:shd w:val="clear" w:color="auto" w:fill="FFFFFF"/>
        </w:rPr>
        <w:t>European journal of social psychology</w:t>
      </w:r>
      <w:r>
        <w:rPr>
          <w:rFonts w:ascii="Arial" w:hAnsi="Arial"/>
          <w:color w:val="000000"/>
          <w:shd w:val="clear" w:color="auto" w:fill="FFFFFF"/>
        </w:rPr>
        <w:t xml:space="preserve"> 30, no. 6 (2000), pp. 745-778.</w:t>
      </w:r>
    </w:p>
    <w:p w14:paraId="70E8C991" w14:textId="77777777" w:rsidR="00584C8E" w:rsidRDefault="00584C8E">
      <w:pPr>
        <w:rPr>
          <w:rFonts w:hint="eastAsia"/>
          <w:shd w:val="clear" w:color="auto" w:fill="FFFFFF"/>
        </w:rPr>
      </w:pPr>
    </w:p>
    <w:p w14:paraId="2D89C5A6" w14:textId="77777777" w:rsidR="00584C8E" w:rsidRDefault="00000000">
      <w:pPr>
        <w:rPr>
          <w:rFonts w:hint="eastAsia"/>
          <w:shd w:val="clear" w:color="auto" w:fill="FFFFFF"/>
        </w:rPr>
      </w:pPr>
      <w:r>
        <w:rPr>
          <w:rFonts w:ascii="Arial" w:hAnsi="Arial" w:cs="Arial"/>
          <w:color w:val="000000"/>
          <w:shd w:val="clear" w:color="auto" w:fill="FFFFFF"/>
        </w:rPr>
        <w:t xml:space="preserve">Brueggemann, Walter, ‘On Being Human in the Psalms.’, in </w:t>
      </w:r>
      <w:r>
        <w:rPr>
          <w:rFonts w:ascii="Arial" w:hAnsi="Arial" w:cs="Arial"/>
          <w:i/>
          <w:iCs/>
          <w:color w:val="000000"/>
          <w:shd w:val="clear" w:color="auto" w:fill="FFFFFF"/>
        </w:rPr>
        <w:t>The Oxford handbook of the Psalms</w:t>
      </w:r>
      <w:r>
        <w:rPr>
          <w:rFonts w:ascii="Arial" w:hAnsi="Arial" w:cs="Arial"/>
          <w:color w:val="000000"/>
          <w:shd w:val="clear" w:color="auto" w:fill="FFFFFF"/>
        </w:rPr>
        <w:t>, ed. W.P. Brown (Oxford University Press, 2014), pp. 514-528.</w:t>
      </w:r>
    </w:p>
    <w:p w14:paraId="19704274" w14:textId="77777777" w:rsidR="00584C8E" w:rsidRDefault="00584C8E">
      <w:pPr>
        <w:rPr>
          <w:rFonts w:hint="eastAsia"/>
          <w:shd w:val="clear" w:color="auto" w:fill="FFFFFF"/>
        </w:rPr>
      </w:pPr>
    </w:p>
    <w:p w14:paraId="02B22B1E" w14:textId="77777777" w:rsidR="00584C8E" w:rsidRDefault="00000000">
      <w:pPr>
        <w:rPr>
          <w:rFonts w:hint="eastAsia"/>
          <w:shd w:val="clear" w:color="auto" w:fill="FFFFFF"/>
        </w:rPr>
      </w:pPr>
      <w:r>
        <w:rPr>
          <w:rFonts w:ascii="Arial" w:hAnsi="Arial"/>
          <w:color w:val="000000"/>
          <w:shd w:val="clear" w:color="auto" w:fill="FFFFFF"/>
        </w:rPr>
        <w:t xml:space="preserve">Chapman, Cynthia R., ‘The Field Belonging to Boaz: Creating Kinship through Land, Labor, Food, and Feeding.’ </w:t>
      </w:r>
      <w:r>
        <w:rPr>
          <w:rFonts w:ascii="Arial" w:hAnsi="Arial"/>
          <w:i/>
          <w:iCs/>
          <w:color w:val="000000"/>
          <w:shd w:val="clear" w:color="auto" w:fill="FFFFFF"/>
        </w:rPr>
        <w:t>Journal of Biblical Literature</w:t>
      </w:r>
      <w:r>
        <w:rPr>
          <w:rFonts w:ascii="Arial" w:hAnsi="Arial"/>
          <w:color w:val="000000"/>
          <w:shd w:val="clear" w:color="auto" w:fill="FFFFFF"/>
        </w:rPr>
        <w:t xml:space="preserve"> 142, no. 3 (2023), pp. 431-450.</w:t>
      </w:r>
    </w:p>
    <w:p w14:paraId="082CE29D" w14:textId="77777777" w:rsidR="00584C8E" w:rsidRDefault="00584C8E">
      <w:pPr>
        <w:rPr>
          <w:rFonts w:ascii="Arial" w:hAnsi="Arial"/>
          <w:color w:val="000000"/>
          <w:shd w:val="clear" w:color="auto" w:fill="FFFFFF"/>
        </w:rPr>
      </w:pPr>
    </w:p>
    <w:p w14:paraId="3CFE43CE" w14:textId="5E38E1A5" w:rsidR="00584C8E" w:rsidRDefault="00000000">
      <w:pPr>
        <w:rPr>
          <w:rFonts w:hint="eastAsia"/>
          <w:shd w:val="clear" w:color="auto" w:fill="FFFFFF"/>
        </w:rPr>
      </w:pPr>
      <w:r>
        <w:rPr>
          <w:rFonts w:ascii="Arial" w:hAnsi="Arial"/>
          <w:color w:val="000000"/>
          <w:shd w:val="clear" w:color="auto" w:fill="FFFFFF"/>
        </w:rPr>
        <w:t xml:space="preserve">Claassens, L. Juliana, ‘Surfing with Jonah: Reading Jonah as a Postcolonial Trauma Narrative.’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45, no.</w:t>
      </w:r>
      <w:r w:rsidR="00B22DD7">
        <w:rPr>
          <w:rFonts w:ascii="Arial" w:hAnsi="Arial"/>
          <w:color w:val="000000"/>
          <w:shd w:val="clear" w:color="auto" w:fill="FFFFFF"/>
        </w:rPr>
        <w:t xml:space="preserve"> </w:t>
      </w:r>
      <w:r>
        <w:rPr>
          <w:rFonts w:ascii="Arial" w:hAnsi="Arial"/>
          <w:color w:val="000000"/>
          <w:shd w:val="clear" w:color="auto" w:fill="FFFFFF"/>
        </w:rPr>
        <w:t>4 (2021), pp. 576-587.</w:t>
      </w:r>
    </w:p>
    <w:p w14:paraId="017C0B19" w14:textId="77777777" w:rsidR="00584C8E" w:rsidRDefault="00584C8E">
      <w:pPr>
        <w:rPr>
          <w:rFonts w:hint="eastAsia"/>
          <w:shd w:val="clear" w:color="auto" w:fill="FFFFFF"/>
        </w:rPr>
      </w:pPr>
    </w:p>
    <w:p w14:paraId="0EC27D66" w14:textId="77777777" w:rsidR="00584C8E" w:rsidRDefault="00000000">
      <w:pPr>
        <w:rPr>
          <w:rFonts w:hint="eastAsia"/>
          <w:shd w:val="clear" w:color="auto" w:fill="FFFFFF"/>
        </w:rPr>
      </w:pPr>
      <w:r>
        <w:rPr>
          <w:rFonts w:ascii="Arial" w:hAnsi="Arial"/>
          <w:color w:val="000000"/>
          <w:shd w:val="clear" w:color="auto" w:fill="FFFFFF"/>
        </w:rPr>
        <w:t xml:space="preserve">Cook, Ryan J., ‘Social Identity in Crisis: Toward a Theology of the Psalms of Asaph.’ </w:t>
      </w:r>
      <w:r>
        <w:rPr>
          <w:rFonts w:ascii="Arial" w:hAnsi="Arial"/>
          <w:i/>
          <w:iCs/>
          <w:color w:val="000000"/>
          <w:shd w:val="clear" w:color="auto" w:fill="FFFFFF"/>
        </w:rPr>
        <w:t>The Asbury Journal</w:t>
      </w:r>
      <w:r>
        <w:rPr>
          <w:rFonts w:ascii="Arial" w:hAnsi="Arial"/>
          <w:color w:val="000000"/>
          <w:shd w:val="clear" w:color="auto" w:fill="FFFFFF"/>
        </w:rPr>
        <w:t xml:space="preserve"> 77, no. 2 (2022), pp. 245-266.</w:t>
      </w:r>
    </w:p>
    <w:p w14:paraId="56517830" w14:textId="77777777" w:rsidR="00584C8E" w:rsidRDefault="00584C8E">
      <w:pPr>
        <w:rPr>
          <w:rFonts w:hint="eastAsia"/>
          <w:shd w:val="clear" w:color="auto" w:fill="FFFFFF"/>
        </w:rPr>
      </w:pPr>
    </w:p>
    <w:p w14:paraId="0E7CAF61" w14:textId="47356862" w:rsidR="00584C8E" w:rsidRDefault="00000000">
      <w:pPr>
        <w:rPr>
          <w:rFonts w:hint="eastAsia"/>
          <w:shd w:val="clear" w:color="auto" w:fill="FFFFFF"/>
        </w:rPr>
      </w:pPr>
      <w:r>
        <w:rPr>
          <w:rFonts w:ascii="Arial" w:hAnsi="Arial"/>
          <w:color w:val="000000"/>
          <w:shd w:val="clear" w:color="auto" w:fill="FFFFFF"/>
        </w:rPr>
        <w:t xml:space="preserve">Crook, Zeba A., ‘Reflections on culture and social-scientific models.’ </w:t>
      </w:r>
      <w:r>
        <w:rPr>
          <w:rFonts w:ascii="Arial" w:hAnsi="Arial"/>
          <w:i/>
          <w:iCs/>
          <w:color w:val="000000"/>
          <w:shd w:val="clear" w:color="auto" w:fill="FFFFFF"/>
        </w:rPr>
        <w:t>Journal of Biblical Literature</w:t>
      </w:r>
      <w:r>
        <w:rPr>
          <w:rFonts w:ascii="Arial" w:hAnsi="Arial"/>
          <w:color w:val="000000"/>
          <w:shd w:val="clear" w:color="auto" w:fill="FFFFFF"/>
        </w:rPr>
        <w:t xml:space="preserve"> 124, no.</w:t>
      </w:r>
      <w:r w:rsidR="00B22DD7">
        <w:rPr>
          <w:rFonts w:ascii="Arial" w:hAnsi="Arial"/>
          <w:color w:val="000000"/>
          <w:shd w:val="clear" w:color="auto" w:fill="FFFFFF"/>
        </w:rPr>
        <w:t xml:space="preserve"> </w:t>
      </w:r>
      <w:r>
        <w:rPr>
          <w:rFonts w:ascii="Arial" w:hAnsi="Arial"/>
          <w:color w:val="000000"/>
          <w:shd w:val="clear" w:color="auto" w:fill="FFFFFF"/>
        </w:rPr>
        <w:t>3 (2005), pp. 515-520.</w:t>
      </w:r>
    </w:p>
    <w:p w14:paraId="6060E79D" w14:textId="77777777" w:rsidR="00584C8E" w:rsidRDefault="00584C8E">
      <w:pPr>
        <w:rPr>
          <w:rFonts w:ascii="Arial" w:hAnsi="Arial"/>
          <w:color w:val="000000"/>
          <w:shd w:val="clear" w:color="auto" w:fill="FFFFFF"/>
        </w:rPr>
      </w:pPr>
    </w:p>
    <w:p w14:paraId="00A267E7" w14:textId="77777777" w:rsidR="00584C8E" w:rsidRDefault="00000000">
      <w:pPr>
        <w:rPr>
          <w:rFonts w:hint="eastAsia"/>
          <w:shd w:val="clear" w:color="auto" w:fill="FFFFFF"/>
        </w:rPr>
      </w:pPr>
      <w:r>
        <w:rPr>
          <w:rFonts w:ascii="Arial" w:hAnsi="Arial"/>
          <w:color w:val="000000"/>
          <w:shd w:val="clear" w:color="auto" w:fill="FFFFFF"/>
        </w:rPr>
        <w:t xml:space="preserve">Esler, Philip Francis, ‘Social-scientific models in biblical interpretation.’ in </w:t>
      </w:r>
      <w:r>
        <w:rPr>
          <w:rFonts w:ascii="Arial" w:hAnsi="Arial"/>
          <w:i/>
          <w:iCs/>
          <w:color w:val="000000"/>
          <w:shd w:val="clear" w:color="auto" w:fill="FFFFFF"/>
        </w:rPr>
        <w:t xml:space="preserve">Ancient Israel, </w:t>
      </w:r>
      <w:r>
        <w:rPr>
          <w:rFonts w:ascii="Arial" w:hAnsi="Arial"/>
          <w:color w:val="000000"/>
          <w:shd w:val="clear" w:color="auto" w:fill="FFFFFF"/>
        </w:rPr>
        <w:t>ed. P.F. Esler (Fortress Press:Minneapolis, 2006), pp. 3-14.</w:t>
      </w:r>
    </w:p>
    <w:p w14:paraId="7178B1AD" w14:textId="77777777" w:rsidR="00584C8E" w:rsidRDefault="00584C8E">
      <w:pPr>
        <w:rPr>
          <w:rFonts w:ascii="Arial" w:hAnsi="Arial"/>
          <w:color w:val="000000"/>
          <w:shd w:val="clear" w:color="auto" w:fill="FFFFFF"/>
        </w:rPr>
      </w:pPr>
    </w:p>
    <w:p w14:paraId="3E4532DC" w14:textId="77777777" w:rsidR="00584C8E" w:rsidRDefault="00000000">
      <w:pPr>
        <w:rPr>
          <w:rFonts w:hint="eastAsia"/>
          <w:shd w:val="clear" w:color="auto" w:fill="FFFFFF"/>
        </w:rPr>
      </w:pPr>
      <w:r>
        <w:rPr>
          <w:rFonts w:ascii="Arial" w:hAnsi="Arial"/>
          <w:color w:val="000000"/>
          <w:shd w:val="clear" w:color="auto" w:fill="FFFFFF"/>
        </w:rPr>
        <w:t xml:space="preserve">Foth, Kevin, ‘Psalm 74 and social identity.’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47, no. 1 (2022), pp. 82-97.</w:t>
      </w:r>
    </w:p>
    <w:p w14:paraId="7FBCEE6C" w14:textId="77777777" w:rsidR="00584C8E" w:rsidRDefault="00584C8E">
      <w:pPr>
        <w:rPr>
          <w:rFonts w:ascii="Arial" w:hAnsi="Arial"/>
          <w:color w:val="000000"/>
          <w:shd w:val="clear" w:color="auto" w:fill="FFFFFF"/>
        </w:rPr>
      </w:pPr>
    </w:p>
    <w:p w14:paraId="0E139089" w14:textId="77777777" w:rsidR="00584C8E" w:rsidRDefault="00000000">
      <w:pPr>
        <w:rPr>
          <w:rFonts w:hint="eastAsia"/>
          <w:color w:val="000000" w:themeColor="text1"/>
          <w:shd w:val="clear" w:color="auto" w:fill="FFFFFF"/>
        </w:rPr>
      </w:pPr>
      <w:r>
        <w:rPr>
          <w:rFonts w:ascii="Arial" w:hAnsi="Arial"/>
          <w:color w:val="000000" w:themeColor="text1"/>
          <w:shd w:val="clear" w:color="auto" w:fill="FFFFFF"/>
        </w:rPr>
        <w:t xml:space="preserve">Giles, T., and W.J. Doan, </w:t>
      </w:r>
      <w:r>
        <w:rPr>
          <w:rFonts w:ascii="Arial" w:hAnsi="Arial"/>
          <w:i/>
          <w:iCs/>
          <w:color w:val="000000" w:themeColor="text1"/>
          <w:shd w:val="clear" w:color="auto" w:fill="FFFFFF"/>
        </w:rPr>
        <w:t>The Story of Naomi—The Book of Ruth: From Gender to Politics</w:t>
      </w:r>
      <w:r>
        <w:rPr>
          <w:rFonts w:ascii="Arial" w:hAnsi="Arial"/>
          <w:color w:val="000000" w:themeColor="text1"/>
          <w:shd w:val="clear" w:color="auto" w:fill="FFFFFF"/>
        </w:rPr>
        <w:t xml:space="preserve"> (Cascade: Eugene, 2016).</w:t>
      </w:r>
    </w:p>
    <w:p w14:paraId="1F9C8F72" w14:textId="77777777" w:rsidR="00584C8E" w:rsidRDefault="00584C8E">
      <w:pPr>
        <w:rPr>
          <w:rFonts w:ascii="Arial" w:hAnsi="Arial"/>
          <w:color w:val="000000"/>
          <w:shd w:val="clear" w:color="auto" w:fill="FFFFFF"/>
        </w:rPr>
      </w:pPr>
    </w:p>
    <w:p w14:paraId="5437BA51" w14:textId="77777777" w:rsidR="00584C8E" w:rsidRDefault="00000000">
      <w:pPr>
        <w:rPr>
          <w:rFonts w:hint="eastAsia"/>
          <w:shd w:val="clear" w:color="auto" w:fill="FFFFFF"/>
        </w:rPr>
      </w:pPr>
      <w:r>
        <w:rPr>
          <w:rFonts w:ascii="Arial" w:hAnsi="Arial"/>
          <w:color w:val="000000"/>
          <w:shd w:val="clear" w:color="auto" w:fill="FFFFFF"/>
        </w:rPr>
        <w:t xml:space="preserve">Gottwald, Norman K., </w:t>
      </w:r>
      <w:r>
        <w:rPr>
          <w:rFonts w:ascii="Arial" w:hAnsi="Arial"/>
          <w:i/>
          <w:iCs/>
          <w:color w:val="000000"/>
          <w:shd w:val="clear" w:color="auto" w:fill="FFFFFF"/>
        </w:rPr>
        <w:t>The Hebrew Bible: A Socio-Literary Introduction</w:t>
      </w:r>
      <w:r>
        <w:rPr>
          <w:rFonts w:ascii="Arial" w:hAnsi="Arial"/>
          <w:color w:val="000000"/>
          <w:shd w:val="clear" w:color="auto" w:fill="FFFFFF"/>
        </w:rPr>
        <w:t xml:space="preserve"> (Fortress Press:Philadelphia, 1987).</w:t>
      </w:r>
    </w:p>
    <w:p w14:paraId="78F38E36" w14:textId="77777777" w:rsidR="00584C8E" w:rsidRDefault="00584C8E">
      <w:pPr>
        <w:rPr>
          <w:rFonts w:hint="eastAsia"/>
          <w:shd w:val="clear" w:color="auto" w:fill="FFFFFF"/>
        </w:rPr>
      </w:pPr>
    </w:p>
    <w:p w14:paraId="32A3B730" w14:textId="77777777" w:rsidR="00584C8E" w:rsidRDefault="00000000">
      <w:pPr>
        <w:rPr>
          <w:rFonts w:hint="eastAsia"/>
          <w:shd w:val="clear" w:color="auto" w:fill="FFFFFF"/>
        </w:rPr>
      </w:pPr>
      <w:r>
        <w:rPr>
          <w:rFonts w:ascii="Arial" w:hAnsi="Arial"/>
          <w:color w:val="000000"/>
          <w:shd w:val="clear" w:color="auto" w:fill="FFFFFF"/>
        </w:rPr>
        <w:t xml:space="preserve">Havea J., ‘Adjusting Jonah.’ </w:t>
      </w:r>
      <w:r>
        <w:rPr>
          <w:rFonts w:ascii="Arial" w:hAnsi="Arial"/>
          <w:i/>
          <w:iCs/>
          <w:color w:val="000000"/>
          <w:shd w:val="clear" w:color="auto" w:fill="FFFFFF"/>
        </w:rPr>
        <w:t>International Review of Mission</w:t>
      </w:r>
      <w:r>
        <w:rPr>
          <w:rFonts w:ascii="Arial" w:hAnsi="Arial"/>
          <w:color w:val="000000"/>
          <w:shd w:val="clear" w:color="auto" w:fill="FFFFFF"/>
        </w:rPr>
        <w:t xml:space="preserve"> 102 (2016), pp. 44-55.</w:t>
      </w:r>
    </w:p>
    <w:p w14:paraId="4DB772CB" w14:textId="77777777" w:rsidR="00584C8E" w:rsidRDefault="00584C8E">
      <w:pPr>
        <w:rPr>
          <w:rFonts w:ascii="Arial" w:hAnsi="Arial"/>
          <w:color w:val="000000"/>
          <w:shd w:val="clear" w:color="auto" w:fill="FFFFFF"/>
        </w:rPr>
      </w:pPr>
    </w:p>
    <w:p w14:paraId="11BBC518" w14:textId="77777777" w:rsidR="00584C8E" w:rsidRDefault="00000000">
      <w:pPr>
        <w:rPr>
          <w:rFonts w:hint="eastAsia"/>
          <w:shd w:val="clear" w:color="auto" w:fill="FFFFFF"/>
        </w:rPr>
      </w:pPr>
      <w:r>
        <w:rPr>
          <w:rFonts w:ascii="Arial" w:hAnsi="Arial"/>
          <w:color w:val="000000"/>
          <w:shd w:val="clear" w:color="auto" w:fill="FFFFFF"/>
        </w:rPr>
        <w:t xml:space="preserve">Horrell, David G., ‘Whither Social-Scientific Approaches to New Testament interpretation? Reflections on Contested Methodologies and the Future.’ </w:t>
      </w:r>
      <w:r>
        <w:rPr>
          <w:rFonts w:ascii="Arial" w:hAnsi="Arial"/>
          <w:i/>
          <w:iCs/>
          <w:color w:val="000000"/>
          <w:shd w:val="clear" w:color="auto" w:fill="FFFFFF"/>
        </w:rPr>
        <w:t xml:space="preserve">After the First Urban Christians: The Social-Scientific Study of Pauline Christianity Twenty-Five Years Later </w:t>
      </w:r>
      <w:r>
        <w:rPr>
          <w:rFonts w:ascii="Arial" w:hAnsi="Arial"/>
          <w:color w:val="000000"/>
          <w:shd w:val="clear" w:color="auto" w:fill="FFFFFF"/>
        </w:rPr>
        <w:t>(Continuum:New York, 2009), pp. 6-20.</w:t>
      </w:r>
    </w:p>
    <w:p w14:paraId="6B84DA0C" w14:textId="77777777" w:rsidR="00584C8E" w:rsidRDefault="00584C8E">
      <w:pPr>
        <w:rPr>
          <w:rFonts w:ascii="Arial" w:hAnsi="Arial"/>
          <w:color w:val="000000"/>
          <w:shd w:val="clear" w:color="auto" w:fill="FFFFFF"/>
        </w:rPr>
      </w:pPr>
    </w:p>
    <w:p w14:paraId="62ADDE44" w14:textId="77777777" w:rsidR="00584C8E" w:rsidRDefault="00000000">
      <w:pPr>
        <w:rPr>
          <w:rFonts w:hint="eastAsia"/>
          <w:shd w:val="clear" w:color="auto" w:fill="FFFFFF"/>
        </w:rPr>
      </w:pPr>
      <w:r>
        <w:rPr>
          <w:rFonts w:ascii="Arial" w:hAnsi="Arial"/>
          <w:color w:val="000000"/>
          <w:shd w:val="clear" w:color="auto" w:fill="FFFFFF"/>
        </w:rPr>
        <w:t xml:space="preserve">Horsley, Richard A., ‘Feminist scholarship and postcolonial criticism. Subverting imperial discourse and reclaiming submerged histories.’ in </w:t>
      </w:r>
      <w:r>
        <w:rPr>
          <w:rFonts w:ascii="Arial" w:hAnsi="Arial"/>
          <w:i/>
          <w:iCs/>
          <w:color w:val="000000"/>
          <w:shd w:val="clear" w:color="auto" w:fill="FFFFFF"/>
        </w:rPr>
        <w:t>Walk in the ways of wisdom</w:t>
      </w:r>
      <w:r>
        <w:rPr>
          <w:rFonts w:ascii="Arial" w:hAnsi="Arial"/>
          <w:color w:val="000000"/>
          <w:shd w:val="clear" w:color="auto" w:fill="FFFFFF"/>
        </w:rPr>
        <w:t xml:space="preserve">, eds. </w:t>
      </w:r>
      <w:r>
        <w:rPr>
          <w:rFonts w:ascii="Arial" w:hAnsi="Arial"/>
          <w:color w:val="222222"/>
          <w:shd w:val="clear" w:color="auto" w:fill="FFFFFF"/>
        </w:rPr>
        <w:t xml:space="preserve">Fiorenza, Elisabeth Schüssler, Shelly Matthews, Cynthia Briggs Kittredge, and Melanie Johnson-DeBaufre (A&amp;C Black, 2003), pp. 297-317. </w:t>
      </w:r>
    </w:p>
    <w:p w14:paraId="4334C3B9" w14:textId="77777777" w:rsidR="00584C8E" w:rsidRDefault="00584C8E">
      <w:pPr>
        <w:rPr>
          <w:rFonts w:ascii="Arial" w:hAnsi="Arial"/>
          <w:color w:val="000000"/>
          <w:shd w:val="clear" w:color="auto" w:fill="FFFFFF"/>
        </w:rPr>
      </w:pPr>
    </w:p>
    <w:p w14:paraId="5A45750F" w14:textId="77777777" w:rsidR="00584C8E" w:rsidRDefault="00000000">
      <w:pPr>
        <w:rPr>
          <w:rFonts w:hint="eastAsia"/>
          <w:shd w:val="clear" w:color="auto" w:fill="FFFFFF"/>
        </w:rPr>
      </w:pPr>
      <w:r>
        <w:rPr>
          <w:rFonts w:ascii="Arial" w:hAnsi="Arial" w:cs="Arial"/>
          <w:shd w:val="clear" w:color="auto" w:fill="FFFFFF"/>
        </w:rPr>
        <w:t xml:space="preserve">Kang, Jina, ‘The Bible in the Korean resistance against the Japanese Empire.’, in </w:t>
      </w:r>
      <w:r>
        <w:rPr>
          <w:rFonts w:ascii="Arial" w:hAnsi="Arial" w:cs="Arial"/>
          <w:i/>
          <w:iCs/>
          <w:shd w:val="clear" w:color="auto" w:fill="FFFFFF"/>
        </w:rPr>
        <w:t>The Oxford handbook of Postcolonial Biblical Criticism</w:t>
      </w:r>
      <w:r>
        <w:rPr>
          <w:rFonts w:ascii="Arial" w:hAnsi="Arial" w:cs="Arial"/>
          <w:shd w:val="clear" w:color="auto" w:fill="FFFFFF"/>
        </w:rPr>
        <w:t>, ed. R.S. Sugirtharajah (Oxford University Press, 2018), pp. 448-468.</w:t>
      </w:r>
    </w:p>
    <w:p w14:paraId="35A8AD05" w14:textId="77777777" w:rsidR="00584C8E" w:rsidRDefault="00584C8E">
      <w:pPr>
        <w:rPr>
          <w:rFonts w:hint="eastAsia"/>
          <w:shd w:val="clear" w:color="auto" w:fill="FFFFFF"/>
        </w:rPr>
      </w:pPr>
    </w:p>
    <w:p w14:paraId="23027A3A" w14:textId="77777777" w:rsidR="00584C8E" w:rsidRDefault="00000000">
      <w:pPr>
        <w:rPr>
          <w:rFonts w:hint="eastAsia"/>
          <w:shd w:val="clear" w:color="auto" w:fill="FFFFFF"/>
        </w:rPr>
      </w:pPr>
      <w:r>
        <w:rPr>
          <w:rFonts w:ascii="Arial" w:hAnsi="Arial"/>
          <w:color w:val="000000"/>
          <w:shd w:val="clear" w:color="auto" w:fill="FFFFFF"/>
        </w:rPr>
        <w:t xml:space="preserve">Leach, James, </w:t>
      </w:r>
      <w:r>
        <w:rPr>
          <w:rFonts w:ascii="Arial" w:hAnsi="Arial"/>
          <w:i/>
          <w:iCs/>
          <w:color w:val="000000"/>
          <w:shd w:val="clear" w:color="auto" w:fill="FFFFFF"/>
        </w:rPr>
        <w:t xml:space="preserve">Creative Land: Place and Procreation on the Rai Coast of Papua New Guinea </w:t>
      </w:r>
      <w:r>
        <w:rPr>
          <w:rFonts w:ascii="Arial" w:hAnsi="Arial"/>
          <w:color w:val="000000"/>
          <w:shd w:val="clear" w:color="auto" w:fill="FFFFFF"/>
        </w:rPr>
        <w:t>(Berghahn:New York, 2003)</w:t>
      </w:r>
    </w:p>
    <w:p w14:paraId="3117BBA4" w14:textId="77777777" w:rsidR="00584C8E" w:rsidRDefault="00584C8E">
      <w:pPr>
        <w:rPr>
          <w:rFonts w:ascii="Arial" w:hAnsi="Arial"/>
          <w:color w:val="000000"/>
          <w:shd w:val="clear" w:color="auto" w:fill="FFFFFF"/>
        </w:rPr>
      </w:pPr>
    </w:p>
    <w:p w14:paraId="768661BC" w14:textId="77777777" w:rsidR="00584C8E" w:rsidRDefault="00000000">
      <w:pPr>
        <w:rPr>
          <w:rFonts w:hint="eastAsia"/>
          <w:shd w:val="clear" w:color="auto" w:fill="FFFFFF"/>
        </w:rPr>
      </w:pPr>
      <w:r>
        <w:rPr>
          <w:rFonts w:ascii="Arial" w:hAnsi="Arial"/>
          <w:color w:val="000000"/>
          <w:shd w:val="clear" w:color="auto" w:fill="FFFFFF"/>
        </w:rPr>
        <w:lastRenderedPageBreak/>
        <w:t xml:space="preserve">Matheny, Jennifer M., ‘Ruth in recent research.’ </w:t>
      </w:r>
      <w:r>
        <w:rPr>
          <w:rFonts w:ascii="Arial" w:hAnsi="Arial"/>
          <w:i/>
          <w:iCs/>
          <w:color w:val="000000"/>
          <w:shd w:val="clear" w:color="auto" w:fill="FFFFFF"/>
        </w:rPr>
        <w:t>Currents in Biblical Research</w:t>
      </w:r>
      <w:r>
        <w:rPr>
          <w:rFonts w:ascii="Arial" w:hAnsi="Arial"/>
          <w:color w:val="000000"/>
          <w:shd w:val="clear" w:color="auto" w:fill="FFFFFF"/>
        </w:rPr>
        <w:t xml:space="preserve"> 19, no.1 (2020), pp. 8-35.</w:t>
      </w:r>
    </w:p>
    <w:p w14:paraId="1C605D5D" w14:textId="77777777" w:rsidR="00584C8E" w:rsidRDefault="00584C8E">
      <w:pPr>
        <w:rPr>
          <w:rFonts w:hint="eastAsia"/>
          <w:shd w:val="clear" w:color="auto" w:fill="FFFFFF"/>
        </w:rPr>
      </w:pPr>
    </w:p>
    <w:p w14:paraId="37EA7A33" w14:textId="77777777" w:rsidR="00584C8E" w:rsidRDefault="00000000">
      <w:pPr>
        <w:rPr>
          <w:rFonts w:hint="eastAsia"/>
          <w:shd w:val="clear" w:color="auto" w:fill="FFFFFF"/>
        </w:rPr>
      </w:pPr>
      <w:r>
        <w:rPr>
          <w:rFonts w:ascii="Arial" w:hAnsi="Arial"/>
          <w:color w:val="000000"/>
          <w:shd w:val="clear" w:color="auto" w:fill="FFFFFF"/>
        </w:rPr>
        <w:t xml:space="preserve">Ryu, Chesung Justin, ‘Silence as Resistance: A Postcolonial Reading of the Silence of Jonah in Jonah 4.1-11.’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34, no. 2 (2009), pp.195-218.</w:t>
      </w:r>
    </w:p>
    <w:p w14:paraId="395EBFF5" w14:textId="77777777" w:rsidR="00584C8E" w:rsidRDefault="00584C8E">
      <w:pPr>
        <w:rPr>
          <w:rFonts w:hint="eastAsia"/>
          <w:shd w:val="clear" w:color="auto" w:fill="FFFFFF"/>
        </w:rPr>
      </w:pPr>
    </w:p>
    <w:p w14:paraId="02F6F426" w14:textId="77777777" w:rsidR="00584C8E" w:rsidRDefault="00000000">
      <w:pPr>
        <w:rPr>
          <w:rFonts w:hint="eastAsia"/>
          <w:shd w:val="clear" w:color="auto" w:fill="FFFFFF"/>
        </w:rPr>
      </w:pPr>
      <w:r>
        <w:rPr>
          <w:rFonts w:ascii="Arial" w:hAnsi="Arial"/>
          <w:color w:val="000000"/>
          <w:shd w:val="clear" w:color="auto" w:fill="FFFFFF"/>
        </w:rPr>
        <w:t xml:space="preserve">Schipper, Jeremy, </w:t>
      </w:r>
      <w:r>
        <w:rPr>
          <w:rFonts w:ascii="Arial" w:hAnsi="Arial"/>
          <w:i/>
          <w:iCs/>
          <w:color w:val="000000"/>
          <w:shd w:val="clear" w:color="auto" w:fill="FFFFFF"/>
        </w:rPr>
        <w:t>Ruth</w:t>
      </w:r>
      <w:r>
        <w:rPr>
          <w:rFonts w:ascii="Arial" w:hAnsi="Arial"/>
          <w:color w:val="000000"/>
          <w:shd w:val="clear" w:color="auto" w:fill="FFFFFF"/>
        </w:rPr>
        <w:t xml:space="preserve"> (Yale University Press:New Haven, 2016).</w:t>
      </w:r>
    </w:p>
    <w:p w14:paraId="5700F69F" w14:textId="77777777" w:rsidR="00584C8E" w:rsidRDefault="00584C8E">
      <w:pPr>
        <w:rPr>
          <w:rFonts w:hint="eastAsia"/>
          <w:shd w:val="clear" w:color="auto" w:fill="FFFFFF"/>
        </w:rPr>
      </w:pPr>
    </w:p>
    <w:p w14:paraId="5B022108" w14:textId="77777777" w:rsidR="00584C8E" w:rsidRDefault="00000000">
      <w:pPr>
        <w:rPr>
          <w:rFonts w:hint="eastAsia"/>
          <w:shd w:val="clear" w:color="auto" w:fill="FFFFFF"/>
        </w:rPr>
      </w:pPr>
      <w:r>
        <w:rPr>
          <w:rFonts w:ascii="Arial" w:hAnsi="Arial"/>
          <w:color w:val="000000"/>
          <w:shd w:val="clear" w:color="auto" w:fill="FFFFFF"/>
        </w:rPr>
        <w:t xml:space="preserve">Sherwood, Yvonne, </w:t>
      </w:r>
      <w:r>
        <w:rPr>
          <w:rFonts w:ascii="Arial" w:hAnsi="Arial"/>
          <w:i/>
          <w:iCs/>
          <w:color w:val="000000"/>
          <w:shd w:val="clear" w:color="auto" w:fill="FFFFFF"/>
        </w:rPr>
        <w:t>A biblical text and its afterlives: The survival of Jonah in western culture</w:t>
      </w:r>
      <w:r>
        <w:rPr>
          <w:rFonts w:ascii="Arial" w:hAnsi="Arial"/>
          <w:color w:val="000000"/>
          <w:shd w:val="clear" w:color="auto" w:fill="FFFFFF"/>
        </w:rPr>
        <w:t xml:space="preserve"> (Cambridge University Press, 2000).</w:t>
      </w:r>
    </w:p>
    <w:p w14:paraId="7BBA16A1" w14:textId="77777777" w:rsidR="00584C8E" w:rsidRDefault="00584C8E">
      <w:pPr>
        <w:rPr>
          <w:rFonts w:hint="eastAsia"/>
          <w:shd w:val="clear" w:color="auto" w:fill="FFFFFF"/>
        </w:rPr>
      </w:pPr>
    </w:p>
    <w:p w14:paraId="2D031FD1" w14:textId="77777777" w:rsidR="00584C8E" w:rsidRDefault="00000000">
      <w:pPr>
        <w:rPr>
          <w:rFonts w:hint="eastAsia"/>
          <w:shd w:val="clear" w:color="auto" w:fill="FFFFFF"/>
        </w:rPr>
      </w:pPr>
      <w:r>
        <w:rPr>
          <w:rFonts w:ascii="Arial" w:hAnsi="Arial"/>
          <w:color w:val="000000"/>
          <w:shd w:val="clear" w:color="auto" w:fill="FFFFFF"/>
        </w:rPr>
        <w:t xml:space="preserve">Smith, H. Clay., ‘Worship as Social Creativity: Social Identity and the Form of Psalm 79.’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46, no. 4 (2022), pp. 516-529.</w:t>
      </w:r>
    </w:p>
    <w:p w14:paraId="6BE85C2E" w14:textId="77777777" w:rsidR="00584C8E" w:rsidRDefault="00584C8E">
      <w:pPr>
        <w:rPr>
          <w:rFonts w:ascii="Arial" w:hAnsi="Arial"/>
          <w:color w:val="000000"/>
          <w:shd w:val="clear" w:color="auto" w:fill="FFFFFF"/>
        </w:rPr>
      </w:pPr>
    </w:p>
    <w:p w14:paraId="4C2546F3" w14:textId="77777777" w:rsidR="00584C8E" w:rsidRDefault="00000000">
      <w:pPr>
        <w:rPr>
          <w:rFonts w:hint="eastAsia"/>
          <w:shd w:val="clear" w:color="auto" w:fill="FFFFFF"/>
        </w:rPr>
      </w:pPr>
      <w:r>
        <w:rPr>
          <w:rFonts w:ascii="Arial" w:hAnsi="Arial"/>
          <w:color w:val="000000"/>
          <w:shd w:val="clear" w:color="auto" w:fill="FFFFFF"/>
        </w:rPr>
        <w:t xml:space="preserve">Sneed, Mark, ‘Social Scientific Approach to the Hebrew Bible.’ </w:t>
      </w:r>
      <w:r>
        <w:rPr>
          <w:rFonts w:ascii="Arial" w:hAnsi="Arial"/>
          <w:i/>
          <w:iCs/>
          <w:color w:val="000000"/>
          <w:shd w:val="clear" w:color="auto" w:fill="FFFFFF"/>
        </w:rPr>
        <w:t>Religion Compass</w:t>
      </w:r>
      <w:r>
        <w:rPr>
          <w:rFonts w:ascii="Arial" w:hAnsi="Arial"/>
          <w:color w:val="000000"/>
          <w:shd w:val="clear" w:color="auto" w:fill="FFFFFF"/>
        </w:rPr>
        <w:t xml:space="preserve"> 2, no.3 (2008), pp. 287-300.</w:t>
      </w:r>
    </w:p>
    <w:p w14:paraId="4D1FA408" w14:textId="77777777" w:rsidR="00584C8E" w:rsidRDefault="00584C8E">
      <w:pPr>
        <w:rPr>
          <w:rFonts w:hint="eastAsia"/>
          <w:shd w:val="clear" w:color="auto" w:fill="FFFFFF"/>
        </w:rPr>
      </w:pPr>
    </w:p>
    <w:p w14:paraId="51E492E2" w14:textId="77777777" w:rsidR="00584C8E" w:rsidRDefault="00000000">
      <w:pPr>
        <w:rPr>
          <w:rFonts w:hint="eastAsia"/>
          <w:shd w:val="clear" w:color="auto" w:fill="FFFFFF"/>
        </w:rPr>
      </w:pPr>
      <w:r>
        <w:rPr>
          <w:rFonts w:ascii="Arial" w:hAnsi="Arial"/>
          <w:color w:val="000000"/>
          <w:shd w:val="clear" w:color="auto" w:fill="FFFFFF"/>
        </w:rPr>
        <w:t xml:space="preserve">Stuart, Douglas, </w:t>
      </w:r>
      <w:r>
        <w:rPr>
          <w:rFonts w:ascii="Arial" w:hAnsi="Arial"/>
          <w:i/>
          <w:iCs/>
          <w:color w:val="000000"/>
          <w:shd w:val="clear" w:color="auto" w:fill="FFFFFF"/>
        </w:rPr>
        <w:t xml:space="preserve">Hosea-Jonah, Volume 31 </w:t>
      </w:r>
      <w:r>
        <w:rPr>
          <w:rFonts w:ascii="Arial" w:hAnsi="Arial"/>
          <w:color w:val="000000"/>
          <w:shd w:val="clear" w:color="auto" w:fill="FFFFFF"/>
        </w:rPr>
        <w:t>(Zondervan Academic, 2017).</w:t>
      </w:r>
    </w:p>
    <w:p w14:paraId="48E3C8FC" w14:textId="77777777" w:rsidR="00584C8E" w:rsidRDefault="00584C8E">
      <w:pPr>
        <w:rPr>
          <w:rFonts w:ascii="Arial" w:hAnsi="Arial"/>
          <w:color w:val="000000"/>
          <w:shd w:val="clear" w:color="auto" w:fill="FFFFFF"/>
        </w:rPr>
      </w:pPr>
    </w:p>
    <w:p w14:paraId="65A24010" w14:textId="77777777" w:rsidR="00584C8E" w:rsidRDefault="00000000">
      <w:pPr>
        <w:rPr>
          <w:rFonts w:hint="eastAsia"/>
          <w:shd w:val="clear" w:color="auto" w:fill="FFFFFF"/>
        </w:rPr>
      </w:pPr>
      <w:r>
        <w:rPr>
          <w:rFonts w:ascii="Arial" w:hAnsi="Arial"/>
          <w:color w:val="000000"/>
          <w:shd w:val="clear" w:color="auto" w:fill="FFFFFF"/>
        </w:rPr>
        <w:t xml:space="preserve">Tillema, Aron, ‘The Book of Jonah in Recent Research.’ </w:t>
      </w:r>
      <w:r>
        <w:rPr>
          <w:rFonts w:ascii="Arial" w:hAnsi="Arial"/>
          <w:i/>
          <w:iCs/>
          <w:color w:val="000000"/>
          <w:shd w:val="clear" w:color="auto" w:fill="FFFFFF"/>
        </w:rPr>
        <w:t>Currents in Biblical Research</w:t>
      </w:r>
      <w:r>
        <w:rPr>
          <w:rFonts w:ascii="Arial" w:hAnsi="Arial"/>
          <w:color w:val="000000"/>
          <w:shd w:val="clear" w:color="auto" w:fill="FFFFFF"/>
        </w:rPr>
        <w:t xml:space="preserve"> 21, no.2 (2023), pp. 145-177.</w:t>
      </w:r>
    </w:p>
    <w:p w14:paraId="1C80A1D2" w14:textId="77777777" w:rsidR="00584C8E" w:rsidRDefault="00584C8E">
      <w:pPr>
        <w:rPr>
          <w:rFonts w:ascii="Arial" w:hAnsi="Arial"/>
          <w:color w:val="000000"/>
          <w:shd w:val="clear" w:color="auto" w:fill="FFFFFF"/>
        </w:rPr>
      </w:pPr>
    </w:p>
    <w:p w14:paraId="0DCCC05F" w14:textId="77777777" w:rsidR="00584C8E" w:rsidRDefault="00000000">
      <w:pPr>
        <w:pStyle w:val="BodyText"/>
        <w:spacing w:after="0" w:line="240" w:lineRule="auto"/>
        <w:rPr>
          <w:rFonts w:hint="eastAsia"/>
          <w:shd w:val="clear" w:color="auto" w:fill="FFFFFF"/>
        </w:rPr>
      </w:pPr>
      <w:r>
        <w:rPr>
          <w:rFonts w:ascii="Arial" w:hAnsi="Arial" w:cs="Arial"/>
          <w:color w:val="000000"/>
          <w:shd w:val="clear" w:color="auto" w:fill="FFFFFF"/>
        </w:rPr>
        <w:t xml:space="preserve">Whitelam, Keith W., ‘The Quest for the Social World of the Bible.’ in </w:t>
      </w:r>
      <w:r>
        <w:rPr>
          <w:rFonts w:ascii="Arial" w:hAnsi="Arial" w:cs="Arial"/>
          <w:i/>
          <w:iCs/>
          <w:color w:val="000000"/>
          <w:shd w:val="clear" w:color="auto" w:fill="FFFFFF"/>
        </w:rPr>
        <w:t xml:space="preserve">The Cambridge companion to biblical interpretation, </w:t>
      </w:r>
      <w:r>
        <w:rPr>
          <w:rFonts w:ascii="Arial" w:hAnsi="Arial" w:cs="Arial"/>
          <w:color w:val="000000"/>
          <w:shd w:val="clear" w:color="auto" w:fill="FFFFFF"/>
        </w:rPr>
        <w:t>ed. John Barton (Cambridge University Press, 1998), pp. 35-50.</w:t>
      </w:r>
    </w:p>
    <w:p w14:paraId="02FCB024" w14:textId="77777777" w:rsidR="00584C8E" w:rsidRDefault="00584C8E">
      <w:pPr>
        <w:pStyle w:val="BodyText"/>
        <w:spacing w:after="0" w:line="240" w:lineRule="auto"/>
        <w:rPr>
          <w:rFonts w:ascii="Arial" w:hAnsi="Arial" w:cs="Arial"/>
          <w:color w:val="000000"/>
          <w:shd w:val="clear" w:color="auto" w:fill="FFFFFF"/>
        </w:rPr>
      </w:pPr>
    </w:p>
    <w:p w14:paraId="32FE0E53" w14:textId="77777777" w:rsidR="00584C8E" w:rsidRDefault="00584C8E">
      <w:pPr>
        <w:pStyle w:val="BodyText"/>
        <w:spacing w:after="0" w:line="240" w:lineRule="auto"/>
        <w:rPr>
          <w:rFonts w:hint="eastAsia"/>
          <w:shd w:val="clear" w:color="auto" w:fill="FF4000"/>
        </w:rPr>
      </w:pPr>
    </w:p>
    <w:p w14:paraId="5778574D" w14:textId="77777777" w:rsidR="00584C8E" w:rsidRDefault="00584C8E">
      <w:pPr>
        <w:spacing w:line="480" w:lineRule="auto"/>
        <w:rPr>
          <w:rFonts w:hint="eastAsia"/>
          <w:shd w:val="clear" w:color="auto" w:fill="FF4000"/>
        </w:rPr>
      </w:pPr>
    </w:p>
    <w:p w14:paraId="3EBA0AF3" w14:textId="77777777" w:rsidR="00584C8E" w:rsidRDefault="00584C8E">
      <w:pPr>
        <w:rPr>
          <w:rFonts w:hint="eastAsia"/>
          <w:color w:val="000000"/>
          <w:shd w:val="clear" w:color="auto" w:fill="FF4000"/>
        </w:rPr>
      </w:pPr>
    </w:p>
    <w:p w14:paraId="0242EE4A" w14:textId="77777777" w:rsidR="00584C8E" w:rsidRDefault="00584C8E">
      <w:pPr>
        <w:rPr>
          <w:rFonts w:hint="eastAsia"/>
          <w:color w:val="000000"/>
          <w:shd w:val="clear" w:color="auto" w:fill="FF4000"/>
        </w:rPr>
      </w:pPr>
    </w:p>
    <w:p w14:paraId="5CBC3079" w14:textId="77777777" w:rsidR="00584C8E" w:rsidRDefault="00584C8E">
      <w:pPr>
        <w:rPr>
          <w:rFonts w:hint="eastAsia"/>
          <w:color w:val="000000"/>
          <w:shd w:val="clear" w:color="auto" w:fill="FF4000"/>
        </w:rPr>
      </w:pPr>
    </w:p>
    <w:p w14:paraId="3A9C7684" w14:textId="77777777" w:rsidR="00584C8E" w:rsidRDefault="00584C8E">
      <w:pPr>
        <w:rPr>
          <w:rFonts w:hint="eastAsia"/>
          <w:shd w:val="clear" w:color="auto" w:fill="FF4000"/>
        </w:rPr>
      </w:pPr>
    </w:p>
    <w:p w14:paraId="1F7B674B" w14:textId="77777777" w:rsidR="00584C8E" w:rsidRDefault="00584C8E">
      <w:pPr>
        <w:rPr>
          <w:rFonts w:hint="eastAsia"/>
          <w:shd w:val="clear" w:color="auto" w:fill="FF4000"/>
        </w:rPr>
      </w:pPr>
    </w:p>
    <w:p w14:paraId="5C366AB5" w14:textId="77777777" w:rsidR="00584C8E" w:rsidRDefault="00584C8E">
      <w:pPr>
        <w:rPr>
          <w:rFonts w:ascii="Arial" w:hAnsi="Arial"/>
          <w:color w:val="000000"/>
          <w:shd w:val="clear" w:color="auto" w:fill="FF4000"/>
        </w:rPr>
      </w:pPr>
    </w:p>
    <w:p w14:paraId="2EA88004" w14:textId="77777777" w:rsidR="00584C8E" w:rsidRDefault="00584C8E">
      <w:pPr>
        <w:rPr>
          <w:rFonts w:hint="eastAsia"/>
          <w:color w:val="000000"/>
          <w:shd w:val="clear" w:color="auto" w:fill="FF4000"/>
        </w:rPr>
      </w:pPr>
    </w:p>
    <w:p w14:paraId="1143E043" w14:textId="77777777" w:rsidR="00584C8E" w:rsidRDefault="00584C8E">
      <w:pPr>
        <w:spacing w:after="140" w:line="480" w:lineRule="auto"/>
        <w:rPr>
          <w:rFonts w:hint="eastAsia"/>
          <w:shd w:val="clear" w:color="auto" w:fill="FF4000"/>
        </w:rPr>
      </w:pPr>
    </w:p>
    <w:p w14:paraId="73FF36C4" w14:textId="77777777" w:rsidR="00584C8E" w:rsidRDefault="00000000">
      <w:pPr>
        <w:suppressAutoHyphens w:val="0"/>
        <w:spacing w:beforeAutospacing="1" w:after="142"/>
        <w:rPr>
          <w:rFonts w:hint="eastAsia"/>
          <w:shd w:val="clear" w:color="auto" w:fill="FFFFFF"/>
        </w:rPr>
      </w:pPr>
      <w:r>
        <w:rPr>
          <w:rFonts w:ascii="Arial" w:eastAsia="Times New Roman" w:hAnsi="Arial" w:cs="Arial"/>
          <w:color w:val="222222"/>
          <w:kern w:val="0"/>
          <w:shd w:val="clear" w:color="auto" w:fill="FFFFFF"/>
          <w:lang w:eastAsia="ko-KR" w:bidi="ar-SA"/>
        </w:rPr>
        <w:t>*Note that the eBook version of</w:t>
      </w:r>
      <w:r>
        <w:rPr>
          <w:rFonts w:ascii="Arial" w:eastAsia="Times New Roman" w:hAnsi="Arial" w:cs="Arial"/>
          <w:color w:val="000000"/>
          <w:kern w:val="0"/>
          <w:shd w:val="clear" w:color="auto" w:fill="FFFFFF"/>
          <w:lang w:eastAsia="ko-KR" w:bidi="ar-SA"/>
        </w:rPr>
        <w:t xml:space="preserve"> Hosea-Jonah</w:t>
      </w:r>
      <w:r>
        <w:rPr>
          <w:rFonts w:ascii="Arial" w:eastAsia="Times New Roman" w:hAnsi="Arial" w:cs="Arial"/>
          <w:i/>
          <w:iCs/>
          <w:color w:val="000000"/>
          <w:kern w:val="0"/>
          <w:shd w:val="clear" w:color="auto" w:fill="FFFFFF"/>
          <w:lang w:eastAsia="ko-KR" w:bidi="ar-SA"/>
        </w:rPr>
        <w:t xml:space="preserve"> </w:t>
      </w:r>
      <w:r>
        <w:rPr>
          <w:rFonts w:ascii="Arial" w:eastAsia="Times New Roman" w:hAnsi="Arial" w:cs="Arial"/>
          <w:color w:val="000000"/>
          <w:kern w:val="0"/>
          <w:shd w:val="clear" w:color="auto" w:fill="FFFFFF"/>
          <w:lang w:eastAsia="ko-KR" w:bidi="ar-SA"/>
        </w:rPr>
        <w:t xml:space="preserve">by Douglas Stuart does not have page numbers. </w:t>
      </w:r>
    </w:p>
    <w:p w14:paraId="20E4E189" w14:textId="77777777" w:rsidR="00584C8E" w:rsidRDefault="00584C8E">
      <w:pPr>
        <w:spacing w:after="140" w:line="480" w:lineRule="auto"/>
        <w:rPr>
          <w:rFonts w:hint="eastAsia"/>
          <w:shd w:val="clear" w:color="auto" w:fill="FFFF00"/>
        </w:rPr>
      </w:pPr>
    </w:p>
    <w:sectPr w:rsidR="00584C8E">
      <w:pgSz w:w="11906" w:h="16838"/>
      <w:pgMar w:top="1134" w:right="1134" w:bottom="1134"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230BE" w14:textId="77777777" w:rsidR="0034172D" w:rsidRDefault="0034172D">
      <w:pPr>
        <w:rPr>
          <w:rFonts w:hint="eastAsia"/>
        </w:rPr>
      </w:pPr>
      <w:r>
        <w:separator/>
      </w:r>
    </w:p>
  </w:endnote>
  <w:endnote w:type="continuationSeparator" w:id="0">
    <w:p w14:paraId="69BF7163" w14:textId="77777777" w:rsidR="0034172D" w:rsidRDefault="0034172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Songti SC">
    <w:panose1 w:val="02010600040101010101"/>
    <w:charset w:val="86"/>
    <w:family w:val="auto"/>
    <w:pitch w:val="variable"/>
    <w:sig w:usb0="00000287" w:usb1="080F0000" w:usb2="00000010" w:usb3="00000000" w:csb0="0004009F" w:csb1="00000000"/>
  </w:font>
  <w:font w:name="Times New Roman">
    <w:panose1 w:val="02020603050405020304"/>
    <w:charset w:val="01"/>
    <w:family w:val="roman"/>
    <w:pitch w:val="variable"/>
    <w:sig w:usb0="E0002EFF" w:usb1="C000785B" w:usb2="00000009" w:usb3="00000000" w:csb0="000001FF" w:csb1="00000000"/>
  </w:font>
  <w:font w:name="OpenSymbol">
    <w:altName w:val="Arial Unicode MS"/>
    <w:panose1 w:val="020B0604020202020204"/>
    <w:charset w:val="01"/>
    <w:family w:val="roman"/>
    <w:pitch w:val="variable"/>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Arial">
    <w:panose1 w:val="020B0604020202020204"/>
    <w:charset w:val="01"/>
    <w:family w:val="swiss"/>
    <w:pitch w:val="variable"/>
    <w:sig w:usb0="E0002AFF" w:usb1="C0007843" w:usb2="00000009" w:usb3="00000000" w:csb0="000001FF" w:csb1="00000000"/>
  </w:font>
  <w:font w:name="0">
    <w:altName w:val="Cambria"/>
    <w:panose1 w:val="020B0604020202020204"/>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A4866" w14:textId="77777777" w:rsidR="0034172D" w:rsidRDefault="0034172D">
      <w:pPr>
        <w:rPr>
          <w:rFonts w:hint="eastAsia"/>
          <w:sz w:val="12"/>
        </w:rPr>
      </w:pPr>
      <w:r>
        <w:separator/>
      </w:r>
    </w:p>
  </w:footnote>
  <w:footnote w:type="continuationSeparator" w:id="0">
    <w:p w14:paraId="5119CAD0" w14:textId="77777777" w:rsidR="0034172D" w:rsidRDefault="0034172D">
      <w:pPr>
        <w:rPr>
          <w:rFonts w:hint="eastAsia"/>
          <w:sz w:val="12"/>
        </w:rPr>
      </w:pPr>
      <w:r>
        <w:continuationSeparator/>
      </w:r>
    </w:p>
  </w:footnote>
  <w:footnote w:id="1">
    <w:p w14:paraId="30E65CE3" w14:textId="77777777" w:rsidR="00584C8E"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David G. </w:t>
      </w:r>
      <w:r w:rsidRPr="00BF611F">
        <w:rPr>
          <w:rFonts w:ascii="Arial" w:hAnsi="Arial" w:cs="Arial" w:hint="cs"/>
          <w:color w:val="000000"/>
          <w:sz w:val="18"/>
          <w:szCs w:val="18"/>
          <w:shd w:val="clear" w:color="auto" w:fill="FFFFFF"/>
        </w:rPr>
        <w:t xml:space="preserve">Horrell, ‘Whither Social-Scientific Approaches to New Testament interpretation? Reflections on Contested Methodologies and the Future.’ </w:t>
      </w:r>
      <w:r w:rsidRPr="00BF611F">
        <w:rPr>
          <w:rFonts w:ascii="Arial" w:hAnsi="Arial" w:cs="Arial" w:hint="cs"/>
          <w:i/>
          <w:iCs/>
          <w:color w:val="000000"/>
          <w:sz w:val="18"/>
          <w:szCs w:val="18"/>
          <w:shd w:val="clear" w:color="auto" w:fill="FFFFFF"/>
        </w:rPr>
        <w:t xml:space="preserve">After the First Urban Christians: The Social-Scientific Study of Pauline Christianity Twenty-Five Years Later </w:t>
      </w:r>
      <w:r w:rsidRPr="00BF611F">
        <w:rPr>
          <w:rFonts w:ascii="Arial" w:hAnsi="Arial" w:cs="Arial" w:hint="cs"/>
          <w:color w:val="000000"/>
          <w:sz w:val="18"/>
          <w:szCs w:val="18"/>
          <w:shd w:val="clear" w:color="auto" w:fill="FFFFFF"/>
        </w:rPr>
        <w:t>(Continuum:New York, 2009), p. 6.</w:t>
      </w:r>
    </w:p>
  </w:footnote>
  <w:footnote w:id="2">
    <w:p w14:paraId="10862B36"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Philip Francis Esler, ‘Social-scientific models in biblical interpretation.’ in </w:t>
      </w:r>
      <w:r w:rsidRPr="00BF611F">
        <w:rPr>
          <w:rFonts w:ascii="Arial" w:hAnsi="Arial" w:cs="Arial" w:hint="cs"/>
          <w:i/>
          <w:iCs/>
          <w:color w:val="000000"/>
          <w:sz w:val="18"/>
          <w:szCs w:val="18"/>
          <w:shd w:val="clear" w:color="auto" w:fill="FFFFFF"/>
        </w:rPr>
        <w:t xml:space="preserve">Ancient Israel, </w:t>
      </w:r>
      <w:r w:rsidRPr="00BF611F">
        <w:rPr>
          <w:rFonts w:ascii="Arial" w:hAnsi="Arial" w:cs="Arial" w:hint="cs"/>
          <w:color w:val="000000"/>
          <w:sz w:val="18"/>
          <w:szCs w:val="18"/>
          <w:shd w:val="clear" w:color="auto" w:fill="FFFFFF"/>
        </w:rPr>
        <w:t>ed. P.F. Esler (Fortress Press:Minneapolis, 2006), p. 4.</w:t>
      </w:r>
    </w:p>
  </w:footnote>
  <w:footnote w:id="3">
    <w:p w14:paraId="063479AF"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Esler, ‘Social-scientific models in biblical interpretation.’, p. 14.</w:t>
      </w:r>
    </w:p>
  </w:footnote>
  <w:footnote w:id="4">
    <w:p w14:paraId="262CD17E"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Mark </w:t>
      </w:r>
      <w:r w:rsidRPr="00BF611F">
        <w:rPr>
          <w:rFonts w:ascii="Arial" w:hAnsi="Arial" w:cs="Arial" w:hint="cs"/>
          <w:color w:val="000000"/>
          <w:sz w:val="18"/>
          <w:szCs w:val="18"/>
          <w:shd w:val="clear" w:color="auto" w:fill="FFFFFF"/>
        </w:rPr>
        <w:t xml:space="preserve">Sneed, ‘Social Scientific Approach to the Hebrew Bible.’ </w:t>
      </w:r>
      <w:r w:rsidRPr="00BF611F">
        <w:rPr>
          <w:rFonts w:ascii="Arial" w:hAnsi="Arial" w:cs="Arial" w:hint="cs"/>
          <w:i/>
          <w:iCs/>
          <w:color w:val="000000"/>
          <w:sz w:val="18"/>
          <w:szCs w:val="18"/>
          <w:shd w:val="clear" w:color="auto" w:fill="FFFFFF"/>
        </w:rPr>
        <w:t>Religion Compass</w:t>
      </w:r>
      <w:r w:rsidRPr="00BF611F">
        <w:rPr>
          <w:rFonts w:ascii="Arial" w:hAnsi="Arial" w:cs="Arial" w:hint="cs"/>
          <w:color w:val="000000"/>
          <w:sz w:val="18"/>
          <w:szCs w:val="18"/>
          <w:shd w:val="clear" w:color="auto" w:fill="FFFFFF"/>
        </w:rPr>
        <w:t xml:space="preserve"> 2, no.3 (2008), p. 290.</w:t>
      </w:r>
    </w:p>
  </w:footnote>
  <w:footnote w:id="5">
    <w:p w14:paraId="206D9AFA" w14:textId="14B71396"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00B17681" w:rsidRPr="00BF611F">
        <w:rPr>
          <w:rFonts w:ascii="Arial" w:hAnsi="Arial" w:cs="Arial" w:hint="cs"/>
          <w:sz w:val="18"/>
          <w:szCs w:val="18"/>
          <w:shd w:val="clear" w:color="auto" w:fill="FFFFFF"/>
        </w:rPr>
        <w:t xml:space="preserve">Keith W. </w:t>
      </w:r>
      <w:r w:rsidR="00B17681" w:rsidRPr="00BF611F">
        <w:rPr>
          <w:rFonts w:ascii="Arial" w:hAnsi="Arial" w:cs="Arial" w:hint="cs"/>
          <w:color w:val="000000"/>
          <w:sz w:val="18"/>
          <w:szCs w:val="18"/>
          <w:shd w:val="clear" w:color="auto" w:fill="FFFFFF"/>
        </w:rPr>
        <w:t xml:space="preserve">Whitelam, ‘The Quest for the Social World of the Bible.’ in </w:t>
      </w:r>
      <w:r w:rsidR="00B17681" w:rsidRPr="00BF611F">
        <w:rPr>
          <w:rFonts w:ascii="Arial" w:hAnsi="Arial" w:cs="Arial" w:hint="cs"/>
          <w:i/>
          <w:iCs/>
          <w:color w:val="000000"/>
          <w:sz w:val="18"/>
          <w:szCs w:val="18"/>
          <w:shd w:val="clear" w:color="auto" w:fill="FFFFFF"/>
        </w:rPr>
        <w:t xml:space="preserve">The Cambridge companion to biblical interpretation, </w:t>
      </w:r>
      <w:r w:rsidR="00B17681" w:rsidRPr="00BF611F">
        <w:rPr>
          <w:rFonts w:ascii="Arial" w:hAnsi="Arial" w:cs="Arial" w:hint="cs"/>
          <w:color w:val="000000"/>
          <w:sz w:val="18"/>
          <w:szCs w:val="18"/>
          <w:shd w:val="clear" w:color="auto" w:fill="FFFFFF"/>
        </w:rPr>
        <w:t>ed. John Barton (Cambridge University Press, 1998), p.3</w:t>
      </w:r>
      <w:r w:rsidR="00B17681">
        <w:rPr>
          <w:rFonts w:ascii="Arial" w:hAnsi="Arial" w:cs="Arial"/>
          <w:color w:val="000000"/>
          <w:sz w:val="18"/>
          <w:szCs w:val="18"/>
          <w:shd w:val="clear" w:color="auto" w:fill="FFFFFF"/>
        </w:rPr>
        <w:t>9</w:t>
      </w:r>
      <w:r w:rsidR="00B17681" w:rsidRPr="00BF611F">
        <w:rPr>
          <w:rFonts w:ascii="Arial" w:hAnsi="Arial" w:cs="Arial" w:hint="cs"/>
          <w:color w:val="000000"/>
          <w:sz w:val="18"/>
          <w:szCs w:val="18"/>
          <w:shd w:val="clear" w:color="auto" w:fill="FFFFFF"/>
        </w:rPr>
        <w:t>.</w:t>
      </w:r>
    </w:p>
  </w:footnote>
  <w:footnote w:id="6">
    <w:p w14:paraId="27DF383F" w14:textId="67D7B789"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Whitelam, ‘The Quest for the Social World of the Bible.’, p.44.</w:t>
      </w:r>
    </w:p>
  </w:footnote>
  <w:footnote w:id="7">
    <w:p w14:paraId="397D910B" w14:textId="59A8E3A7"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Sneed, ‘Social Scientific Approach to the Hebrew Bible.’, p. 288.</w:t>
      </w:r>
    </w:p>
  </w:footnote>
  <w:footnote w:id="8">
    <w:p w14:paraId="213229C4" w14:textId="5D6CDDB5" w:rsidR="00584C8E" w:rsidRDefault="00000000">
      <w:pPr>
        <w:pStyle w:val="FootnoteText"/>
        <w:rPr>
          <w:rFonts w:hint="eastAsia"/>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Sneed, ‘Social Scientific Approach to the Hebrew Bible.’, pp. 295-6.</w:t>
      </w:r>
    </w:p>
  </w:footnote>
  <w:footnote w:id="9">
    <w:p w14:paraId="1C7904B8"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Aron </w:t>
      </w:r>
      <w:r w:rsidRPr="00BF611F">
        <w:rPr>
          <w:rFonts w:ascii="Arial" w:hAnsi="Arial" w:cs="Arial" w:hint="cs"/>
          <w:color w:val="000000"/>
          <w:sz w:val="18"/>
          <w:szCs w:val="18"/>
          <w:shd w:val="clear" w:color="auto" w:fill="FFFFFF"/>
        </w:rPr>
        <w:t xml:space="preserve">Tillema, ‘The Book of Jonah in Recent Research.’ </w:t>
      </w:r>
      <w:r w:rsidRPr="00BF611F">
        <w:rPr>
          <w:rFonts w:ascii="Arial" w:hAnsi="Arial" w:cs="Arial" w:hint="cs"/>
          <w:i/>
          <w:iCs/>
          <w:color w:val="000000"/>
          <w:sz w:val="18"/>
          <w:szCs w:val="18"/>
          <w:shd w:val="clear" w:color="auto" w:fill="FFFFFF"/>
        </w:rPr>
        <w:t>Currents in Biblical Research</w:t>
      </w:r>
      <w:r w:rsidRPr="00BF611F">
        <w:rPr>
          <w:rFonts w:ascii="Arial" w:hAnsi="Arial" w:cs="Arial" w:hint="cs"/>
          <w:color w:val="000000"/>
          <w:sz w:val="18"/>
          <w:szCs w:val="18"/>
          <w:shd w:val="clear" w:color="auto" w:fill="FFFFFF"/>
        </w:rPr>
        <w:t xml:space="preserve"> 21, no.2 (2023), p. 147.</w:t>
      </w:r>
    </w:p>
  </w:footnote>
  <w:footnote w:id="10">
    <w:p w14:paraId="69B6C961"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w:t>
      </w:r>
      <w:r w:rsidRPr="00BF611F">
        <w:rPr>
          <w:rFonts w:ascii="Arial" w:hAnsi="Arial" w:cs="Arial" w:hint="cs"/>
          <w:color w:val="000000"/>
          <w:sz w:val="18"/>
          <w:szCs w:val="18"/>
          <w:shd w:val="clear" w:color="auto" w:fill="FFFFFF"/>
        </w:rPr>
        <w:t xml:space="preserve">Jennifer M. Matheny, ‘Ruth in recent research.’ </w:t>
      </w:r>
      <w:r w:rsidRPr="00BF611F">
        <w:rPr>
          <w:rFonts w:ascii="Arial" w:hAnsi="Arial" w:cs="Arial" w:hint="cs"/>
          <w:i/>
          <w:iCs/>
          <w:color w:val="000000"/>
          <w:sz w:val="18"/>
          <w:szCs w:val="18"/>
          <w:shd w:val="clear" w:color="auto" w:fill="FFFFFF"/>
        </w:rPr>
        <w:t>Currents in Biblical Research</w:t>
      </w:r>
      <w:r w:rsidRPr="00BF611F">
        <w:rPr>
          <w:rFonts w:ascii="Arial" w:hAnsi="Arial" w:cs="Arial" w:hint="cs"/>
          <w:color w:val="000000"/>
          <w:sz w:val="18"/>
          <w:szCs w:val="18"/>
          <w:shd w:val="clear" w:color="auto" w:fill="FFFFFF"/>
        </w:rPr>
        <w:t xml:space="preserve"> 19, no.1 (2020), p. 9.</w:t>
      </w:r>
    </w:p>
  </w:footnote>
  <w:footnote w:id="11">
    <w:p w14:paraId="24587378" w14:textId="77777777" w:rsidR="00584C8E" w:rsidRPr="00BF611F" w:rsidRDefault="00000000">
      <w:pPr>
        <w:rPr>
          <w:rFonts w:ascii="Arial" w:hAnsi="Arial" w:cs="Arial"/>
          <w:color w:val="000000" w:themeColor="text1"/>
          <w:sz w:val="18"/>
          <w:szCs w:val="18"/>
          <w:shd w:val="clear" w:color="auto" w:fill="FFB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Ter</w:t>
      </w:r>
      <w:r w:rsidRPr="00BF611F">
        <w:rPr>
          <w:rFonts w:ascii="Arial" w:hAnsi="Arial" w:cs="Arial" w:hint="cs"/>
          <w:sz w:val="18"/>
          <w:szCs w:val="18"/>
          <w:shd w:val="clear" w:color="auto" w:fill="FFFFFF"/>
        </w:rPr>
        <w:t xml:space="preserve">ry </w:t>
      </w:r>
      <w:r w:rsidRPr="00BF611F">
        <w:rPr>
          <w:rFonts w:ascii="Arial" w:hAnsi="Arial" w:cs="Arial" w:hint="cs"/>
          <w:color w:val="000000" w:themeColor="text1"/>
          <w:sz w:val="18"/>
          <w:szCs w:val="18"/>
          <w:shd w:val="clear" w:color="auto" w:fill="FFFFFF"/>
        </w:rPr>
        <w:t xml:space="preserve">Giles, and William J. Doan, </w:t>
      </w:r>
      <w:r w:rsidRPr="00BF611F">
        <w:rPr>
          <w:rFonts w:ascii="Arial" w:hAnsi="Arial" w:cs="Arial" w:hint="cs"/>
          <w:i/>
          <w:iCs/>
          <w:color w:val="000000" w:themeColor="text1"/>
          <w:sz w:val="18"/>
          <w:szCs w:val="18"/>
          <w:shd w:val="clear" w:color="auto" w:fill="FFFFFF"/>
        </w:rPr>
        <w:t>The Story of Naomi—The Book of Ruth: From Gender to Politics</w:t>
      </w:r>
      <w:r w:rsidRPr="00BF611F">
        <w:rPr>
          <w:rFonts w:ascii="Arial" w:hAnsi="Arial" w:cs="Arial" w:hint="cs"/>
          <w:color w:val="000000" w:themeColor="text1"/>
          <w:sz w:val="18"/>
          <w:szCs w:val="18"/>
          <w:shd w:val="clear" w:color="auto" w:fill="FFFFFF"/>
        </w:rPr>
        <w:t xml:space="preserve"> (Cascade: Eugene, 2016), pp.5-6. </w:t>
      </w:r>
    </w:p>
  </w:footnote>
  <w:footnote w:id="12">
    <w:p w14:paraId="70528547" w14:textId="77777777" w:rsidR="00584C8E" w:rsidRPr="00BF611F"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J</w:t>
      </w:r>
      <w:r w:rsidRPr="00BF611F">
        <w:rPr>
          <w:rFonts w:ascii="Arial" w:hAnsi="Arial" w:cs="Arial" w:hint="cs"/>
          <w:sz w:val="18"/>
          <w:szCs w:val="18"/>
          <w:shd w:val="clear" w:color="auto" w:fill="FFFFFF"/>
        </w:rPr>
        <w:t xml:space="preserve">eremy </w:t>
      </w:r>
      <w:r w:rsidRPr="00BF611F">
        <w:rPr>
          <w:rFonts w:ascii="Arial" w:hAnsi="Arial" w:cs="Arial" w:hint="cs"/>
          <w:color w:val="000000"/>
          <w:sz w:val="18"/>
          <w:szCs w:val="18"/>
          <w:shd w:val="clear" w:color="auto" w:fill="FFFFFF"/>
        </w:rPr>
        <w:t xml:space="preserve">Schipper, </w:t>
      </w:r>
      <w:r w:rsidRPr="00BF611F">
        <w:rPr>
          <w:rFonts w:ascii="Arial" w:hAnsi="Arial" w:cs="Arial" w:hint="cs"/>
          <w:i/>
          <w:iCs/>
          <w:color w:val="000000"/>
          <w:sz w:val="18"/>
          <w:szCs w:val="18"/>
          <w:shd w:val="clear" w:color="auto" w:fill="FFFFFF"/>
        </w:rPr>
        <w:t>Ruth</w:t>
      </w:r>
      <w:r w:rsidRPr="00BF611F">
        <w:rPr>
          <w:rFonts w:ascii="Arial" w:hAnsi="Arial" w:cs="Arial" w:hint="cs"/>
          <w:color w:val="000000"/>
          <w:sz w:val="18"/>
          <w:szCs w:val="18"/>
          <w:shd w:val="clear" w:color="auto" w:fill="FFFFFF"/>
        </w:rPr>
        <w:t xml:space="preserve"> (Yale University Press:New Haven, 2016), p. 47.</w:t>
      </w:r>
    </w:p>
  </w:footnote>
  <w:footnote w:id="13">
    <w:p w14:paraId="28CFE7F6" w14:textId="3F39E200" w:rsidR="00584C8E" w:rsidRDefault="00000000">
      <w:pPr>
        <w:pStyle w:val="FootnoteText"/>
        <w:rPr>
          <w:rFonts w:ascii="Arial" w:hAnsi="Arial" w:cs="Arial"/>
          <w:sz w:val="18"/>
          <w:szCs w:val="18"/>
          <w:shd w:val="clear" w:color="auto" w:fill="FFFFFF"/>
        </w:rPr>
      </w:pPr>
      <w:r w:rsidRPr="00BF611F">
        <w:rPr>
          <w:rStyle w:val="FootnoteCharacters"/>
          <w:rFonts w:ascii="Arial" w:hAnsi="Arial" w:cs="Arial" w:hint="cs"/>
          <w:sz w:val="18"/>
          <w:szCs w:val="18"/>
        </w:rPr>
        <w:footnoteRef/>
      </w:r>
      <w:r w:rsidR="00BF611F">
        <w:rPr>
          <w:rFonts w:ascii="Arial" w:hAnsi="Arial" w:cs="Arial"/>
          <w:color w:val="000000"/>
          <w:sz w:val="18"/>
          <w:szCs w:val="18"/>
          <w:shd w:val="clear" w:color="auto" w:fill="FFFFFF"/>
        </w:rPr>
        <w:t xml:space="preserve"> </w:t>
      </w:r>
      <w:r w:rsidRPr="00BF611F">
        <w:rPr>
          <w:rFonts w:ascii="Arial" w:hAnsi="Arial" w:cs="Arial" w:hint="cs"/>
          <w:color w:val="000000"/>
          <w:sz w:val="18"/>
          <w:szCs w:val="18"/>
          <w:shd w:val="clear" w:color="auto" w:fill="FFFFFF"/>
        </w:rPr>
        <w:t>Matheny, ‘Ruth in recent research.’, p. 19.</w:t>
      </w:r>
    </w:p>
  </w:footnote>
  <w:footnote w:id="14">
    <w:p w14:paraId="1F592CB9" w14:textId="11C8C7B0" w:rsidR="007238AC" w:rsidRPr="007238AC" w:rsidRDefault="007238AC">
      <w:pPr>
        <w:pStyle w:val="FootnoteText"/>
        <w:rPr>
          <w:rFonts w:hint="eastAsia"/>
        </w:rPr>
      </w:pPr>
      <w:r>
        <w:rPr>
          <w:rStyle w:val="FootnoteReference"/>
          <w:rFonts w:hint="eastAsia"/>
        </w:rPr>
        <w:footnoteRef/>
      </w:r>
      <w:r>
        <w:rPr>
          <w:rFonts w:hint="eastAsia"/>
        </w:rPr>
        <w:t xml:space="preserve"> </w:t>
      </w:r>
      <w:r w:rsidRPr="00BF611F">
        <w:rPr>
          <w:rFonts w:ascii="Arial" w:hAnsi="Arial" w:cs="Arial" w:hint="cs"/>
          <w:color w:val="000000"/>
          <w:sz w:val="18"/>
          <w:szCs w:val="18"/>
          <w:shd w:val="clear" w:color="auto" w:fill="FFFFFF"/>
        </w:rPr>
        <w:t xml:space="preserve">Cynthia R. Chapman, ‘The Field Belonging to Boaz: Creating Kinship through Land, Labor, Food, and Feeding.’ </w:t>
      </w:r>
      <w:r w:rsidRPr="00BF611F">
        <w:rPr>
          <w:rFonts w:ascii="Arial" w:hAnsi="Arial" w:cs="Arial" w:hint="cs"/>
          <w:i/>
          <w:iCs/>
          <w:color w:val="000000"/>
          <w:sz w:val="18"/>
          <w:szCs w:val="18"/>
          <w:shd w:val="clear" w:color="auto" w:fill="FFFFFF"/>
        </w:rPr>
        <w:t>Journal of Biblical Literature</w:t>
      </w:r>
      <w:r w:rsidRPr="00BF611F">
        <w:rPr>
          <w:rFonts w:ascii="Arial" w:hAnsi="Arial" w:cs="Arial" w:hint="cs"/>
          <w:color w:val="000000"/>
          <w:sz w:val="18"/>
          <w:szCs w:val="18"/>
          <w:shd w:val="clear" w:color="auto" w:fill="FFFFFF"/>
        </w:rPr>
        <w:t xml:space="preserve"> 142, no. 3 (2023), p. 43</w:t>
      </w:r>
      <w:r>
        <w:rPr>
          <w:rFonts w:ascii="Arial" w:hAnsi="Arial" w:cs="Arial"/>
          <w:color w:val="000000"/>
          <w:sz w:val="18"/>
          <w:szCs w:val="18"/>
          <w:shd w:val="clear" w:color="auto" w:fill="FFFFFF"/>
        </w:rPr>
        <w:t>4</w:t>
      </w:r>
      <w:r w:rsidRPr="00BF611F">
        <w:rPr>
          <w:rFonts w:ascii="Arial" w:hAnsi="Arial" w:cs="Arial" w:hint="cs"/>
          <w:color w:val="000000"/>
          <w:sz w:val="18"/>
          <w:szCs w:val="18"/>
          <w:shd w:val="clear" w:color="auto" w:fill="FFFFFF"/>
        </w:rPr>
        <w:t>.</w:t>
      </w:r>
    </w:p>
  </w:footnote>
  <w:footnote w:id="15">
    <w:p w14:paraId="4B0282E3" w14:textId="77777777" w:rsidR="00584C8E" w:rsidRPr="00BF611F" w:rsidRDefault="00000000">
      <w:pPr>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James </w:t>
      </w:r>
      <w:r w:rsidRPr="00BF611F">
        <w:rPr>
          <w:rFonts w:ascii="Arial" w:hAnsi="Arial" w:cs="Arial" w:hint="cs"/>
          <w:color w:val="000000"/>
          <w:sz w:val="18"/>
          <w:szCs w:val="18"/>
          <w:shd w:val="clear" w:color="auto" w:fill="FFFFFF"/>
        </w:rPr>
        <w:t xml:space="preserve">Leach, </w:t>
      </w:r>
      <w:r w:rsidRPr="00BF611F">
        <w:rPr>
          <w:rFonts w:ascii="Arial" w:hAnsi="Arial" w:cs="Arial" w:hint="cs"/>
          <w:i/>
          <w:iCs/>
          <w:color w:val="000000"/>
          <w:sz w:val="18"/>
          <w:szCs w:val="18"/>
          <w:shd w:val="clear" w:color="auto" w:fill="FFFFFF"/>
        </w:rPr>
        <w:t xml:space="preserve">Creative Land: Place and Procreation on the Rai Coast of Papua New Guinea </w:t>
      </w:r>
      <w:r w:rsidRPr="00BF611F">
        <w:rPr>
          <w:rFonts w:ascii="Arial" w:hAnsi="Arial" w:cs="Arial" w:hint="cs"/>
          <w:color w:val="000000"/>
          <w:sz w:val="18"/>
          <w:szCs w:val="18"/>
          <w:shd w:val="clear" w:color="auto" w:fill="FFFFFF"/>
        </w:rPr>
        <w:t>(Berghahn:New York, 2003), pp.21-22.</w:t>
      </w:r>
    </w:p>
  </w:footnote>
  <w:footnote w:id="16">
    <w:p w14:paraId="3A6412FC" w14:textId="1E647A08"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Chapman, ‘The Field Belonging to Boaz: Creating Kinship through Land, Labor, Food, and Feeding.</w:t>
      </w:r>
      <w:r w:rsidR="007238AC">
        <w:rPr>
          <w:rFonts w:ascii="Arial" w:hAnsi="Arial" w:cs="Arial"/>
          <w:color w:val="000000"/>
          <w:sz w:val="18"/>
          <w:szCs w:val="18"/>
          <w:shd w:val="clear" w:color="auto" w:fill="FFFFFF"/>
        </w:rPr>
        <w:t>’</w:t>
      </w:r>
      <w:r w:rsidRPr="00BF611F">
        <w:rPr>
          <w:rFonts w:ascii="Arial" w:hAnsi="Arial" w:cs="Arial" w:hint="cs"/>
          <w:color w:val="000000"/>
          <w:sz w:val="18"/>
          <w:szCs w:val="18"/>
          <w:shd w:val="clear" w:color="auto" w:fill="FFFFFF"/>
        </w:rPr>
        <w:t>, p. 431.</w:t>
      </w:r>
    </w:p>
  </w:footnote>
  <w:footnote w:id="17">
    <w:p w14:paraId="2C392331" w14:textId="51C88966" w:rsidR="00584C8E"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Chapman, ‘The Field Belonging to Boaz: Creating Kinship through Land, Labor, Food, and Feeding.’, p. 439.</w:t>
      </w:r>
    </w:p>
  </w:footnote>
  <w:footnote w:id="18">
    <w:p w14:paraId="2707D9E1" w14:textId="154BE5B9" w:rsidR="00584C8E" w:rsidRDefault="00000000">
      <w:pPr>
        <w:pStyle w:val="FootnoteText"/>
        <w:rPr>
          <w:rFonts w:ascii="Arial" w:hAnsi="Arial" w:cs="Arial"/>
          <w:sz w:val="18"/>
          <w:szCs w:val="18"/>
        </w:rPr>
      </w:pPr>
      <w:r>
        <w:rPr>
          <w:rStyle w:val="FootnoteCharacters"/>
        </w:rPr>
        <w:footnoteRef/>
      </w:r>
      <w:r>
        <w:rPr>
          <w:rFonts w:ascii="Arial" w:hAnsi="Arial" w:cs="Arial"/>
          <w:sz w:val="18"/>
          <w:szCs w:val="18"/>
        </w:rPr>
        <w:t xml:space="preserve"> </w:t>
      </w:r>
      <w:r>
        <w:rPr>
          <w:rFonts w:ascii="Arial" w:hAnsi="Arial" w:cs="Arial"/>
          <w:color w:val="000000"/>
          <w:sz w:val="18"/>
          <w:szCs w:val="18"/>
          <w:shd w:val="clear" w:color="auto" w:fill="FFFFFF"/>
        </w:rPr>
        <w:t>Chapman, ‘The Field Belonging to Boaz: Creating Kinship through Land, Labor, Food, and Feeding.’, p. 438.</w:t>
      </w:r>
    </w:p>
  </w:footnote>
  <w:footnote w:id="19">
    <w:p w14:paraId="733E66B9" w14:textId="2473476C"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Matheny, ‘Ruth in recent research.’, p. 9.</w:t>
      </w:r>
    </w:p>
  </w:footnote>
  <w:footnote w:id="20">
    <w:p w14:paraId="63D31651" w14:textId="2CAF994E" w:rsidR="00BF611F" w:rsidRPr="00BF611F" w:rsidRDefault="00BF611F">
      <w:pPr>
        <w:pStyle w:val="FootnoteText"/>
        <w:rPr>
          <w:rFonts w:ascii="Arial" w:hAnsi="Arial" w:cs="Arial"/>
          <w:sz w:val="18"/>
          <w:szCs w:val="18"/>
          <w:lang w:val="en-US"/>
        </w:rPr>
      </w:pPr>
      <w:r w:rsidRPr="00BF611F">
        <w:rPr>
          <w:rStyle w:val="FootnoteReference"/>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Schipper, </w:t>
      </w:r>
      <w:r w:rsidRPr="00BF611F">
        <w:rPr>
          <w:rFonts w:ascii="Arial" w:hAnsi="Arial" w:cs="Arial" w:hint="cs"/>
          <w:i/>
          <w:iCs/>
          <w:color w:val="000000"/>
          <w:sz w:val="18"/>
          <w:szCs w:val="18"/>
          <w:shd w:val="clear" w:color="auto" w:fill="FFFFFF"/>
        </w:rPr>
        <w:t>Ruth</w:t>
      </w:r>
      <w:r w:rsidRPr="00BF611F">
        <w:rPr>
          <w:rFonts w:ascii="Arial" w:hAnsi="Arial" w:cs="Arial" w:hint="cs"/>
          <w:color w:val="000000"/>
          <w:sz w:val="18"/>
          <w:szCs w:val="18"/>
          <w:shd w:val="clear" w:color="auto" w:fill="FFFFFF"/>
        </w:rPr>
        <w:t>, pp. 21-22.</w:t>
      </w:r>
    </w:p>
  </w:footnote>
  <w:footnote w:id="21">
    <w:p w14:paraId="3BF7CD2E" w14:textId="77777777" w:rsidR="00584C8E"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Rupert </w:t>
      </w:r>
      <w:r w:rsidRPr="00BF611F">
        <w:rPr>
          <w:rFonts w:ascii="Arial" w:hAnsi="Arial" w:cs="Arial" w:hint="cs"/>
          <w:color w:val="000000"/>
          <w:sz w:val="18"/>
          <w:szCs w:val="18"/>
          <w:shd w:val="clear" w:color="auto" w:fill="FFFFFF"/>
        </w:rPr>
        <w:t xml:space="preserve">Brown, ‘Social identity theory: Past achievements, current problems and future challenges.’ </w:t>
      </w:r>
      <w:r w:rsidRPr="00BF611F">
        <w:rPr>
          <w:rFonts w:ascii="Arial" w:hAnsi="Arial" w:cs="Arial" w:hint="cs"/>
          <w:i/>
          <w:iCs/>
          <w:color w:val="000000"/>
          <w:sz w:val="18"/>
          <w:szCs w:val="18"/>
          <w:shd w:val="clear" w:color="auto" w:fill="FFFFFF"/>
        </w:rPr>
        <w:t>European journal of social psychology</w:t>
      </w:r>
      <w:r w:rsidRPr="00BF611F">
        <w:rPr>
          <w:rFonts w:ascii="Arial" w:hAnsi="Arial" w:cs="Arial" w:hint="cs"/>
          <w:color w:val="000000"/>
          <w:sz w:val="18"/>
          <w:szCs w:val="18"/>
          <w:shd w:val="clear" w:color="auto" w:fill="FFFFFF"/>
        </w:rPr>
        <w:t xml:space="preserve"> 30, no. 6 (2000), pp. 746-747.</w:t>
      </w:r>
    </w:p>
  </w:footnote>
  <w:footnote w:id="22">
    <w:p w14:paraId="2C872EDC" w14:textId="37D28849"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00BF611F" w:rsidRPr="00BF611F">
        <w:rPr>
          <w:rFonts w:ascii="Arial" w:hAnsi="Arial" w:cs="Arial" w:hint="cs"/>
          <w:sz w:val="18"/>
          <w:szCs w:val="18"/>
        </w:rPr>
        <w:t xml:space="preserve">Walter </w:t>
      </w:r>
      <w:r w:rsidR="00BF611F" w:rsidRPr="00BF611F">
        <w:rPr>
          <w:rFonts w:ascii="Arial" w:hAnsi="Arial" w:cs="Arial" w:hint="cs"/>
          <w:color w:val="000000"/>
          <w:sz w:val="18"/>
          <w:szCs w:val="18"/>
          <w:shd w:val="clear" w:color="auto" w:fill="FFFFFF"/>
        </w:rPr>
        <w:t xml:space="preserve">Brueggemann, ‘On Being Human in the Psalms.’, in </w:t>
      </w:r>
      <w:r w:rsidR="00BF611F" w:rsidRPr="00BF611F">
        <w:rPr>
          <w:rFonts w:ascii="Arial" w:hAnsi="Arial" w:cs="Arial" w:hint="cs"/>
          <w:i/>
          <w:iCs/>
          <w:color w:val="000000"/>
          <w:sz w:val="18"/>
          <w:szCs w:val="18"/>
          <w:shd w:val="clear" w:color="auto" w:fill="FFFFFF"/>
        </w:rPr>
        <w:t>The Oxford handbook of the Psalms</w:t>
      </w:r>
      <w:r w:rsidR="00BF611F" w:rsidRPr="00BF611F">
        <w:rPr>
          <w:rFonts w:ascii="Arial" w:hAnsi="Arial" w:cs="Arial" w:hint="cs"/>
          <w:color w:val="000000"/>
          <w:sz w:val="18"/>
          <w:szCs w:val="18"/>
          <w:shd w:val="clear" w:color="auto" w:fill="FFFFFF"/>
        </w:rPr>
        <w:t>, ed. W.P. Brown (Oxford University Press, 2014), p. 52</w:t>
      </w:r>
      <w:r w:rsidR="00BF611F">
        <w:rPr>
          <w:rFonts w:ascii="Arial" w:hAnsi="Arial" w:cs="Arial"/>
          <w:color w:val="000000"/>
          <w:sz w:val="18"/>
          <w:szCs w:val="18"/>
          <w:shd w:val="clear" w:color="auto" w:fill="FFFFFF"/>
        </w:rPr>
        <w:t>7</w:t>
      </w:r>
      <w:r w:rsidR="00BF611F" w:rsidRPr="00BF611F">
        <w:rPr>
          <w:rFonts w:ascii="Arial" w:hAnsi="Arial" w:cs="Arial" w:hint="cs"/>
          <w:color w:val="000000"/>
          <w:sz w:val="18"/>
          <w:szCs w:val="18"/>
          <w:shd w:val="clear" w:color="auto" w:fill="FFFFFF"/>
        </w:rPr>
        <w:t>.</w:t>
      </w:r>
    </w:p>
  </w:footnote>
  <w:footnote w:id="23">
    <w:p w14:paraId="591D7CE5" w14:textId="3CBF7A8D"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00BF611F" w:rsidRPr="00BF611F">
        <w:rPr>
          <w:rFonts w:ascii="Arial" w:hAnsi="Arial" w:cs="Arial" w:hint="cs"/>
          <w:color w:val="000000"/>
          <w:sz w:val="18"/>
          <w:szCs w:val="18"/>
          <w:shd w:val="clear" w:color="auto" w:fill="FFFFFF"/>
        </w:rPr>
        <w:t>Brueggemann, ‘On Being Human in the Psalms.’, p. 52</w:t>
      </w:r>
      <w:r w:rsidR="00BF611F">
        <w:rPr>
          <w:rFonts w:ascii="Arial" w:hAnsi="Arial" w:cs="Arial"/>
          <w:color w:val="000000"/>
          <w:sz w:val="18"/>
          <w:szCs w:val="18"/>
          <w:shd w:val="clear" w:color="auto" w:fill="FFFFFF"/>
        </w:rPr>
        <w:t>0</w:t>
      </w:r>
      <w:r w:rsidR="00BF611F" w:rsidRPr="00BF611F">
        <w:rPr>
          <w:rFonts w:ascii="Arial" w:hAnsi="Arial" w:cs="Arial" w:hint="cs"/>
          <w:color w:val="000000"/>
          <w:sz w:val="18"/>
          <w:szCs w:val="18"/>
          <w:shd w:val="clear" w:color="auto" w:fill="FFFFFF"/>
        </w:rPr>
        <w:t>.</w:t>
      </w:r>
    </w:p>
  </w:footnote>
  <w:footnote w:id="24">
    <w:p w14:paraId="5B4D4843"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Ryan J. Cook, ‘Social Identity in Crisis: Toward a Theology of the Psalms of Asaph.’ </w:t>
      </w:r>
      <w:r w:rsidRPr="00BF611F">
        <w:rPr>
          <w:rFonts w:ascii="Arial" w:hAnsi="Arial" w:cs="Arial" w:hint="cs"/>
          <w:i/>
          <w:iCs/>
          <w:color w:val="000000"/>
          <w:sz w:val="18"/>
          <w:szCs w:val="18"/>
          <w:shd w:val="clear" w:color="auto" w:fill="FFFFFF"/>
        </w:rPr>
        <w:t>The Asbury Journal</w:t>
      </w:r>
      <w:r w:rsidRPr="00BF611F">
        <w:rPr>
          <w:rFonts w:ascii="Arial" w:hAnsi="Arial" w:cs="Arial" w:hint="cs"/>
          <w:color w:val="000000"/>
          <w:sz w:val="18"/>
          <w:szCs w:val="18"/>
          <w:shd w:val="clear" w:color="auto" w:fill="FFFFFF"/>
        </w:rPr>
        <w:t xml:space="preserve"> 77, no. 2 (2022), p. 260.</w:t>
      </w:r>
    </w:p>
  </w:footnote>
  <w:footnote w:id="25">
    <w:p w14:paraId="3EDA21D5"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Kevin </w:t>
      </w:r>
      <w:r w:rsidRPr="00BF611F">
        <w:rPr>
          <w:rFonts w:ascii="Arial" w:hAnsi="Arial" w:cs="Arial" w:hint="cs"/>
          <w:color w:val="000000"/>
          <w:sz w:val="18"/>
          <w:szCs w:val="18"/>
          <w:shd w:val="clear" w:color="auto" w:fill="FFFFFF"/>
        </w:rPr>
        <w:t xml:space="preserve">Foth, ‘Psalm 74 and social identity.’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47, no. 1 (2022), p. 85.</w:t>
      </w:r>
    </w:p>
  </w:footnote>
  <w:footnote w:id="26">
    <w:p w14:paraId="5150CD02" w14:textId="5CA6D980"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757.</w:t>
      </w:r>
    </w:p>
  </w:footnote>
  <w:footnote w:id="27">
    <w:p w14:paraId="23D59D65" w14:textId="07F2E7C2"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 251.</w:t>
      </w:r>
    </w:p>
  </w:footnote>
  <w:footnote w:id="28">
    <w:p w14:paraId="5503F319" w14:textId="0CB1B24E"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Brueggemann, ‘On Being Human in the Psalms.’, p. 520.</w:t>
      </w:r>
    </w:p>
  </w:footnote>
  <w:footnote w:id="29">
    <w:p w14:paraId="1391E3E5" w14:textId="18120FFD"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 256.</w:t>
      </w:r>
    </w:p>
  </w:footnote>
  <w:footnote w:id="30">
    <w:p w14:paraId="5EE08B8D" w14:textId="07FC127D" w:rsidR="00584C8E" w:rsidRDefault="00000000">
      <w:pPr>
        <w:pStyle w:val="FootnoteText"/>
        <w:rPr>
          <w:rFonts w:hint="eastAsia"/>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pp. 258-9.</w:t>
      </w:r>
    </w:p>
  </w:footnote>
  <w:footnote w:id="31">
    <w:p w14:paraId="67568560" w14:textId="78AD926A"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Brueggemann, ‘On Being Human in the Psalms.’, p. 515.</w:t>
      </w:r>
    </w:p>
  </w:footnote>
  <w:footnote w:id="32">
    <w:p w14:paraId="7D4795F4" w14:textId="1393B091"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764.</w:t>
      </w:r>
    </w:p>
  </w:footnote>
  <w:footnote w:id="33">
    <w:p w14:paraId="3E50A8ED" w14:textId="54E97EB5"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Foth, ‘Psalm 74 and social identity.’, p. 92.</w:t>
      </w:r>
    </w:p>
  </w:footnote>
  <w:footnote w:id="34">
    <w:p w14:paraId="376D6C88" w14:textId="77777777" w:rsidR="00584C8E" w:rsidRDefault="00000000">
      <w:pPr>
        <w:rPr>
          <w:rFonts w:hint="eastAsia"/>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H. Clay Smith, ‘Worship as Social Creativity: Social Identity and the Form of Psalm 79.’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46, no. 4 (2022), p. 524.</w:t>
      </w:r>
    </w:p>
  </w:footnote>
  <w:footnote w:id="35">
    <w:p w14:paraId="7BE96E7A" w14:textId="5B7275AB"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756.</w:t>
      </w:r>
    </w:p>
  </w:footnote>
  <w:footnote w:id="36">
    <w:p w14:paraId="45402CB1" w14:textId="77777777" w:rsidR="00584C8E"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Richa</w:t>
      </w:r>
      <w:r w:rsidRPr="00BF611F">
        <w:rPr>
          <w:rFonts w:ascii="Arial" w:hAnsi="Arial" w:cs="Arial" w:hint="cs"/>
          <w:sz w:val="18"/>
          <w:szCs w:val="18"/>
          <w:shd w:val="clear" w:color="auto" w:fill="FFFFFF"/>
        </w:rPr>
        <w:t xml:space="preserve">rd A. </w:t>
      </w:r>
      <w:r w:rsidRPr="00BF611F">
        <w:rPr>
          <w:rFonts w:ascii="Arial" w:hAnsi="Arial" w:cs="Arial" w:hint="cs"/>
          <w:color w:val="000000"/>
          <w:sz w:val="18"/>
          <w:szCs w:val="18"/>
          <w:shd w:val="clear" w:color="auto" w:fill="FFFFFF"/>
        </w:rPr>
        <w:t xml:space="preserve">Horsley, ‘Feminist scholarship and postcolonial criticism. Subverting imperial discourse and reclaiming submerged histories.’ in </w:t>
      </w:r>
      <w:r w:rsidRPr="00BF611F">
        <w:rPr>
          <w:rFonts w:ascii="Arial" w:hAnsi="Arial" w:cs="Arial" w:hint="cs"/>
          <w:i/>
          <w:iCs/>
          <w:color w:val="000000"/>
          <w:sz w:val="18"/>
          <w:szCs w:val="18"/>
          <w:shd w:val="clear" w:color="auto" w:fill="FFFFFF"/>
        </w:rPr>
        <w:t>Walk in the ways of wisdom</w:t>
      </w:r>
      <w:r w:rsidRPr="00BF611F">
        <w:rPr>
          <w:rFonts w:ascii="Arial" w:hAnsi="Arial" w:cs="Arial" w:hint="cs"/>
          <w:color w:val="000000"/>
          <w:sz w:val="18"/>
          <w:szCs w:val="18"/>
          <w:shd w:val="clear" w:color="auto" w:fill="FFFFFF"/>
        </w:rPr>
        <w:t xml:space="preserve">, eds. </w:t>
      </w:r>
      <w:r w:rsidRPr="00BF611F">
        <w:rPr>
          <w:rFonts w:ascii="Arial" w:hAnsi="Arial" w:cs="Arial" w:hint="cs"/>
          <w:color w:val="222222"/>
          <w:sz w:val="18"/>
          <w:szCs w:val="18"/>
          <w:shd w:val="clear" w:color="auto" w:fill="FFFFFF"/>
        </w:rPr>
        <w:t>Fiorenza, Elisabeth Schüssler, Shelly Matthews, Cynthia Briggs Kittredge, and Melanie Johnson-DeBaufre (A&amp;C Black, 2003), p. 302.</w:t>
      </w:r>
      <w:r>
        <w:rPr>
          <w:rFonts w:ascii="Arial" w:hAnsi="Arial" w:cs="Arial"/>
          <w:color w:val="222222"/>
          <w:sz w:val="18"/>
          <w:szCs w:val="18"/>
          <w:shd w:val="clear" w:color="auto" w:fill="FFFFFF"/>
        </w:rPr>
        <w:t xml:space="preserve"> </w:t>
      </w:r>
    </w:p>
  </w:footnote>
  <w:footnote w:id="37">
    <w:p w14:paraId="61F4FFFA" w14:textId="58128CC6" w:rsidR="00584C8E" w:rsidRPr="00BF611F"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001549A6" w:rsidRPr="00BF611F">
        <w:rPr>
          <w:rFonts w:ascii="Arial" w:hAnsi="Arial" w:cs="Arial" w:hint="cs"/>
          <w:sz w:val="18"/>
          <w:szCs w:val="18"/>
          <w:shd w:val="clear" w:color="auto" w:fill="FFFFFF"/>
        </w:rPr>
        <w:t xml:space="preserve">Yvonne </w:t>
      </w:r>
      <w:r w:rsidR="001549A6" w:rsidRPr="00BF611F">
        <w:rPr>
          <w:rFonts w:ascii="Arial" w:hAnsi="Arial" w:cs="Arial" w:hint="cs"/>
          <w:color w:val="000000"/>
          <w:sz w:val="18"/>
          <w:szCs w:val="18"/>
          <w:shd w:val="clear" w:color="auto" w:fill="FFFFFF"/>
        </w:rPr>
        <w:t xml:space="preserve">Sherwood, </w:t>
      </w:r>
      <w:r w:rsidR="001549A6" w:rsidRPr="00BF611F">
        <w:rPr>
          <w:rFonts w:ascii="Arial" w:hAnsi="Arial" w:cs="Arial" w:hint="cs"/>
          <w:i/>
          <w:iCs/>
          <w:color w:val="000000"/>
          <w:sz w:val="18"/>
          <w:szCs w:val="18"/>
          <w:shd w:val="clear" w:color="auto" w:fill="FFFFFF"/>
        </w:rPr>
        <w:t>A biblical text and its afterlives: The survival of Jonah in western culture</w:t>
      </w:r>
      <w:r w:rsidR="001549A6" w:rsidRPr="00BF611F">
        <w:rPr>
          <w:rFonts w:ascii="Arial" w:hAnsi="Arial" w:cs="Arial" w:hint="cs"/>
          <w:color w:val="000000"/>
          <w:sz w:val="18"/>
          <w:szCs w:val="18"/>
          <w:shd w:val="clear" w:color="auto" w:fill="FFFFFF"/>
        </w:rPr>
        <w:t xml:space="preserve"> (Cambridge University Press, 2000), p.</w:t>
      </w:r>
      <w:r w:rsidR="001549A6">
        <w:rPr>
          <w:rFonts w:ascii="Arial" w:hAnsi="Arial" w:cs="Arial"/>
          <w:color w:val="000000"/>
          <w:sz w:val="18"/>
          <w:szCs w:val="18"/>
          <w:shd w:val="clear" w:color="auto" w:fill="FFFFFF"/>
        </w:rPr>
        <w:t>23</w:t>
      </w:r>
      <w:r w:rsidR="001549A6" w:rsidRPr="00BF611F">
        <w:rPr>
          <w:rFonts w:ascii="Arial" w:hAnsi="Arial" w:cs="Arial" w:hint="cs"/>
          <w:color w:val="000000"/>
          <w:sz w:val="18"/>
          <w:szCs w:val="18"/>
          <w:shd w:val="clear" w:color="auto" w:fill="FFFFFF"/>
        </w:rPr>
        <w:t>.</w:t>
      </w:r>
    </w:p>
  </w:footnote>
  <w:footnote w:id="38">
    <w:p w14:paraId="0F0CFDDA" w14:textId="580241AD"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 xml:space="preserve">Sherwood, </w:t>
      </w:r>
      <w:r w:rsidRPr="00BF611F">
        <w:rPr>
          <w:rFonts w:ascii="Arial" w:hAnsi="Arial" w:cs="Arial" w:hint="cs"/>
          <w:i/>
          <w:iCs/>
          <w:color w:val="000000"/>
          <w:sz w:val="18"/>
          <w:szCs w:val="18"/>
          <w:shd w:val="clear" w:color="auto" w:fill="FFFFFF"/>
        </w:rPr>
        <w:t>A biblical text and its afterlives: The survival of Jonah in western culture</w:t>
      </w:r>
      <w:r w:rsidRPr="00BF611F">
        <w:rPr>
          <w:rFonts w:ascii="Arial" w:hAnsi="Arial" w:cs="Arial" w:hint="cs"/>
          <w:color w:val="000000"/>
          <w:sz w:val="18"/>
          <w:szCs w:val="18"/>
          <w:shd w:val="clear" w:color="auto" w:fill="FFFFFF"/>
        </w:rPr>
        <w:t>, p.27.</w:t>
      </w:r>
    </w:p>
  </w:footnote>
  <w:footnote w:id="39">
    <w:p w14:paraId="00735A7B" w14:textId="77777777" w:rsidR="00584C8E" w:rsidRPr="00BF611F" w:rsidRDefault="00000000">
      <w:pPr>
        <w:pStyle w:val="FootnoteText"/>
        <w:ind w:left="0" w:firstLine="0"/>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Douglas Stuart, </w:t>
      </w:r>
      <w:r w:rsidRPr="00BF611F">
        <w:rPr>
          <w:rFonts w:ascii="Arial" w:hAnsi="Arial" w:cs="Arial" w:hint="cs"/>
          <w:i/>
          <w:iCs/>
          <w:color w:val="000000"/>
          <w:sz w:val="18"/>
          <w:szCs w:val="18"/>
          <w:shd w:val="clear" w:color="auto" w:fill="FFFFFF"/>
        </w:rPr>
        <w:t xml:space="preserve">Hosea-Jonah, Volume 31 </w:t>
      </w:r>
      <w:r w:rsidRPr="00BF611F">
        <w:rPr>
          <w:rFonts w:ascii="Arial" w:hAnsi="Arial" w:cs="Arial" w:hint="cs"/>
          <w:color w:val="000000"/>
          <w:sz w:val="18"/>
          <w:szCs w:val="18"/>
          <w:shd w:val="clear" w:color="auto" w:fill="FFFFFF"/>
        </w:rPr>
        <w:t>(Zondervan Academic, 2017)*</w:t>
      </w:r>
    </w:p>
  </w:footnote>
  <w:footnote w:id="40">
    <w:p w14:paraId="409FA17B" w14:textId="77777777" w:rsidR="00584C8E" w:rsidRDefault="00000000">
      <w:pPr>
        <w:rPr>
          <w:rFonts w:hint="eastAsia"/>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L. Juliana Claassens, ‘Surfing with Jonah: Reading Jonah as a Postcolonial Trauma Narrative.’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45, no.4 (2021), p. 578.</w:t>
      </w:r>
    </w:p>
  </w:footnote>
  <w:footnote w:id="41">
    <w:p w14:paraId="4702B051"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J. </w:t>
      </w:r>
      <w:r w:rsidRPr="00BF611F">
        <w:rPr>
          <w:rFonts w:ascii="Arial" w:hAnsi="Arial" w:cs="Arial" w:hint="cs"/>
          <w:color w:val="000000"/>
          <w:sz w:val="18"/>
          <w:szCs w:val="18"/>
          <w:shd w:val="clear" w:color="auto" w:fill="FFFFFF"/>
        </w:rPr>
        <w:t xml:space="preserve">Havea, ‘Adjusting Jonah.’ </w:t>
      </w:r>
      <w:r w:rsidRPr="00BF611F">
        <w:rPr>
          <w:rFonts w:ascii="Arial" w:hAnsi="Arial" w:cs="Arial" w:hint="cs"/>
          <w:i/>
          <w:iCs/>
          <w:color w:val="000000"/>
          <w:sz w:val="18"/>
          <w:szCs w:val="18"/>
          <w:shd w:val="clear" w:color="auto" w:fill="FFFFFF"/>
        </w:rPr>
        <w:t>International Review of Mission</w:t>
      </w:r>
      <w:r w:rsidRPr="00BF611F">
        <w:rPr>
          <w:rFonts w:ascii="Arial" w:hAnsi="Arial" w:cs="Arial" w:hint="cs"/>
          <w:color w:val="000000"/>
          <w:sz w:val="18"/>
          <w:szCs w:val="18"/>
          <w:shd w:val="clear" w:color="auto" w:fill="FFFFFF"/>
        </w:rPr>
        <w:t xml:space="preserve"> 102 (2016), p. 50.</w:t>
      </w:r>
    </w:p>
  </w:footnote>
  <w:footnote w:id="42">
    <w:p w14:paraId="37F88207" w14:textId="699E6435" w:rsidR="00584C8E" w:rsidRPr="00BF611F" w:rsidRDefault="00000000" w:rsidP="00BF611F">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Chesung Justin Ryu, ‘Silence as Resistance: A Postcolonial Reading of the Silence of Jonah in Jonah 4.1-11.’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34, no. 2 (2009), p.198.</w:t>
      </w:r>
    </w:p>
  </w:footnote>
  <w:footnote w:id="43">
    <w:p w14:paraId="53A11DD5" w14:textId="254CDF75"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 xml:space="preserve">Stuart, </w:t>
      </w:r>
      <w:r w:rsidRPr="00BF611F">
        <w:rPr>
          <w:rFonts w:ascii="Arial" w:hAnsi="Arial" w:cs="Arial" w:hint="cs"/>
          <w:i/>
          <w:iCs/>
          <w:color w:val="000000"/>
          <w:sz w:val="18"/>
          <w:szCs w:val="18"/>
          <w:shd w:val="clear" w:color="auto" w:fill="FFFFFF"/>
        </w:rPr>
        <w:t>Hosea-Jonah, Volume 31*</w:t>
      </w:r>
    </w:p>
  </w:footnote>
  <w:footnote w:id="44">
    <w:p w14:paraId="670265AB"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w:t>
      </w:r>
      <w:r w:rsidRPr="00BF611F">
        <w:rPr>
          <w:rFonts w:ascii="Arial" w:hAnsi="Arial" w:cs="Arial" w:hint="cs"/>
          <w:color w:val="000000"/>
          <w:sz w:val="18"/>
          <w:szCs w:val="18"/>
          <w:shd w:val="clear" w:color="auto" w:fill="FFFFFF"/>
        </w:rPr>
        <w:t>Ryu, ‘Silence as Resistance: A Postcolonial Reading of the Silence of Jonah in Jonah 4.1-11.’, p.207.</w:t>
      </w:r>
    </w:p>
  </w:footnote>
  <w:footnote w:id="45">
    <w:p w14:paraId="62034389" w14:textId="77777777" w:rsidR="00584C8E" w:rsidRDefault="00000000">
      <w:pPr>
        <w:rPr>
          <w:rFonts w:ascii="Arial" w:hAnsi="Arial" w:cs="Arial"/>
          <w:sz w:val="18"/>
          <w:szCs w:val="18"/>
          <w:shd w:val="clear" w:color="auto" w:fill="FFB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sz w:val="18"/>
          <w:szCs w:val="18"/>
          <w:shd w:val="clear" w:color="auto" w:fill="FFFFFF"/>
        </w:rPr>
        <w:t xml:space="preserve">Jina Kang, ‘The Bible in the Korean resistance against the Japanese Empire.’, in </w:t>
      </w:r>
      <w:r w:rsidRPr="00BF611F">
        <w:rPr>
          <w:rFonts w:ascii="Arial" w:hAnsi="Arial" w:cs="Arial" w:hint="cs"/>
          <w:i/>
          <w:iCs/>
          <w:sz w:val="18"/>
          <w:szCs w:val="18"/>
          <w:shd w:val="clear" w:color="auto" w:fill="FFFFFF"/>
        </w:rPr>
        <w:t>The Oxford handbook of Postcolonial Biblical Criticism</w:t>
      </w:r>
      <w:r w:rsidRPr="00BF611F">
        <w:rPr>
          <w:rFonts w:ascii="Arial" w:hAnsi="Arial" w:cs="Arial" w:hint="cs"/>
          <w:sz w:val="18"/>
          <w:szCs w:val="18"/>
          <w:shd w:val="clear" w:color="auto" w:fill="FFFFFF"/>
        </w:rPr>
        <w:t>, ed. R.S. Sugirtharajah (Oxford University Press, 2018), p. 458.</w:t>
      </w:r>
    </w:p>
  </w:footnote>
  <w:footnote w:id="46">
    <w:p w14:paraId="3242C69F" w14:textId="154B0584" w:rsidR="00584C8E" w:rsidRDefault="00000000">
      <w:pPr>
        <w:pStyle w:val="FootnoteText"/>
        <w:rPr>
          <w:rFonts w:ascii="Arial" w:hAnsi="Arial" w:cs="Arial"/>
          <w:sz w:val="18"/>
          <w:szCs w:val="18"/>
          <w:lang w:val="en-US"/>
        </w:rPr>
      </w:pPr>
      <w:r>
        <w:rPr>
          <w:rStyle w:val="FootnoteCharacters"/>
        </w:rPr>
        <w:footnoteRef/>
      </w:r>
      <w:r w:rsidR="00BF611F">
        <w:rPr>
          <w:rFonts w:ascii="Arial" w:hAnsi="Arial" w:cs="Arial"/>
          <w:sz w:val="18"/>
          <w:szCs w:val="18"/>
        </w:rPr>
        <w:t xml:space="preserve"> </w:t>
      </w:r>
      <w:r>
        <w:rPr>
          <w:rFonts w:ascii="Arial" w:hAnsi="Arial" w:cs="Arial"/>
          <w:sz w:val="18"/>
          <w:szCs w:val="18"/>
          <w:shd w:val="clear" w:color="auto" w:fill="FFFFFF"/>
        </w:rPr>
        <w:t>Kang, ‘The Bible in the Korean resistance against the Japanese Empire.’, p. 452.</w:t>
      </w:r>
    </w:p>
  </w:footnote>
  <w:footnote w:id="47">
    <w:p w14:paraId="46CA9229" w14:textId="3B90EC17" w:rsidR="00584C8E" w:rsidRPr="00BF611F" w:rsidRDefault="00000000" w:rsidP="00BF611F">
      <w:pPr>
        <w:pStyle w:val="FootnoteText"/>
        <w:rPr>
          <w:rFonts w:ascii="Arial" w:hAnsi="Arial" w:cs="Arial"/>
          <w:color w:val="000000"/>
          <w:sz w:val="18"/>
          <w:szCs w:val="18"/>
          <w:shd w:val="clear" w:color="auto" w:fill="FFFFFF"/>
        </w:rPr>
      </w:pPr>
      <w:r>
        <w:rPr>
          <w:rStyle w:val="FootnoteCharacters"/>
        </w:rPr>
        <w:footnoteRef/>
      </w:r>
      <w:r w:rsidR="00BF611F">
        <w:rPr>
          <w:rFonts w:ascii="Arial" w:hAnsi="Arial" w:cs="Arial"/>
          <w:sz w:val="18"/>
          <w:szCs w:val="18"/>
        </w:rPr>
        <w:t xml:space="preserve"> </w:t>
      </w:r>
      <w:r>
        <w:rPr>
          <w:rFonts w:ascii="Arial" w:hAnsi="Arial" w:cs="Arial"/>
          <w:color w:val="000000"/>
          <w:sz w:val="18"/>
          <w:szCs w:val="18"/>
          <w:shd w:val="clear" w:color="auto" w:fill="FFFFFF"/>
        </w:rPr>
        <w:t xml:space="preserve">Ryu, ‘Silence as Resistance: A </w:t>
      </w:r>
      <w:r w:rsidR="002F4E2D">
        <w:rPr>
          <w:rFonts w:ascii="Arial" w:hAnsi="Arial" w:cs="Arial"/>
          <w:color w:val="000000"/>
          <w:sz w:val="18"/>
          <w:szCs w:val="18"/>
          <w:shd w:val="clear" w:color="auto" w:fill="FFFFFF"/>
        </w:rPr>
        <w:t>Postcolonial</w:t>
      </w:r>
      <w:r>
        <w:rPr>
          <w:rFonts w:ascii="Arial" w:hAnsi="Arial" w:cs="Arial"/>
          <w:color w:val="000000"/>
          <w:sz w:val="18"/>
          <w:szCs w:val="18"/>
          <w:shd w:val="clear" w:color="auto" w:fill="FFFFFF"/>
        </w:rPr>
        <w:t xml:space="preserve"> Reading of the Silence of Jonah in Jonah 4.1-11.’, p.206.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84C8E"/>
    <w:rsid w:val="000F4609"/>
    <w:rsid w:val="001549A6"/>
    <w:rsid w:val="00170B1A"/>
    <w:rsid w:val="00210B0A"/>
    <w:rsid w:val="002F4E2D"/>
    <w:rsid w:val="0034172D"/>
    <w:rsid w:val="00466E0E"/>
    <w:rsid w:val="00513DCF"/>
    <w:rsid w:val="00584C8E"/>
    <w:rsid w:val="0067701B"/>
    <w:rsid w:val="006B62DD"/>
    <w:rsid w:val="007238AC"/>
    <w:rsid w:val="00853634"/>
    <w:rsid w:val="00B17681"/>
    <w:rsid w:val="00B22DD7"/>
    <w:rsid w:val="00BF611F"/>
    <w:rsid w:val="00C85099"/>
    <w:rsid w:val="00CB21CA"/>
    <w:rsid w:val="00F72FD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A111C0F"/>
  <w15:docId w15:val="{D1FE1246-724D-8F4C-9CAF-4EB6CF22B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rPr>
  </w:style>
  <w:style w:type="paragraph" w:styleId="Heading1">
    <w:name w:val="heading 1"/>
    <w:basedOn w:val="Heading"/>
    <w:next w:val="BodyText"/>
    <w:uiPriority w:val="9"/>
    <w:qFormat/>
    <w:pPr>
      <w:outlineLvl w:val="0"/>
    </w:pPr>
    <w:rPr>
      <w:rFonts w:ascii="Liberation Serif" w:eastAsia="Songti SC" w:hAnsi="Liberation Serif"/>
      <w:b/>
      <w:bCs/>
      <w:sz w:val="48"/>
      <w:szCs w:val="48"/>
    </w:rPr>
  </w:style>
  <w:style w:type="paragraph" w:styleId="Heading2">
    <w:name w:val="heading 2"/>
    <w:basedOn w:val="Heading"/>
    <w:next w:val="BodyText"/>
    <w:uiPriority w:val="9"/>
    <w:unhideWhenUsed/>
    <w:qFormat/>
    <w:pPr>
      <w:spacing w:before="200"/>
      <w:outlineLvl w:val="1"/>
    </w:pPr>
    <w:rPr>
      <w:rFonts w:ascii="Liberation Serif" w:eastAsia="Songti SC" w:hAnsi="Liberation Serif"/>
      <w:b/>
      <w:bCs/>
      <w:sz w:val="36"/>
      <w:szCs w:val="36"/>
    </w:rPr>
  </w:style>
  <w:style w:type="paragraph" w:styleId="Heading3">
    <w:name w:val="heading 3"/>
    <w:basedOn w:val="Heading"/>
    <w:next w:val="BodyText"/>
    <w:qFormat/>
    <w:pPr>
      <w:spacing w:before="140"/>
      <w:outlineLvl w:val="2"/>
    </w:pPr>
    <w:rPr>
      <w:rFonts w:ascii="Liberation Serif" w:eastAsia="Songti SC" w:hAnsi="Liberation Serif"/>
      <w:b/>
      <w:bCs/>
    </w:rPr>
  </w:style>
  <w:style w:type="paragraph" w:styleId="Heading4">
    <w:name w:val="heading 4"/>
    <w:basedOn w:val="Heading"/>
    <w:next w:val="BodyText"/>
    <w:qFormat/>
    <w:pPr>
      <w:spacing w:before="120"/>
      <w:outlineLvl w:val="3"/>
    </w:pPr>
    <w:rPr>
      <w:rFonts w:ascii="Liberation Serif" w:eastAsia="Songti SC" w:hAnsi="Liberation Serif"/>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FootnoteCharacters">
    <w:name w:val="Footnote Characters"/>
    <w:basedOn w:val="DefaultParagraphFont"/>
    <w:uiPriority w:val="99"/>
    <w:semiHidden/>
    <w:unhideWhenUsed/>
    <w:qFormat/>
    <w:rsid w:val="00562492"/>
    <w:rPr>
      <w:vertAlign w:val="superscript"/>
    </w:rPr>
  </w:style>
  <w:style w:type="character" w:customStyle="1" w:styleId="FootnoteAnchor">
    <w:name w:val="Footnote Anchor"/>
    <w:rPr>
      <w:vertAlign w:val="superscript"/>
    </w:rPr>
  </w:style>
  <w:style w:type="character" w:customStyle="1" w:styleId="StrongEmphasis">
    <w:name w:val="Strong Emphasis"/>
    <w:qFormat/>
    <w:rPr>
      <w:b/>
      <w:bCs/>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apple-converted-space">
    <w:name w:val="apple-converted-space"/>
    <w:basedOn w:val="DefaultParagraphFont"/>
    <w:qFormat/>
    <w:rsid w:val="000F75E5"/>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paragraph" w:customStyle="1" w:styleId="western">
    <w:name w:val="western"/>
    <w:basedOn w:val="Normal"/>
    <w:qFormat/>
    <w:rsid w:val="00CC5F22"/>
    <w:pPr>
      <w:suppressAutoHyphens w:val="0"/>
      <w:spacing w:beforeAutospacing="1" w:after="142" w:line="276" w:lineRule="auto"/>
    </w:pPr>
    <w:rPr>
      <w:rFonts w:eastAsia="Times New Roman" w:cs="Times New Roman"/>
      <w:color w:val="000000"/>
      <w:kern w:val="0"/>
      <w:lang w:val="en-KR" w:eastAsia="ko-KR" w:bidi="ar-SA"/>
    </w:rPr>
  </w:style>
  <w:style w:type="paragraph" w:styleId="NormalWeb">
    <w:name w:val="Normal (Web)"/>
    <w:basedOn w:val="Normal"/>
    <w:uiPriority w:val="99"/>
    <w:semiHidden/>
    <w:unhideWhenUsed/>
    <w:qFormat/>
    <w:rsid w:val="00CD4E41"/>
    <w:pPr>
      <w:suppressAutoHyphens w:val="0"/>
      <w:spacing w:beforeAutospacing="1" w:after="142" w:line="276" w:lineRule="auto"/>
    </w:pPr>
    <w:rPr>
      <w:rFonts w:ascii="Times New Roman" w:eastAsia="Times New Roman" w:hAnsi="Times New Roman" w:cs="Times New Roman"/>
      <w:kern w:val="0"/>
      <w:lang w:val="en-KR" w:eastAsia="ko-KR" w:bidi="ar-SA"/>
    </w:rPr>
  </w:style>
  <w:style w:type="character" w:styleId="FootnoteReference">
    <w:name w:val="footnote reference"/>
    <w:basedOn w:val="DefaultParagraphFont"/>
    <w:uiPriority w:val="99"/>
    <w:semiHidden/>
    <w:unhideWhenUsed/>
    <w:rsid w:val="00BF61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2430</TotalTime>
  <Pages>14</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Speirs (2123050)</cp:lastModifiedBy>
  <cp:revision>251</cp:revision>
  <dcterms:created xsi:type="dcterms:W3CDTF">2022-11-12T17:38:00Z</dcterms:created>
  <dcterms:modified xsi:type="dcterms:W3CDTF">2023-12-13T06:58:00Z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