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1CED" w:rsidRDefault="009D7CEB" w:rsidP="002F2119">
      <w:pPr>
        <w:jc w:val="both"/>
        <w:rPr>
          <w:sz w:val="24"/>
          <w:u w:val="single"/>
        </w:rPr>
      </w:pPr>
      <w:r w:rsidRPr="009D7CEB">
        <w:rPr>
          <w:sz w:val="24"/>
          <w:u w:val="single"/>
        </w:rPr>
        <w:t xml:space="preserve">Cultural Identity in Scandinavia, 1300 – 1453: </w:t>
      </w:r>
      <w:r>
        <w:rPr>
          <w:sz w:val="24"/>
          <w:u w:val="single"/>
        </w:rPr>
        <w:t>reflective report of research/analysis</w:t>
      </w:r>
    </w:p>
    <w:p w:rsidR="009D7CEB" w:rsidRDefault="009D7CEB" w:rsidP="002F2119">
      <w:pPr>
        <w:jc w:val="both"/>
        <w:rPr>
          <w:u w:val="single"/>
        </w:rPr>
      </w:pPr>
      <w:r w:rsidRPr="009D7CEB">
        <w:rPr>
          <w:u w:val="single"/>
        </w:rPr>
        <w:t>Basic Themes and Questions</w:t>
      </w:r>
    </w:p>
    <w:p w:rsidR="009D7CEB" w:rsidRDefault="00AB2696" w:rsidP="002F2119">
      <w:pPr>
        <w:jc w:val="both"/>
      </w:pPr>
      <w:r>
        <w:t xml:space="preserve">Although I have had the opportunity to study a wide range of regions and cultures at some depth in connection to their historical context during the three years of my degree, I had come to notice that a number of other cultures had either been mentioned merely in passing, or not at all – despite their significant presence in the medieval world. </w:t>
      </w:r>
      <w:r w:rsidR="00D32E29">
        <w:t xml:space="preserve"> I found Scandinavia, or rather post-Vi</w:t>
      </w:r>
      <w:r w:rsidR="00136D54">
        <w:t>king Scandinavia to be as such</w:t>
      </w:r>
      <w:r w:rsidR="00D32E29">
        <w:t xml:space="preserve"> one of these cultures that had been vastly overlooked by academia</w:t>
      </w:r>
      <w:r w:rsidR="00C74F4E">
        <w:t xml:space="preserve"> in the English-speaking world; the vast majority of resources we have on this subject are translations of works by Northern European scholars, and only since the late-1990s has any serious work by English-speaking scholars been published. This is therefore a relatively new area of research for scholars outside of Northern Europe, to which I hope to contribute to, and in turn, stimulate discussion. </w:t>
      </w:r>
      <w:r w:rsidR="00AC3351">
        <w:t xml:space="preserve"> </w:t>
      </w:r>
    </w:p>
    <w:p w:rsidR="00DD3614" w:rsidRDefault="001703AA" w:rsidP="002F2119">
      <w:pPr>
        <w:jc w:val="both"/>
      </w:pPr>
      <w:r>
        <w:t>The central theme for this dissertation is the notion of cultural identity, specifically how it related to Scandinavia (and to a lesser extent Northern Europe) in the late medieval period.  This means having to decide on a “beginning” and an “end”</w:t>
      </w:r>
      <w:r w:rsidR="002B302B">
        <w:t xml:space="preserve"> point, an issue which is part of the ever-widening debate that is periodization – what is the “late medieval period”, and when does it “end”? </w:t>
      </w:r>
      <w:r w:rsidR="001B7368">
        <w:t xml:space="preserve"> </w:t>
      </w:r>
      <w:r w:rsidR="00E64909">
        <w:t xml:space="preserve">To avoid falling into this trap (to the point where it would become a disruption) I went for a specific timescale of 1300 – 1453, as I felt it was a period that was specific in scope, yet was flexible enough to allow a varied range of research and discussion. </w:t>
      </w:r>
      <w:r w:rsidR="002F2119">
        <w:t xml:space="preserve"> It also bookends the beginning of the fourteenth century and the mid-fifteenth century together rather well, in addition to being a manageable t</w:t>
      </w:r>
      <w:r w:rsidR="00ED24A1">
        <w:t xml:space="preserve">imescale of 150 years; though there will be brief forays into the years before 1300 and 1453 for the sake of continuity, and to gain a sense of development. </w:t>
      </w:r>
    </w:p>
    <w:p w:rsidR="002F2119" w:rsidRDefault="005C4C0D" w:rsidP="002F2119">
      <w:pPr>
        <w:jc w:val="both"/>
      </w:pPr>
      <w:r>
        <w:t xml:space="preserve">In order to discuss the notion of cultural identity, a thorough examination of material culture (i.e. artistic depictions, archaeological finds such as arms/armour, plus economic and socio-political systems in Scandinavia during this period is required – which will include critical discussions of primary source material. </w:t>
      </w:r>
      <w:r w:rsidR="00ED24A1">
        <w:t xml:space="preserve">I have also realised the importance of the viewpoints held by those from neighbouring </w:t>
      </w:r>
      <w:r w:rsidR="00111B7E">
        <w:t>regions</w:t>
      </w:r>
      <w:r w:rsidR="00ED24A1">
        <w:t xml:space="preserve"> to Scandinavia (whether it be by land or sea) </w:t>
      </w:r>
      <w:r w:rsidR="00111B7E">
        <w:t>such as Scotland and the Russian states (specifical</w:t>
      </w:r>
      <w:r w:rsidR="00BB4495">
        <w:t xml:space="preserve">ly Muscovy/Moscow and Novgorod) seeing as they </w:t>
      </w:r>
      <w:r w:rsidR="00DD3614">
        <w:t xml:space="preserve">provide interesting perspectives on </w:t>
      </w:r>
      <w:r w:rsidR="009F361C">
        <w:t>whom</w:t>
      </w:r>
      <w:r w:rsidR="00DD3614">
        <w:t xml:space="preserve"> their Scandinavian neighbours</w:t>
      </w:r>
      <w:r w:rsidR="009F361C">
        <w:t xml:space="preserve"> are</w:t>
      </w:r>
      <w:r w:rsidR="00DD3614">
        <w:t>.  An example of this can be observed in the Novgorod Chronicle (dated to the 1480s)</w:t>
      </w:r>
      <w:r w:rsidR="009F361C">
        <w:t>, which</w:t>
      </w:r>
      <w:r w:rsidR="00DD3614">
        <w:t xml:space="preserve"> goe</w:t>
      </w:r>
      <w:r w:rsidR="00DD5119">
        <w:t xml:space="preserve">s as far to describe Norwegians (during an incursion into the </w:t>
      </w:r>
      <w:r w:rsidR="00F37864">
        <w:t xml:space="preserve">river </w:t>
      </w:r>
      <w:r w:rsidR="00DD5119">
        <w:t xml:space="preserve">Dvina in 1420) </w:t>
      </w:r>
      <w:r w:rsidR="00DD3614">
        <w:t>as opportunistic sea-</w:t>
      </w:r>
      <w:r w:rsidR="009F361C">
        <w:t>faring, church burning raiders – something that could be considered a throwback to their pagan roots.</w:t>
      </w:r>
      <w:r w:rsidR="00823D31">
        <w:rPr>
          <w:rStyle w:val="FootnoteReference"/>
        </w:rPr>
        <w:footnoteReference w:id="1"/>
      </w:r>
      <w:r w:rsidR="009F361C">
        <w:t xml:space="preserve"> </w:t>
      </w:r>
    </w:p>
    <w:p w:rsidR="00175879" w:rsidRDefault="00175879" w:rsidP="002F2119">
      <w:pPr>
        <w:jc w:val="both"/>
      </w:pPr>
      <w:r>
        <w:t>As I began to examine these concepts in detail, a variety of different questions arose, most of which I feel compelled to answer or at least discuss in some capacity. Two questions in particular stood out to me – what is the medieval notion of “statehood”, and what makes up a “state” in the late medieval world? How does this definition differ from those set in the antique/classical and post-medieval world?</w:t>
      </w:r>
      <w:r w:rsidR="00230B2B">
        <w:rPr>
          <w:rStyle w:val="FootnoteReference"/>
        </w:rPr>
        <w:footnoteReference w:id="2"/>
      </w:r>
      <w:r>
        <w:t xml:space="preserve"> </w:t>
      </w:r>
      <w:r w:rsidR="00695992">
        <w:t xml:space="preserve"> The other question at play is admittedly far more influenced by my reaction to the current political climate than it is by research specific to this topic</w:t>
      </w:r>
      <w:r w:rsidR="00287B30">
        <w:t xml:space="preserve">, which is – how do we challenge </w:t>
      </w:r>
      <w:r w:rsidR="00287B30">
        <w:lastRenderedPageBreak/>
        <w:t>the misconceptions (and in turn manipulation of) of medieval history held by those on the far-right? Conversely, how do we approach the subject of medievalism in the age of Trump and hard Brexit</w:t>
      </w:r>
      <w:r w:rsidR="000A4832">
        <w:t xml:space="preserve"> – and make it an inclusive space for those who share an interest</w:t>
      </w:r>
      <w:r w:rsidR="00287B30">
        <w:t>?</w:t>
      </w:r>
    </w:p>
    <w:p w:rsidR="000F0419" w:rsidRDefault="000F0419" w:rsidP="002F2119">
      <w:pPr>
        <w:jc w:val="both"/>
        <w:rPr>
          <w:u w:val="single"/>
        </w:rPr>
      </w:pPr>
      <w:r w:rsidRPr="000F0419">
        <w:rPr>
          <w:u w:val="single"/>
        </w:rPr>
        <w:t>Research Undertaken</w:t>
      </w:r>
    </w:p>
    <w:p w:rsidR="00176CC2" w:rsidRDefault="000F0419" w:rsidP="002F2119">
      <w:pPr>
        <w:jc w:val="both"/>
      </w:pPr>
      <w:r>
        <w:t>Seeing as the core concepts of this project are multifaceted in nature, I decided to adopt a vast range of approaches when it came to undertaking research. This meant, therefore, that I had to go beyond the mere use of secondary source material [books, journal article</w:t>
      </w:r>
      <w:r w:rsidR="00C671F0">
        <w:t>s, conference papers</w:t>
      </w:r>
      <w:r>
        <w:t>] as the principal means of research, and supplement my reading through other means – namely a field trip to Aarhus, Demark</w:t>
      </w:r>
      <w:r w:rsidR="004B6241">
        <w:t>,</w:t>
      </w:r>
      <w:r>
        <w:t xml:space="preserve"> in July and August of</w:t>
      </w:r>
      <w:r w:rsidR="001C274A">
        <w:t xml:space="preserve"> 2017, and the use of other</w:t>
      </w:r>
      <w:r w:rsidR="00EE231E">
        <w:t xml:space="preserve"> medias such as video lectures.</w:t>
      </w:r>
      <w:r w:rsidR="00264809">
        <w:t xml:space="preserve"> I hope to use this varied approach to my advantage, in the sense that it would allow me to create a </w:t>
      </w:r>
      <w:r w:rsidR="00503BE9">
        <w:t>far</w:t>
      </w:r>
      <w:r w:rsidR="00264809">
        <w:t xml:space="preserve"> clearer picture of the arguments that I would like to put forward </w:t>
      </w:r>
      <w:r w:rsidR="00176CC2">
        <w:t>in this dissertation.</w:t>
      </w:r>
    </w:p>
    <w:p w:rsidR="00C50C50" w:rsidRDefault="007D2ED8" w:rsidP="002F2119">
      <w:pPr>
        <w:jc w:val="both"/>
      </w:pPr>
      <w:r>
        <w:t xml:space="preserve">Firstly, I would like to take a moment to discuss the use of secondary source material as a means of researching this topic. After deciding the focus of my dissertation, I decided to begin my research by consulting the texts on the subject that were already available to me in my personal collection – </w:t>
      </w:r>
      <w:r w:rsidR="005146A1">
        <w:t xml:space="preserve">which included both monographs and journal articles, and is currently split between my term-time address in Lampeter, and back at home in Kent. </w:t>
      </w:r>
      <w:r w:rsidR="00506762">
        <w:t xml:space="preserve"> At the core of these texts lies a number of surveys of the period (such as Malcolm Barber’s </w:t>
      </w:r>
      <w:r w:rsidR="00506762">
        <w:rPr>
          <w:i/>
        </w:rPr>
        <w:t>The Two Cities: Medieval Europe</w:t>
      </w:r>
      <w:r w:rsidR="00506762">
        <w:t xml:space="preserve"> </w:t>
      </w:r>
      <w:r w:rsidR="00506762">
        <w:rPr>
          <w:i/>
        </w:rPr>
        <w:t>1050 – 1320</w:t>
      </w:r>
      <w:r w:rsidR="00506762">
        <w:t xml:space="preserve">) and land mark texts on the subject, of which I found the work of Norwegian academic Sverre Bagge to be the most helpful. </w:t>
      </w:r>
      <w:r w:rsidR="00307EF0">
        <w:t xml:space="preserve"> This provided me with a point of contrast to which I could </w:t>
      </w:r>
      <w:r w:rsidR="00B37E3B">
        <w:t xml:space="preserve">therefore </w:t>
      </w:r>
      <w:r w:rsidR="00307EF0">
        <w:t xml:space="preserve">refer to when I delved into texts written by scholars </w:t>
      </w:r>
      <w:r w:rsidR="005E15E3">
        <w:t xml:space="preserve">from outside Northern Europe, particularly in connection to how </w:t>
      </w:r>
      <w:r w:rsidR="00953F92">
        <w:t>Scandinavia’s medieval past</w:t>
      </w:r>
      <w:r w:rsidR="005E15E3">
        <w:t xml:space="preserve"> has been approached by those </w:t>
      </w:r>
      <w:r w:rsidR="000E4F96">
        <w:t xml:space="preserve">from </w:t>
      </w:r>
      <w:r w:rsidR="005E15E3">
        <w:t xml:space="preserve">outside of Northern Europe </w:t>
      </w:r>
      <w:r w:rsidR="000F419B">
        <w:t>compared to</w:t>
      </w:r>
      <w:r w:rsidR="005E15E3">
        <w:t xml:space="preserve"> those who live within it.</w:t>
      </w:r>
      <w:r w:rsidR="00953F92">
        <w:t xml:space="preserve"> </w:t>
      </w:r>
      <w:r w:rsidR="00B37E3B">
        <w:t xml:space="preserve"> </w:t>
      </w:r>
      <w:r w:rsidR="00EE671D">
        <w:t>Conversely, I have begun to expand my reading beyond the use of monographs through the use of academic articles and conference papers, which have allowed me to put my research into a far more specific direction (especially when it comes to examples,</w:t>
      </w:r>
      <w:r w:rsidR="001C2060">
        <w:t xml:space="preserve"> or specialist discussion)  in regards to the content of my dissertation.  In order to access a number of articles from a wide range of publications, I used directories such as JSTOR and Medievalists.net in addition to the library catalogue as a means to getti</w:t>
      </w:r>
      <w:r w:rsidR="00E004F8">
        <w:t>ng the best results as possible.</w:t>
      </w:r>
    </w:p>
    <w:p w:rsidR="00DF1F78" w:rsidRPr="0038171F" w:rsidRDefault="00E004F8" w:rsidP="002F2119">
      <w:pPr>
        <w:jc w:val="both"/>
      </w:pPr>
      <w:r>
        <w:t xml:space="preserve">This was an approach that I also adopted when it came to undertaking research through other medias, to which I found the use of lectures (both digital and in person) to be of particular help – given that  the spoken word can easily put information into a format that is presentable. Though the library catalogue and JSTOR did have links to these resources, the real success lies in </w:t>
      </w:r>
      <w:r w:rsidR="00341A22">
        <w:t xml:space="preserve">the use of sites such as Medievalists.net, and even YouTube which allow users to create an entire community around niche or specialist subjects; this in turn has made research far more accessible to those who need it. </w:t>
      </w:r>
      <w:r w:rsidR="00E21502">
        <w:t xml:space="preserve"> Given that I have an interest in material culture, for example, I have not only been able to find high quality research on this subject, but also now have the means to discuss it with the academics or specialists that have produced it</w:t>
      </w:r>
      <w:r w:rsidR="00174A3E">
        <w:t xml:space="preserve"> – who can then point me in the direction of further research</w:t>
      </w:r>
      <w:r w:rsidR="00E21502">
        <w:t>.</w:t>
      </w:r>
      <w:r w:rsidR="006C27A9">
        <w:t xml:space="preserve"> </w:t>
      </w:r>
      <w:r w:rsidR="00FD1538">
        <w:t>As far as lectures delivered in person go, I have taken an attentive interest in the Death, Dying, and the Macabre [HPHI6002] module (delivered by Erica O’Brien)</w:t>
      </w:r>
      <w:r w:rsidR="0023356F">
        <w:t xml:space="preserve"> as it has provided me with both the additional knowledge and the tools to approach my research, in particula</w:t>
      </w:r>
      <w:r w:rsidR="003B1481">
        <w:t xml:space="preserve">r when it comes to interpreting artistic </w:t>
      </w:r>
      <w:r w:rsidR="00816D2A">
        <w:t>d</w:t>
      </w:r>
      <w:r w:rsidR="003407E9">
        <w:t>epictions and funerary culture</w:t>
      </w:r>
      <w:r w:rsidR="0038171F">
        <w:t xml:space="preserve">. </w:t>
      </w:r>
    </w:p>
    <w:p w:rsidR="00A06E26" w:rsidRDefault="00DC3CC8" w:rsidP="00A06E26">
      <w:pPr>
        <w:jc w:val="both"/>
      </w:pPr>
      <w:r>
        <w:t xml:space="preserve">Secondly, I had decided to supplement my reading with field research (as mentioned previously) – to which an opportunity emerged through my trip to Aarhus, </w:t>
      </w:r>
      <w:r w:rsidR="005E3D97">
        <w:t xml:space="preserve">Denmark in August/July of 2017 – where </w:t>
      </w:r>
      <w:r w:rsidR="005E3D97">
        <w:lastRenderedPageBreak/>
        <w:t xml:space="preserve">the Viking Society (under our external group name “Ceredigion”) and by extension, I, were invited to participate in the </w:t>
      </w:r>
      <w:r w:rsidR="007B0917">
        <w:t>40</w:t>
      </w:r>
      <w:r w:rsidR="007B0917" w:rsidRPr="007B0917">
        <w:rPr>
          <w:vertAlign w:val="superscript"/>
        </w:rPr>
        <w:t>th</w:t>
      </w:r>
      <w:r w:rsidR="007B0917">
        <w:t xml:space="preserve"> annual </w:t>
      </w:r>
      <w:r w:rsidR="005E3D97">
        <w:t>Moesgaard Viking Moot [</w:t>
      </w:r>
      <w:r w:rsidR="005E3D97" w:rsidRPr="005E3D97">
        <w:t>Moesgård Vikingetræf</w:t>
      </w:r>
      <w:r w:rsidR="007B0917">
        <w:t xml:space="preserve">].  This trip lasted over the course of a fortnight, and as </w:t>
      </w:r>
      <w:r w:rsidR="00702533">
        <w:t>such,</w:t>
      </w:r>
      <w:r w:rsidR="007B0917">
        <w:t xml:space="preserve"> I had </w:t>
      </w:r>
      <w:r w:rsidR="00702533">
        <w:t>many opportunities</w:t>
      </w:r>
      <w:r w:rsidR="007B0917">
        <w:t xml:space="preserve"> carry out field research both in the city of Aarhus, and </w:t>
      </w:r>
      <w:r w:rsidR="00D5259D">
        <w:t xml:space="preserve">at the Viking Moot itself. It is important to note here that the Viking Moot lasted approximately a week, which therefore meant that I had another week (which included the days before and after the event) to which I could dedicate to the city of Aarhus. In order to make the most of this opportunity, I spent a significant amount of time </w:t>
      </w:r>
      <w:r w:rsidR="00AD4F7C">
        <w:t>beforehand into looking into the sites/attractions and facilities around the city that would</w:t>
      </w:r>
      <w:r w:rsidR="0010054A">
        <w:t xml:space="preserve"> prove the most effective for my</w:t>
      </w:r>
      <w:r w:rsidR="00AD4F7C">
        <w:t xml:space="preserve"> research. </w:t>
      </w:r>
      <w:r w:rsidR="00D85CC4">
        <w:t>Though I had a limited amount of time available to me, I was still able to visit a vast majority of the sites on my list – Aarhus is a relatively small city, which made accessing these sites and their resources far easier, especially as almost everything was in walking distance of both the bus and train stations.</w:t>
      </w:r>
      <w:r w:rsidR="00A06E26">
        <w:t xml:space="preserve"> I found two sites to be of particular interest to me, as they both were significant to one or more aspects of the dissertation: the Domskirke [Cathedral] and the Moesgaard Museum.  Both of these sites not only enabled to examine various aspects of material culture in close detail (i.e. funerary effigies and brasses in the cathedral), </w:t>
      </w:r>
      <w:r w:rsidR="005E0591">
        <w:t xml:space="preserve">but more importantly to put these objects into their native context. </w:t>
      </w:r>
    </w:p>
    <w:p w:rsidR="005E0591" w:rsidRDefault="003407E9" w:rsidP="00A06E26">
      <w:pPr>
        <w:jc w:val="both"/>
      </w:pPr>
      <w:r>
        <w:t>The Viking Moot, on the other hand, was a far more practical experience given that I was playing a role as an active participant in event – as opposed to “playing” the tourist or spectator (as I had done so in the days leading up to it).</w:t>
      </w:r>
      <w:r w:rsidR="0038171F">
        <w:t xml:space="preserve"> Though I had opportunities to undertake field research, whether it be through discussions with reenactors and academics, or by attending lectures/demonstrations (hosted by academics such as Roland Warzecha and Mikkel Mønsted), </w:t>
      </w:r>
      <w:r w:rsidR="005E3F95">
        <w:t xml:space="preserve">the week consisted of combat training and engaging in large-scale battles for the most part. </w:t>
      </w:r>
      <w:r w:rsidR="00C9381A">
        <w:t xml:space="preserve"> Moesgaard Viking Moot is the largest event of its kind in Western Europe, with more than </w:t>
      </w:r>
      <w:r w:rsidR="000A538C">
        <w:t>1,300-recorded participants in 2017 – which provided me to make new connections with people from across the world, and consolidate existing ones.</w:t>
      </w:r>
      <w:r w:rsidR="00E373FE">
        <w:rPr>
          <w:rStyle w:val="FootnoteReference"/>
        </w:rPr>
        <w:footnoteReference w:id="3"/>
      </w:r>
      <w:r w:rsidR="000A538C">
        <w:t xml:space="preserve"> As a result, I was able to gain some excellent advice/feedback about the direction my dissertation, in addition to gaining a couple of native speakers to which I could use to proofread my work when it comes to use of key terms (i.e. Danish,</w:t>
      </w:r>
      <w:r w:rsidR="004466A2">
        <w:t xml:space="preserve"> Norwegian). These exist in addition to my partner, who is a native Estonian speaker (and has been a great help when it came to interpreting Estonian sources). </w:t>
      </w:r>
    </w:p>
    <w:p w:rsidR="002E30CD" w:rsidRPr="002E30CD" w:rsidRDefault="002E30CD" w:rsidP="00A06E26">
      <w:pPr>
        <w:jc w:val="both"/>
        <w:rPr>
          <w:u w:val="single"/>
        </w:rPr>
      </w:pPr>
      <w:r w:rsidRPr="002E30CD">
        <w:rPr>
          <w:u w:val="single"/>
        </w:rPr>
        <w:t>How has this research improved my understanding of this topic?</w:t>
      </w:r>
    </w:p>
    <w:p w:rsidR="004466A2" w:rsidRDefault="007D2D92" w:rsidP="00A06E26">
      <w:pPr>
        <w:jc w:val="both"/>
      </w:pPr>
      <w:r>
        <w:t>Most importantly</w:t>
      </w:r>
      <w:r w:rsidR="002E30CD">
        <w:t>, it has given me a greater sense of awareness as to the fragile relationships that were present between the Scandinavian states (including Iceland) and their neighbours (i.e. Russia, Estonia, Holy Roman Empire) on both a local and an international scale</w:t>
      </w:r>
      <w:r w:rsidR="00A628B0">
        <w:t>. In addition,</w:t>
      </w:r>
      <w:r w:rsidR="002E30CD">
        <w:t xml:space="preserve"> the presence of </w:t>
      </w:r>
      <w:r w:rsidR="00A628B0">
        <w:t>entities such as the papacy and the Hanseatic</w:t>
      </w:r>
      <w:r w:rsidR="000B48A7">
        <w:t xml:space="preserve"> League</w:t>
      </w:r>
      <w:r w:rsidR="00A628B0">
        <w:t xml:space="preserve"> in Northern Europe, and the role they played in the </w:t>
      </w:r>
      <w:r w:rsidR="00206EFC">
        <w:t>ever-changing</w:t>
      </w:r>
      <w:r w:rsidR="003D3F0C">
        <w:t xml:space="preserve"> northern frontier. </w:t>
      </w:r>
      <w:r w:rsidR="000B48A7">
        <w:t xml:space="preserve"> </w:t>
      </w:r>
      <w:r w:rsidR="00DB34AB">
        <w:t>For example, I was able to gain an insight into how the Kalmar Union, an attempt by the kingdoms of Norway, Sweden, and Denmark, was only able to last for the short period of 1395 – 1437,  despite being built on relatively strong political systems.</w:t>
      </w:r>
      <w:r w:rsidR="00DB34AB">
        <w:rPr>
          <w:rStyle w:val="FootnoteReference"/>
        </w:rPr>
        <w:footnoteReference w:id="4"/>
      </w:r>
      <w:r w:rsidR="002F11BA">
        <w:t xml:space="preserve"> </w:t>
      </w:r>
      <w:r w:rsidR="002F11BA">
        <w:lastRenderedPageBreak/>
        <w:t>Conversely, I have now gained a deeper understanding of as to how forging a distinct cultural identity is important in an increasingly globalised world such as late medieval Europe.</w:t>
      </w:r>
    </w:p>
    <w:p w:rsidR="00FA24D8" w:rsidRDefault="008E46EE" w:rsidP="00A06E26">
      <w:pPr>
        <w:jc w:val="both"/>
      </w:pPr>
      <w:r>
        <w:t xml:space="preserve">Secondly, by participating in Moesgaard Viking Moot, I was able to gain an insight into how important re-enactment shows are as a means of engaging with the past – and in turn the use of re-enactment and living history as a point of engagement between the public, and history as a discipline. Though I had held this sentiment for a while beforehand (as I have already attended shows in the UK/Ireland), to observe how this functions on an international scale has done nothing to support this view further. On a side note, it has also been an excellent insight into how to run shows on a practical level, and I have learnt a number of principles to which I hope to apply in the near future (especially with Lampeter’s second Medieval Day coming up) – to make a better experience for both reenactors, and the public. </w:t>
      </w:r>
    </w:p>
    <w:p w:rsidR="00FA24D8" w:rsidRDefault="00FA24D8">
      <w:r>
        <w:br w:type="page"/>
      </w:r>
    </w:p>
    <w:p w:rsidR="007D2D92" w:rsidRDefault="00FA24D8" w:rsidP="00A06E26">
      <w:pPr>
        <w:jc w:val="both"/>
        <w:rPr>
          <w:u w:val="single"/>
        </w:rPr>
      </w:pPr>
      <w:r w:rsidRPr="00FA24D8">
        <w:rPr>
          <w:u w:val="single"/>
        </w:rPr>
        <w:lastRenderedPageBreak/>
        <w:t>Selected Bibliography</w:t>
      </w:r>
    </w:p>
    <w:p w:rsidR="00FA24D8" w:rsidRDefault="00FA24D8" w:rsidP="00FA24D8">
      <w:pPr>
        <w:jc w:val="both"/>
      </w:pPr>
      <w:r>
        <w:t xml:space="preserve">Bagge, S. 2014. </w:t>
      </w:r>
      <w:proofErr w:type="gramStart"/>
      <w:r w:rsidR="00FB399D">
        <w:t>Cross and</w:t>
      </w:r>
      <w:proofErr w:type="gramEnd"/>
      <w:r w:rsidR="00FB399D">
        <w:t xml:space="preserve"> Scepter: </w:t>
      </w:r>
      <w:r>
        <w:t>The Rise of the Scandinavian Kingdoms from the Vikings to the Reformation (US: Princeton University Press)</w:t>
      </w:r>
    </w:p>
    <w:p w:rsidR="00FA24D8" w:rsidRDefault="00FA24D8" w:rsidP="00FA24D8">
      <w:pPr>
        <w:jc w:val="both"/>
      </w:pPr>
    </w:p>
    <w:p w:rsidR="00FA24D8" w:rsidRDefault="00FA24D8" w:rsidP="00FA24D8">
      <w:pPr>
        <w:jc w:val="both"/>
      </w:pPr>
      <w:r>
        <w:t>Bull, M.G. 2005. Thinking Medieval: An Introduction to the Study of the</w:t>
      </w:r>
      <w:r w:rsidR="00FB399D">
        <w:t xml:space="preserve"> </w:t>
      </w:r>
      <w:proofErr w:type="gramStart"/>
      <w:r w:rsidR="00FB399D">
        <w:t>Middle</w:t>
      </w:r>
      <w:proofErr w:type="gramEnd"/>
      <w:r w:rsidR="00FB399D">
        <w:t xml:space="preserve"> Ages (Basingstoke</w:t>
      </w:r>
      <w:bookmarkStart w:id="0" w:name="_GoBack"/>
      <w:bookmarkEnd w:id="0"/>
      <w:r>
        <w:t>: Palgrave Macmillan)</w:t>
      </w:r>
    </w:p>
    <w:p w:rsidR="00FA24D8" w:rsidRDefault="00FA24D8" w:rsidP="00FA24D8">
      <w:pPr>
        <w:jc w:val="both"/>
      </w:pPr>
    </w:p>
    <w:p w:rsidR="00FA24D8" w:rsidRDefault="00FA24D8" w:rsidP="00FA24D8">
      <w:pPr>
        <w:jc w:val="both"/>
      </w:pPr>
      <w:r>
        <w:t xml:space="preserve">Christiansen, E. 1997. The </w:t>
      </w:r>
      <w:r w:rsidR="00FB399D">
        <w:t>Northern Crusades (London</w:t>
      </w:r>
      <w:r>
        <w:t>: Penguin Books)</w:t>
      </w:r>
    </w:p>
    <w:p w:rsidR="00FA24D8" w:rsidRDefault="00FA24D8" w:rsidP="00FA24D8">
      <w:pPr>
        <w:jc w:val="both"/>
      </w:pPr>
    </w:p>
    <w:p w:rsidR="00FA24D8" w:rsidRDefault="00FA24D8" w:rsidP="00FA24D8">
      <w:pPr>
        <w:jc w:val="both"/>
      </w:pPr>
      <w:r>
        <w:t>Fritz, B. 1996. 'The Building of Castles and the Administration of Sweden', Srednie Veka: Studies on Medieval and Early Modern History, 59</w:t>
      </w:r>
    </w:p>
    <w:p w:rsidR="00FA24D8" w:rsidRDefault="00FA24D8" w:rsidP="00FA24D8">
      <w:pPr>
        <w:jc w:val="both"/>
      </w:pPr>
    </w:p>
    <w:p w:rsidR="00FA24D8" w:rsidRDefault="00FA24D8" w:rsidP="00FA24D8">
      <w:pPr>
        <w:jc w:val="both"/>
      </w:pPr>
      <w:r>
        <w:t>Guenée, B. 1985. States and Rulers in L</w:t>
      </w:r>
      <w:r w:rsidR="00FB399D">
        <w:t>ater Medieval Europe (Oxford</w:t>
      </w:r>
      <w:r>
        <w:t>: Blackwell)</w:t>
      </w:r>
    </w:p>
    <w:p w:rsidR="00FA24D8" w:rsidRDefault="00FA24D8" w:rsidP="00FA24D8">
      <w:pPr>
        <w:jc w:val="both"/>
      </w:pPr>
    </w:p>
    <w:p w:rsidR="00FA24D8" w:rsidRDefault="00FA24D8" w:rsidP="00FA24D8">
      <w:pPr>
        <w:jc w:val="both"/>
      </w:pPr>
      <w:r>
        <w:t xml:space="preserve">Hanning-Thogorsen, S. 2017. Sværd, spyd </w:t>
      </w:r>
      <w:proofErr w:type="gramStart"/>
      <w:r>
        <w:t>og</w:t>
      </w:r>
      <w:proofErr w:type="gramEnd"/>
      <w:r>
        <w:t xml:space="preserve"> skjolde: Verdens største </w:t>
      </w:r>
      <w:r w:rsidR="00FB399D">
        <w:t xml:space="preserve">vikingetræf har 40 års jubilæum </w:t>
      </w:r>
      <w:r>
        <w:t>(</w:t>
      </w:r>
      <w:r w:rsidR="00FB399D" w:rsidRPr="00FB399D">
        <w:t>https://www.dr.dk/nyheder/indland/svaerd-spyd-og-skjolde-verdens-stoerste-vikingetraef-har-40-aars-jubilaeum</w:t>
      </w:r>
      <w:r>
        <w:t>)</w:t>
      </w:r>
      <w:r w:rsidR="00FB399D">
        <w:t>, date accessed: November 16</w:t>
      </w:r>
      <w:r w:rsidR="00FB399D" w:rsidRPr="00FB399D">
        <w:rPr>
          <w:vertAlign w:val="superscript"/>
        </w:rPr>
        <w:t>th</w:t>
      </w:r>
      <w:r w:rsidR="00FB399D">
        <w:t xml:space="preserve"> 2017</w:t>
      </w:r>
    </w:p>
    <w:p w:rsidR="00FA24D8" w:rsidRDefault="00FA24D8" w:rsidP="00FA24D8">
      <w:pPr>
        <w:jc w:val="both"/>
      </w:pPr>
    </w:p>
    <w:p w:rsidR="00FA24D8" w:rsidRDefault="00FA24D8" w:rsidP="00FA24D8">
      <w:pPr>
        <w:jc w:val="both"/>
      </w:pPr>
      <w:r>
        <w:t>Hansen, L.I. 2010. 'Rivalries and Military Confrontations between Norway and Novgorod in the Late Middle Ages', in Imsen, S. (ed.) The Norwegian Domination and the Norse World c.1100 - c.1400 (Norway: Bergen: Fagbokforlaget)</w:t>
      </w:r>
    </w:p>
    <w:p w:rsidR="00FA24D8" w:rsidRDefault="00FA24D8" w:rsidP="00FA24D8">
      <w:pPr>
        <w:jc w:val="both"/>
      </w:pPr>
    </w:p>
    <w:p w:rsidR="00FA24D8" w:rsidRDefault="00FA24D8" w:rsidP="00FA24D8">
      <w:pPr>
        <w:jc w:val="both"/>
      </w:pPr>
      <w:r>
        <w:t xml:space="preserve">LARSON, L.M. 1908. 'The Household of the Norwegian Kings in the Thirteenth Century', </w:t>
      </w:r>
      <w:proofErr w:type="gramStart"/>
      <w:r>
        <w:t>The</w:t>
      </w:r>
      <w:proofErr w:type="gramEnd"/>
      <w:r>
        <w:t xml:space="preserve"> American Historical Review, 13: 459-479</w:t>
      </w:r>
    </w:p>
    <w:p w:rsidR="00FA24D8" w:rsidRDefault="00FA24D8" w:rsidP="00FA24D8">
      <w:pPr>
        <w:jc w:val="both"/>
      </w:pPr>
    </w:p>
    <w:p w:rsidR="00FA24D8" w:rsidRDefault="00FA24D8" w:rsidP="00FA24D8">
      <w:pPr>
        <w:jc w:val="both"/>
      </w:pPr>
      <w:r>
        <w:t>Malcolm Barber. 2004. The Two Cities: Medieval Europe 1050 - 1320 (: Taylor and Francis)</w:t>
      </w:r>
    </w:p>
    <w:p w:rsidR="00FA24D8" w:rsidRDefault="00FA24D8" w:rsidP="00FA24D8">
      <w:pPr>
        <w:jc w:val="both"/>
      </w:pPr>
    </w:p>
    <w:p w:rsidR="00FA24D8" w:rsidRDefault="00FA24D8" w:rsidP="00FA24D8">
      <w:pPr>
        <w:jc w:val="both"/>
      </w:pPr>
      <w:r>
        <w:t>Mitchell, S.A. 1997. 'Nordic Witchcraft in Transition</w:t>
      </w:r>
      <w:r>
        <w:t xml:space="preserve">: </w:t>
      </w:r>
      <w:r>
        <w:t>Impotence, Heresy and Diabolism in 14th-century Bergen', Scandia, 63</w:t>
      </w:r>
    </w:p>
    <w:p w:rsidR="00FA24D8" w:rsidRDefault="00FA24D8" w:rsidP="00FA24D8">
      <w:pPr>
        <w:jc w:val="both"/>
      </w:pPr>
    </w:p>
    <w:p w:rsidR="00FA24D8" w:rsidRDefault="00FA24D8" w:rsidP="00FA24D8">
      <w:pPr>
        <w:jc w:val="both"/>
      </w:pPr>
      <w:r>
        <w:lastRenderedPageBreak/>
        <w:t>Panofsky, E. 1992. Tomb Sculpture: Four Lectures on its Changing Aspects from Ancient Egypt to Bernini (New York: Abrams)</w:t>
      </w:r>
    </w:p>
    <w:p w:rsidR="00FA24D8" w:rsidRDefault="00FA24D8" w:rsidP="00FA24D8">
      <w:pPr>
        <w:jc w:val="both"/>
      </w:pPr>
    </w:p>
    <w:p w:rsidR="00FA24D8" w:rsidRDefault="00FA24D8" w:rsidP="00FA24D8">
      <w:pPr>
        <w:jc w:val="both"/>
      </w:pPr>
      <w:r>
        <w:t xml:space="preserve">Sawyer, B., and P.H. Sawyer. 2003. Medieval </w:t>
      </w:r>
      <w:r w:rsidR="00FB399D">
        <w:t xml:space="preserve">Scandinavia (Minneapolis, Minn.: </w:t>
      </w:r>
      <w:r>
        <w:t>Univ. of Minnesota Press)</w:t>
      </w:r>
    </w:p>
    <w:p w:rsidR="00FA24D8" w:rsidRDefault="00FA24D8" w:rsidP="00FA24D8">
      <w:pPr>
        <w:jc w:val="both"/>
      </w:pPr>
    </w:p>
    <w:p w:rsidR="00FA24D8" w:rsidRPr="00FA24D8" w:rsidRDefault="00FA24D8" w:rsidP="00FA24D8">
      <w:pPr>
        <w:jc w:val="both"/>
      </w:pPr>
      <w:r>
        <w:t xml:space="preserve">Valdez </w:t>
      </w:r>
      <w:proofErr w:type="gramStart"/>
      <w:r>
        <w:t>del</w:t>
      </w:r>
      <w:proofErr w:type="gramEnd"/>
      <w:r>
        <w:t xml:space="preserve"> Alamo, E., and C.S. Pendergast. 2000. Memory and the</w:t>
      </w:r>
      <w:r w:rsidR="00FB399D">
        <w:t xml:space="preserve"> medieval tomb (Aldershot</w:t>
      </w:r>
      <w:r>
        <w:t>: Ashgate)</w:t>
      </w:r>
    </w:p>
    <w:sectPr w:rsidR="00FA24D8" w:rsidRPr="00FA24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3D31" w:rsidRDefault="00823D31" w:rsidP="00823D31">
      <w:pPr>
        <w:spacing w:after="0" w:line="240" w:lineRule="auto"/>
      </w:pPr>
      <w:r>
        <w:separator/>
      </w:r>
    </w:p>
  </w:endnote>
  <w:endnote w:type="continuationSeparator" w:id="0">
    <w:p w:rsidR="00823D31" w:rsidRDefault="00823D31" w:rsidP="00823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3D31" w:rsidRDefault="00823D31" w:rsidP="00823D31">
      <w:pPr>
        <w:spacing w:after="0" w:line="240" w:lineRule="auto"/>
      </w:pPr>
      <w:r>
        <w:separator/>
      </w:r>
    </w:p>
  </w:footnote>
  <w:footnote w:type="continuationSeparator" w:id="0">
    <w:p w:rsidR="00823D31" w:rsidRDefault="00823D31" w:rsidP="00823D31">
      <w:pPr>
        <w:spacing w:after="0" w:line="240" w:lineRule="auto"/>
      </w:pPr>
      <w:r>
        <w:continuationSeparator/>
      </w:r>
    </w:p>
  </w:footnote>
  <w:footnote w:id="1">
    <w:p w:rsidR="00823D31" w:rsidRDefault="00823D31">
      <w:pPr>
        <w:pStyle w:val="FootnoteText"/>
      </w:pPr>
      <w:r>
        <w:rPr>
          <w:rStyle w:val="FootnoteReference"/>
        </w:rPr>
        <w:footnoteRef/>
      </w:r>
      <w:r>
        <w:t xml:space="preserve"> </w:t>
      </w:r>
      <w:r w:rsidR="007A0DF7" w:rsidRPr="007A0DF7">
        <w:t>Hansen, L.I. 2010.</w:t>
      </w:r>
      <w:r w:rsidR="007A0DF7" w:rsidRPr="007A0DF7">
        <w:rPr>
          <w:i/>
          <w:iCs/>
        </w:rPr>
        <w:t> 'Rivalries and Military Confrontations between Norway and Novgorod in the Late Middle Ages'</w:t>
      </w:r>
      <w:r w:rsidR="007A0DF7" w:rsidRPr="007A0DF7">
        <w:t>, in Imsen, S. (ed.)</w:t>
      </w:r>
      <w:r w:rsidR="007A0DF7" w:rsidRPr="007A0DF7">
        <w:rPr>
          <w:i/>
          <w:iCs/>
        </w:rPr>
        <w:t> The Norwegian Domination and the Norse World c.1100 - c.1400</w:t>
      </w:r>
      <w:r w:rsidR="007A0DF7" w:rsidRPr="007A0DF7">
        <w:t> (Norway: Bergen: Fagbokforlaget)</w:t>
      </w:r>
      <w:r w:rsidR="000E6281">
        <w:t>, pp222</w:t>
      </w:r>
      <w:r w:rsidR="007D582E">
        <w:t>.</w:t>
      </w:r>
    </w:p>
  </w:footnote>
  <w:footnote w:id="2">
    <w:p w:rsidR="00230B2B" w:rsidRDefault="00230B2B">
      <w:pPr>
        <w:pStyle w:val="FootnoteText"/>
      </w:pPr>
      <w:r>
        <w:rPr>
          <w:rStyle w:val="FootnoteReference"/>
        </w:rPr>
        <w:footnoteRef/>
      </w:r>
      <w:r>
        <w:t xml:space="preserve"> </w:t>
      </w:r>
      <w:r w:rsidRPr="00230B2B">
        <w:t>Guenée, B. 1985.</w:t>
      </w:r>
      <w:r w:rsidRPr="00230B2B">
        <w:rPr>
          <w:i/>
          <w:iCs/>
        </w:rPr>
        <w:t> States and Rulers in Later Medieval Europe</w:t>
      </w:r>
      <w:r w:rsidRPr="00230B2B">
        <w:t> (Oxford: Blackwell)</w:t>
      </w:r>
      <w:r>
        <w:t>, pp6-12</w:t>
      </w:r>
    </w:p>
  </w:footnote>
  <w:footnote w:id="3">
    <w:p w:rsidR="00E373FE" w:rsidRPr="00E373FE" w:rsidRDefault="00E373FE">
      <w:pPr>
        <w:pStyle w:val="FootnoteText"/>
      </w:pPr>
      <w:r>
        <w:rPr>
          <w:rStyle w:val="FootnoteReference"/>
        </w:rPr>
        <w:footnoteRef/>
      </w:r>
      <w:r>
        <w:t xml:space="preserve"> </w:t>
      </w:r>
      <w:r w:rsidRPr="00E373FE">
        <w:t>Hanning-Thogorsen, S. 2017.</w:t>
      </w:r>
      <w:r w:rsidRPr="00E373FE">
        <w:rPr>
          <w:i/>
          <w:iCs/>
        </w:rPr>
        <w:t xml:space="preserve"> Sværd, spyd </w:t>
      </w:r>
      <w:proofErr w:type="gramStart"/>
      <w:r w:rsidRPr="00E373FE">
        <w:rPr>
          <w:i/>
          <w:iCs/>
        </w:rPr>
        <w:t>og</w:t>
      </w:r>
      <w:proofErr w:type="gramEnd"/>
      <w:r w:rsidRPr="00E373FE">
        <w:rPr>
          <w:i/>
          <w:iCs/>
        </w:rPr>
        <w:t xml:space="preserve"> skjolde: Verdens største vikingetræf har 40 års jubilæum</w:t>
      </w:r>
      <w:r>
        <w:rPr>
          <w:i/>
          <w:iCs/>
        </w:rPr>
        <w:t xml:space="preserve">, </w:t>
      </w:r>
      <w:r>
        <w:rPr>
          <w:iCs/>
        </w:rPr>
        <w:t>URL: https://www.dr.dk/nyheder/indland/svaerd-spyd-og-skjolde-verdens-stoerste-vikingetraef-har-40-aars-jubilaeum, date accessed: 16</w:t>
      </w:r>
      <w:r w:rsidRPr="00E373FE">
        <w:rPr>
          <w:iCs/>
          <w:vertAlign w:val="superscript"/>
        </w:rPr>
        <w:t>th</w:t>
      </w:r>
      <w:r>
        <w:rPr>
          <w:iCs/>
        </w:rPr>
        <w:t xml:space="preserve"> November 2017.</w:t>
      </w:r>
    </w:p>
  </w:footnote>
  <w:footnote w:id="4">
    <w:p w:rsidR="00DB34AB" w:rsidRDefault="00DB34AB">
      <w:pPr>
        <w:pStyle w:val="FootnoteText"/>
      </w:pPr>
      <w:r>
        <w:rPr>
          <w:rStyle w:val="FootnoteReference"/>
        </w:rPr>
        <w:footnoteRef/>
      </w:r>
      <w:r>
        <w:t xml:space="preserve"> </w:t>
      </w:r>
      <w:r w:rsidRPr="00DB34AB">
        <w:t>Bagge, S. 2014.</w:t>
      </w:r>
      <w:r w:rsidRPr="00DB34AB">
        <w:rPr>
          <w:i/>
          <w:iCs/>
        </w:rPr>
        <w:t> Cross and Scepter:&amp;nbsp;The Rise of the Scandinavian Kingdoms from the Vikings to the Reformation</w:t>
      </w:r>
      <w:r w:rsidRPr="00DB34AB">
        <w:t> (US: Princeton University Press</w:t>
      </w:r>
      <w:r>
        <w:t>, pp160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F54"/>
    <w:rsid w:val="000A4832"/>
    <w:rsid w:val="000A538C"/>
    <w:rsid w:val="000B48A7"/>
    <w:rsid w:val="000E4F96"/>
    <w:rsid w:val="000E6281"/>
    <w:rsid w:val="000F0419"/>
    <w:rsid w:val="000F419B"/>
    <w:rsid w:val="0010054A"/>
    <w:rsid w:val="00111B7E"/>
    <w:rsid w:val="00136D54"/>
    <w:rsid w:val="001703AA"/>
    <w:rsid w:val="00174A3E"/>
    <w:rsid w:val="00175879"/>
    <w:rsid w:val="00176CC2"/>
    <w:rsid w:val="001B7368"/>
    <w:rsid w:val="001C2060"/>
    <w:rsid w:val="001C274A"/>
    <w:rsid w:val="00206EFC"/>
    <w:rsid w:val="00230B2B"/>
    <w:rsid w:val="0023356F"/>
    <w:rsid w:val="00264809"/>
    <w:rsid w:val="00287B30"/>
    <w:rsid w:val="002B302B"/>
    <w:rsid w:val="002E30CD"/>
    <w:rsid w:val="002F11BA"/>
    <w:rsid w:val="002F2119"/>
    <w:rsid w:val="00307EF0"/>
    <w:rsid w:val="003407E9"/>
    <w:rsid w:val="00341A22"/>
    <w:rsid w:val="003672C9"/>
    <w:rsid w:val="0038171F"/>
    <w:rsid w:val="003B1481"/>
    <w:rsid w:val="003D3F0C"/>
    <w:rsid w:val="003F29CC"/>
    <w:rsid w:val="004466A2"/>
    <w:rsid w:val="004B6241"/>
    <w:rsid w:val="00503BE9"/>
    <w:rsid w:val="00506762"/>
    <w:rsid w:val="005146A1"/>
    <w:rsid w:val="00517E48"/>
    <w:rsid w:val="00574452"/>
    <w:rsid w:val="005C4C0D"/>
    <w:rsid w:val="005E0591"/>
    <w:rsid w:val="005E15E3"/>
    <w:rsid w:val="005E3D97"/>
    <w:rsid w:val="005E3F95"/>
    <w:rsid w:val="006654E1"/>
    <w:rsid w:val="00695992"/>
    <w:rsid w:val="006A6E11"/>
    <w:rsid w:val="006C27A9"/>
    <w:rsid w:val="00702533"/>
    <w:rsid w:val="00761A8F"/>
    <w:rsid w:val="007A0DF7"/>
    <w:rsid w:val="007B0917"/>
    <w:rsid w:val="007D2D92"/>
    <w:rsid w:val="007D2ED8"/>
    <w:rsid w:val="007D582E"/>
    <w:rsid w:val="008071E4"/>
    <w:rsid w:val="00816D2A"/>
    <w:rsid w:val="00823D31"/>
    <w:rsid w:val="008A393D"/>
    <w:rsid w:val="008E46EE"/>
    <w:rsid w:val="00935F54"/>
    <w:rsid w:val="00953F92"/>
    <w:rsid w:val="009D7CEB"/>
    <w:rsid w:val="009F361C"/>
    <w:rsid w:val="00A06E26"/>
    <w:rsid w:val="00A472AD"/>
    <w:rsid w:val="00A628B0"/>
    <w:rsid w:val="00AB2696"/>
    <w:rsid w:val="00AC3351"/>
    <w:rsid w:val="00AD4F7C"/>
    <w:rsid w:val="00AF1CED"/>
    <w:rsid w:val="00B37E3B"/>
    <w:rsid w:val="00B93CA4"/>
    <w:rsid w:val="00BB4495"/>
    <w:rsid w:val="00C17492"/>
    <w:rsid w:val="00C50C50"/>
    <w:rsid w:val="00C671F0"/>
    <w:rsid w:val="00C74F4E"/>
    <w:rsid w:val="00C9381A"/>
    <w:rsid w:val="00CB6C76"/>
    <w:rsid w:val="00D32E29"/>
    <w:rsid w:val="00D5259D"/>
    <w:rsid w:val="00D85CC4"/>
    <w:rsid w:val="00DB34AB"/>
    <w:rsid w:val="00DC3CC8"/>
    <w:rsid w:val="00DD3614"/>
    <w:rsid w:val="00DD5119"/>
    <w:rsid w:val="00DF1F78"/>
    <w:rsid w:val="00E004F8"/>
    <w:rsid w:val="00E21502"/>
    <w:rsid w:val="00E373FE"/>
    <w:rsid w:val="00E64909"/>
    <w:rsid w:val="00ED24A1"/>
    <w:rsid w:val="00EE231E"/>
    <w:rsid w:val="00EE671D"/>
    <w:rsid w:val="00F3475D"/>
    <w:rsid w:val="00F37864"/>
    <w:rsid w:val="00FA24D8"/>
    <w:rsid w:val="00FB399D"/>
    <w:rsid w:val="00FD1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D2C4D"/>
  <w15:docId w15:val="{5EE649EF-FDDE-46F0-9915-55F1FEDA5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23D3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23D31"/>
    <w:rPr>
      <w:sz w:val="20"/>
      <w:szCs w:val="20"/>
    </w:rPr>
  </w:style>
  <w:style w:type="character" w:styleId="FootnoteReference">
    <w:name w:val="footnote reference"/>
    <w:basedOn w:val="DefaultParagraphFont"/>
    <w:uiPriority w:val="99"/>
    <w:semiHidden/>
    <w:unhideWhenUsed/>
    <w:rsid w:val="00823D31"/>
    <w:rPr>
      <w:vertAlign w:val="superscript"/>
    </w:rPr>
  </w:style>
  <w:style w:type="character" w:styleId="Hyperlink">
    <w:name w:val="Hyperlink"/>
    <w:basedOn w:val="DefaultParagraphFont"/>
    <w:uiPriority w:val="99"/>
    <w:unhideWhenUsed/>
    <w:rsid w:val="00E373F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95557D-3EEB-4BAE-B94D-8E7537804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6</Pages>
  <Words>2036</Words>
  <Characters>11606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Vincent Hingley (1501141)</cp:lastModifiedBy>
  <cp:revision>38</cp:revision>
  <dcterms:created xsi:type="dcterms:W3CDTF">2017-11-15T21:22:00Z</dcterms:created>
  <dcterms:modified xsi:type="dcterms:W3CDTF">2017-11-17T16:43:00Z</dcterms:modified>
</cp:coreProperties>
</file>