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C82E4D" w:rsidRDefault="00000000">
      <w:pPr>
        <w:spacing w:line="360" w:lineRule="auto"/>
        <w:jc w:val="center"/>
        <w:rPr>
          <w:b/>
          <w:sz w:val="34"/>
          <w:szCs w:val="34"/>
        </w:rPr>
      </w:pPr>
      <w:r>
        <w:rPr>
          <w:b/>
          <w:sz w:val="34"/>
          <w:szCs w:val="34"/>
        </w:rPr>
        <w:t>Assessment 1</w:t>
      </w:r>
    </w:p>
    <w:p w14:paraId="00000002" w14:textId="77777777" w:rsidR="00C82E4D" w:rsidRDefault="00000000">
      <w:pPr>
        <w:spacing w:line="360" w:lineRule="auto"/>
        <w:jc w:val="center"/>
        <w:rPr>
          <w:b/>
          <w:sz w:val="34"/>
          <w:szCs w:val="34"/>
        </w:rPr>
      </w:pPr>
      <w:r>
        <w:rPr>
          <w:b/>
          <w:sz w:val="34"/>
          <w:szCs w:val="34"/>
        </w:rPr>
        <w:t>Community Engagement</w:t>
      </w:r>
    </w:p>
    <w:p w14:paraId="00000003" w14:textId="77777777" w:rsidR="00C82E4D" w:rsidRDefault="00000000">
      <w:pPr>
        <w:spacing w:line="360" w:lineRule="auto"/>
        <w:jc w:val="center"/>
        <w:rPr>
          <w:b/>
          <w:sz w:val="34"/>
          <w:szCs w:val="34"/>
        </w:rPr>
      </w:pPr>
      <w:r>
        <w:rPr>
          <w:b/>
          <w:sz w:val="34"/>
          <w:szCs w:val="34"/>
        </w:rPr>
        <w:t>Task 1: Essay on Community Engagement</w:t>
      </w:r>
    </w:p>
    <w:p w14:paraId="00000004" w14:textId="77777777" w:rsidR="00C82E4D" w:rsidRDefault="00C82E4D">
      <w:pPr>
        <w:spacing w:line="360" w:lineRule="auto"/>
      </w:pPr>
    </w:p>
    <w:p w14:paraId="1C28A718" w14:textId="35F41465" w:rsidR="0027358D" w:rsidRPr="00290C67" w:rsidRDefault="0027358D" w:rsidP="0027358D">
      <w:r>
        <w:t xml:space="preserve">                                                       </w:t>
      </w:r>
      <w:r>
        <w:t>Student</w:t>
      </w:r>
      <w:r w:rsidRPr="00290C67">
        <w:t xml:space="preserve"> name:</w:t>
      </w:r>
      <w:r>
        <w:t xml:space="preserve"> </w:t>
      </w:r>
      <w:proofErr w:type="spellStart"/>
      <w:r>
        <w:t>Ionel</w:t>
      </w:r>
      <w:proofErr w:type="spellEnd"/>
      <w:r>
        <w:t xml:space="preserve"> </w:t>
      </w:r>
      <w:proofErr w:type="spellStart"/>
      <w:r>
        <w:t>Jerca</w:t>
      </w:r>
      <w:proofErr w:type="spellEnd"/>
    </w:p>
    <w:p w14:paraId="5E9F0D4C" w14:textId="77777777" w:rsidR="0027358D" w:rsidRPr="00290C67" w:rsidRDefault="0027358D" w:rsidP="0027358D">
      <w:pPr>
        <w:jc w:val="center"/>
      </w:pPr>
      <w:r>
        <w:t>Student number</w:t>
      </w:r>
      <w:r w:rsidRPr="00290C67">
        <w:t>:</w:t>
      </w:r>
      <w:r>
        <w:t>2123373</w:t>
      </w:r>
    </w:p>
    <w:p w14:paraId="4E92C27D" w14:textId="16CE04B0" w:rsidR="0027358D" w:rsidRDefault="0027358D">
      <w:pPr>
        <w:spacing w:line="360" w:lineRule="auto"/>
      </w:pPr>
      <w:r>
        <w:t xml:space="preserve">                                     </w:t>
      </w:r>
    </w:p>
    <w:p w14:paraId="00000005" w14:textId="54E6C292" w:rsidR="00C82E4D" w:rsidRPr="0027358D" w:rsidRDefault="0027358D">
      <w:pPr>
        <w:spacing w:line="360" w:lineRule="auto"/>
        <w:rPr>
          <w:sz w:val="28"/>
          <w:szCs w:val="28"/>
        </w:rPr>
      </w:pPr>
      <w:r>
        <w:t xml:space="preserve">                                                                                       </w:t>
      </w:r>
    </w:p>
    <w:p w14:paraId="00000006" w14:textId="77777777" w:rsidR="00C82E4D" w:rsidRDefault="00C82E4D">
      <w:pPr>
        <w:spacing w:line="360" w:lineRule="auto"/>
        <w:rPr>
          <w:b/>
        </w:rPr>
      </w:pPr>
    </w:p>
    <w:p w14:paraId="00000007" w14:textId="60AEB31F" w:rsidR="00C82E4D" w:rsidRDefault="00000000">
      <w:pPr>
        <w:pStyle w:val="Heading1"/>
      </w:pPr>
      <w:bookmarkStart w:id="0" w:name="_l9xyx8dttrsq" w:colFirst="0" w:colLast="0"/>
      <w:bookmarkEnd w:id="0"/>
      <w:r>
        <w:br w:type="page"/>
      </w:r>
    </w:p>
    <w:p w14:paraId="00000008" w14:textId="77777777" w:rsidR="00C82E4D" w:rsidRDefault="00000000">
      <w:pPr>
        <w:pStyle w:val="Heading1"/>
      </w:pPr>
      <w:bookmarkStart w:id="1" w:name="_wguw1h6tum6w" w:colFirst="0" w:colLast="0"/>
      <w:bookmarkEnd w:id="1"/>
      <w:r>
        <w:lastRenderedPageBreak/>
        <w:t xml:space="preserve">Introduction: </w:t>
      </w:r>
    </w:p>
    <w:p w14:paraId="00000009" w14:textId="77777777" w:rsidR="00C82E4D" w:rsidRDefault="00000000">
      <w:pPr>
        <w:spacing w:line="360" w:lineRule="auto"/>
      </w:pPr>
      <w:r>
        <w:rPr>
          <w:b/>
          <w:i/>
        </w:rPr>
        <w:t xml:space="preserve">Community engagement </w:t>
      </w:r>
      <w:r>
        <w:t xml:space="preserve">is a method that takes a strategic view of the connections, communication, and interactions that take place between members of a community and an organisation </w:t>
      </w:r>
      <w:proofErr w:type="gramStart"/>
      <w:r>
        <w:t>in an effort to</w:t>
      </w:r>
      <w:proofErr w:type="gramEnd"/>
      <w:r>
        <w:t xml:space="preserve"> affect the results for both parties. The goal of this method is to influence the outcomes in a way that benefits both the organisation and the members of the community. Through a method that is referred to as "</w:t>
      </w:r>
      <w:r>
        <w:rPr>
          <w:b/>
          <w:i/>
        </w:rPr>
        <w:t>community engagement,</w:t>
      </w:r>
      <w:r>
        <w:t xml:space="preserve">" governmental agencies and community organisations often build and maintain partnerships with one another </w:t>
      </w:r>
      <w:proofErr w:type="gramStart"/>
      <w:r>
        <w:t>in an effort to</w:t>
      </w:r>
      <w:proofErr w:type="gramEnd"/>
      <w:r>
        <w:t xml:space="preserve"> better understand and solve the needs and challenges of local communities. The topic of this paper is Community Participation. It will investigate a wide variety of points of view on the problem, as well as the advantages and disadvantages of being involved in one's local community. In this section, not only will one discover critical assessments of how the obstacles influence the possibilities of interacting with stakeholders in a community engagement, but one will also find an exploration of different strategies to connect with members of the community successfully.</w:t>
      </w:r>
    </w:p>
    <w:p w14:paraId="0000000A" w14:textId="77777777" w:rsidR="00C82E4D" w:rsidRDefault="00C82E4D">
      <w:pPr>
        <w:spacing w:line="360" w:lineRule="auto"/>
        <w:rPr>
          <w:b/>
          <w:i/>
        </w:rPr>
      </w:pPr>
    </w:p>
    <w:p w14:paraId="0000000B" w14:textId="77777777" w:rsidR="00C82E4D" w:rsidRDefault="00000000">
      <w:pPr>
        <w:spacing w:line="360" w:lineRule="auto"/>
      </w:pPr>
      <w:r>
        <w:rPr>
          <w:b/>
          <w:i/>
        </w:rPr>
        <w:t xml:space="preserve">Community engagement </w:t>
      </w:r>
      <w:r>
        <w:t>is a strategy for establishing and maintaining partnerships between community organisations and public agencies, with the goal of assisting both parties in better comprehending and responding to the demands and challenges faced by local communities. There are</w:t>
      </w:r>
      <w:r>
        <w:rPr>
          <w:b/>
          <w:i/>
        </w:rPr>
        <w:t xml:space="preserve"> seven standards</w:t>
      </w:r>
      <w:r>
        <w:t xml:space="preserve">, and they are as follows: </w:t>
      </w:r>
      <w:r>
        <w:rPr>
          <w:b/>
          <w:i/>
        </w:rPr>
        <w:t>inclusion, support, planning, the power of working together, methods, communication, and impact.</w:t>
      </w:r>
      <w:r>
        <w:t xml:space="preserve"> Planning and preparation are the cornerstones of community involvement. Make sure that the process's design, organisation, and convening are all in service of the process's stated goal and the requirements of the participants by doing the homework and consulting with them beforehand (ORAU, 2022).</w:t>
      </w:r>
    </w:p>
    <w:p w14:paraId="0000000C" w14:textId="77777777" w:rsidR="00C82E4D" w:rsidRDefault="00000000">
      <w:pPr>
        <w:spacing w:line="360" w:lineRule="auto"/>
      </w:pPr>
      <w:r>
        <w:t xml:space="preserve">The foundations of excellent results and democratic legitimacy rest on the equitable incorporation of various individuals, opinions, ideas, and information. Cooperation and a Common Goal. Inspire and assist people, organisations, and entities in cooperating for the greater benefit. Positivity and Education. Facilitate open dialogue, encourage the testing of hypotheses without attaching too much weight to the results, encourage the acquisition and use of knowledge in ways that provide novel outcomes, and assess the efficacy of community engagement initiatives with great care. Trust and openness. The procedure should be transparent, with a public record of the event's organisers, sponsors, results, and the spectrum of ideas and opinions represented (Den </w:t>
      </w:r>
      <w:proofErr w:type="spellStart"/>
      <w:r>
        <w:t>Broeder</w:t>
      </w:r>
      <w:proofErr w:type="spellEnd"/>
      <w:r>
        <w:t xml:space="preserve"> </w:t>
      </w:r>
      <w:r>
        <w:rPr>
          <w:i/>
        </w:rPr>
        <w:t>et al.</w:t>
      </w:r>
      <w:r>
        <w:t xml:space="preserve"> 2022). Make sure everyone knows how each contribution can help and that they're not wasting their time. </w:t>
      </w:r>
    </w:p>
    <w:p w14:paraId="0000000D" w14:textId="77777777" w:rsidR="00C82E4D" w:rsidRDefault="00000000">
      <w:pPr>
        <w:spacing w:line="360" w:lineRule="auto"/>
      </w:pPr>
      <w:r>
        <w:lastRenderedPageBreak/>
        <w:t>Long-term involvement and a spirit of active citizenship. Encourage active citizenship by establishing systems and practises that foster sustained high-calibre community involvement.</w:t>
      </w:r>
    </w:p>
    <w:p w14:paraId="0000000E" w14:textId="77777777" w:rsidR="00C82E4D" w:rsidRDefault="00000000">
      <w:pPr>
        <w:spacing w:line="360" w:lineRule="auto"/>
      </w:pPr>
      <w:r>
        <w:rPr>
          <w:b/>
          <w:i/>
        </w:rPr>
        <w:t>Firstly</w:t>
      </w:r>
      <w:r>
        <w:t xml:space="preserve">, Direct dialogue with a stakeholder not only helps people understand their position but also yields useful information about the product or the problem at hand, which may provide people with an edge in the market. If one wants to get feedback from every viewpoint, the outreach </w:t>
      </w:r>
      <w:proofErr w:type="gramStart"/>
      <w:r>
        <w:t>has to</w:t>
      </w:r>
      <w:proofErr w:type="gramEnd"/>
      <w:r>
        <w:t xml:space="preserve"> reflect that. There's no telling what new information one could acquire (EH, 2019). </w:t>
      </w:r>
      <w:r>
        <w:rPr>
          <w:b/>
          <w:i/>
        </w:rPr>
        <w:t>Secondly</w:t>
      </w:r>
      <w:r>
        <w:t xml:space="preserve">, in taking Good Decisions, one could rethink their position on a topic after reading about some of the novel viewpoints discussed here. Alternatively, people may find that feedback from their constituents strengthens a choice they have already made. It's always a good idea to look at a subject from many </w:t>
      </w:r>
      <w:proofErr w:type="gramStart"/>
      <w:r>
        <w:t>angles, and</w:t>
      </w:r>
      <w:proofErr w:type="gramEnd"/>
      <w:r>
        <w:t xml:space="preserve"> making the most educated choice possible is the ultimate aim. </w:t>
      </w:r>
      <w:r>
        <w:rPr>
          <w:b/>
          <w:i/>
        </w:rPr>
        <w:t>Thirdly</w:t>
      </w:r>
      <w:r>
        <w:t xml:space="preserve">, </w:t>
      </w:r>
      <w:proofErr w:type="gramStart"/>
      <w:r>
        <w:t>Communicating</w:t>
      </w:r>
      <w:proofErr w:type="gramEnd"/>
      <w:r>
        <w:t xml:space="preserve"> with those who have a vested interest shows that individuals take their input seriously. When individuals work with others, it's easier to earn their respect and loyalty. This is particularly helpful in the aftermath of a crisis when trust </w:t>
      </w:r>
      <w:proofErr w:type="gramStart"/>
      <w:r>
        <w:t>has to</w:t>
      </w:r>
      <w:proofErr w:type="gramEnd"/>
      <w:r>
        <w:t xml:space="preserve"> be rebuilt slowly but surely. One way to do this is to make sure everyone involved feels like they have a voice in the decision-making process. </w:t>
      </w:r>
      <w:r>
        <w:rPr>
          <w:b/>
          <w:i/>
        </w:rPr>
        <w:t>Fourthly</w:t>
      </w:r>
      <w:r>
        <w:t xml:space="preserve">, having productive conversations with stakeholders may help one save both time and money. The statistics demonstrate that organisations which include their stakeholders have a better probability of completing their projects on time and within their allotted budget (BSR, 2019). That savings might come from the reduction of obstacles and the avoidance of unexpected that can hinder the organisation’s operation. </w:t>
      </w:r>
      <w:r>
        <w:rPr>
          <w:b/>
          <w:i/>
        </w:rPr>
        <w:t>Fifthly</w:t>
      </w:r>
      <w:r>
        <w:t xml:space="preserve">, Potential dangers may be identified with the assistance of groups and people before they become serious problems for the project or business. Preventing these hazards also reduces the damage they may cause. </w:t>
      </w:r>
      <w:r>
        <w:rPr>
          <w:b/>
          <w:i/>
        </w:rPr>
        <w:t>Lastly</w:t>
      </w:r>
      <w:r>
        <w:t>, Taking Responsibility and interacting with internal and external stakeholders is essential to bolstering accountability. Keep everyone in the loop on the progress and the goals one has set for themselves. It's important to provide their stakeholders with an update on the progress.</w:t>
      </w:r>
    </w:p>
    <w:p w14:paraId="0000000F" w14:textId="77777777" w:rsidR="00C82E4D" w:rsidRDefault="00000000">
      <w:pPr>
        <w:spacing w:line="360" w:lineRule="auto"/>
      </w:pPr>
      <w:r>
        <w:t>When working to gain the confidence of local communities and other stakeholders, it is essential to maintain open lines of communication and encourage active participation from all parties involved. This is crucial for the development and execution of any programme of sectoral policy. As with any stakeholder engagement process, the first step in identifying community stakeholders is to create a comprehensive list of all potential stakeholders and stakeholder groupings (APM, 2022).</w:t>
      </w:r>
    </w:p>
    <w:p w14:paraId="00000010" w14:textId="77777777" w:rsidR="00C82E4D" w:rsidRDefault="00000000">
      <w:pPr>
        <w:spacing w:line="360" w:lineRule="auto"/>
      </w:pPr>
      <w:r>
        <w:t xml:space="preserve">Vision and goals for future participation may be established by reflecting on existing partnerships. To conduct a successful stakeholder analysis, it is necessary to establish criteria for identifying stakeholders, rank them in importance, and choose appropriate interaction tools. </w:t>
      </w:r>
      <w:proofErr w:type="gramStart"/>
      <w:r>
        <w:lastRenderedPageBreak/>
        <w:t>In order to</w:t>
      </w:r>
      <w:proofErr w:type="gramEnd"/>
      <w:r>
        <w:t xml:space="preserve"> be ready, individuals should centre their strategy, logistics, and ground rules on the long-term objectives. Handle the interaction itself, making sure everyone has a chance to contribute and that tensions are kept to a minimum without losing sight of the big picture.</w:t>
      </w:r>
    </w:p>
    <w:p w14:paraId="00000011" w14:textId="77777777" w:rsidR="00C82E4D" w:rsidRDefault="00000000">
      <w:pPr>
        <w:spacing w:line="360" w:lineRule="auto"/>
      </w:pPr>
      <w:r>
        <w:t xml:space="preserve">Create a plan of action that will allow them to capitalise on the insights gained from feedback, </w:t>
      </w:r>
      <w:proofErr w:type="spellStart"/>
      <w:r>
        <w:t>reevaluate</w:t>
      </w:r>
      <w:proofErr w:type="spellEnd"/>
      <w:r>
        <w:t xml:space="preserve"> the objectives, and organise the next moves for continued involvement. If one doesn't talk to the locals, they can start to mistrust them and become afraid of the initiative. Whether or whether this criticism is warranted, it still reflects the fact that community members who have a little background on the project tend to focus on its potential drawbacks rather than its potential benefits (</w:t>
      </w:r>
      <w:proofErr w:type="spellStart"/>
      <w:r>
        <w:t>Hogeling</w:t>
      </w:r>
      <w:proofErr w:type="spellEnd"/>
      <w:r>
        <w:t xml:space="preserve">, </w:t>
      </w:r>
      <w:proofErr w:type="spellStart"/>
      <w:r>
        <w:t>Vaandrager</w:t>
      </w:r>
      <w:proofErr w:type="spellEnd"/>
      <w:r>
        <w:t xml:space="preserve"> and </w:t>
      </w:r>
      <w:proofErr w:type="spellStart"/>
      <w:r>
        <w:t>Koelen</w:t>
      </w:r>
      <w:proofErr w:type="spellEnd"/>
      <w:r>
        <w:t xml:space="preserve">, 2020). </w:t>
      </w:r>
      <w:r>
        <w:rPr>
          <w:b/>
          <w:i/>
        </w:rPr>
        <w:t>In contrast</w:t>
      </w:r>
      <w:r>
        <w:t>, talking to people who have a stake in the community may help individuals learn more about what people there want and where they might get it. One may then adjust the project accordingly or engage with the community to ensure its approval to meet those demands. In addition, when community leaders are properly involved, they are more likely to see the project as something they helped shape rather than something that was imposed upon them. As a result of this dynamic, they may aid one in gaining support from the rest of their communities or at least provide insight into doing so (Blake and Ngo, 2020).</w:t>
      </w:r>
    </w:p>
    <w:p w14:paraId="00000012" w14:textId="77777777" w:rsidR="00C82E4D" w:rsidRDefault="00000000">
      <w:pPr>
        <w:spacing w:line="360" w:lineRule="auto"/>
      </w:pPr>
      <w:r>
        <w:t xml:space="preserve">Understanding a community and rallying support to enhance health outcomes via social networks The importance of social networks in population dynamics has recently been highlighted in the academic literature. Social networks </w:t>
      </w:r>
      <w:proofErr w:type="gramStart"/>
      <w:r>
        <w:t>have the ability to</w:t>
      </w:r>
      <w:proofErr w:type="gramEnd"/>
      <w:r>
        <w:t xml:space="preserve"> promote collaborative action for health improvement, which has come to the fore with the rise of community-engaged health promotion and research. In addition, the proliferation of online social media has expanded the range of activities that may bring people together in networks. Incorrect "networking," whether in person or online, may hinder rather than promote collaborative efforts rather than help build or maintain a community. Just as the guidelines outlined above should be used for all forms of involvement, so too should they be applied to the usage of social networks (Adebisi, Rabe and Lucero-</w:t>
      </w:r>
      <w:proofErr w:type="spellStart"/>
      <w:r>
        <w:t>Prisno</w:t>
      </w:r>
      <w:proofErr w:type="spellEnd"/>
      <w:r>
        <w:t xml:space="preserve"> III, 2021).</w:t>
      </w:r>
    </w:p>
    <w:p w14:paraId="00000013" w14:textId="77777777" w:rsidR="00C82E4D" w:rsidRDefault="00000000">
      <w:pPr>
        <w:spacing w:line="360" w:lineRule="auto"/>
      </w:pPr>
      <w:r>
        <w:t xml:space="preserve">Here are some simple methods for encouraging public involvement, which may be used to boost participation levels and attract a wider audience via online mode. </w:t>
      </w:r>
      <w:r>
        <w:rPr>
          <w:b/>
          <w:i/>
        </w:rPr>
        <w:t>Firstly, A feeling of urgency</w:t>
      </w:r>
      <w:r>
        <w:t xml:space="preserve"> encourages people to </w:t>
      </w:r>
      <w:proofErr w:type="gramStart"/>
      <w:r>
        <w:t>take action</w:t>
      </w:r>
      <w:proofErr w:type="gramEnd"/>
      <w:r>
        <w:t xml:space="preserve">. Instil a sense of urgency in the marketing messages and call-to-actions by letting customers know that their participation is time-sensitive. There has been "record demand," so one should probably just wait until the final day and see if they can extend the participation time. </w:t>
      </w:r>
      <w:r>
        <w:rPr>
          <w:b/>
          <w:i/>
        </w:rPr>
        <w:t xml:space="preserve">Secondly, </w:t>
      </w:r>
      <w:proofErr w:type="gramStart"/>
      <w:r>
        <w:rPr>
          <w:b/>
          <w:i/>
        </w:rPr>
        <w:t>Maintaining</w:t>
      </w:r>
      <w:proofErr w:type="gramEnd"/>
      <w:r>
        <w:rPr>
          <w:b/>
          <w:i/>
        </w:rPr>
        <w:t xml:space="preserve"> relevance in a hyper-relevant world </w:t>
      </w:r>
      <w:r>
        <w:t xml:space="preserve">is a great idea. Involving individuals in a long-term planning process may be challenging. Linking the work to pressing problems of the present is essential. One transportation-related </w:t>
      </w:r>
      <w:r>
        <w:lastRenderedPageBreak/>
        <w:t>initiative, for instance, may instil a feeling of urgency by connecting itself to the annoyance caused by traffic. For example: "Sick and tired of sitting in traffic?"</w:t>
      </w:r>
    </w:p>
    <w:p w14:paraId="00000014" w14:textId="77777777" w:rsidR="00C82E4D" w:rsidRDefault="00000000">
      <w:pPr>
        <w:spacing w:line="360" w:lineRule="auto"/>
      </w:pPr>
      <w:r>
        <w:rPr>
          <w:b/>
          <w:i/>
        </w:rPr>
        <w:t xml:space="preserve">Thirdly, Promotion of Owned Media and Earned Coverage </w:t>
      </w:r>
      <w:r>
        <w:t>can be done.</w:t>
      </w:r>
      <w:r>
        <w:rPr>
          <w:b/>
          <w:i/>
        </w:rPr>
        <w:t xml:space="preserve"> </w:t>
      </w:r>
      <w:r>
        <w:t xml:space="preserve">The media is always looking for new and interesting material. Get in touch with them and request that they feature the endeavour. People may get game-changing outcomes by connecting with less formal sources, such as local bloggers, rather than spending money on expensive advertisements (Facebook, 2022). </w:t>
      </w:r>
      <w:r>
        <w:rPr>
          <w:b/>
          <w:i/>
        </w:rPr>
        <w:t xml:space="preserve">Fourth, social media can be used as a tool for business. </w:t>
      </w:r>
      <w:r>
        <w:t xml:space="preserve">Engagement with the community, not the number of followers, is what really matters on social media. Successful social media campaigns are the result of persistent work. </w:t>
      </w:r>
      <w:proofErr w:type="gramStart"/>
      <w:r>
        <w:t>Thus</w:t>
      </w:r>
      <w:proofErr w:type="gramEnd"/>
      <w:r>
        <w:t xml:space="preserve"> preparation is key. Dedicate the necessary effort and resources strategically. Social media may be utilised to spread the word about the cause and motivate others to spread the word by word of mouth, even on a tight budget.</w:t>
      </w:r>
      <w:r>
        <w:rPr>
          <w:b/>
          <w:i/>
        </w:rPr>
        <w:t xml:space="preserve"> Fifthly, To Motivate Others, Rewards can be offered </w:t>
      </w:r>
      <w:r>
        <w:t xml:space="preserve">to people based on their participation and engagement rates. Motivating people with rewards may be very successful. Motivate the community to become involved by offering awards and incentives to those who do so. Participation may be increased by offering a tangible incentive, such as an iPad. </w:t>
      </w:r>
      <w:r>
        <w:rPr>
          <w:b/>
          <w:i/>
        </w:rPr>
        <w:t xml:space="preserve">Sixthly, Leaders in the community </w:t>
      </w:r>
      <w:r>
        <w:t xml:space="preserve">and other organisations like theirs have extensive connections. </w:t>
      </w:r>
      <w:proofErr w:type="gramStart"/>
      <w:r>
        <w:t>Make contact with</w:t>
      </w:r>
      <w:proofErr w:type="gramEnd"/>
      <w:r>
        <w:t xml:space="preserve"> them to provide support for their next endeavour. They may increase their involvement and reach out to underserved communities by spreading the word about the initiative to their networks.</w:t>
      </w:r>
    </w:p>
    <w:p w14:paraId="00000015" w14:textId="77777777" w:rsidR="00C82E4D" w:rsidRDefault="00000000">
      <w:pPr>
        <w:spacing w:line="360" w:lineRule="auto"/>
      </w:pPr>
      <w:r>
        <w:t>Since of this, the offer to engage will have greater weight because it is coming from a credible source (Key</w:t>
      </w:r>
      <w:r>
        <w:rPr>
          <w:i/>
        </w:rPr>
        <w:t xml:space="preserve"> et al., </w:t>
      </w:r>
      <w:r>
        <w:t xml:space="preserve">2019). </w:t>
      </w:r>
      <w:r>
        <w:rPr>
          <w:b/>
          <w:i/>
        </w:rPr>
        <w:t>Seventhly, Visiting the people who matter most and seeing them in their natural environment</w:t>
      </w:r>
      <w:r>
        <w:t xml:space="preserve"> is a great method to establish a genuine rapport. Start with a series of group walks. Promptly </w:t>
      </w:r>
      <w:proofErr w:type="gramStart"/>
      <w:r>
        <w:t>knock on</w:t>
      </w:r>
      <w:proofErr w:type="gramEnd"/>
      <w:r>
        <w:t xml:space="preserve"> people's doors, pay a visit to local businesses and senior homes, and engage in conversation with the locals. Think about using the same method with classes. Allow the young people to express their desires for the community at large and encourage them to seek out adult guidance and assistance.</w:t>
      </w:r>
      <w:r>
        <w:rPr>
          <w:b/>
          <w:i/>
        </w:rPr>
        <w:t xml:space="preserve"> Further, </w:t>
      </w:r>
      <w:proofErr w:type="gramStart"/>
      <w:r>
        <w:rPr>
          <w:b/>
          <w:i/>
        </w:rPr>
        <w:t>Asking</w:t>
      </w:r>
      <w:proofErr w:type="gramEnd"/>
      <w:r>
        <w:rPr>
          <w:b/>
          <w:i/>
        </w:rPr>
        <w:t xml:space="preserve"> people</w:t>
      </w:r>
      <w:r>
        <w:t xml:space="preserve"> what they care about, how they can assist, and displaying their enthusiasm all lead to more meaningful community collaborations. Send them a message encouraging them to get in touch again, work together, and contribute their knowledge, skills, and time to the cause.</w:t>
      </w:r>
      <w:r>
        <w:rPr>
          <w:b/>
          <w:i/>
        </w:rPr>
        <w:t xml:space="preserve"> A great method to get a sense of the available community resources</w:t>
      </w:r>
      <w:r>
        <w:t xml:space="preserve"> is to look at a visual depiction of the community and the many abilities individuals </w:t>
      </w:r>
      <w:proofErr w:type="gramStart"/>
      <w:r>
        <w:t>have to</w:t>
      </w:r>
      <w:proofErr w:type="gramEnd"/>
      <w:r>
        <w:t xml:space="preserve"> give (Johnston and Lane, 2018). If one is constructed, it should also include information on the supplies that can be provided at little or no cost, the amount of time that can be put into projects, and the connections that can be made to the curriculum and classroom activities. Always encourage and develop resource sharing and </w:t>
      </w:r>
      <w:proofErr w:type="gramStart"/>
      <w:r>
        <w:lastRenderedPageBreak/>
        <w:t>cooperation, and</w:t>
      </w:r>
      <w:proofErr w:type="gramEnd"/>
      <w:r>
        <w:t xml:space="preserve"> include the networks they may use to bring attention to the needs of local children and families. </w:t>
      </w:r>
      <w:r>
        <w:rPr>
          <w:b/>
          <w:i/>
        </w:rPr>
        <w:t>Finally, Retirees, grandparents, and the millions of elderly people</w:t>
      </w:r>
      <w:r>
        <w:t xml:space="preserve"> who live alone in nursing homes have a treasure of untapped knowledge and experience that should not be forgotten. Diversity is not something to be advertised but rather something that must be actively practised from the very beginning. The importance of variety to progress was never considered. People's upbringings have already instilled this in them. However, in the present, it is crucial to make sure there is a constant process to guarantee that people are inclusive and varied since, without these characteristics, they would not have progressed (Brown, 2022). In the long term, the firm will be stronger because of the diversity of its staff, which guarantees that people always have fresh perspectives and ideas. There are many communities out there for people of all walks of life who share the same hobby, identity, or experience. By collaborating with other communities, both they and other users may have a more complete and satisfying experience.</w:t>
      </w:r>
    </w:p>
    <w:p w14:paraId="00000016" w14:textId="77777777" w:rsidR="00C82E4D" w:rsidRDefault="00000000">
      <w:pPr>
        <w:pStyle w:val="Heading1"/>
      </w:pPr>
      <w:bookmarkStart w:id="2" w:name="_qy8qp4lt59d" w:colFirst="0" w:colLast="0"/>
      <w:bookmarkEnd w:id="2"/>
      <w:r>
        <w:t>Conclusion</w:t>
      </w:r>
    </w:p>
    <w:p w14:paraId="00000017" w14:textId="77777777" w:rsidR="00C82E4D" w:rsidRDefault="00000000">
      <w:pPr>
        <w:spacing w:line="360" w:lineRule="auto"/>
      </w:pPr>
      <w:r>
        <w:t>It is an expansive sensation to have the opportunity to have a life that is filled with a variety of voices, viewpoints, experiences, tales, and learnings, as well as other things. It encourages a person's development as well as growth, as well as the acquisition of improved views on the world and society. In addition, those who are raised in an environment like this have greater degrees of acceptance, resistance, tolerance, and other similar characteristics. Sharing the voices of the community members, as well as providing a place in which members can be seen and in which they may be referred to in the appropriate manner, can thereby give members insight and improve their connections with one another. The present research has provided a concise demonstration of the many ways in which the degree of community involvement, participation, and collaboration may be increased, as well as how the construction of a healthy and sustainable society will be made much simpler.</w:t>
      </w:r>
    </w:p>
    <w:p w14:paraId="00000018" w14:textId="77777777" w:rsidR="00C82E4D" w:rsidRDefault="00C82E4D">
      <w:pPr>
        <w:spacing w:line="360" w:lineRule="auto"/>
      </w:pPr>
    </w:p>
    <w:p w14:paraId="00000019" w14:textId="77777777" w:rsidR="00C82E4D" w:rsidRDefault="00C82E4D">
      <w:pPr>
        <w:spacing w:line="360" w:lineRule="auto"/>
      </w:pPr>
    </w:p>
    <w:p w14:paraId="0000001A" w14:textId="77777777" w:rsidR="00C82E4D" w:rsidRDefault="00000000">
      <w:pPr>
        <w:spacing w:line="360" w:lineRule="auto"/>
        <w:rPr>
          <w:b/>
        </w:rPr>
      </w:pPr>
      <w:r>
        <w:br w:type="page"/>
      </w:r>
    </w:p>
    <w:p w14:paraId="0000001B" w14:textId="77777777" w:rsidR="00C82E4D" w:rsidRDefault="00000000">
      <w:pPr>
        <w:pStyle w:val="Heading1"/>
      </w:pPr>
      <w:bookmarkStart w:id="3" w:name="_l3by6xrz00nm" w:colFirst="0" w:colLast="0"/>
      <w:bookmarkEnd w:id="3"/>
      <w:r>
        <w:lastRenderedPageBreak/>
        <w:t>Reference</w:t>
      </w:r>
    </w:p>
    <w:p w14:paraId="0000001C" w14:textId="77777777" w:rsidR="00C82E4D" w:rsidRDefault="00000000">
      <w:pPr>
        <w:spacing w:line="360" w:lineRule="auto"/>
      </w:pPr>
      <w:r>
        <w:t>APM, 2022, “What is stakeholder engagement?”, Available at   https://www.apm.org.uk/resources/find-a-resource/stakeholder-engagement/#:~:text=Definition,those%20business%20needs%20are%20met. [Accessed on 15th August 2022]</w:t>
      </w:r>
    </w:p>
    <w:p w14:paraId="0000001D" w14:textId="77777777" w:rsidR="00C82E4D" w:rsidRDefault="00000000">
      <w:pPr>
        <w:spacing w:line="360" w:lineRule="auto"/>
      </w:pPr>
      <w:r>
        <w:t>Adebisi, Y.A., Rabe, A. and Lucero-</w:t>
      </w:r>
      <w:proofErr w:type="spellStart"/>
      <w:r>
        <w:t>Prisno</w:t>
      </w:r>
      <w:proofErr w:type="spellEnd"/>
      <w:r>
        <w:t xml:space="preserve"> III, D.E., 2021. Risk communication and community engagement strategies for COVID-19 in 13 African countries. Health Promotion Perspectives, 11(2), p.137.</w:t>
      </w:r>
    </w:p>
    <w:p w14:paraId="0000001E" w14:textId="77777777" w:rsidR="00C82E4D" w:rsidRDefault="00000000">
      <w:pPr>
        <w:spacing w:line="360" w:lineRule="auto"/>
      </w:pPr>
      <w:r>
        <w:t xml:space="preserve">BSR, 2019, “Five-Step Approach to Stakeholder Engagement”, Available </w:t>
      </w:r>
      <w:proofErr w:type="gramStart"/>
      <w:r>
        <w:t>at  https://www.bsr.org/en/our-insights/report-view/stakeholder-engagement-five-step-approach-toolkit</w:t>
      </w:r>
      <w:proofErr w:type="gramEnd"/>
      <w:r>
        <w:t>[Accessed on 15th August 2022]</w:t>
      </w:r>
    </w:p>
    <w:p w14:paraId="0000001F" w14:textId="77777777" w:rsidR="00C82E4D" w:rsidRDefault="00000000">
      <w:pPr>
        <w:spacing w:line="360" w:lineRule="auto"/>
      </w:pPr>
      <w:r>
        <w:t>Blake, S. and Ngo, T., 2020. Dataset: Rapid review of community engagement and social mobilization strategies for COVID-19 response.</w:t>
      </w:r>
    </w:p>
    <w:p w14:paraId="00000020" w14:textId="77777777" w:rsidR="00C82E4D" w:rsidRDefault="00000000">
      <w:pPr>
        <w:spacing w:line="360" w:lineRule="auto"/>
      </w:pPr>
      <w:r>
        <w:t>Brown, I.M., 2022. Diversity Matters: The Arc of DEI Embraces Community Engagement. Emergency Medicine News, 44(4), p.21.</w:t>
      </w:r>
    </w:p>
    <w:p w14:paraId="00000021" w14:textId="77777777" w:rsidR="00C82E4D" w:rsidRDefault="00000000">
      <w:pPr>
        <w:spacing w:line="360" w:lineRule="auto"/>
      </w:pPr>
      <w:r>
        <w:t xml:space="preserve">Den </w:t>
      </w:r>
      <w:proofErr w:type="spellStart"/>
      <w:r>
        <w:t>Broeder</w:t>
      </w:r>
      <w:proofErr w:type="spellEnd"/>
      <w:r>
        <w:t xml:space="preserve">, L., South, J., </w:t>
      </w:r>
      <w:proofErr w:type="spellStart"/>
      <w:r>
        <w:t>Rothoff</w:t>
      </w:r>
      <w:proofErr w:type="spellEnd"/>
      <w:r>
        <w:t xml:space="preserve">, A., Bagnall, A.M., </w:t>
      </w:r>
      <w:proofErr w:type="spellStart"/>
      <w:r>
        <w:t>Azarhoosh</w:t>
      </w:r>
      <w:proofErr w:type="spellEnd"/>
      <w:r>
        <w:t xml:space="preserve">, F., van der Linden, G., </w:t>
      </w:r>
      <w:proofErr w:type="spellStart"/>
      <w:r>
        <w:t>Bharadwa</w:t>
      </w:r>
      <w:proofErr w:type="spellEnd"/>
      <w:r>
        <w:t xml:space="preserve">, M. and </w:t>
      </w:r>
      <w:proofErr w:type="spellStart"/>
      <w:r>
        <w:t>Wagemakers</w:t>
      </w:r>
      <w:proofErr w:type="spellEnd"/>
      <w:r>
        <w:t xml:space="preserve">, A., 2022. Community engagement in deprived neighbourhoods during the COVID-19 crisis: perspectives for more resilient and healthier communities. Health Promotion International, 37(2), </w:t>
      </w:r>
      <w:proofErr w:type="gramStart"/>
      <w:r>
        <w:t>p.daab</w:t>
      </w:r>
      <w:proofErr w:type="gramEnd"/>
      <w:r>
        <w:t>098.</w:t>
      </w:r>
    </w:p>
    <w:p w14:paraId="00000022" w14:textId="77777777" w:rsidR="00C82E4D" w:rsidRDefault="00000000">
      <w:pPr>
        <w:spacing w:line="360" w:lineRule="auto"/>
      </w:pPr>
      <w:r>
        <w:t>EH, 2019, “Benefits of Community Engagement for Organisations”, Available at   https://engagementhub.com.au/community-engagement/benefits-of-community-engagement-for-organisations/ [Accessed on 15th August 2022]</w:t>
      </w:r>
    </w:p>
    <w:p w14:paraId="00000023" w14:textId="77777777" w:rsidR="00C82E4D" w:rsidRDefault="00000000">
      <w:pPr>
        <w:spacing w:line="360" w:lineRule="auto"/>
      </w:pPr>
      <w:r>
        <w:t>Facebook, 2022, “Promoting inclusion in your community”, Available at   https://www.facebook.com/community/diversity-and-inclusion/promoting-inclusion-in-your-communities/ [Accessed on 15th August 2022]</w:t>
      </w:r>
    </w:p>
    <w:p w14:paraId="00000024" w14:textId="77777777" w:rsidR="00C82E4D" w:rsidRDefault="00000000">
      <w:pPr>
        <w:spacing w:line="360" w:lineRule="auto"/>
      </w:pPr>
      <w:proofErr w:type="spellStart"/>
      <w:r>
        <w:t>Hogeling</w:t>
      </w:r>
      <w:proofErr w:type="spellEnd"/>
      <w:r>
        <w:t xml:space="preserve">, L., </w:t>
      </w:r>
      <w:proofErr w:type="spellStart"/>
      <w:r>
        <w:t>Vaandrager</w:t>
      </w:r>
      <w:proofErr w:type="spellEnd"/>
      <w:r>
        <w:t xml:space="preserve">, L. and </w:t>
      </w:r>
      <w:proofErr w:type="spellStart"/>
      <w:r>
        <w:t>Koelen</w:t>
      </w:r>
      <w:proofErr w:type="spellEnd"/>
      <w:r>
        <w:t xml:space="preserve">, M., 2020. </w:t>
      </w:r>
      <w:proofErr w:type="spellStart"/>
      <w:r>
        <w:t>Unraveling</w:t>
      </w:r>
      <w:proofErr w:type="spellEnd"/>
      <w:r>
        <w:t xml:space="preserve"> community engagement in health promotion among vulnerable families: a multiple case study. European Journal of Public Health, 30(Supplement_5), </w:t>
      </w:r>
      <w:proofErr w:type="gramStart"/>
      <w:r>
        <w:t>pp.ckaa</w:t>
      </w:r>
      <w:proofErr w:type="gramEnd"/>
      <w:r>
        <w:t>165-448.</w:t>
      </w:r>
    </w:p>
    <w:p w14:paraId="00000025" w14:textId="77777777" w:rsidR="00C82E4D" w:rsidRDefault="00000000">
      <w:pPr>
        <w:spacing w:line="360" w:lineRule="auto"/>
      </w:pPr>
      <w:r>
        <w:t>Johnston, K.A. and Lane, A.B., 2018. Building relational capital: The contribution of episodic and relational community engagement. Public Relations Review, 44(5), pp.633-644.</w:t>
      </w:r>
    </w:p>
    <w:p w14:paraId="00000026" w14:textId="77777777" w:rsidR="00C82E4D" w:rsidRDefault="00000000">
      <w:pPr>
        <w:spacing w:line="360" w:lineRule="auto"/>
      </w:pPr>
      <w:r>
        <w:t xml:space="preserve">Key, K.D., Furr-Holden, D., Lewis, E.Y., Cunningham, R., Zimmerman, M.A., Johnson-Lawrence, V. and Selig, S., 2019. The continuum of community engagement in research: a </w:t>
      </w:r>
      <w:r>
        <w:lastRenderedPageBreak/>
        <w:t>roadmap for understanding and assessing progress. Progress in community health partnerships: research, education, and action, 13(4), pp.427-434.</w:t>
      </w:r>
    </w:p>
    <w:p w14:paraId="00000027" w14:textId="77777777" w:rsidR="00C82E4D" w:rsidRDefault="00000000">
      <w:pPr>
        <w:spacing w:line="360" w:lineRule="auto"/>
      </w:pPr>
      <w:r>
        <w:t>ORAU, 2022, “Principles of Community Engagement”, Available at   https://www.orau.gov/sns/atrisktool/files/PrinciplesofCommunityEngagement.pdf [Accessed on 15th August 2022]</w:t>
      </w:r>
    </w:p>
    <w:p w14:paraId="00000028" w14:textId="77777777" w:rsidR="00C82E4D" w:rsidRDefault="00C82E4D">
      <w:pPr>
        <w:spacing w:line="360" w:lineRule="auto"/>
      </w:pPr>
    </w:p>
    <w:sectPr w:rsidR="00C82E4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BB722" w14:textId="77777777" w:rsidR="00623892" w:rsidRDefault="00623892" w:rsidP="0027358D">
      <w:pPr>
        <w:spacing w:line="240" w:lineRule="auto"/>
      </w:pPr>
      <w:r>
        <w:separator/>
      </w:r>
    </w:p>
  </w:endnote>
  <w:endnote w:type="continuationSeparator" w:id="0">
    <w:p w14:paraId="1B6178D9" w14:textId="77777777" w:rsidR="00623892" w:rsidRDefault="00623892" w:rsidP="002735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FF70" w14:textId="77777777" w:rsidR="0027358D" w:rsidRDefault="002735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022D4" w14:textId="77777777" w:rsidR="0027358D" w:rsidRDefault="002735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6489E" w14:textId="77777777" w:rsidR="0027358D" w:rsidRDefault="00273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93027" w14:textId="77777777" w:rsidR="00623892" w:rsidRDefault="00623892" w:rsidP="0027358D">
      <w:pPr>
        <w:spacing w:line="240" w:lineRule="auto"/>
      </w:pPr>
      <w:r>
        <w:separator/>
      </w:r>
    </w:p>
  </w:footnote>
  <w:footnote w:type="continuationSeparator" w:id="0">
    <w:p w14:paraId="733BDEE1" w14:textId="77777777" w:rsidR="00623892" w:rsidRDefault="00623892" w:rsidP="002735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1F7FF" w14:textId="77777777" w:rsidR="0027358D" w:rsidRDefault="002735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6F518" w14:textId="77777777" w:rsidR="0027358D" w:rsidRDefault="002735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02532" w14:textId="77777777" w:rsidR="0027358D" w:rsidRDefault="002735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E4D"/>
    <w:rsid w:val="0027358D"/>
    <w:rsid w:val="00623892"/>
    <w:rsid w:val="00C82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69950"/>
  <w15:docId w15:val="{E7F8FDAE-82EB-904F-8549-2C9FA8C91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7358D"/>
    <w:pPr>
      <w:tabs>
        <w:tab w:val="center" w:pos="4513"/>
        <w:tab w:val="right" w:pos="9026"/>
      </w:tabs>
      <w:spacing w:line="240" w:lineRule="auto"/>
    </w:pPr>
  </w:style>
  <w:style w:type="character" w:customStyle="1" w:styleId="HeaderChar">
    <w:name w:val="Header Char"/>
    <w:basedOn w:val="DefaultParagraphFont"/>
    <w:link w:val="Header"/>
    <w:uiPriority w:val="99"/>
    <w:rsid w:val="0027358D"/>
  </w:style>
  <w:style w:type="paragraph" w:styleId="Footer">
    <w:name w:val="footer"/>
    <w:basedOn w:val="Normal"/>
    <w:link w:val="FooterChar"/>
    <w:uiPriority w:val="99"/>
    <w:unhideWhenUsed/>
    <w:rsid w:val="0027358D"/>
    <w:pPr>
      <w:tabs>
        <w:tab w:val="center" w:pos="4513"/>
        <w:tab w:val="right" w:pos="9026"/>
      </w:tabs>
      <w:spacing w:line="240" w:lineRule="auto"/>
    </w:pPr>
  </w:style>
  <w:style w:type="character" w:customStyle="1" w:styleId="FooterChar">
    <w:name w:val="Footer Char"/>
    <w:basedOn w:val="DefaultParagraphFont"/>
    <w:link w:val="Footer"/>
    <w:uiPriority w:val="99"/>
    <w:rsid w:val="00273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2513</Words>
  <Characters>14330</Characters>
  <Application>Microsoft Office Word</Application>
  <DocSecurity>0</DocSecurity>
  <Lines>119</Lines>
  <Paragraphs>33</Paragraphs>
  <ScaleCrop>false</ScaleCrop>
  <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 Jerca (2123373)</cp:lastModifiedBy>
  <cp:revision>2</cp:revision>
  <dcterms:created xsi:type="dcterms:W3CDTF">2022-08-26T17:45:00Z</dcterms:created>
  <dcterms:modified xsi:type="dcterms:W3CDTF">2022-08-26T17:47:00Z</dcterms:modified>
</cp:coreProperties>
</file>