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1F2B91" w:rsidRDefault="001970F9" w:rsidP="00FF5A78">
      <w:pPr>
        <w:pStyle w:val="Title"/>
        <w:numPr>
          <w:ilvl w:val="0"/>
          <w:numId w:val="1"/>
        </w:numPr>
        <w:rPr>
          <w:lang w:val="en-GB"/>
        </w:rPr>
      </w:pPr>
      <w:r>
        <w:rPr>
          <w:lang w:val="en-GB"/>
        </w:rPr>
        <w:t>Claudia Georgiana</w:t>
      </w:r>
      <w:r w:rsidR="00990CCA">
        <w:rPr>
          <w:lang w:val="en-GB"/>
        </w:rPr>
        <w:t xml:space="preserve"> Macarie</w:t>
      </w:r>
    </w:p>
    <w:p w:rsidR="00301465" w:rsidRPr="00301465" w:rsidRDefault="00301465" w:rsidP="00301465">
      <w:pPr>
        <w:rPr>
          <w:lang w:val="en-GB"/>
        </w:rPr>
      </w:pPr>
    </w:p>
    <w:p w:rsidR="001F2B91" w:rsidRDefault="00301465">
      <w:pPr>
        <w:pStyle w:val="Title"/>
        <w:rPr>
          <w:lang w:val="en-GB"/>
        </w:rPr>
      </w:pPr>
      <w:r>
        <w:rPr>
          <w:lang w:val="en-GB"/>
        </w:rPr>
        <w:t>St</w:t>
      </w:r>
      <w:r w:rsidR="00457F1D">
        <w:rPr>
          <w:lang w:val="en-GB"/>
        </w:rPr>
        <w:t>udent id:</w:t>
      </w:r>
      <w:r w:rsidR="00C3145A">
        <w:rPr>
          <w:lang w:val="en-GB"/>
        </w:rPr>
        <w:t>2030</w:t>
      </w:r>
      <w:r w:rsidR="004017B5">
        <w:rPr>
          <w:lang w:val="en-GB"/>
        </w:rPr>
        <w:t>517</w:t>
      </w:r>
    </w:p>
    <w:p w:rsidR="001F2B91" w:rsidRDefault="004017B5">
      <w:pPr>
        <w:pStyle w:val="Title"/>
        <w:rPr>
          <w:lang w:val="en-GB"/>
        </w:rPr>
      </w:pPr>
      <w:r>
        <w:rPr>
          <w:lang w:val="en-GB"/>
        </w:rPr>
        <w:t>date&amp;time:4</w:t>
      </w:r>
      <w:r w:rsidR="00381315">
        <w:rPr>
          <w:lang w:val="en-GB"/>
        </w:rPr>
        <w:t>/01/2022;</w:t>
      </w:r>
      <w:r w:rsidR="00D87BC1">
        <w:rPr>
          <w:lang w:val="en-GB"/>
        </w:rPr>
        <w:t>20:00</w:t>
      </w:r>
    </w:p>
    <w:p w:rsidR="001F2B91" w:rsidRDefault="0000519B">
      <w:pPr>
        <w:pStyle w:val="Title"/>
        <w:rPr>
          <w:lang w:val="en-GB"/>
        </w:rPr>
      </w:pPr>
      <w:r>
        <w:rPr>
          <w:lang w:val="en-GB"/>
        </w:rPr>
        <w:t>Global Business Environment</w:t>
      </w:r>
    </w:p>
    <w:p w:rsidR="001F2B91" w:rsidRDefault="00F53D13">
      <w:pPr>
        <w:pStyle w:val="Title"/>
        <w:rPr>
          <w:lang w:val="en-GB"/>
        </w:rPr>
      </w:pPr>
      <w:r>
        <w:rPr>
          <w:lang w:val="en-GB"/>
        </w:rPr>
        <w:t>LCBB4005</w:t>
      </w:r>
    </w:p>
    <w:p w:rsidR="001F2B91" w:rsidRDefault="001F2B91">
      <w:pPr>
        <w:pStyle w:val="Title"/>
        <w:rPr>
          <w:lang w:val="en-GB"/>
        </w:rPr>
      </w:pPr>
    </w:p>
    <w:p w:rsidR="001F2B91" w:rsidRDefault="00014868">
      <w:pPr>
        <w:pStyle w:val="Title"/>
        <w:rPr>
          <w:lang w:val="en-GB"/>
        </w:rPr>
      </w:pPr>
      <w:r>
        <w:rPr>
          <w:lang w:val="en-GB"/>
        </w:rPr>
        <w:t xml:space="preserve">Environmental Analysis of an industry: AUTOMOTIVE Industry  </w:t>
      </w:r>
    </w:p>
    <w:p w:rsidR="001F2B91" w:rsidRDefault="001F2B91">
      <w:pPr>
        <w:pageBreakBefore/>
        <w:spacing w:line="276" w:lineRule="auto"/>
        <w:jc w:val="left"/>
        <w:rPr>
          <w:lang w:val="en-GB"/>
        </w:rPr>
      </w:pPr>
    </w:p>
    <w:p w:rsidR="001F2B91" w:rsidRDefault="00014868">
      <w:pPr>
        <w:pStyle w:val="TOCHeading"/>
        <w:jc w:val="center"/>
        <w:outlineLvl w:val="9"/>
      </w:pPr>
      <w:r>
        <w:rPr>
          <w:rFonts w:ascii="Times New Roman" w:hAnsi="Times New Roman"/>
          <w:color w:val="auto"/>
          <w:sz w:val="24"/>
          <w:szCs w:val="24"/>
        </w:rPr>
        <w:t>Table of Contents</w:t>
      </w:r>
    </w:p>
    <w:p w:rsidR="001F2B91" w:rsidRDefault="00014868">
      <w:pPr>
        <w:pStyle w:val="TOC1"/>
        <w:tabs>
          <w:tab w:val="right" w:leader="dot" w:pos="9350"/>
        </w:tabs>
      </w:pPr>
      <w:r>
        <w:rPr>
          <w:rFonts w:ascii="Cambria" w:eastAsia="MS Gothic" w:hAnsi="Cambria" w:cs="Times New Roman"/>
          <w:b/>
          <w:bCs/>
          <w:color w:val="365F91"/>
          <w:sz w:val="28"/>
          <w:szCs w:val="28"/>
        </w:rPr>
        <w:fldChar w:fldCharType="begin"/>
      </w:r>
      <w:r>
        <w:instrText xml:space="preserve"> TOC \o "1-3" \u \h </w:instrText>
      </w:r>
      <w:r>
        <w:rPr>
          <w:rFonts w:ascii="Cambria" w:eastAsia="MS Gothic" w:hAnsi="Cambria" w:cs="Times New Roman"/>
          <w:b/>
          <w:bCs/>
          <w:color w:val="365F91"/>
          <w:sz w:val="28"/>
          <w:szCs w:val="28"/>
        </w:rPr>
        <w:fldChar w:fldCharType="separate"/>
      </w:r>
      <w:hyperlink w:anchor="_Toc92200457" w:history="1">
        <w:r>
          <w:rPr>
            <w:rStyle w:val="Hyperlink"/>
            <w:lang w:val="en-GB"/>
          </w:rPr>
          <w:t>Introduction</w:t>
        </w:r>
        <w:r>
          <w:tab/>
          <w:t>3</w:t>
        </w:r>
      </w:hyperlink>
    </w:p>
    <w:p w:rsidR="001F2B91" w:rsidRDefault="001E7D4D">
      <w:pPr>
        <w:pStyle w:val="TOC1"/>
        <w:tabs>
          <w:tab w:val="right" w:leader="dot" w:pos="9350"/>
        </w:tabs>
      </w:pPr>
      <w:hyperlink w:anchor="_Toc92200458" w:history="1">
        <w:r w:rsidR="00014868">
          <w:rPr>
            <w:rStyle w:val="Hyperlink"/>
            <w:lang w:val="en-GB"/>
          </w:rPr>
          <w:t>Identification of major forces shaping the global business environment</w:t>
        </w:r>
        <w:r w:rsidR="00014868">
          <w:tab/>
          <w:t>3</w:t>
        </w:r>
      </w:hyperlink>
    </w:p>
    <w:p w:rsidR="001F2B91" w:rsidRDefault="001E7D4D">
      <w:pPr>
        <w:pStyle w:val="TOC2"/>
        <w:tabs>
          <w:tab w:val="right" w:leader="dot" w:pos="9350"/>
        </w:tabs>
      </w:pPr>
      <w:hyperlink w:anchor="_Toc92200459" w:history="1">
        <w:r w:rsidR="00014868">
          <w:rPr>
            <w:rStyle w:val="Hyperlink"/>
            <w:lang w:val="en-GB"/>
          </w:rPr>
          <w:t>Understanding of the changing global business environment</w:t>
        </w:r>
        <w:r w:rsidR="00014868">
          <w:tab/>
          <w:t>4</w:t>
        </w:r>
      </w:hyperlink>
    </w:p>
    <w:p w:rsidR="001F2B91" w:rsidRDefault="001E7D4D">
      <w:pPr>
        <w:pStyle w:val="TOC1"/>
        <w:tabs>
          <w:tab w:val="right" w:leader="dot" w:pos="9350"/>
        </w:tabs>
      </w:pPr>
      <w:hyperlink w:anchor="_Toc92200460" w:history="1">
        <w:r w:rsidR="00014868">
          <w:rPr>
            <w:rStyle w:val="Hyperlink"/>
            <w:lang w:val="en-GB"/>
          </w:rPr>
          <w:t>Application of relevant business models</w:t>
        </w:r>
        <w:r w:rsidR="00014868">
          <w:tab/>
          <w:t>4</w:t>
        </w:r>
      </w:hyperlink>
    </w:p>
    <w:p w:rsidR="001F2B91" w:rsidRDefault="001E7D4D">
      <w:pPr>
        <w:pStyle w:val="TOC2"/>
        <w:tabs>
          <w:tab w:val="right" w:leader="dot" w:pos="9350"/>
        </w:tabs>
      </w:pPr>
      <w:hyperlink w:anchor="_Toc92200461" w:history="1">
        <w:r w:rsidR="00014868">
          <w:rPr>
            <w:rStyle w:val="Hyperlink"/>
            <w:lang w:val="en-GB"/>
          </w:rPr>
          <w:t>PESTLE analysis</w:t>
        </w:r>
        <w:r w:rsidR="00014868">
          <w:tab/>
          <w:t>4</w:t>
        </w:r>
      </w:hyperlink>
    </w:p>
    <w:p w:rsidR="001F2B91" w:rsidRDefault="001E7D4D">
      <w:pPr>
        <w:pStyle w:val="TOC2"/>
        <w:tabs>
          <w:tab w:val="right" w:leader="dot" w:pos="9350"/>
        </w:tabs>
      </w:pPr>
      <w:hyperlink w:anchor="_Toc92200462" w:history="1">
        <w:r w:rsidR="00014868">
          <w:rPr>
            <w:rStyle w:val="Hyperlink"/>
            <w:lang w:val="en-GB"/>
          </w:rPr>
          <w:t>Porter’s Diamond model</w:t>
        </w:r>
        <w:r w:rsidR="00014868">
          <w:tab/>
          <w:t>7</w:t>
        </w:r>
      </w:hyperlink>
    </w:p>
    <w:p w:rsidR="001F2B91" w:rsidRDefault="001E7D4D">
      <w:pPr>
        <w:pStyle w:val="TOC2"/>
        <w:tabs>
          <w:tab w:val="right" w:leader="dot" w:pos="9350"/>
        </w:tabs>
      </w:pPr>
      <w:hyperlink w:anchor="_Toc92200463" w:history="1">
        <w:r w:rsidR="00014868">
          <w:rPr>
            <w:rStyle w:val="Hyperlink"/>
            <w:lang w:val="en-GB"/>
          </w:rPr>
          <w:t>Value network model</w:t>
        </w:r>
        <w:r w:rsidR="00014868">
          <w:tab/>
          <w:t>8</w:t>
        </w:r>
      </w:hyperlink>
    </w:p>
    <w:p w:rsidR="001F2B91" w:rsidRDefault="001E7D4D">
      <w:pPr>
        <w:pStyle w:val="TOC2"/>
        <w:tabs>
          <w:tab w:val="right" w:leader="dot" w:pos="9350"/>
        </w:tabs>
      </w:pPr>
      <w:hyperlink w:anchor="_Toc92200464" w:history="1">
        <w:r w:rsidR="00014868">
          <w:rPr>
            <w:rStyle w:val="Hyperlink"/>
            <w:lang w:val="en-GB"/>
          </w:rPr>
          <w:t>Porter’s five forces model</w:t>
        </w:r>
        <w:r w:rsidR="00014868">
          <w:tab/>
          <w:t>9</w:t>
        </w:r>
      </w:hyperlink>
    </w:p>
    <w:p w:rsidR="001F2B91" w:rsidRDefault="001E7D4D">
      <w:pPr>
        <w:pStyle w:val="TOC1"/>
        <w:tabs>
          <w:tab w:val="right" w:leader="dot" w:pos="9350"/>
        </w:tabs>
      </w:pPr>
      <w:hyperlink w:anchor="_Toc92200465" w:history="1">
        <w:r w:rsidR="00014868">
          <w:rPr>
            <w:rStyle w:val="Hyperlink"/>
            <w:lang w:val="en-GB"/>
          </w:rPr>
          <w:t>Identification and critically evaluation of reasons organisations engage in international trade</w:t>
        </w:r>
        <w:r w:rsidR="00014868">
          <w:tab/>
          <w:t>11</w:t>
        </w:r>
      </w:hyperlink>
    </w:p>
    <w:p w:rsidR="001F2B91" w:rsidRDefault="001E7D4D">
      <w:pPr>
        <w:pStyle w:val="TOC1"/>
        <w:tabs>
          <w:tab w:val="right" w:leader="dot" w:pos="9350"/>
        </w:tabs>
      </w:pPr>
      <w:hyperlink w:anchor="_Toc92200466" w:history="1">
        <w:r w:rsidR="00014868">
          <w:rPr>
            <w:rStyle w:val="Hyperlink"/>
            <w:lang w:val="en-GB"/>
          </w:rPr>
          <w:t>Assessment of market in action</w:t>
        </w:r>
        <w:r w:rsidR="00014868">
          <w:tab/>
          <w:t>11</w:t>
        </w:r>
      </w:hyperlink>
    </w:p>
    <w:p w:rsidR="001F2B91" w:rsidRDefault="001E7D4D">
      <w:pPr>
        <w:pStyle w:val="TOC2"/>
        <w:tabs>
          <w:tab w:val="right" w:leader="dot" w:pos="9350"/>
        </w:tabs>
      </w:pPr>
      <w:hyperlink w:anchor="_Toc92200467" w:history="1">
        <w:r w:rsidR="00014868">
          <w:rPr>
            <w:rStyle w:val="Hyperlink"/>
            <w:lang w:val="en-GB"/>
          </w:rPr>
          <w:t>Understanding their micro-economic and macroeconomic foundations</w:t>
        </w:r>
        <w:r w:rsidR="00014868">
          <w:tab/>
          <w:t>11</w:t>
        </w:r>
      </w:hyperlink>
    </w:p>
    <w:p w:rsidR="001F2B91" w:rsidRDefault="001E7D4D">
      <w:pPr>
        <w:pStyle w:val="TOC2"/>
        <w:tabs>
          <w:tab w:val="right" w:leader="dot" w:pos="9350"/>
        </w:tabs>
      </w:pPr>
      <w:hyperlink w:anchor="_Toc92200468" w:history="1">
        <w:r w:rsidR="00014868">
          <w:rPr>
            <w:rStyle w:val="Hyperlink"/>
            <w:lang w:val="en-GB"/>
          </w:rPr>
          <w:t>Market structures and their influence on firm strategy</w:t>
        </w:r>
        <w:r w:rsidR="00014868">
          <w:tab/>
          <w:t>11</w:t>
        </w:r>
      </w:hyperlink>
    </w:p>
    <w:p w:rsidR="001F2B91" w:rsidRDefault="001E7D4D">
      <w:pPr>
        <w:pStyle w:val="TOC2"/>
        <w:tabs>
          <w:tab w:val="right" w:leader="dot" w:pos="9350"/>
        </w:tabs>
      </w:pPr>
      <w:hyperlink w:anchor="_Toc92200469" w:history="1">
        <w:r w:rsidR="00014868">
          <w:rPr>
            <w:rStyle w:val="Hyperlink"/>
            <w:lang w:val="en-GB"/>
          </w:rPr>
          <w:t>Long-run and short-run changes in the pre-Covid situation of Current international economy</w:t>
        </w:r>
        <w:r w:rsidR="00014868">
          <w:tab/>
          <w:t>11</w:t>
        </w:r>
      </w:hyperlink>
    </w:p>
    <w:p w:rsidR="001F2B91" w:rsidRDefault="001E7D4D">
      <w:pPr>
        <w:pStyle w:val="TOC1"/>
        <w:tabs>
          <w:tab w:val="right" w:leader="dot" w:pos="9350"/>
        </w:tabs>
      </w:pPr>
      <w:hyperlink w:anchor="_Toc92200470" w:history="1">
        <w:r w:rsidR="00014868">
          <w:rPr>
            <w:rStyle w:val="Hyperlink"/>
            <w:lang w:val="en-GB"/>
          </w:rPr>
          <w:t>Conclusion</w:t>
        </w:r>
        <w:r w:rsidR="00014868">
          <w:tab/>
          <w:t>12</w:t>
        </w:r>
      </w:hyperlink>
    </w:p>
    <w:p w:rsidR="001F2B91" w:rsidRDefault="001E7D4D">
      <w:pPr>
        <w:pStyle w:val="TOC1"/>
        <w:tabs>
          <w:tab w:val="right" w:leader="dot" w:pos="9350"/>
        </w:tabs>
      </w:pPr>
      <w:hyperlink w:anchor="_Toc92200471" w:history="1">
        <w:r w:rsidR="00014868">
          <w:rPr>
            <w:rStyle w:val="Hyperlink"/>
            <w:lang w:val="en-GB"/>
          </w:rPr>
          <w:t>Reference lists</w:t>
        </w:r>
        <w:r w:rsidR="00014868">
          <w:tab/>
          <w:t>13</w:t>
        </w:r>
      </w:hyperlink>
    </w:p>
    <w:p w:rsidR="001F2B91" w:rsidRDefault="00014868">
      <w:r>
        <w:fldChar w:fldCharType="end"/>
      </w:r>
    </w:p>
    <w:p w:rsidR="001F2B91" w:rsidRDefault="001F2B91">
      <w:pPr>
        <w:pageBreakBefore/>
        <w:spacing w:line="276" w:lineRule="auto"/>
        <w:jc w:val="left"/>
      </w:pPr>
    </w:p>
    <w:p w:rsidR="001F2B91" w:rsidRDefault="00014868">
      <w:pPr>
        <w:pStyle w:val="Heading1"/>
        <w:rPr>
          <w:lang w:val="en-GB"/>
        </w:rPr>
      </w:pPr>
      <w:bookmarkStart w:id="0" w:name="_Toc92200457"/>
      <w:r>
        <w:rPr>
          <w:lang w:val="en-GB"/>
        </w:rPr>
        <w:t>Introduction</w:t>
      </w:r>
      <w:bookmarkEnd w:id="0"/>
      <w:r>
        <w:rPr>
          <w:lang w:val="en-GB"/>
        </w:rPr>
        <w:t xml:space="preserve"> </w:t>
      </w:r>
    </w:p>
    <w:p w:rsidR="001F2B91" w:rsidRDefault="00014868">
      <w:r>
        <w:rPr>
          <w:lang w:val="en-GB"/>
        </w:rPr>
        <w:t xml:space="preserve">Covid drastically strokes on all aspects of civilisation and lives whether from health and safety or it can be an economic collision. From most of its impact, business industries have been clustered for its declination specifically of manufacturing industries by all the times. Hence, the research report aims to present the minute aspects of the international market of </w:t>
      </w:r>
      <w:r>
        <w:rPr>
          <w:b/>
          <w:i/>
          <w:lang w:val="en-GB"/>
        </w:rPr>
        <w:t>the Automotive Industry</w:t>
      </w:r>
      <w:r>
        <w:rPr>
          <w:lang w:val="en-GB"/>
        </w:rPr>
        <w:t xml:space="preserve">, which have been impacted through the same countering different liable business models. In addition to brief and accurate research, the paper might shed light on multiple scenarios of market actions as such business goals and international market trends. </w:t>
      </w:r>
    </w:p>
    <w:p w:rsidR="001F2B91" w:rsidRDefault="00014868">
      <w:pPr>
        <w:pStyle w:val="Heading1"/>
        <w:rPr>
          <w:lang w:val="en-GB"/>
        </w:rPr>
      </w:pPr>
      <w:bookmarkStart w:id="1" w:name="_Toc92200458"/>
      <w:r>
        <w:rPr>
          <w:lang w:val="en-GB"/>
        </w:rPr>
        <w:t>Identification of major forces shaping the global business environment</w:t>
      </w:r>
      <w:bookmarkEnd w:id="1"/>
      <w:r>
        <w:rPr>
          <w:lang w:val="en-GB"/>
        </w:rPr>
        <w:t xml:space="preserve"> </w:t>
      </w:r>
    </w:p>
    <w:p w:rsidR="001F2B91" w:rsidRDefault="00014868">
      <w:pPr>
        <w:rPr>
          <w:lang w:val="en-GB"/>
        </w:rPr>
      </w:pPr>
      <w:r>
        <w:rPr>
          <w:lang w:val="en-GB"/>
        </w:rPr>
        <w:t>Business environment and development relies on some specific techniques and tools which optimal the efforts of an organisation as well as industry. Nonetheless, in the international market, the factors are wider and influence the market accordingly compared to a national or local niche market. Amidst varied factors, the factors which intent most market changes in the automotive industry are as follows:</w:t>
      </w:r>
    </w:p>
    <w:p w:rsidR="001F2B91" w:rsidRDefault="00014868">
      <w:pPr>
        <w:rPr>
          <w:b/>
          <w:lang w:val="en-GB"/>
        </w:rPr>
      </w:pPr>
      <w:r>
        <w:rPr>
          <w:b/>
          <w:lang w:val="en-GB"/>
        </w:rPr>
        <w:t xml:space="preserve">Socio-culture differences </w:t>
      </w:r>
    </w:p>
    <w:p w:rsidR="001F2B91" w:rsidRDefault="00014868">
      <w:pPr>
        <w:rPr>
          <w:lang w:val="en-GB"/>
        </w:rPr>
      </w:pPr>
      <w:r>
        <w:rPr>
          <w:lang w:val="en-GB"/>
        </w:rPr>
        <w:t xml:space="preserve">Whilst an organisation from any industry seeks for the market, expansions might be most aware regarding their socio-cultural norms. Culture refers to community preferences, educational system and living style of the particular market customers’. Based on the socio-cultural aspects business firms can outline their target audiences (Courses, 2022). In fact, in some cases of the automotive industry, it has been overseen that companies have changed their vehicles models too for managing their market risks and failure. </w:t>
      </w:r>
    </w:p>
    <w:p w:rsidR="001F2B91" w:rsidRDefault="00014868">
      <w:pPr>
        <w:rPr>
          <w:b/>
          <w:lang w:val="en-GB"/>
        </w:rPr>
      </w:pPr>
      <w:r>
        <w:rPr>
          <w:b/>
          <w:lang w:val="en-GB"/>
        </w:rPr>
        <w:t>Customs and Taboo</w:t>
      </w:r>
    </w:p>
    <w:p w:rsidR="001F2B91" w:rsidRDefault="00014868">
      <w:pPr>
        <w:rPr>
          <w:lang w:val="en-GB"/>
        </w:rPr>
      </w:pPr>
      <w:r>
        <w:rPr>
          <w:lang w:val="en-GB"/>
        </w:rPr>
        <w:t xml:space="preserve">Following the cultural norms and beliefs, customs and taboos are unique sets, which is important to acknowledge. While an organisation might promote their products and service, it should have adhered to the organisational actions. For instance, Japan considers number four as their unlucky </w:t>
      </w:r>
      <w:r>
        <w:rPr>
          <w:lang w:val="en-GB"/>
        </w:rPr>
        <w:lastRenderedPageBreak/>
        <w:t xml:space="preserve">number and the products are avoided by most of the consumers. Thus, the company when proposing for their business territorial expansions needs to measure the facts. </w:t>
      </w:r>
    </w:p>
    <w:p w:rsidR="001F2B91" w:rsidRDefault="00014868">
      <w:pPr>
        <w:rPr>
          <w:b/>
          <w:lang w:val="en-GB"/>
        </w:rPr>
      </w:pPr>
      <w:r>
        <w:rPr>
          <w:b/>
          <w:lang w:val="en-GB"/>
        </w:rPr>
        <w:t>National policies</w:t>
      </w:r>
    </w:p>
    <w:p w:rsidR="001F2B91" w:rsidRDefault="00014868">
      <w:pPr>
        <w:rPr>
          <w:lang w:val="en-GB"/>
        </w:rPr>
      </w:pPr>
      <w:r>
        <w:rPr>
          <w:lang w:val="en-GB"/>
        </w:rPr>
        <w:t xml:space="preserve">Despite all such factors, the most impactful is policies of the particular nation and territory that are the foremost factor for an organisation. Legal regulation must be understood and managed for effective business practice. Moreover, the common areas, which influence an organisation most, are Contract law, labelling and patents, trademark licensing, products safety and consumer safety along with the privacy policies as per industry standards. </w:t>
      </w:r>
    </w:p>
    <w:p w:rsidR="001F2B91" w:rsidRDefault="00014868">
      <w:pPr>
        <w:rPr>
          <w:b/>
          <w:lang w:val="en-GB"/>
        </w:rPr>
      </w:pPr>
      <w:r>
        <w:rPr>
          <w:b/>
          <w:lang w:val="en-GB"/>
        </w:rPr>
        <w:t xml:space="preserve">Changes in technology </w:t>
      </w:r>
    </w:p>
    <w:p w:rsidR="001F2B91" w:rsidRDefault="00014868">
      <w:pPr>
        <w:rPr>
          <w:lang w:val="en-GB"/>
        </w:rPr>
      </w:pPr>
      <w:r>
        <w:rPr>
          <w:lang w:val="en-GB"/>
        </w:rPr>
        <w:t xml:space="preserve">As the report is presenting the scenario of the automotive industry, the organisations are liable to deal with the technological advancement and new features in their vehicles. Automotive industries are preferred for emerging luxury and technological advancement in the features of their product (Courses, 2022). Currently, due to high demands, the organisations are overshadowing the technologies as such; “Vehicles IoT Devices”, “Biometric Seat Technology”, “Virtual and Augment Reality”, “Predictive Maintenance” through implementing AI solutions. </w:t>
      </w:r>
    </w:p>
    <w:p w:rsidR="001F2B91" w:rsidRDefault="00014868">
      <w:pPr>
        <w:pStyle w:val="Heading2"/>
        <w:rPr>
          <w:lang w:val="en-GB"/>
        </w:rPr>
      </w:pPr>
      <w:bookmarkStart w:id="2" w:name="_Toc92200459"/>
      <w:r>
        <w:rPr>
          <w:lang w:val="en-GB"/>
        </w:rPr>
        <w:t>Understanding of the changing global business environment</w:t>
      </w:r>
      <w:bookmarkEnd w:id="2"/>
      <w:r>
        <w:rPr>
          <w:lang w:val="en-GB"/>
        </w:rPr>
        <w:t xml:space="preserve"> </w:t>
      </w:r>
    </w:p>
    <w:p w:rsidR="001F2B91" w:rsidRDefault="00014868">
      <w:pPr>
        <w:rPr>
          <w:lang w:val="en-GB"/>
        </w:rPr>
      </w:pPr>
      <w:r>
        <w:rPr>
          <w:lang w:val="en-GB"/>
        </w:rPr>
        <w:t>Customer preferences are always flexible and expect unique products and services from their industry, which are practised through the organisations for developing their competitive advantages. From the recent trades as well as the changes, which accumulate in global business, the environment is related to the global banking structures (</w:t>
      </w:r>
      <w:proofErr w:type="spellStart"/>
      <w:r>
        <w:rPr>
          <w:lang w:val="en-GB"/>
        </w:rPr>
        <w:t>Ratten</w:t>
      </w:r>
      <w:proofErr w:type="spellEnd"/>
      <w:r>
        <w:rPr>
          <w:lang w:val="en-GB"/>
        </w:rPr>
        <w:t xml:space="preserve">, 2020). In fact for integrating the border trade relations divine regulations has emerged with existing policies that influence the global market change. For empowering the industrial segments and their standards besides economic power, emerging markets are focusing on acute. Furthermore, the automotive industries in global business management are intended to change their demographic features through which the organisation can predict their forthcomings.     </w:t>
      </w:r>
    </w:p>
    <w:p w:rsidR="001F2B91" w:rsidRDefault="00014868">
      <w:pPr>
        <w:pStyle w:val="Heading1"/>
        <w:rPr>
          <w:lang w:val="en-GB"/>
        </w:rPr>
      </w:pPr>
      <w:bookmarkStart w:id="3" w:name="_Toc92200460"/>
      <w:r>
        <w:rPr>
          <w:lang w:val="en-GB"/>
        </w:rPr>
        <w:lastRenderedPageBreak/>
        <w:t>Application of relevant business models</w:t>
      </w:r>
      <w:bookmarkEnd w:id="3"/>
    </w:p>
    <w:p w:rsidR="001F2B91" w:rsidRDefault="00014868">
      <w:pPr>
        <w:pStyle w:val="Heading2"/>
        <w:rPr>
          <w:lang w:val="en-GB"/>
        </w:rPr>
      </w:pPr>
      <w:bookmarkStart w:id="4" w:name="_Toc92200461"/>
      <w:r>
        <w:rPr>
          <w:lang w:val="en-GB"/>
        </w:rPr>
        <w:t>PESTLE analysis</w:t>
      </w:r>
      <w:bookmarkEnd w:id="4"/>
      <w:r>
        <w:rPr>
          <w:lang w:val="en-GB"/>
        </w:rPr>
        <w:t xml:space="preserve"> </w:t>
      </w:r>
    </w:p>
    <w:tbl>
      <w:tblPr>
        <w:tblW w:w="9350" w:type="dxa"/>
        <w:jc w:val="center"/>
        <w:tblCellMar>
          <w:left w:w="10" w:type="dxa"/>
          <w:right w:w="10" w:type="dxa"/>
        </w:tblCellMar>
        <w:tblLook w:val="0000" w:firstRow="0" w:lastRow="0" w:firstColumn="0" w:lastColumn="0" w:noHBand="0" w:noVBand="0"/>
      </w:tblPr>
      <w:tblGrid>
        <w:gridCol w:w="2246"/>
        <w:gridCol w:w="7104"/>
      </w:tblGrid>
      <w:tr w:rsidR="001F2B91">
        <w:trPr>
          <w:trHeight w:val="621"/>
          <w:jc w:val="center"/>
        </w:trPr>
        <w:tc>
          <w:tcPr>
            <w:tcW w:w="224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1F2B91" w:rsidRDefault="00014868">
            <w:pPr>
              <w:spacing w:after="0"/>
              <w:jc w:val="center"/>
              <w:rPr>
                <w:b/>
                <w:szCs w:val="24"/>
                <w:lang w:val="en-GB"/>
              </w:rPr>
            </w:pPr>
            <w:r>
              <w:rPr>
                <w:b/>
                <w:szCs w:val="24"/>
                <w:lang w:val="en-GB"/>
              </w:rPr>
              <w:t>Factors</w:t>
            </w:r>
          </w:p>
        </w:tc>
        <w:tc>
          <w:tcPr>
            <w:tcW w:w="71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1F2B91" w:rsidRDefault="00014868">
            <w:pPr>
              <w:spacing w:after="0"/>
              <w:jc w:val="center"/>
              <w:rPr>
                <w:b/>
                <w:szCs w:val="24"/>
                <w:lang w:val="en-GB"/>
              </w:rPr>
            </w:pPr>
            <w:r>
              <w:rPr>
                <w:b/>
                <w:szCs w:val="24"/>
                <w:lang w:val="en-GB"/>
              </w:rPr>
              <w:t>Impact on the industry</w:t>
            </w:r>
          </w:p>
        </w:tc>
      </w:tr>
      <w:tr w:rsidR="001F2B91">
        <w:trPr>
          <w:trHeight w:val="621"/>
          <w:jc w:val="center"/>
        </w:trPr>
        <w:tc>
          <w:tcPr>
            <w:tcW w:w="224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1F2B91" w:rsidRDefault="00014868">
            <w:pPr>
              <w:spacing w:after="0"/>
              <w:jc w:val="center"/>
              <w:rPr>
                <w:szCs w:val="24"/>
                <w:lang w:val="en-GB"/>
              </w:rPr>
            </w:pPr>
            <w:r>
              <w:rPr>
                <w:szCs w:val="24"/>
                <w:lang w:val="en-GB"/>
              </w:rPr>
              <w:t>Political (P)</w:t>
            </w:r>
          </w:p>
        </w:tc>
        <w:tc>
          <w:tcPr>
            <w:tcW w:w="71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1F2B91" w:rsidRDefault="00014868">
            <w:pPr>
              <w:spacing w:after="0"/>
              <w:rPr>
                <w:szCs w:val="24"/>
                <w:lang w:val="en-GB"/>
              </w:rPr>
            </w:pPr>
            <w:r>
              <w:rPr>
                <w:szCs w:val="24"/>
                <w:lang w:val="en-GB"/>
              </w:rPr>
              <w:t xml:space="preserve">Specifically, considering the automotive industry in global business platforms the political factors, which is influencing are safety regulations and emission policies. Governments of the EU and UK prefer to allow the low emissions vehicle for trading most instead of luxury cars. Hence, the taxations rates alongside the fuel guzzlers are affecting industrial development. In fact, the government regime that is changing is convincing business markets and policies by their trading policies. Apart from this, the organisation is strictly directed for avoiding such materials or designs which might be risky for the consumers. </w:t>
            </w:r>
          </w:p>
        </w:tc>
      </w:tr>
      <w:tr w:rsidR="001F2B91">
        <w:trPr>
          <w:trHeight w:val="621"/>
          <w:jc w:val="center"/>
        </w:trPr>
        <w:tc>
          <w:tcPr>
            <w:tcW w:w="224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1F2B91" w:rsidRDefault="00014868">
            <w:pPr>
              <w:spacing w:after="0"/>
              <w:jc w:val="center"/>
              <w:rPr>
                <w:szCs w:val="24"/>
                <w:lang w:val="en-GB"/>
              </w:rPr>
            </w:pPr>
            <w:r>
              <w:rPr>
                <w:szCs w:val="24"/>
                <w:lang w:val="en-GB"/>
              </w:rPr>
              <w:t>Economical (E)</w:t>
            </w:r>
          </w:p>
        </w:tc>
        <w:tc>
          <w:tcPr>
            <w:tcW w:w="71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1F2B91" w:rsidRDefault="00014868">
            <w:pPr>
              <w:spacing w:after="0"/>
              <w:rPr>
                <w:szCs w:val="24"/>
                <w:lang w:val="en-GB"/>
              </w:rPr>
            </w:pPr>
            <w:r>
              <w:rPr>
                <w:szCs w:val="24"/>
                <w:lang w:val="en-GB"/>
              </w:rPr>
              <w:t>From the economical factors, the disposable incomes are getting hikes day today, which also influence the automotive industry largely. Despite this, referring to figure 1, the world GDP rate has been decreased by 5.93% compared to 2019 and estimated at -3.60% in 2020 whereas in 2019 it has only decreased by 0.7% from 2018 (</w:t>
            </w:r>
            <w:proofErr w:type="spellStart"/>
            <w:r>
              <w:rPr>
                <w:szCs w:val="24"/>
                <w:lang w:val="en-GB"/>
              </w:rPr>
              <w:t>Macrotrends</w:t>
            </w:r>
            <w:proofErr w:type="spellEnd"/>
            <w:r>
              <w:rPr>
                <w:szCs w:val="24"/>
                <w:lang w:val="en-GB"/>
              </w:rPr>
              <w:t xml:space="preserve">, 2021). However, the statement suggested that in recent two years the world economy has declined that have an impact on global financial flow too. Furthermore, the inflation rate has declined in 2020 to by 0.21%, which has 1.94% (Neill, 2022). Although the current GDP rate declined rather has expected to increase by mid of 2022 to 2026. </w:t>
            </w:r>
          </w:p>
        </w:tc>
      </w:tr>
      <w:tr w:rsidR="001F2B91">
        <w:trPr>
          <w:trHeight w:val="621"/>
          <w:jc w:val="center"/>
        </w:trPr>
        <w:tc>
          <w:tcPr>
            <w:tcW w:w="224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1F2B91" w:rsidRDefault="00014868">
            <w:pPr>
              <w:spacing w:after="0"/>
              <w:jc w:val="center"/>
              <w:rPr>
                <w:szCs w:val="24"/>
                <w:lang w:val="en-GB"/>
              </w:rPr>
            </w:pPr>
            <w:r>
              <w:rPr>
                <w:szCs w:val="24"/>
                <w:lang w:val="en-GB"/>
              </w:rPr>
              <w:t>Social (S)</w:t>
            </w:r>
          </w:p>
        </w:tc>
        <w:tc>
          <w:tcPr>
            <w:tcW w:w="71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1F2B91" w:rsidRDefault="00014868">
            <w:pPr>
              <w:spacing w:after="0"/>
              <w:rPr>
                <w:szCs w:val="24"/>
                <w:lang w:val="en-GB"/>
              </w:rPr>
            </w:pPr>
            <w:r>
              <w:rPr>
                <w:szCs w:val="24"/>
                <w:lang w:val="en-GB"/>
              </w:rPr>
              <w:t>The social or socio-cultural factors, which derive the organisational functions and profitability rate is driving popularity and populations. In the automotive industry, there is a number of luxury car manufacturing companies, which are largely known even in the international market as such Tesla, Lamborghini, BMW from luxury and sports car (</w:t>
            </w:r>
            <w:proofErr w:type="spellStart"/>
            <w:r>
              <w:rPr>
                <w:szCs w:val="24"/>
                <w:lang w:val="en-GB"/>
              </w:rPr>
              <w:t>Tumaku</w:t>
            </w:r>
            <w:proofErr w:type="spellEnd"/>
            <w:r>
              <w:rPr>
                <w:szCs w:val="24"/>
                <w:lang w:val="en-GB"/>
              </w:rPr>
              <w:t xml:space="preserve"> and </w:t>
            </w:r>
            <w:proofErr w:type="spellStart"/>
            <w:r>
              <w:rPr>
                <w:szCs w:val="24"/>
                <w:lang w:val="en-GB"/>
              </w:rPr>
              <w:t>Ren</w:t>
            </w:r>
            <w:proofErr w:type="spellEnd"/>
            <w:r>
              <w:rPr>
                <w:szCs w:val="24"/>
                <w:lang w:val="en-GB"/>
              </w:rPr>
              <w:t xml:space="preserve">, 2020). In fact, the populations are also increasing, which may trigger industrial growth too. </w:t>
            </w:r>
          </w:p>
        </w:tc>
      </w:tr>
      <w:tr w:rsidR="001F2B91">
        <w:trPr>
          <w:trHeight w:val="621"/>
          <w:jc w:val="center"/>
        </w:trPr>
        <w:tc>
          <w:tcPr>
            <w:tcW w:w="224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1F2B91" w:rsidRDefault="00014868">
            <w:pPr>
              <w:spacing w:after="0"/>
              <w:jc w:val="center"/>
              <w:rPr>
                <w:szCs w:val="24"/>
                <w:lang w:val="en-GB"/>
              </w:rPr>
            </w:pPr>
            <w:r>
              <w:rPr>
                <w:szCs w:val="24"/>
                <w:lang w:val="en-GB"/>
              </w:rPr>
              <w:lastRenderedPageBreak/>
              <w:t>Technological (T)</w:t>
            </w:r>
          </w:p>
        </w:tc>
        <w:tc>
          <w:tcPr>
            <w:tcW w:w="71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1F2B91" w:rsidRDefault="00014868">
            <w:pPr>
              <w:spacing w:after="0"/>
              <w:rPr>
                <w:szCs w:val="24"/>
                <w:lang w:val="en-GB"/>
              </w:rPr>
            </w:pPr>
            <w:r>
              <w:rPr>
                <w:szCs w:val="24"/>
                <w:lang w:val="en-GB"/>
              </w:rPr>
              <w:t xml:space="preserve">In the above segment of analysis has been done in influencing the organisational development associated with the automotive industry. Most importantly, the innovative research and process are always in their ways aiming with the development of the industries and organisations. In post-Covid situations, the changes have been measured widely while the organisations are practising AI solutions and IoTs for better consumer interactions and advanced model cars.  </w:t>
            </w:r>
          </w:p>
        </w:tc>
      </w:tr>
      <w:tr w:rsidR="001F2B91">
        <w:trPr>
          <w:trHeight w:val="590"/>
          <w:jc w:val="center"/>
        </w:trPr>
        <w:tc>
          <w:tcPr>
            <w:tcW w:w="224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1F2B91" w:rsidRDefault="00014868">
            <w:pPr>
              <w:spacing w:after="0"/>
              <w:jc w:val="center"/>
              <w:rPr>
                <w:szCs w:val="24"/>
                <w:lang w:val="en-GB"/>
              </w:rPr>
            </w:pPr>
            <w:r>
              <w:rPr>
                <w:szCs w:val="24"/>
                <w:lang w:val="en-GB"/>
              </w:rPr>
              <w:t>Environmental (E)</w:t>
            </w:r>
          </w:p>
        </w:tc>
        <w:tc>
          <w:tcPr>
            <w:tcW w:w="71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1F2B91" w:rsidRDefault="00014868">
            <w:pPr>
              <w:spacing w:after="0"/>
              <w:rPr>
                <w:szCs w:val="24"/>
                <w:lang w:val="en-GB"/>
              </w:rPr>
            </w:pPr>
            <w:r>
              <w:rPr>
                <w:szCs w:val="24"/>
                <w:lang w:val="en-GB"/>
              </w:rPr>
              <w:t xml:space="preserve">Environmental factor, which should be enlightened in the aspects of the automotive industry, is low carbon emission car. Due to the high carbon footprint and pollutions, the governments along with the consumers are expecting such technological cars. </w:t>
            </w:r>
          </w:p>
        </w:tc>
      </w:tr>
      <w:tr w:rsidR="001F2B91">
        <w:trPr>
          <w:trHeight w:val="621"/>
          <w:jc w:val="center"/>
        </w:trPr>
        <w:tc>
          <w:tcPr>
            <w:tcW w:w="224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1F2B91" w:rsidRDefault="00014868">
            <w:pPr>
              <w:spacing w:after="0"/>
              <w:jc w:val="center"/>
              <w:rPr>
                <w:szCs w:val="24"/>
                <w:lang w:val="en-GB"/>
              </w:rPr>
            </w:pPr>
            <w:r>
              <w:rPr>
                <w:szCs w:val="24"/>
                <w:lang w:val="en-GB"/>
              </w:rPr>
              <w:t>Legal (L )</w:t>
            </w:r>
          </w:p>
        </w:tc>
        <w:tc>
          <w:tcPr>
            <w:tcW w:w="71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1F2B91" w:rsidRDefault="00014868">
            <w:pPr>
              <w:spacing w:after="0"/>
              <w:rPr>
                <w:szCs w:val="24"/>
                <w:lang w:val="en-GB"/>
              </w:rPr>
            </w:pPr>
            <w:r>
              <w:rPr>
                <w:szCs w:val="24"/>
                <w:lang w:val="en-GB"/>
              </w:rPr>
              <w:t>Common legal aspects that one must follow for encouraging their industry growth even in expansions of the industry (</w:t>
            </w:r>
            <w:proofErr w:type="spellStart"/>
            <w:r>
              <w:rPr>
                <w:szCs w:val="24"/>
                <w:lang w:val="en-GB"/>
              </w:rPr>
              <w:t>Mihailova</w:t>
            </w:r>
            <w:proofErr w:type="spellEnd"/>
            <w:r>
              <w:rPr>
                <w:szCs w:val="24"/>
                <w:lang w:val="en-GB"/>
              </w:rPr>
              <w:t xml:space="preserve">, 2020). The automotive industry should be brainstorming and aware enough related to their models and carbon wastes. </w:t>
            </w:r>
          </w:p>
        </w:tc>
      </w:tr>
    </w:tbl>
    <w:p w:rsidR="001F2B91" w:rsidRDefault="001F2B91">
      <w:pPr>
        <w:jc w:val="center"/>
        <w:rPr>
          <w:lang w:val="en-GB"/>
        </w:rPr>
      </w:pPr>
    </w:p>
    <w:p w:rsidR="001F2B91" w:rsidRDefault="00014868">
      <w:pPr>
        <w:jc w:val="center"/>
        <w:rPr>
          <w:b/>
          <w:lang w:val="en-GB"/>
        </w:rPr>
      </w:pPr>
      <w:r>
        <w:rPr>
          <w:b/>
          <w:lang w:val="en-GB"/>
        </w:rPr>
        <w:t xml:space="preserve">Table 1: PESTLE analysis for the automotive industry </w:t>
      </w:r>
    </w:p>
    <w:p w:rsidR="001F2B91" w:rsidRDefault="00014868">
      <w:pPr>
        <w:jc w:val="center"/>
        <w:rPr>
          <w:lang w:val="en-GB"/>
        </w:rPr>
      </w:pPr>
      <w:r>
        <w:rPr>
          <w:lang w:val="en-GB"/>
        </w:rPr>
        <w:t xml:space="preserve">(Source: </w:t>
      </w:r>
      <w:proofErr w:type="spellStart"/>
      <w:r>
        <w:rPr>
          <w:lang w:val="en-GB"/>
        </w:rPr>
        <w:t>Macrotrends</w:t>
      </w:r>
      <w:proofErr w:type="spellEnd"/>
      <w:r>
        <w:rPr>
          <w:lang w:val="en-GB"/>
        </w:rPr>
        <w:t>, 2021)</w:t>
      </w:r>
    </w:p>
    <w:p w:rsidR="001F2B91" w:rsidRDefault="001F2B91">
      <w:pPr>
        <w:rPr>
          <w:lang w:val="en-GB"/>
        </w:rPr>
      </w:pPr>
    </w:p>
    <w:p w:rsidR="001F2B91" w:rsidRDefault="00014868">
      <w:pPr>
        <w:jc w:val="center"/>
      </w:pPr>
      <w:r>
        <w:rPr>
          <w:noProof/>
        </w:rPr>
        <w:lastRenderedPageBreak/>
        <w:drawing>
          <wp:inline distT="0" distB="0" distL="0" distR="0">
            <wp:extent cx="4407636" cy="3262442"/>
            <wp:effectExtent l="38100" t="38100" r="69114" b="71308"/>
            <wp:docPr id="1"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4407636" cy="3262442"/>
                    </a:xfrm>
                    <a:prstGeom prst="rect">
                      <a:avLst/>
                    </a:prstGeom>
                    <a:noFill/>
                    <a:ln w="38103">
                      <a:solidFill>
                        <a:srgbClr val="000000"/>
                      </a:solidFill>
                      <a:prstDash val="solid"/>
                    </a:ln>
                    <a:effectLst>
                      <a:outerShdw dist="38096" dir="2700000" algn="tl">
                        <a:srgbClr val="000000"/>
                      </a:outerShdw>
                    </a:effectLst>
                  </pic:spPr>
                </pic:pic>
              </a:graphicData>
            </a:graphic>
          </wp:inline>
        </w:drawing>
      </w:r>
    </w:p>
    <w:p w:rsidR="001F2B91" w:rsidRDefault="00014868">
      <w:pPr>
        <w:jc w:val="center"/>
        <w:rPr>
          <w:b/>
          <w:lang w:val="en-GB"/>
        </w:rPr>
      </w:pPr>
      <w:r>
        <w:rPr>
          <w:b/>
          <w:lang w:val="en-GB"/>
        </w:rPr>
        <w:t xml:space="preserve">Figure 1: World annual GDP rate by a percentage </w:t>
      </w:r>
    </w:p>
    <w:p w:rsidR="001F2B91" w:rsidRDefault="00014868">
      <w:pPr>
        <w:jc w:val="center"/>
        <w:rPr>
          <w:lang w:val="en-GB"/>
        </w:rPr>
      </w:pPr>
      <w:r>
        <w:rPr>
          <w:lang w:val="en-GB"/>
        </w:rPr>
        <w:t>(Source: Neill, 2022)</w:t>
      </w:r>
    </w:p>
    <w:p w:rsidR="001F2B91" w:rsidRDefault="00014868">
      <w:pPr>
        <w:pStyle w:val="Heading2"/>
        <w:rPr>
          <w:lang w:val="en-GB"/>
        </w:rPr>
      </w:pPr>
      <w:bookmarkStart w:id="5" w:name="_Toc92200462"/>
      <w:r>
        <w:rPr>
          <w:lang w:val="en-GB"/>
        </w:rPr>
        <w:t>Porter’s Diamond model</w:t>
      </w:r>
      <w:bookmarkEnd w:id="5"/>
      <w:r>
        <w:rPr>
          <w:lang w:val="en-GB"/>
        </w:rPr>
        <w:t xml:space="preserve"> </w:t>
      </w:r>
    </w:p>
    <w:p w:rsidR="001F2B91" w:rsidRDefault="00014868">
      <w:pPr>
        <w:jc w:val="center"/>
      </w:pPr>
      <w:r>
        <w:rPr>
          <w:noProof/>
        </w:rPr>
        <w:drawing>
          <wp:inline distT="0" distB="0" distL="0" distR="0">
            <wp:extent cx="4082256" cy="2293306"/>
            <wp:effectExtent l="38100" t="38100" r="70644" b="68894"/>
            <wp:docPr id="2" name="Picture 4" descr="Porter&amp;#39;s Diamond Model - Concept, Strategy and Examples | Marketing9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4082256" cy="2293306"/>
                    </a:xfrm>
                    <a:prstGeom prst="rect">
                      <a:avLst/>
                    </a:prstGeom>
                    <a:noFill/>
                    <a:ln w="38103">
                      <a:solidFill>
                        <a:srgbClr val="000000"/>
                      </a:solidFill>
                      <a:prstDash val="solid"/>
                    </a:ln>
                    <a:effectLst>
                      <a:outerShdw dist="38096" dir="2700000" algn="tl">
                        <a:srgbClr val="000000"/>
                      </a:outerShdw>
                    </a:effectLst>
                  </pic:spPr>
                </pic:pic>
              </a:graphicData>
            </a:graphic>
          </wp:inline>
        </w:drawing>
      </w:r>
    </w:p>
    <w:p w:rsidR="001F2B91" w:rsidRDefault="00014868">
      <w:pPr>
        <w:jc w:val="center"/>
        <w:rPr>
          <w:b/>
          <w:lang w:val="en-GB"/>
        </w:rPr>
      </w:pPr>
      <w:r>
        <w:rPr>
          <w:b/>
          <w:lang w:val="en-GB"/>
        </w:rPr>
        <w:t xml:space="preserve">Figure 2: Porter’s Diamond </w:t>
      </w:r>
    </w:p>
    <w:p w:rsidR="001F2B91" w:rsidRDefault="00014868">
      <w:pPr>
        <w:jc w:val="center"/>
        <w:rPr>
          <w:lang w:val="en-GB"/>
        </w:rPr>
      </w:pPr>
      <w:r>
        <w:rPr>
          <w:lang w:val="en-GB"/>
        </w:rPr>
        <w:t xml:space="preserve">(Source: </w:t>
      </w:r>
      <w:proofErr w:type="spellStart"/>
      <w:r>
        <w:rPr>
          <w:lang w:val="en-GB"/>
        </w:rPr>
        <w:t>Bhasin</w:t>
      </w:r>
      <w:proofErr w:type="spellEnd"/>
      <w:r>
        <w:rPr>
          <w:lang w:val="en-GB"/>
        </w:rPr>
        <w:t>, 2022)</w:t>
      </w:r>
    </w:p>
    <w:p w:rsidR="001F2B91" w:rsidRDefault="00014868">
      <w:r>
        <w:rPr>
          <w:lang w:val="en-GB"/>
        </w:rPr>
        <w:lastRenderedPageBreak/>
        <w:t xml:space="preserve">In accordance to assess and get the competitive edge of any industry in the international market along with their advantages in certain situations, the theory of </w:t>
      </w:r>
      <w:r>
        <w:rPr>
          <w:b/>
          <w:lang w:val="en-GB"/>
        </w:rPr>
        <w:t>Porter’s Diamond</w:t>
      </w:r>
      <w:r>
        <w:rPr>
          <w:lang w:val="en-GB"/>
        </w:rPr>
        <w:t xml:space="preserve"> incepted. While business firms are intended to expand their business territory targeting a certain market requires evaluating their competitive advantages for forecasting their growth (</w:t>
      </w:r>
      <w:proofErr w:type="spellStart"/>
      <w:r>
        <w:rPr>
          <w:lang w:val="en-GB"/>
        </w:rPr>
        <w:t>Bhasin</w:t>
      </w:r>
      <w:proofErr w:type="spellEnd"/>
      <w:r>
        <w:rPr>
          <w:lang w:val="en-GB"/>
        </w:rPr>
        <w:t>, 2022). Moreover, the business management model deals with different four factors, which is associated with the market and business standards. The factors are; “</w:t>
      </w:r>
      <w:r>
        <w:rPr>
          <w:i/>
          <w:lang w:val="en-GB"/>
        </w:rPr>
        <w:t>Firm Strategy and Rivalry</w:t>
      </w:r>
      <w:r>
        <w:rPr>
          <w:lang w:val="en-GB"/>
        </w:rPr>
        <w:t>”, “</w:t>
      </w:r>
      <w:r>
        <w:rPr>
          <w:i/>
          <w:lang w:val="en-GB"/>
        </w:rPr>
        <w:t>Factor Condition</w:t>
      </w:r>
      <w:r>
        <w:rPr>
          <w:lang w:val="en-GB"/>
        </w:rPr>
        <w:t>”, “</w:t>
      </w:r>
      <w:r>
        <w:rPr>
          <w:i/>
          <w:lang w:val="en-GB"/>
        </w:rPr>
        <w:t>Related and Supporting Industries</w:t>
      </w:r>
      <w:r>
        <w:rPr>
          <w:lang w:val="en-GB"/>
        </w:rPr>
        <w:t>” and “</w:t>
      </w:r>
      <w:r>
        <w:rPr>
          <w:i/>
          <w:lang w:val="en-GB"/>
        </w:rPr>
        <w:t>Demand Conditions</w:t>
      </w:r>
      <w:r>
        <w:rPr>
          <w:lang w:val="en-GB"/>
        </w:rPr>
        <w:t xml:space="preserve">”. </w:t>
      </w:r>
    </w:p>
    <w:p w:rsidR="001F2B91" w:rsidRDefault="00014868">
      <w:pPr>
        <w:rPr>
          <w:lang w:val="en-GB"/>
        </w:rPr>
      </w:pPr>
      <w:r>
        <w:rPr>
          <w:lang w:val="en-GB"/>
        </w:rPr>
        <w:t>Most specifically, the diamond porter model assists the organisation to evaluate their competitive rivalry considering their present firm's conditions. Besides, the companies throughout their analysis of porter diamond theory can liable to justify their pricing strategy of the market with the promotional strategies. In fact, it helps to pinpoint the buying power of suppliers and customers of the respective market. For instance, the luxury car manufacturing company, Audi after incorporating the model in their business come up with an outlandish car model for addressing the criteria of “no sped limit” (</w:t>
      </w:r>
      <w:proofErr w:type="spellStart"/>
      <w:r>
        <w:rPr>
          <w:lang w:val="en-GB"/>
        </w:rPr>
        <w:t>Bhasin</w:t>
      </w:r>
      <w:proofErr w:type="spellEnd"/>
      <w:r>
        <w:rPr>
          <w:lang w:val="en-GB"/>
        </w:rPr>
        <w:t xml:space="preserve">, 2022). As consequence, the car model successfully has an impact on the local target market.   </w:t>
      </w:r>
    </w:p>
    <w:p w:rsidR="001F2B91" w:rsidRDefault="00014868">
      <w:pPr>
        <w:pStyle w:val="Heading2"/>
        <w:rPr>
          <w:lang w:val="en-GB"/>
        </w:rPr>
      </w:pPr>
      <w:bookmarkStart w:id="6" w:name="_Toc92200463"/>
      <w:r>
        <w:rPr>
          <w:lang w:val="en-GB"/>
        </w:rPr>
        <w:t>Value network model</w:t>
      </w:r>
      <w:bookmarkEnd w:id="6"/>
      <w:r>
        <w:rPr>
          <w:lang w:val="en-GB"/>
        </w:rPr>
        <w:t xml:space="preserve"> </w:t>
      </w:r>
    </w:p>
    <w:p w:rsidR="001F2B91" w:rsidRDefault="00014868">
      <w:pPr>
        <w:jc w:val="center"/>
      </w:pPr>
      <w:r>
        <w:rPr>
          <w:lang w:val="en-GB"/>
        </w:rPr>
        <w:t xml:space="preserve">     </w:t>
      </w:r>
      <w:r>
        <w:rPr>
          <w:noProof/>
        </w:rPr>
        <w:drawing>
          <wp:inline distT="0" distB="0" distL="0" distR="0">
            <wp:extent cx="4910236" cy="2626248"/>
            <wp:effectExtent l="38100" t="38100" r="80864" b="78852"/>
            <wp:docPr id="3" name="Picture 7" descr="Value Network - Business Model Toolbox"/>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4910236" cy="2626248"/>
                    </a:xfrm>
                    <a:prstGeom prst="rect">
                      <a:avLst/>
                    </a:prstGeom>
                    <a:noFill/>
                    <a:ln w="38103">
                      <a:solidFill>
                        <a:srgbClr val="000000"/>
                      </a:solidFill>
                      <a:prstDash val="solid"/>
                    </a:ln>
                    <a:effectLst>
                      <a:outerShdw dist="38096" dir="2700000" algn="tl">
                        <a:srgbClr val="000000"/>
                      </a:outerShdw>
                    </a:effectLst>
                  </pic:spPr>
                </pic:pic>
              </a:graphicData>
            </a:graphic>
          </wp:inline>
        </w:drawing>
      </w:r>
    </w:p>
    <w:p w:rsidR="001F2B91" w:rsidRDefault="00014868">
      <w:pPr>
        <w:jc w:val="center"/>
        <w:rPr>
          <w:b/>
          <w:lang w:val="en-GB"/>
        </w:rPr>
      </w:pPr>
      <w:r>
        <w:rPr>
          <w:b/>
          <w:lang w:val="en-GB"/>
        </w:rPr>
        <w:t>Figure 3: Value Network</w:t>
      </w:r>
    </w:p>
    <w:p w:rsidR="001F2B91" w:rsidRDefault="00014868">
      <w:pPr>
        <w:jc w:val="center"/>
      </w:pPr>
      <w:r>
        <w:t xml:space="preserve">(Source: </w:t>
      </w:r>
      <w:r>
        <w:rPr>
          <w:lang w:val="en-GB"/>
        </w:rPr>
        <w:t xml:space="preserve">Wang </w:t>
      </w:r>
      <w:r>
        <w:rPr>
          <w:i/>
          <w:lang w:val="en-GB"/>
        </w:rPr>
        <w:t>et al.,</w:t>
      </w:r>
      <w:r>
        <w:rPr>
          <w:lang w:val="en-GB"/>
        </w:rPr>
        <w:t xml:space="preserve"> </w:t>
      </w:r>
      <w:r>
        <w:t>2020)</w:t>
      </w:r>
    </w:p>
    <w:p w:rsidR="001F2B91" w:rsidRDefault="00014868">
      <w:r>
        <w:rPr>
          <w:lang w:val="en-GB"/>
        </w:rPr>
        <w:lastRenderedPageBreak/>
        <w:t xml:space="preserve">The concept of a value network is connecting the set of organisational and individual interacting components, which can be remarkable and beneficial for a certain group of consumers. Thus, anticipating the model theory the organisation can better maintain their product buying and selling proposition sharing information. The automotive industrial firms are allowed to depict their networks for sharing relevant information through using multiple tools and nodes that signify members and their connections. Moreover, the primary aim of using the networking model theory in the business premise is to apply the organisational resource and influence in their business network for satisfying their forthcomings (Wang </w:t>
      </w:r>
      <w:r>
        <w:rPr>
          <w:i/>
          <w:lang w:val="en-GB"/>
        </w:rPr>
        <w:t>et al.,</w:t>
      </w:r>
      <w:r>
        <w:rPr>
          <w:lang w:val="en-GB"/>
        </w:rPr>
        <w:t xml:space="preserve"> 2020). The network assists in growing its members considering the internal and external resources as such research development and customers respectively. Here, observing the different noteworthy practices of automotive business firms, the organisations practice their networking through “Clayton Christensen network”, “</w:t>
      </w:r>
      <w:proofErr w:type="spellStart"/>
      <w:r>
        <w:rPr>
          <w:lang w:val="en-GB"/>
        </w:rPr>
        <w:t>Stabells</w:t>
      </w:r>
      <w:proofErr w:type="spellEnd"/>
      <w:r>
        <w:rPr>
          <w:lang w:val="en-GB"/>
        </w:rPr>
        <w:t xml:space="preserve"> network” and “Verna Allee's networks”. </w:t>
      </w:r>
    </w:p>
    <w:p w:rsidR="001F2B91" w:rsidRDefault="00014868">
      <w:pPr>
        <w:pStyle w:val="Heading2"/>
        <w:rPr>
          <w:lang w:val="en-GB"/>
        </w:rPr>
      </w:pPr>
      <w:bookmarkStart w:id="7" w:name="_Toc92200464"/>
      <w:r>
        <w:rPr>
          <w:lang w:val="en-GB"/>
        </w:rPr>
        <w:t>Porter’s five forces model</w:t>
      </w:r>
      <w:bookmarkEnd w:id="7"/>
      <w:r>
        <w:rPr>
          <w:lang w:val="en-GB"/>
        </w:rPr>
        <w:t xml:space="preserve"> </w:t>
      </w:r>
    </w:p>
    <w:p w:rsidR="001F2B91" w:rsidRDefault="00014868">
      <w:pPr>
        <w:jc w:val="center"/>
      </w:pPr>
      <w:r>
        <w:rPr>
          <w:noProof/>
        </w:rPr>
        <w:drawing>
          <wp:inline distT="0" distB="0" distL="0" distR="0">
            <wp:extent cx="3859526" cy="2814322"/>
            <wp:effectExtent l="38100" t="38100" r="83824" b="81278"/>
            <wp:docPr id="4" name="Picture 10" descr="The Five Forces that shape Industry Competition (Porter, 2008) | Download  Scientific Diagram"/>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3859526" cy="2814322"/>
                    </a:xfrm>
                    <a:prstGeom prst="rect">
                      <a:avLst/>
                    </a:prstGeom>
                    <a:noFill/>
                    <a:ln w="38103">
                      <a:solidFill>
                        <a:srgbClr val="000000"/>
                      </a:solidFill>
                      <a:prstDash val="solid"/>
                    </a:ln>
                    <a:effectLst>
                      <a:outerShdw dist="38096" dir="2700000" algn="tl">
                        <a:srgbClr val="000000"/>
                      </a:outerShdw>
                    </a:effectLst>
                  </pic:spPr>
                </pic:pic>
              </a:graphicData>
            </a:graphic>
          </wp:inline>
        </w:drawing>
      </w:r>
    </w:p>
    <w:p w:rsidR="001F2B91" w:rsidRDefault="00014868">
      <w:pPr>
        <w:jc w:val="center"/>
        <w:rPr>
          <w:b/>
          <w:lang w:val="en-GB"/>
        </w:rPr>
      </w:pPr>
      <w:r>
        <w:rPr>
          <w:b/>
          <w:lang w:val="en-GB"/>
        </w:rPr>
        <w:t>Figure 4: Porter’s Five Forces</w:t>
      </w:r>
    </w:p>
    <w:p w:rsidR="001F2B91" w:rsidRDefault="00014868">
      <w:pPr>
        <w:jc w:val="center"/>
      </w:pPr>
      <w:r>
        <w:rPr>
          <w:b/>
          <w:lang w:val="en-GB"/>
        </w:rPr>
        <w:t>(</w:t>
      </w:r>
      <w:r>
        <w:rPr>
          <w:lang w:val="en-GB"/>
        </w:rPr>
        <w:t xml:space="preserve">Source: </w:t>
      </w:r>
      <w:r>
        <w:t xml:space="preserve">Zhang </w:t>
      </w:r>
      <w:r>
        <w:rPr>
          <w:i/>
        </w:rPr>
        <w:t>et al.,</w:t>
      </w:r>
      <w:r>
        <w:t xml:space="preserve"> 2020</w:t>
      </w:r>
      <w:r>
        <w:rPr>
          <w:b/>
        </w:rPr>
        <w:t>)</w:t>
      </w:r>
    </w:p>
    <w:p w:rsidR="001F2B91" w:rsidRDefault="00014868">
      <w:pPr>
        <w:rPr>
          <w:lang w:val="en-GB"/>
        </w:rPr>
      </w:pPr>
      <w:r>
        <w:rPr>
          <w:lang w:val="en-GB"/>
        </w:rPr>
        <w:t xml:space="preserve">Porter five forces are also managed and developed through the organisations for understating and pinpointing the competitive advantages of the industry market. In five forces, the model consists of five factors as such: </w:t>
      </w:r>
    </w:p>
    <w:tbl>
      <w:tblPr>
        <w:tblW w:w="9350" w:type="dxa"/>
        <w:jc w:val="center"/>
        <w:tblCellMar>
          <w:left w:w="10" w:type="dxa"/>
          <w:right w:w="10" w:type="dxa"/>
        </w:tblCellMar>
        <w:tblLook w:val="0000" w:firstRow="0" w:lastRow="0" w:firstColumn="0" w:lastColumn="0" w:noHBand="0" w:noVBand="0"/>
      </w:tblPr>
      <w:tblGrid>
        <w:gridCol w:w="4198"/>
        <w:gridCol w:w="950"/>
        <w:gridCol w:w="4202"/>
      </w:tblGrid>
      <w:tr w:rsidR="001F2B91">
        <w:trPr>
          <w:trHeight w:val="512"/>
          <w:jc w:val="center"/>
        </w:trPr>
        <w:tc>
          <w:tcPr>
            <w:tcW w:w="419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1F2B91" w:rsidRDefault="00014868">
            <w:pPr>
              <w:spacing w:after="0"/>
              <w:jc w:val="center"/>
              <w:rPr>
                <w:b/>
                <w:szCs w:val="24"/>
                <w:lang w:val="en-GB"/>
              </w:rPr>
            </w:pPr>
            <w:r>
              <w:rPr>
                <w:b/>
                <w:szCs w:val="24"/>
                <w:lang w:val="en-GB"/>
              </w:rPr>
              <w:lastRenderedPageBreak/>
              <w:t>Five forces of competitive advantages</w:t>
            </w:r>
          </w:p>
        </w:tc>
        <w:tc>
          <w:tcPr>
            <w:tcW w:w="95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1F2B91" w:rsidRDefault="00014868">
            <w:pPr>
              <w:spacing w:after="0"/>
              <w:jc w:val="center"/>
              <w:rPr>
                <w:b/>
                <w:szCs w:val="24"/>
                <w:lang w:val="en-GB"/>
              </w:rPr>
            </w:pPr>
            <w:r>
              <w:rPr>
                <w:b/>
                <w:szCs w:val="24"/>
                <w:lang w:val="en-GB"/>
              </w:rPr>
              <w:t>Impact</w:t>
            </w:r>
          </w:p>
        </w:tc>
        <w:tc>
          <w:tcPr>
            <w:tcW w:w="42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1F2B91" w:rsidRDefault="00014868">
            <w:pPr>
              <w:spacing w:after="0"/>
              <w:jc w:val="center"/>
              <w:rPr>
                <w:b/>
                <w:szCs w:val="24"/>
                <w:lang w:val="en-GB"/>
              </w:rPr>
            </w:pPr>
            <w:r>
              <w:rPr>
                <w:b/>
                <w:szCs w:val="24"/>
                <w:lang w:val="en-GB"/>
              </w:rPr>
              <w:t>Impact on industry</w:t>
            </w:r>
          </w:p>
        </w:tc>
      </w:tr>
      <w:tr w:rsidR="001F2B91">
        <w:trPr>
          <w:trHeight w:val="512"/>
          <w:jc w:val="center"/>
        </w:trPr>
        <w:tc>
          <w:tcPr>
            <w:tcW w:w="419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1F2B91" w:rsidRDefault="00014868">
            <w:pPr>
              <w:spacing w:after="0"/>
              <w:rPr>
                <w:szCs w:val="24"/>
                <w:lang w:val="en-GB"/>
              </w:rPr>
            </w:pPr>
            <w:r>
              <w:rPr>
                <w:szCs w:val="24"/>
                <w:lang w:val="en-GB"/>
              </w:rPr>
              <w:t>The threat of new entrants</w:t>
            </w:r>
          </w:p>
        </w:tc>
        <w:tc>
          <w:tcPr>
            <w:tcW w:w="950" w:type="dxa"/>
            <w:tcBorders>
              <w:top w:val="single" w:sz="4" w:space="0" w:color="000000"/>
              <w:left w:val="single" w:sz="4" w:space="0" w:color="000000"/>
              <w:bottom w:val="single" w:sz="4" w:space="0" w:color="000000"/>
              <w:right w:val="single" w:sz="4" w:space="0" w:color="000000"/>
            </w:tcBorders>
            <w:shd w:val="clear" w:color="auto" w:fill="00B050"/>
            <w:tcMar>
              <w:top w:w="0" w:type="dxa"/>
              <w:left w:w="108" w:type="dxa"/>
              <w:bottom w:w="0" w:type="dxa"/>
              <w:right w:w="108" w:type="dxa"/>
            </w:tcMar>
          </w:tcPr>
          <w:p w:rsidR="001F2B91" w:rsidRDefault="00014868">
            <w:pPr>
              <w:spacing w:after="0"/>
              <w:rPr>
                <w:szCs w:val="24"/>
                <w:lang w:val="en-GB"/>
              </w:rPr>
            </w:pPr>
            <w:r>
              <w:rPr>
                <w:szCs w:val="24"/>
                <w:lang w:val="en-GB"/>
              </w:rPr>
              <w:t>Low</w:t>
            </w:r>
          </w:p>
        </w:tc>
        <w:tc>
          <w:tcPr>
            <w:tcW w:w="42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1F2B91" w:rsidRDefault="00014868">
            <w:pPr>
              <w:spacing w:after="0"/>
              <w:rPr>
                <w:szCs w:val="24"/>
                <w:lang w:val="en-GB"/>
              </w:rPr>
            </w:pPr>
            <w:r>
              <w:rPr>
                <w:szCs w:val="24"/>
                <w:lang w:val="en-GB"/>
              </w:rPr>
              <w:t xml:space="preserve">The automobile industry is considered the most difficult manufacturing industry at all times. Thereby the new threats entry is low enough.  </w:t>
            </w:r>
          </w:p>
        </w:tc>
      </w:tr>
      <w:tr w:rsidR="001F2B91">
        <w:trPr>
          <w:trHeight w:val="486"/>
          <w:jc w:val="center"/>
        </w:trPr>
        <w:tc>
          <w:tcPr>
            <w:tcW w:w="419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1F2B91" w:rsidRDefault="00014868">
            <w:pPr>
              <w:spacing w:after="0"/>
              <w:rPr>
                <w:szCs w:val="24"/>
                <w:lang w:val="en-GB"/>
              </w:rPr>
            </w:pPr>
            <w:r>
              <w:rPr>
                <w:szCs w:val="24"/>
                <w:lang w:val="en-GB"/>
              </w:rPr>
              <w:t>The threat of substitute products</w:t>
            </w:r>
          </w:p>
        </w:tc>
        <w:tc>
          <w:tcPr>
            <w:tcW w:w="950" w:type="dxa"/>
            <w:tcBorders>
              <w:top w:val="single" w:sz="4" w:space="0" w:color="000000"/>
              <w:left w:val="single" w:sz="4" w:space="0" w:color="000000"/>
              <w:bottom w:val="single" w:sz="4" w:space="0" w:color="000000"/>
              <w:right w:val="single" w:sz="4" w:space="0" w:color="000000"/>
            </w:tcBorders>
            <w:shd w:val="clear" w:color="auto" w:fill="00B050"/>
            <w:tcMar>
              <w:top w:w="0" w:type="dxa"/>
              <w:left w:w="108" w:type="dxa"/>
              <w:bottom w:w="0" w:type="dxa"/>
              <w:right w:w="108" w:type="dxa"/>
            </w:tcMar>
          </w:tcPr>
          <w:p w:rsidR="001F2B91" w:rsidRDefault="00014868">
            <w:pPr>
              <w:spacing w:after="0"/>
              <w:rPr>
                <w:szCs w:val="24"/>
                <w:lang w:val="en-GB"/>
              </w:rPr>
            </w:pPr>
            <w:r>
              <w:rPr>
                <w:szCs w:val="24"/>
                <w:lang w:val="en-GB"/>
              </w:rPr>
              <w:t>Low</w:t>
            </w:r>
          </w:p>
        </w:tc>
        <w:tc>
          <w:tcPr>
            <w:tcW w:w="42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1F2B91" w:rsidRDefault="00014868">
            <w:pPr>
              <w:spacing w:after="0"/>
            </w:pPr>
            <w:r>
              <w:rPr>
                <w:szCs w:val="24"/>
                <w:lang w:val="en-GB"/>
              </w:rPr>
              <w:t xml:space="preserve">In part of transportation mode, there has an alternative option for the buyer. Rather the convenience of luxury cars or accessibility might not be negotiated with other transport mediums </w:t>
            </w:r>
            <w:r>
              <w:rPr>
                <w:lang w:val="en-GB"/>
              </w:rPr>
              <w:t>(</w:t>
            </w:r>
            <w:r>
              <w:t xml:space="preserve">Ferreira </w:t>
            </w:r>
            <w:r>
              <w:rPr>
                <w:i/>
              </w:rPr>
              <w:t>et al.,</w:t>
            </w:r>
            <w:r>
              <w:t xml:space="preserve"> 2020</w:t>
            </w:r>
            <w:r>
              <w:rPr>
                <w:lang w:val="en-GB"/>
              </w:rPr>
              <w:t>)</w:t>
            </w:r>
            <w:r>
              <w:rPr>
                <w:szCs w:val="24"/>
                <w:lang w:val="en-GB"/>
              </w:rPr>
              <w:t xml:space="preserve">. Hence, the substitute threats are also low and weak. </w:t>
            </w:r>
          </w:p>
        </w:tc>
      </w:tr>
      <w:tr w:rsidR="001F2B91">
        <w:trPr>
          <w:trHeight w:val="512"/>
          <w:jc w:val="center"/>
        </w:trPr>
        <w:tc>
          <w:tcPr>
            <w:tcW w:w="419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1F2B91" w:rsidRDefault="00014868">
            <w:pPr>
              <w:spacing w:after="0"/>
              <w:rPr>
                <w:szCs w:val="24"/>
                <w:lang w:val="en-GB"/>
              </w:rPr>
            </w:pPr>
            <w:r>
              <w:rPr>
                <w:szCs w:val="24"/>
                <w:lang w:val="en-GB"/>
              </w:rPr>
              <w:t>Bargaining power of suppliers</w:t>
            </w:r>
          </w:p>
        </w:tc>
        <w:tc>
          <w:tcPr>
            <w:tcW w:w="950" w:type="dxa"/>
            <w:tcBorders>
              <w:top w:val="single" w:sz="4" w:space="0" w:color="000000"/>
              <w:left w:val="single" w:sz="4" w:space="0" w:color="000000"/>
              <w:bottom w:val="single" w:sz="4" w:space="0" w:color="000000"/>
              <w:right w:val="single" w:sz="4" w:space="0" w:color="000000"/>
            </w:tcBorders>
            <w:shd w:val="clear" w:color="auto" w:fill="00B050"/>
            <w:tcMar>
              <w:top w:w="0" w:type="dxa"/>
              <w:left w:w="108" w:type="dxa"/>
              <w:bottom w:w="0" w:type="dxa"/>
              <w:right w:w="108" w:type="dxa"/>
            </w:tcMar>
          </w:tcPr>
          <w:p w:rsidR="001F2B91" w:rsidRDefault="00014868">
            <w:pPr>
              <w:spacing w:after="0"/>
              <w:rPr>
                <w:szCs w:val="24"/>
                <w:lang w:val="en-GB"/>
              </w:rPr>
            </w:pPr>
            <w:r>
              <w:rPr>
                <w:szCs w:val="24"/>
                <w:lang w:val="en-GB"/>
              </w:rPr>
              <w:t xml:space="preserve">Low </w:t>
            </w:r>
          </w:p>
        </w:tc>
        <w:tc>
          <w:tcPr>
            <w:tcW w:w="42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1F2B91" w:rsidRDefault="00014868">
            <w:pPr>
              <w:spacing w:after="0"/>
              <w:rPr>
                <w:szCs w:val="24"/>
                <w:lang w:val="en-GB"/>
              </w:rPr>
            </w:pPr>
            <w:r>
              <w:rPr>
                <w:szCs w:val="24"/>
                <w:lang w:val="en-GB"/>
              </w:rPr>
              <w:t xml:space="preserve">The bargaining power of automotive industry suppliers is wracked. Mostly, the suppliers of the business firms are small and the organisations prefer minimum suppliers. For instance, the raw material of car brands like Ford, Toyota, BMW is enough clout which helps them to switch from one supplier to another easily (Zhang, </w:t>
            </w:r>
            <w:proofErr w:type="spellStart"/>
            <w:r>
              <w:rPr>
                <w:szCs w:val="24"/>
                <w:lang w:val="en-GB"/>
              </w:rPr>
              <w:t>Leng</w:t>
            </w:r>
            <w:proofErr w:type="spellEnd"/>
            <w:r>
              <w:rPr>
                <w:szCs w:val="24"/>
                <w:lang w:val="en-GB"/>
              </w:rPr>
              <w:t xml:space="preserve"> and Zhou, 2020). </w:t>
            </w:r>
          </w:p>
        </w:tc>
      </w:tr>
      <w:tr w:rsidR="001F2B91">
        <w:trPr>
          <w:trHeight w:val="512"/>
          <w:jc w:val="center"/>
        </w:trPr>
        <w:tc>
          <w:tcPr>
            <w:tcW w:w="419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1F2B91" w:rsidRDefault="00014868">
            <w:pPr>
              <w:spacing w:after="0"/>
              <w:rPr>
                <w:szCs w:val="24"/>
                <w:lang w:val="en-GB"/>
              </w:rPr>
            </w:pPr>
            <w:r>
              <w:rPr>
                <w:szCs w:val="24"/>
                <w:lang w:val="en-GB"/>
              </w:rPr>
              <w:t>Bargaining power of buyers</w:t>
            </w:r>
          </w:p>
        </w:tc>
        <w:tc>
          <w:tcPr>
            <w:tcW w:w="950" w:type="dxa"/>
            <w:tcBorders>
              <w:top w:val="single" w:sz="4" w:space="0" w:color="000000"/>
              <w:left w:val="single" w:sz="4" w:space="0" w:color="000000"/>
              <w:bottom w:val="single" w:sz="4" w:space="0" w:color="000000"/>
              <w:right w:val="single" w:sz="4" w:space="0" w:color="000000"/>
            </w:tcBorders>
            <w:shd w:val="clear" w:color="auto" w:fill="FF0000"/>
            <w:tcMar>
              <w:top w:w="0" w:type="dxa"/>
              <w:left w:w="108" w:type="dxa"/>
              <w:bottom w:w="0" w:type="dxa"/>
              <w:right w:w="108" w:type="dxa"/>
            </w:tcMar>
          </w:tcPr>
          <w:p w:rsidR="001F2B91" w:rsidRDefault="00014868">
            <w:pPr>
              <w:spacing w:after="0"/>
              <w:rPr>
                <w:szCs w:val="24"/>
                <w:lang w:val="en-GB"/>
              </w:rPr>
            </w:pPr>
            <w:r>
              <w:rPr>
                <w:szCs w:val="24"/>
                <w:lang w:val="en-GB"/>
              </w:rPr>
              <w:t xml:space="preserve">High </w:t>
            </w:r>
          </w:p>
        </w:tc>
        <w:tc>
          <w:tcPr>
            <w:tcW w:w="42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1F2B91" w:rsidRDefault="00014868">
            <w:pPr>
              <w:spacing w:after="0"/>
              <w:rPr>
                <w:szCs w:val="24"/>
                <w:lang w:val="en-GB"/>
              </w:rPr>
            </w:pPr>
            <w:r>
              <w:rPr>
                <w:szCs w:val="24"/>
                <w:lang w:val="en-GB"/>
              </w:rPr>
              <w:t xml:space="preserve">The bargaining rates of buyers are high or moderately high. Due to the Covid epidemic, the rate of individual expenses has been closed down which also influences the manufacturing industry. </w:t>
            </w:r>
          </w:p>
        </w:tc>
      </w:tr>
      <w:tr w:rsidR="001F2B91">
        <w:trPr>
          <w:trHeight w:val="512"/>
          <w:jc w:val="center"/>
        </w:trPr>
        <w:tc>
          <w:tcPr>
            <w:tcW w:w="419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1F2B91" w:rsidRDefault="00014868">
            <w:pPr>
              <w:spacing w:after="0"/>
              <w:rPr>
                <w:szCs w:val="24"/>
                <w:lang w:val="en-GB"/>
              </w:rPr>
            </w:pPr>
            <w:r>
              <w:rPr>
                <w:szCs w:val="24"/>
                <w:lang w:val="en-GB"/>
              </w:rPr>
              <w:t>The competitive rivalry among existing players</w:t>
            </w:r>
          </w:p>
        </w:tc>
        <w:tc>
          <w:tcPr>
            <w:tcW w:w="950" w:type="dxa"/>
            <w:tcBorders>
              <w:top w:val="single" w:sz="4" w:space="0" w:color="000000"/>
              <w:left w:val="single" w:sz="4" w:space="0" w:color="000000"/>
              <w:bottom w:val="single" w:sz="4" w:space="0" w:color="000000"/>
              <w:right w:val="single" w:sz="4" w:space="0" w:color="000000"/>
            </w:tcBorders>
            <w:shd w:val="clear" w:color="auto" w:fill="FF0000"/>
            <w:tcMar>
              <w:top w:w="0" w:type="dxa"/>
              <w:left w:w="108" w:type="dxa"/>
              <w:bottom w:w="0" w:type="dxa"/>
              <w:right w:w="108" w:type="dxa"/>
            </w:tcMar>
          </w:tcPr>
          <w:p w:rsidR="001F2B91" w:rsidRDefault="00014868">
            <w:pPr>
              <w:spacing w:after="0"/>
              <w:rPr>
                <w:szCs w:val="24"/>
                <w:lang w:val="en-GB"/>
              </w:rPr>
            </w:pPr>
            <w:r>
              <w:rPr>
                <w:szCs w:val="24"/>
                <w:lang w:val="en-GB"/>
              </w:rPr>
              <w:t xml:space="preserve">High </w:t>
            </w:r>
          </w:p>
        </w:tc>
        <w:tc>
          <w:tcPr>
            <w:tcW w:w="42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1F2B91" w:rsidRDefault="00014868">
            <w:pPr>
              <w:spacing w:after="0"/>
              <w:rPr>
                <w:szCs w:val="24"/>
                <w:lang w:val="en-GB"/>
              </w:rPr>
            </w:pPr>
            <w:r>
              <w:rPr>
                <w:szCs w:val="24"/>
                <w:lang w:val="en-GB"/>
              </w:rPr>
              <w:t xml:space="preserve">In the existing market, the competitive rivalry is very strong. The auto firms possess a loyal customers’ base while the industry size is high. Hence, the </w:t>
            </w:r>
            <w:r>
              <w:rPr>
                <w:szCs w:val="24"/>
                <w:lang w:val="en-GB"/>
              </w:rPr>
              <w:lastRenderedPageBreak/>
              <w:t xml:space="preserve">competitive advantages are also high for an organisation. Mostly the leading luxury car brands are intensifying their competitiveness to small car industries.    </w:t>
            </w:r>
          </w:p>
        </w:tc>
      </w:tr>
    </w:tbl>
    <w:p w:rsidR="001F2B91" w:rsidRDefault="001F2B91">
      <w:pPr>
        <w:rPr>
          <w:lang w:val="en-GB"/>
        </w:rPr>
      </w:pPr>
    </w:p>
    <w:p w:rsidR="001F2B91" w:rsidRDefault="00014868">
      <w:pPr>
        <w:jc w:val="center"/>
        <w:rPr>
          <w:lang w:val="en-GB"/>
        </w:rPr>
      </w:pPr>
      <w:r>
        <w:rPr>
          <w:lang w:val="en-GB"/>
        </w:rPr>
        <w:t>Table 2: Porter's five forces of the automotive industry</w:t>
      </w:r>
    </w:p>
    <w:p w:rsidR="001F2B91" w:rsidRDefault="00014868">
      <w:pPr>
        <w:jc w:val="center"/>
      </w:pPr>
      <w:r>
        <w:rPr>
          <w:lang w:val="en-GB"/>
        </w:rPr>
        <w:t>(Source:</w:t>
      </w:r>
      <w:r>
        <w:t xml:space="preserve"> Ferreira </w:t>
      </w:r>
      <w:r>
        <w:rPr>
          <w:i/>
        </w:rPr>
        <w:t>et al.,</w:t>
      </w:r>
      <w:r>
        <w:t xml:space="preserve"> 2020</w:t>
      </w:r>
      <w:r>
        <w:rPr>
          <w:lang w:val="en-GB"/>
        </w:rPr>
        <w:t>)</w:t>
      </w:r>
    </w:p>
    <w:p w:rsidR="001F2B91" w:rsidRDefault="00014868">
      <w:pPr>
        <w:pStyle w:val="Heading1"/>
        <w:rPr>
          <w:lang w:val="en-GB"/>
        </w:rPr>
      </w:pPr>
      <w:bookmarkStart w:id="8" w:name="_Toc92200465"/>
      <w:r>
        <w:rPr>
          <w:lang w:val="en-GB"/>
        </w:rPr>
        <w:t>Identification and critically evaluation of reasons organisations engage in international trade</w:t>
      </w:r>
      <w:bookmarkEnd w:id="8"/>
      <w:r>
        <w:rPr>
          <w:lang w:val="en-GB"/>
        </w:rPr>
        <w:t xml:space="preserve"> </w:t>
      </w:r>
    </w:p>
    <w:p w:rsidR="001F2B91" w:rsidRDefault="00014868">
      <w:r>
        <w:rPr>
          <w:lang w:val="en-GB"/>
        </w:rPr>
        <w:t xml:space="preserve">An organisation no matter from which parent industry it is from, aims to expand its business territory along with its margin profits. The reasons can identify that rely on such objectification of business areas flows. Most specifically, author </w:t>
      </w:r>
      <w:r>
        <w:t xml:space="preserve">McCambridge </w:t>
      </w:r>
      <w:r>
        <w:rPr>
          <w:i/>
        </w:rPr>
        <w:t>et al.</w:t>
      </w:r>
      <w:r>
        <w:t xml:space="preserve"> (2020), </w:t>
      </w:r>
      <w:r>
        <w:rPr>
          <w:lang w:val="en-GB"/>
        </w:rPr>
        <w:t xml:space="preserve">suggested that the organisation reduce the local market dependency and get more customer interactions deals with the business engagement. Internationalisation of business helps in the success of the firms through endeavouring the profit margins. Even with the expansions of the business market, the organisation get better opportunities for talent management, that deals with the productivity and efficacy of the market. </w:t>
      </w:r>
    </w:p>
    <w:p w:rsidR="001F2B91" w:rsidRDefault="00014868">
      <w:pPr>
        <w:pStyle w:val="Heading1"/>
        <w:rPr>
          <w:lang w:val="en-GB"/>
        </w:rPr>
      </w:pPr>
      <w:r>
        <w:rPr>
          <w:lang w:val="en-GB"/>
        </w:rPr>
        <w:t xml:space="preserve"> </w:t>
      </w:r>
      <w:bookmarkStart w:id="9" w:name="_Toc92200466"/>
      <w:r>
        <w:rPr>
          <w:lang w:val="en-GB"/>
        </w:rPr>
        <w:t>Assessment of market in action</w:t>
      </w:r>
      <w:bookmarkEnd w:id="9"/>
      <w:r>
        <w:rPr>
          <w:lang w:val="en-GB"/>
        </w:rPr>
        <w:t xml:space="preserve"> </w:t>
      </w:r>
    </w:p>
    <w:p w:rsidR="001F2B91" w:rsidRDefault="00014868">
      <w:pPr>
        <w:pStyle w:val="Heading2"/>
        <w:rPr>
          <w:lang w:val="en-GB"/>
        </w:rPr>
      </w:pPr>
      <w:bookmarkStart w:id="10" w:name="_Toc92200467"/>
      <w:r>
        <w:rPr>
          <w:lang w:val="en-GB"/>
        </w:rPr>
        <w:t>Understanding their micro-economic and macroeconomic foundations</w:t>
      </w:r>
      <w:bookmarkEnd w:id="10"/>
      <w:r>
        <w:rPr>
          <w:lang w:val="en-GB"/>
        </w:rPr>
        <w:t xml:space="preserve"> </w:t>
      </w:r>
    </w:p>
    <w:p w:rsidR="001F2B91" w:rsidRDefault="00014868">
      <w:r>
        <w:rPr>
          <w:lang w:val="en-GB"/>
        </w:rPr>
        <w:t xml:space="preserve">The macro-economy and micro economy have their utmost impression over the organisational expansions. Moreover, when a business organisation has been proposed for developing their market and business needs adhere to the elements. In </w:t>
      </w:r>
      <w:proofErr w:type="spellStart"/>
      <w:r>
        <w:rPr>
          <w:lang w:val="en-GB"/>
        </w:rPr>
        <w:t>microelements</w:t>
      </w:r>
      <w:proofErr w:type="spellEnd"/>
      <w:r>
        <w:rPr>
          <w:lang w:val="en-GB"/>
        </w:rPr>
        <w:t xml:space="preserve"> foundations, the specific organisation may evaluate dynamic choice of consumers, consumer surplus, profit maximisation and aggregations </w:t>
      </w:r>
      <w:r>
        <w:t>(</w:t>
      </w:r>
      <w:proofErr w:type="spellStart"/>
      <w:r>
        <w:t>Canh</w:t>
      </w:r>
      <w:proofErr w:type="spellEnd"/>
      <w:r>
        <w:t xml:space="preserve"> </w:t>
      </w:r>
      <w:r>
        <w:rPr>
          <w:i/>
        </w:rPr>
        <w:t xml:space="preserve">et al., </w:t>
      </w:r>
      <w:r>
        <w:t>2021)</w:t>
      </w:r>
      <w:r>
        <w:rPr>
          <w:lang w:val="en-GB"/>
        </w:rPr>
        <w:t xml:space="preserve">. On the other side macroeconomic is consists of national income, inflation and unemployment rate alongside the GDP growth. The factors help in evaluating the market growth and future market in the automotive industry. </w:t>
      </w:r>
    </w:p>
    <w:p w:rsidR="001F2B91" w:rsidRDefault="00014868">
      <w:pPr>
        <w:pStyle w:val="Heading2"/>
        <w:rPr>
          <w:lang w:val="en-GB"/>
        </w:rPr>
      </w:pPr>
      <w:bookmarkStart w:id="11" w:name="_Toc92200468"/>
      <w:r>
        <w:rPr>
          <w:lang w:val="en-GB"/>
        </w:rPr>
        <w:lastRenderedPageBreak/>
        <w:t>Market structures and their influence on firm strategy</w:t>
      </w:r>
      <w:bookmarkEnd w:id="11"/>
      <w:r>
        <w:rPr>
          <w:lang w:val="en-GB"/>
        </w:rPr>
        <w:t xml:space="preserve"> </w:t>
      </w:r>
    </w:p>
    <w:p w:rsidR="001F2B91" w:rsidRDefault="00014868">
      <w:r>
        <w:rPr>
          <w:lang w:val="en-GB"/>
        </w:rPr>
        <w:t xml:space="preserve">Generally, according to the market structure firms are directed to overhaul their strategic operations. Commonly used market structures are; </w:t>
      </w:r>
      <w:r>
        <w:t xml:space="preserve">Monopoly, Oligopoly, Duopoly and Monopolistic Competition. (Li </w:t>
      </w:r>
      <w:r>
        <w:rPr>
          <w:i/>
        </w:rPr>
        <w:t>et al.,</w:t>
      </w:r>
      <w:r>
        <w:t xml:space="preserve"> 2021) The market structure is different besides their criteria, which should be addressed through the organizational culture and practice. </w:t>
      </w:r>
    </w:p>
    <w:p w:rsidR="001F2B91" w:rsidRDefault="00014868">
      <w:pPr>
        <w:pStyle w:val="Heading2"/>
        <w:rPr>
          <w:lang w:val="en-GB"/>
        </w:rPr>
      </w:pPr>
      <w:bookmarkStart w:id="12" w:name="_Toc92200469"/>
      <w:r>
        <w:rPr>
          <w:lang w:val="en-GB"/>
        </w:rPr>
        <w:t>Long-run and short-run changes in the pre-Covid situation of Current international economy</w:t>
      </w:r>
      <w:bookmarkEnd w:id="12"/>
      <w:r>
        <w:rPr>
          <w:lang w:val="en-GB"/>
        </w:rPr>
        <w:t xml:space="preserve"> </w:t>
      </w:r>
    </w:p>
    <w:p w:rsidR="001F2B91" w:rsidRDefault="00014868">
      <w:r>
        <w:rPr>
          <w:lang w:val="en-GB"/>
        </w:rPr>
        <w:t xml:space="preserve">The post-Covid situation has turned the market and international market conditions, which has minute impacts on the organisational objects and goals. Based on the aforementioned international trends, the organisation has modified their long-term goals and short-term goals </w:t>
      </w:r>
      <w:r>
        <w:rPr>
          <w:szCs w:val="24"/>
          <w:lang w:val="en-GB"/>
        </w:rPr>
        <w:t xml:space="preserve">(Yadav, Kumar and </w:t>
      </w:r>
      <w:proofErr w:type="spellStart"/>
      <w:r>
        <w:rPr>
          <w:szCs w:val="24"/>
          <w:lang w:val="en-GB"/>
        </w:rPr>
        <w:t>Sonawaney</w:t>
      </w:r>
      <w:proofErr w:type="spellEnd"/>
      <w:r>
        <w:rPr>
          <w:szCs w:val="24"/>
          <w:lang w:val="en-GB"/>
        </w:rPr>
        <w:t>, 2020)</w:t>
      </w:r>
      <w:r>
        <w:rPr>
          <w:lang w:val="en-GB"/>
        </w:rPr>
        <w:t xml:space="preserve">. In long term, the companies have proposed to change their car models and have approached virtual showrooms whereas in the short term goal the automotive business companies have started attractive offers, loan facilities and internet payments. </w:t>
      </w:r>
    </w:p>
    <w:p w:rsidR="001F2B91" w:rsidRDefault="00014868">
      <w:pPr>
        <w:pStyle w:val="Heading1"/>
        <w:rPr>
          <w:lang w:val="en-GB"/>
        </w:rPr>
      </w:pPr>
      <w:bookmarkStart w:id="13" w:name="_Toc92200470"/>
      <w:r>
        <w:rPr>
          <w:lang w:val="en-GB"/>
        </w:rPr>
        <w:t>Conclusion</w:t>
      </w:r>
      <w:bookmarkEnd w:id="13"/>
      <w:r>
        <w:rPr>
          <w:lang w:val="en-GB"/>
        </w:rPr>
        <w:t xml:space="preserve"> </w:t>
      </w:r>
    </w:p>
    <w:p w:rsidR="001F2B91" w:rsidRDefault="00014868">
      <w:pPr>
        <w:rPr>
          <w:lang w:val="en-GB"/>
        </w:rPr>
      </w:pPr>
      <w:r>
        <w:rPr>
          <w:lang w:val="en-GB"/>
        </w:rPr>
        <w:t xml:space="preserve">The report paper has objectified for presenting the international environment of the automotive industry through applying multiple models and theories. Most prominently, it has discussed the influence of the Covid epidemic has measured highly in the international market and market expansions of the organisations. Even the companies have changed their tones of business expecting their business growth in the post-Covid situation. </w:t>
      </w:r>
    </w:p>
    <w:p w:rsidR="001F2B91" w:rsidRDefault="001F2B91">
      <w:pPr>
        <w:pageBreakBefore/>
        <w:spacing w:line="276" w:lineRule="auto"/>
        <w:jc w:val="left"/>
      </w:pPr>
    </w:p>
    <w:p w:rsidR="001F2B91" w:rsidRDefault="00014868">
      <w:pPr>
        <w:pStyle w:val="Heading1"/>
        <w:rPr>
          <w:lang w:val="en-GB"/>
        </w:rPr>
      </w:pPr>
      <w:bookmarkStart w:id="14" w:name="_Toc92200471"/>
      <w:r>
        <w:rPr>
          <w:lang w:val="en-GB"/>
        </w:rPr>
        <w:t>Reference lists</w:t>
      </w:r>
      <w:bookmarkEnd w:id="14"/>
      <w:r>
        <w:rPr>
          <w:lang w:val="en-GB"/>
        </w:rPr>
        <w:t xml:space="preserve">  </w:t>
      </w:r>
    </w:p>
    <w:p w:rsidR="001F2B91" w:rsidRDefault="00014868">
      <w:pPr>
        <w:rPr>
          <w:lang w:val="en-GB"/>
        </w:rPr>
      </w:pPr>
      <w:proofErr w:type="spellStart"/>
      <w:r>
        <w:rPr>
          <w:lang w:val="en-GB"/>
        </w:rPr>
        <w:t>Bhasin</w:t>
      </w:r>
      <w:proofErr w:type="spellEnd"/>
      <w:r>
        <w:rPr>
          <w:lang w:val="en-GB"/>
        </w:rPr>
        <w:t>, H., (2022). “Porter’s Diamond Model - Concept, Strategy and Examples”. [online] Marketing91. Available at: &lt;https://www.marketing91.com/porters-diamond-model/&gt; [Accessed 4 January 2022].</w:t>
      </w:r>
    </w:p>
    <w:p w:rsidR="001F2B91" w:rsidRDefault="00014868">
      <w:proofErr w:type="spellStart"/>
      <w:r>
        <w:t>Canh</w:t>
      </w:r>
      <w:proofErr w:type="spellEnd"/>
      <w:r>
        <w:t xml:space="preserve">, P.N., </w:t>
      </w:r>
      <w:proofErr w:type="spellStart"/>
      <w:r>
        <w:t>Schinckus</w:t>
      </w:r>
      <w:proofErr w:type="spellEnd"/>
      <w:r>
        <w:t>, C. and Dinh Thanh, S., (2021). “What are the drivers of shadow economy? A further evidence of economic integration and institutional quality”. The Journal of International Trade &amp; Economic Development, 30(1), pp.47-67.</w:t>
      </w:r>
    </w:p>
    <w:p w:rsidR="001F2B91" w:rsidRDefault="00014868">
      <w:pPr>
        <w:rPr>
          <w:lang w:val="en-GB"/>
        </w:rPr>
      </w:pPr>
      <w:r>
        <w:rPr>
          <w:lang w:val="en-GB"/>
        </w:rPr>
        <w:t>Courses, (2022). “Global Trade Forces | Introduction to Business [Deprecated]”. [online] Courses.lumenlearning.com. Available at: &lt;https://courses.lumenlearning.com/wmopen-introbusiness/chapter/global-trade-forces/&gt; [Accessed 4 January 2022].</w:t>
      </w:r>
    </w:p>
    <w:p w:rsidR="001F2B91" w:rsidRDefault="00014868">
      <w:r>
        <w:t xml:space="preserve">Ferreira, A.S., </w:t>
      </w:r>
      <w:proofErr w:type="spellStart"/>
      <w:r>
        <w:t>Sacomano</w:t>
      </w:r>
      <w:proofErr w:type="spellEnd"/>
      <w:r>
        <w:t xml:space="preserve"> Neto, M., </w:t>
      </w:r>
      <w:proofErr w:type="spellStart"/>
      <w:r>
        <w:t>Candido</w:t>
      </w:r>
      <w:proofErr w:type="spellEnd"/>
      <w:r>
        <w:t xml:space="preserve">, S.E.A. and </w:t>
      </w:r>
      <w:proofErr w:type="spellStart"/>
      <w:r>
        <w:t>Ferratti</w:t>
      </w:r>
      <w:proofErr w:type="spellEnd"/>
      <w:r>
        <w:t xml:space="preserve">, G.M., (2021). “Network Centrality and Performance: Effects in the Automotive Industry”. </w:t>
      </w:r>
      <w:proofErr w:type="spellStart"/>
      <w:r>
        <w:t>Revista</w:t>
      </w:r>
      <w:proofErr w:type="spellEnd"/>
      <w:r>
        <w:t xml:space="preserve"> </w:t>
      </w:r>
      <w:proofErr w:type="spellStart"/>
      <w:r>
        <w:t>Brasileira</w:t>
      </w:r>
      <w:proofErr w:type="spellEnd"/>
      <w:r>
        <w:t xml:space="preserve"> de </w:t>
      </w:r>
      <w:proofErr w:type="spellStart"/>
      <w:r>
        <w:t>Gestão</w:t>
      </w:r>
      <w:proofErr w:type="spellEnd"/>
      <w:r>
        <w:t xml:space="preserve"> de </w:t>
      </w:r>
      <w:proofErr w:type="spellStart"/>
      <w:r>
        <w:t>Negócios</w:t>
      </w:r>
      <w:proofErr w:type="spellEnd"/>
      <w:r>
        <w:t>, 23, pp.677-695.</w:t>
      </w:r>
    </w:p>
    <w:p w:rsidR="001F2B91" w:rsidRDefault="00014868">
      <w:r>
        <w:t xml:space="preserve">Li, F., </w:t>
      </w:r>
      <w:proofErr w:type="spellStart"/>
      <w:r>
        <w:t>Larimo</w:t>
      </w:r>
      <w:proofErr w:type="spellEnd"/>
      <w:r>
        <w:t xml:space="preserve">, J. and </w:t>
      </w:r>
      <w:proofErr w:type="spellStart"/>
      <w:r>
        <w:t>Leonidou</w:t>
      </w:r>
      <w:proofErr w:type="spellEnd"/>
      <w:r>
        <w:t>, L.C., (2021). “Social media marketing strategy: definition, conceptualization, taxonomy, validation, and future agenda”. Journal of the Academy of Marketing Science, 49(1), pp.51-70.</w:t>
      </w:r>
    </w:p>
    <w:p w:rsidR="001F2B91" w:rsidRDefault="00014868">
      <w:pPr>
        <w:rPr>
          <w:lang w:val="en-GB"/>
        </w:rPr>
      </w:pPr>
      <w:proofErr w:type="spellStart"/>
      <w:r>
        <w:rPr>
          <w:lang w:val="en-GB"/>
        </w:rPr>
        <w:t>Macrotrends</w:t>
      </w:r>
      <w:proofErr w:type="spellEnd"/>
      <w:r>
        <w:rPr>
          <w:lang w:val="en-GB"/>
        </w:rPr>
        <w:t>, (2021). “World GDP Growth Rate 1961-2021. [online] Macrotrends.net”. Available at: &lt;https://www.macrotrends.net/countries/WLD/world/gdp-growth-rate&gt; [Accessed 31 December 2021].</w:t>
      </w:r>
    </w:p>
    <w:p w:rsidR="001F2B91" w:rsidRDefault="00014868">
      <w:pPr>
        <w:rPr>
          <w:lang w:val="en-GB"/>
        </w:rPr>
      </w:pPr>
      <w:proofErr w:type="spellStart"/>
      <w:r>
        <w:rPr>
          <w:lang w:val="en-GB"/>
        </w:rPr>
        <w:t>Mihailova</w:t>
      </w:r>
      <w:proofErr w:type="spellEnd"/>
      <w:r>
        <w:rPr>
          <w:lang w:val="en-GB"/>
        </w:rPr>
        <w:t>, M., (2020). “The state of agriculture in Bulgaria–PESTLE analysis”. Bulgarian Journal of Agricultural Science, 26(5), pp.935-943.</w:t>
      </w:r>
    </w:p>
    <w:p w:rsidR="001F2B91" w:rsidRDefault="00014868">
      <w:pPr>
        <w:rPr>
          <w:lang w:val="en-GB"/>
        </w:rPr>
      </w:pPr>
      <w:r>
        <w:rPr>
          <w:lang w:val="en-GB"/>
        </w:rPr>
        <w:t xml:space="preserve">Neill, A., (2022). “Global GDP 2014-2024 | </w:t>
      </w:r>
      <w:proofErr w:type="spellStart"/>
      <w:r>
        <w:rPr>
          <w:lang w:val="en-GB"/>
        </w:rPr>
        <w:t>Statista</w:t>
      </w:r>
      <w:proofErr w:type="spellEnd"/>
      <w:r>
        <w:rPr>
          <w:lang w:val="en-GB"/>
        </w:rPr>
        <w:t xml:space="preserve">”. [online] </w:t>
      </w:r>
      <w:proofErr w:type="spellStart"/>
      <w:r>
        <w:rPr>
          <w:lang w:val="en-GB"/>
        </w:rPr>
        <w:t>Statista</w:t>
      </w:r>
      <w:proofErr w:type="spellEnd"/>
      <w:r>
        <w:rPr>
          <w:lang w:val="en-GB"/>
        </w:rPr>
        <w:t>. Available at: &lt;https://www.statista.com/statistics/268750/global-gross-domestic-product-gdp/&gt; [Accessed 4 January 2022].</w:t>
      </w:r>
    </w:p>
    <w:p w:rsidR="001F2B91" w:rsidRDefault="00014868">
      <w:pPr>
        <w:rPr>
          <w:lang w:val="en-GB"/>
        </w:rPr>
      </w:pPr>
      <w:proofErr w:type="spellStart"/>
      <w:r>
        <w:rPr>
          <w:lang w:val="en-GB"/>
        </w:rPr>
        <w:lastRenderedPageBreak/>
        <w:t>Ratten</w:t>
      </w:r>
      <w:proofErr w:type="spellEnd"/>
      <w:r>
        <w:rPr>
          <w:lang w:val="en-GB"/>
        </w:rPr>
        <w:t>, V., (2020). “Coronavirus and international business: An entrepreneurial ecosystem perspective”. Thunderbird International Business Review, 62(5), pp.629-634.</w:t>
      </w:r>
    </w:p>
    <w:p w:rsidR="001F2B91" w:rsidRDefault="00014868">
      <w:pPr>
        <w:rPr>
          <w:lang w:val="en-GB"/>
        </w:rPr>
      </w:pPr>
      <w:proofErr w:type="spellStart"/>
      <w:r>
        <w:rPr>
          <w:lang w:val="en-GB"/>
        </w:rPr>
        <w:t>Tumaku</w:t>
      </w:r>
      <w:proofErr w:type="spellEnd"/>
      <w:r>
        <w:rPr>
          <w:lang w:val="en-GB"/>
        </w:rPr>
        <w:t xml:space="preserve">, J. and </w:t>
      </w:r>
      <w:proofErr w:type="spellStart"/>
      <w:r>
        <w:rPr>
          <w:lang w:val="en-GB"/>
        </w:rPr>
        <w:t>Ren</w:t>
      </w:r>
      <w:proofErr w:type="spellEnd"/>
      <w:r>
        <w:rPr>
          <w:lang w:val="en-GB"/>
        </w:rPr>
        <w:t>, J., (2020). “Ghanaian Perspective of Franchise Contract in Africa, a Pestle Analysis”. ECON-Journal of Economics, Management &amp; Business, 8(3).</w:t>
      </w:r>
    </w:p>
    <w:p w:rsidR="001F2B91" w:rsidRDefault="00014868">
      <w:pPr>
        <w:rPr>
          <w:lang w:val="en-GB"/>
        </w:rPr>
      </w:pPr>
      <w:r>
        <w:rPr>
          <w:lang w:val="en-GB"/>
        </w:rPr>
        <w:t xml:space="preserve">Wang, Y., Li, Y., Song, Y. and </w:t>
      </w:r>
      <w:proofErr w:type="spellStart"/>
      <w:r>
        <w:rPr>
          <w:lang w:val="en-GB"/>
        </w:rPr>
        <w:t>Rong</w:t>
      </w:r>
      <w:proofErr w:type="spellEnd"/>
      <w:r>
        <w:rPr>
          <w:lang w:val="en-GB"/>
        </w:rPr>
        <w:t>, X., (2020). “The influence of the activation function in a convolution neural network model of facial expression recognition”. Applied Sciences, 10(5), p.1897.</w:t>
      </w:r>
    </w:p>
    <w:p w:rsidR="001F2B91" w:rsidRDefault="00014868">
      <w:r>
        <w:t xml:space="preserve">Yadav, R., Kumar, A. and </w:t>
      </w:r>
      <w:proofErr w:type="spellStart"/>
      <w:r>
        <w:t>Sonawaney</w:t>
      </w:r>
      <w:proofErr w:type="spellEnd"/>
      <w:r>
        <w:t>, V., (2020). “Navigating Through Turbulent Times: Suggestions for the Automotive Industry”. Psychology and Education Journal, 57(9), pp.4712-4726.</w:t>
      </w:r>
    </w:p>
    <w:p w:rsidR="001F2B91" w:rsidRDefault="00014868">
      <w:pPr>
        <w:rPr>
          <w:lang w:val="en-GB"/>
        </w:rPr>
      </w:pPr>
      <w:r>
        <w:rPr>
          <w:lang w:val="en-GB"/>
        </w:rPr>
        <w:t xml:space="preserve">Zhang, C., </w:t>
      </w:r>
      <w:proofErr w:type="spellStart"/>
      <w:r>
        <w:rPr>
          <w:lang w:val="en-GB"/>
        </w:rPr>
        <w:t>Leng</w:t>
      </w:r>
      <w:proofErr w:type="spellEnd"/>
      <w:r>
        <w:rPr>
          <w:lang w:val="en-GB"/>
        </w:rPr>
        <w:t xml:space="preserve">, M. and Zhou, L., (2020). “Developing Strategies Of Social Enterprises Explained Using Porter's Five Forces Analysis Model: Taking Mental Challenged Car Wash As An Example”. International Journal of </w:t>
      </w:r>
      <w:proofErr w:type="spellStart"/>
      <w:r>
        <w:rPr>
          <w:lang w:val="en-GB"/>
        </w:rPr>
        <w:t>Organizational</w:t>
      </w:r>
      <w:proofErr w:type="spellEnd"/>
      <w:r>
        <w:rPr>
          <w:lang w:val="en-GB"/>
        </w:rPr>
        <w:t xml:space="preserve"> Innovation, 12(3).</w:t>
      </w:r>
    </w:p>
    <w:p w:rsidR="001F2B91" w:rsidRDefault="001F2B91">
      <w:pPr>
        <w:rPr>
          <w:lang w:val="en-GB"/>
        </w:rPr>
      </w:pPr>
    </w:p>
    <w:sectPr w:rsidR="001F2B91">
      <w:footerReference w:type="default" r:id="rId11"/>
      <w:pgSz w:w="12240" w:h="15840"/>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1E7D4D" w:rsidRDefault="001E7D4D">
      <w:pPr>
        <w:spacing w:after="0" w:line="240" w:lineRule="auto"/>
      </w:pPr>
      <w:r>
        <w:separator/>
      </w:r>
    </w:p>
  </w:endnote>
  <w:endnote w:type="continuationSeparator" w:id="0">
    <w:p w:rsidR="001E7D4D" w:rsidRDefault="001E7D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6F6780" w:rsidRDefault="00014868">
    <w:pPr>
      <w:pStyle w:val="Footer"/>
      <w:jc w:val="right"/>
    </w:pPr>
    <w:r>
      <w:rPr>
        <w:sz w:val="20"/>
        <w:szCs w:val="20"/>
      </w:rPr>
      <w:fldChar w:fldCharType="begin"/>
    </w:r>
    <w:r>
      <w:rPr>
        <w:sz w:val="20"/>
        <w:szCs w:val="20"/>
      </w:rPr>
      <w:instrText xml:space="preserve"> PAGE </w:instrText>
    </w:r>
    <w:r>
      <w:rPr>
        <w:sz w:val="20"/>
        <w:szCs w:val="20"/>
      </w:rPr>
      <w:fldChar w:fldCharType="separate"/>
    </w:r>
    <w:r>
      <w:rPr>
        <w:sz w:val="20"/>
        <w:szCs w:val="20"/>
      </w:rPr>
      <w:t>1</w:t>
    </w:r>
    <w:r>
      <w:rPr>
        <w:sz w:val="20"/>
        <w:szCs w:val="20"/>
      </w:rPr>
      <w:fldChar w:fldCharType="end"/>
    </w:r>
  </w:p>
  <w:p w:rsidR="006F6780" w:rsidRDefault="001E7D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1E7D4D" w:rsidRDefault="001E7D4D">
      <w:pPr>
        <w:spacing w:after="0" w:line="240" w:lineRule="auto"/>
      </w:pPr>
      <w:r>
        <w:rPr>
          <w:color w:val="000000"/>
        </w:rPr>
        <w:separator/>
      </w:r>
    </w:p>
  </w:footnote>
  <w:footnote w:type="continuationSeparator" w:id="0">
    <w:p w:rsidR="001E7D4D" w:rsidRDefault="001E7D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996717D"/>
    <w:multiLevelType w:val="hybridMultilevel"/>
    <w:tmpl w:val="1AF47B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3"/>
  <w:proofState w:spelling="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F2B91"/>
    <w:rsid w:val="0000519B"/>
    <w:rsid w:val="00014868"/>
    <w:rsid w:val="001970F9"/>
    <w:rsid w:val="001E7D4D"/>
    <w:rsid w:val="001F2B91"/>
    <w:rsid w:val="002A7F6A"/>
    <w:rsid w:val="00301465"/>
    <w:rsid w:val="00381315"/>
    <w:rsid w:val="003940D6"/>
    <w:rsid w:val="004017B5"/>
    <w:rsid w:val="00457F1D"/>
    <w:rsid w:val="00990CCA"/>
    <w:rsid w:val="00AA2673"/>
    <w:rsid w:val="00C3145A"/>
    <w:rsid w:val="00D87BC1"/>
    <w:rsid w:val="00F53D13"/>
    <w:rsid w:val="00FE0D35"/>
    <w:rsid w:val="00FF5A78"/>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320E8C90"/>
  <w15:docId w15:val="{22BEBEA3-A141-48A8-A990-5A07F1F4FF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Arial"/>
        <w:sz w:val="22"/>
        <w:szCs w:val="22"/>
        <w:lang w:val="en-US" w:eastAsia="en-US" w:bidi="ar-SA"/>
      </w:rPr>
    </w:rPrDefault>
    <w:pPrDefault>
      <w:pPr>
        <w:autoSpaceDN w:val="0"/>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ascii="Times New Roman" w:eastAsia="MS Mincho" w:hAnsi="Times New Roman"/>
      <w:sz w:val="24"/>
    </w:rPr>
  </w:style>
  <w:style w:type="paragraph" w:styleId="Heading1">
    <w:name w:val="heading 1"/>
    <w:basedOn w:val="Normal"/>
    <w:next w:val="Normal"/>
    <w:uiPriority w:val="9"/>
    <w:qFormat/>
    <w:pPr>
      <w:keepNext/>
      <w:keepLines/>
      <w:spacing w:before="480" w:after="0"/>
      <w:outlineLvl w:val="0"/>
    </w:pPr>
    <w:rPr>
      <w:rFonts w:eastAsia="MS Gothic" w:cs="Times New Roman"/>
      <w:b/>
      <w:bCs/>
      <w:color w:val="000000"/>
      <w:szCs w:val="28"/>
    </w:rPr>
  </w:style>
  <w:style w:type="paragraph" w:styleId="Heading2">
    <w:name w:val="heading 2"/>
    <w:basedOn w:val="Normal"/>
    <w:next w:val="Normal"/>
    <w:uiPriority w:val="9"/>
    <w:unhideWhenUsed/>
    <w:qFormat/>
    <w:pPr>
      <w:keepNext/>
      <w:keepLines/>
      <w:widowControl w:val="0"/>
      <w:spacing w:before="200" w:after="0"/>
      <w:outlineLvl w:val="1"/>
    </w:pPr>
    <w:rPr>
      <w:rFonts w:eastAsia="MS Gothic" w:cs="Times New Roman"/>
      <w:b/>
      <w:bCs/>
      <w:szCs w:val="26"/>
    </w:rPr>
  </w:style>
  <w:style w:type="paragraph" w:styleId="Heading3">
    <w:name w:val="heading 3"/>
    <w:basedOn w:val="Normal"/>
    <w:next w:val="Normal"/>
    <w:uiPriority w:val="9"/>
    <w:semiHidden/>
    <w:unhideWhenUsed/>
    <w:qFormat/>
    <w:pPr>
      <w:keepNext/>
      <w:keepLines/>
      <w:spacing w:before="200" w:after="0"/>
      <w:outlineLvl w:val="2"/>
    </w:pPr>
    <w:rPr>
      <w:rFonts w:eastAsia="MS Gothic" w:cs="Times New Roman"/>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Times New Roman" w:eastAsia="MS Gothic" w:hAnsi="Times New Roman" w:cs="Times New Roman"/>
      <w:b/>
      <w:bCs/>
      <w:color w:val="000000"/>
      <w:sz w:val="24"/>
      <w:szCs w:val="28"/>
    </w:rPr>
  </w:style>
  <w:style w:type="paragraph" w:styleId="Title">
    <w:name w:val="Title"/>
    <w:basedOn w:val="Normal"/>
    <w:next w:val="Normal"/>
    <w:uiPriority w:val="10"/>
    <w:qFormat/>
    <w:pPr>
      <w:pBdr>
        <w:bottom w:val="single" w:sz="8" w:space="4" w:color="4F81BD"/>
      </w:pBdr>
      <w:spacing w:after="300"/>
      <w:contextualSpacing/>
      <w:jc w:val="center"/>
    </w:pPr>
    <w:rPr>
      <w:rFonts w:eastAsia="MS Gothic" w:cs="Times New Roman"/>
      <w:b/>
      <w:caps/>
      <w:spacing w:val="5"/>
      <w:kern w:val="3"/>
      <w:sz w:val="36"/>
      <w:szCs w:val="52"/>
    </w:rPr>
  </w:style>
  <w:style w:type="character" w:customStyle="1" w:styleId="TitleChar">
    <w:name w:val="Title Char"/>
    <w:basedOn w:val="DefaultParagraphFont"/>
    <w:rPr>
      <w:rFonts w:ascii="Times New Roman" w:eastAsia="MS Gothic" w:hAnsi="Times New Roman" w:cs="Times New Roman"/>
      <w:b/>
      <w:caps/>
      <w:spacing w:val="5"/>
      <w:kern w:val="3"/>
      <w:sz w:val="36"/>
      <w:szCs w:val="52"/>
    </w:rPr>
  </w:style>
  <w:style w:type="character" w:customStyle="1" w:styleId="Heading2Char">
    <w:name w:val="Heading 2 Char"/>
    <w:basedOn w:val="DefaultParagraphFont"/>
    <w:rPr>
      <w:rFonts w:ascii="Times New Roman" w:eastAsia="MS Gothic" w:hAnsi="Times New Roman" w:cs="Times New Roman"/>
      <w:b/>
      <w:bCs/>
      <w:sz w:val="24"/>
      <w:szCs w:val="26"/>
      <w:lang w:val="en-GB"/>
    </w:rPr>
  </w:style>
  <w:style w:type="character" w:customStyle="1" w:styleId="Heading3Char">
    <w:name w:val="Heading 3 Char"/>
    <w:basedOn w:val="DefaultParagraphFont"/>
    <w:rPr>
      <w:rFonts w:ascii="Times New Roman" w:eastAsia="MS Gothic" w:hAnsi="Times New Roman" w:cs="Times New Roman"/>
      <w:b/>
      <w:bCs/>
      <w:sz w:val="24"/>
    </w:rPr>
  </w:style>
  <w:style w:type="character" w:styleId="Hyperlink">
    <w:name w:val="Hyperlink"/>
    <w:basedOn w:val="DefaultParagraphFont"/>
    <w:rPr>
      <w:color w:val="0000FF"/>
      <w:u w:val="single"/>
    </w:rPr>
  </w:style>
  <w:style w:type="paragraph" w:styleId="BalloonText">
    <w:name w:val="Balloon Text"/>
    <w:basedOn w:val="Normal"/>
    <w:pPr>
      <w:spacing w:after="0" w:line="240" w:lineRule="auto"/>
    </w:pPr>
    <w:rPr>
      <w:rFonts w:ascii="Tahoma" w:hAnsi="Tahoma" w:cs="Tahoma"/>
      <w:sz w:val="16"/>
      <w:szCs w:val="16"/>
    </w:rPr>
  </w:style>
  <w:style w:type="character" w:customStyle="1" w:styleId="BalloonTextChar">
    <w:name w:val="Balloon Text Char"/>
    <w:basedOn w:val="DefaultParagraphFont"/>
    <w:rPr>
      <w:rFonts w:ascii="Tahoma" w:eastAsia="MS Mincho" w:hAnsi="Tahoma" w:cs="Tahoma"/>
      <w:sz w:val="16"/>
      <w:szCs w:val="16"/>
    </w:rPr>
  </w:style>
  <w:style w:type="paragraph" w:styleId="ListParagraph">
    <w:name w:val="List Paragraph"/>
    <w:basedOn w:val="Normal"/>
    <w:pPr>
      <w:ind w:left="720"/>
      <w:contextualSpacing/>
    </w:pPr>
  </w:style>
  <w:style w:type="paragraph" w:styleId="TOCHeading">
    <w:name w:val="TOC Heading"/>
    <w:basedOn w:val="Heading1"/>
    <w:next w:val="Normal"/>
    <w:pPr>
      <w:spacing w:line="276" w:lineRule="auto"/>
      <w:jc w:val="left"/>
    </w:pPr>
    <w:rPr>
      <w:rFonts w:ascii="Cambria" w:hAnsi="Cambria"/>
      <w:color w:val="365F91"/>
      <w:sz w:val="28"/>
    </w:rPr>
  </w:style>
  <w:style w:type="paragraph" w:styleId="TOC1">
    <w:name w:val="toc 1"/>
    <w:basedOn w:val="Normal"/>
    <w:next w:val="Normal"/>
    <w:autoRedefine/>
    <w:pPr>
      <w:spacing w:after="100"/>
    </w:pPr>
  </w:style>
  <w:style w:type="paragraph" w:styleId="TOC2">
    <w:name w:val="toc 2"/>
    <w:basedOn w:val="Normal"/>
    <w:next w:val="Normal"/>
    <w:autoRedefine/>
    <w:pPr>
      <w:spacing w:after="100"/>
      <w:ind w:left="240"/>
    </w:pPr>
  </w:style>
  <w:style w:type="paragraph" w:styleId="Header">
    <w:name w:val="header"/>
    <w:basedOn w:val="Normal"/>
    <w:pPr>
      <w:tabs>
        <w:tab w:val="center" w:pos="4680"/>
        <w:tab w:val="right" w:pos="9360"/>
      </w:tabs>
      <w:spacing w:after="0" w:line="240" w:lineRule="auto"/>
    </w:pPr>
  </w:style>
  <w:style w:type="character" w:customStyle="1" w:styleId="HeaderChar">
    <w:name w:val="Header Char"/>
    <w:basedOn w:val="DefaultParagraphFont"/>
    <w:rPr>
      <w:rFonts w:ascii="Times New Roman" w:eastAsia="MS Mincho" w:hAnsi="Times New Roman"/>
      <w:sz w:val="24"/>
    </w:rPr>
  </w:style>
  <w:style w:type="paragraph" w:styleId="Footer">
    <w:name w:val="footer"/>
    <w:basedOn w:val="Normal"/>
    <w:pPr>
      <w:tabs>
        <w:tab w:val="center" w:pos="4680"/>
        <w:tab w:val="right" w:pos="9360"/>
      </w:tabs>
      <w:spacing w:after="0" w:line="240" w:lineRule="auto"/>
    </w:pPr>
  </w:style>
  <w:style w:type="character" w:customStyle="1" w:styleId="FooterChar">
    <w:name w:val="Footer Char"/>
    <w:basedOn w:val="DefaultParagraphFont"/>
    <w:rPr>
      <w:rFonts w:ascii="Times New Roman" w:eastAsia="MS Mincho"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14</Pages>
  <Words>2782</Words>
  <Characters>15858</Characters>
  <Application>Microsoft Office Word</Application>
  <DocSecurity>0</DocSecurity>
  <Lines>132</Lines>
  <Paragraphs>37</Paragraphs>
  <ScaleCrop>false</ScaleCrop>
  <Company/>
  <LinksUpToDate>false</LinksUpToDate>
  <CharactersWithSpaces>18603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claudia macarie</cp:lastModifiedBy>
  <cp:revision>15</cp:revision>
  <dcterms:created xsi:type="dcterms:W3CDTF">2022-01-04T19:22:00Z</dcterms:created>
  <dcterms:modified xsi:type="dcterms:W3CDTF">2022-01-04T19:30:00Z</dcterms:modified>
</cp:coreProperties>
</file>