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ind w:left="-567" w:firstLine="0"/>
        <w:rPr>
          <w:b w:val="1"/>
          <w:bCs w:val="1"/>
          <w:color w:val="17365d"/>
          <w:sz w:val="40"/>
          <w:szCs w:val="40"/>
        </w:rPr>
      </w:pPr>
      <w:r w:rsidDel="00000000" w:rsidR="00000000" w:rsidRPr="00000000">
        <w:rPr>
          <w:b w:val="1"/>
          <w:bCs w:val="1"/>
          <w:color w:val="17365d"/>
          <w:sz w:val="40"/>
          <w:szCs w:val="40"/>
          <w:rtl w:val="0"/>
        </w:rPr>
        <w:t xml:space="preserve">Fellowship</w:t>
      </w:r>
    </w:p>
    <w:p w:rsidR="00000000" w:rsidDel="00000000" w:rsidP="00000000" w:rsidRDefault="00000000" w:rsidRPr="00000000" w14:paraId="00000002">
      <w:pPr>
        <w:pStyle w:val="Heading1"/>
        <w:ind w:hanging="567"/>
        <w:rPr>
          <w:b w:val="1"/>
          <w:bCs w:val="1"/>
          <w:color w:val="17365d"/>
          <w:sz w:val="32"/>
          <w:szCs w:val="32"/>
        </w:rPr>
      </w:pPr>
      <w:r w:rsidDel="00000000" w:rsidR="00000000" w:rsidRPr="00000000">
        <w:rPr>
          <w:b w:val="1"/>
          <w:bCs w:val="1"/>
          <w:color w:val="17365d"/>
          <w:sz w:val="32"/>
          <w:szCs w:val="32"/>
          <w:rtl w:val="0"/>
        </w:rPr>
        <w:t xml:space="preserve">Supporting Statement Template</w:t>
      </w:r>
    </w:p>
    <w:p w:rsidR="00000000" w:rsidDel="00000000" w:rsidP="00000000" w:rsidRDefault="00000000" w:rsidRPr="00000000" w14:paraId="00000003">
      <w:pPr>
        <w:spacing w:after="0" w:line="240" w:lineRule="auto"/>
        <w:rPr>
          <w:rFonts w:ascii="Open Sans" w:cs="Open Sans" w:eastAsia="Open Sans" w:hAnsi="Open Sans"/>
        </w:rPr>
      </w:pPr>
      <w:r w:rsidDel="00000000" w:rsidR="00000000" w:rsidRPr="00000000">
        <w:rPr>
          <w:rtl w:val="0"/>
        </w:rPr>
      </w:r>
    </w:p>
    <w:tbl>
      <w:tblPr>
        <w:tblStyle w:val="Table1"/>
        <w:tblW w:w="9588.0" w:type="dxa"/>
        <w:jc w:val="left"/>
        <w:tblInd w:w="-5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23"/>
        <w:gridCol w:w="5465"/>
        <w:tblGridChange w:id="0">
          <w:tblGrid>
            <w:gridCol w:w="4123"/>
            <w:gridCol w:w="546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4">
            <w:pPr>
              <w:rPr/>
            </w:pPr>
            <w:r w:rsidDel="00000000" w:rsidR="00000000" w:rsidRPr="00000000">
              <w:rPr>
                <w:rtl w:val="0"/>
              </w:rPr>
              <w:t xml:space="preserve">Your Name</w:t>
            </w:r>
          </w:p>
          <w:p w:rsidR="00000000" w:rsidDel="00000000" w:rsidP="00000000" w:rsidRDefault="00000000" w:rsidRPr="00000000" w14:paraId="00000005">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6">
            <w:pPr>
              <w:rPr/>
            </w:pPr>
            <w:r w:rsidDel="00000000" w:rsidR="00000000" w:rsidRPr="00000000">
              <w:rPr>
                <w:rtl w:val="0"/>
              </w:rPr>
              <w:t xml:space="preserve">Jess Evans</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7">
            <w:pPr>
              <w:rPr/>
            </w:pPr>
            <w:r w:rsidDel="00000000" w:rsidR="00000000" w:rsidRPr="00000000">
              <w:rPr>
                <w:rtl w:val="0"/>
              </w:rPr>
              <w:t xml:space="preserve">Applicant Name </w:t>
            </w:r>
          </w:p>
          <w:p w:rsidR="00000000" w:rsidDel="00000000" w:rsidP="00000000" w:rsidRDefault="00000000" w:rsidRPr="00000000" w14:paraId="00000008">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9">
            <w:pPr>
              <w:rPr/>
            </w:pPr>
            <w:r w:rsidDel="00000000" w:rsidR="00000000" w:rsidRPr="00000000">
              <w:rPr>
                <w:rtl w:val="0"/>
              </w:rPr>
              <w:t xml:space="preserve">Nicky Abraham</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A">
            <w:pPr>
              <w:rPr/>
            </w:pPr>
            <w:r w:rsidDel="00000000" w:rsidR="00000000" w:rsidRPr="00000000">
              <w:rPr>
                <w:rtl w:val="0"/>
              </w:rPr>
              <w:t xml:space="preserve">Your Institution/organisation/other</w:t>
            </w:r>
          </w:p>
          <w:p w:rsidR="00000000" w:rsidDel="00000000" w:rsidP="00000000" w:rsidRDefault="00000000" w:rsidRPr="00000000" w14:paraId="0000000B">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C">
            <w:pPr>
              <w:rPr/>
            </w:pPr>
            <w:r w:rsidDel="00000000" w:rsidR="00000000" w:rsidRPr="00000000">
              <w:rPr>
                <w:rtl w:val="0"/>
              </w:rPr>
              <w:t xml:space="preserve">Coleg Sir Gar | College Ceredigion</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D">
            <w:pPr>
              <w:rPr/>
            </w:pPr>
            <w:r w:rsidDel="00000000" w:rsidR="00000000" w:rsidRPr="00000000">
              <w:rPr>
                <w:rtl w:val="0"/>
              </w:rPr>
              <w:t xml:space="preserve">Your current role</w:t>
            </w:r>
          </w:p>
          <w:p w:rsidR="00000000" w:rsidDel="00000000" w:rsidP="00000000" w:rsidRDefault="00000000" w:rsidRPr="00000000" w14:paraId="0000000E">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F">
            <w:pPr>
              <w:rPr/>
            </w:pPr>
            <w:r w:rsidDel="00000000" w:rsidR="00000000" w:rsidRPr="00000000">
              <w:rPr>
                <w:rtl w:val="0"/>
              </w:rPr>
              <w:t xml:space="preserve">Head of Teaching, Learning and Education</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0">
            <w:pPr>
              <w:rPr/>
            </w:pPr>
            <w:r w:rsidDel="00000000" w:rsidR="00000000" w:rsidRPr="00000000">
              <w:rPr>
                <w:rtl w:val="0"/>
              </w:rPr>
              <w:t xml:space="preserve">Email address</w:t>
            </w:r>
          </w:p>
          <w:p w:rsidR="00000000" w:rsidDel="00000000" w:rsidP="00000000" w:rsidRDefault="00000000" w:rsidRPr="00000000" w14:paraId="00000011">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2">
            <w:pPr>
              <w:rPr/>
            </w:pPr>
            <w:r w:rsidDel="00000000" w:rsidR="00000000" w:rsidRPr="00000000">
              <w:rPr>
                <w:rtl w:val="0"/>
              </w:rPr>
              <w:t xml:space="preserve">Jess.Evans@colegsirgar.ac.uk</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3">
            <w:pPr>
              <w:rPr/>
            </w:pPr>
            <w:r w:rsidDel="00000000" w:rsidR="00000000" w:rsidRPr="00000000">
              <w:rPr>
                <w:rtl w:val="0"/>
              </w:rPr>
              <w:t xml:space="preserve">Your Fellowship Status (if appropriate)</w:t>
            </w:r>
          </w:p>
          <w:p w:rsidR="00000000" w:rsidDel="00000000" w:rsidP="00000000" w:rsidRDefault="00000000" w:rsidRPr="00000000" w14:paraId="00000014">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5">
            <w:pPr>
              <w:rPr/>
            </w:pPr>
            <w:r w:rsidDel="00000000" w:rsidR="00000000" w:rsidRPr="00000000">
              <w:rPr>
                <w:rtl w:val="0"/>
              </w:rPr>
              <w:t xml:space="preserve">N/A</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6">
            <w:pPr>
              <w:rPr/>
            </w:pPr>
            <w:r w:rsidDel="00000000" w:rsidR="00000000" w:rsidRPr="00000000">
              <w:rPr>
                <w:rtl w:val="0"/>
              </w:rPr>
              <w:t xml:space="preserve">Relationship to Applicant</w:t>
            </w:r>
          </w:p>
          <w:p w:rsidR="00000000" w:rsidDel="00000000" w:rsidP="00000000" w:rsidRDefault="00000000" w:rsidRPr="00000000" w14:paraId="00000017">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rPr/>
            </w:pPr>
            <w:r w:rsidDel="00000000" w:rsidR="00000000" w:rsidRPr="00000000">
              <w:rPr>
                <w:rtl w:val="0"/>
              </w:rPr>
              <w:t xml:space="preserve">Line Manager</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9">
            <w:pPr>
              <w:rPr/>
            </w:pPr>
            <w:r w:rsidDel="00000000" w:rsidR="00000000" w:rsidRPr="00000000">
              <w:rPr>
                <w:rtl w:val="0"/>
              </w:rPr>
              <w:t xml:space="preserve">How long have you worked with the Applicant (insert dates)</w:t>
            </w:r>
          </w:p>
          <w:p w:rsidR="00000000" w:rsidDel="00000000" w:rsidP="00000000" w:rsidRDefault="00000000" w:rsidRPr="00000000" w14:paraId="0000001A">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B">
            <w:pPr>
              <w:rPr/>
            </w:pPr>
            <w:r w:rsidDel="00000000" w:rsidR="00000000" w:rsidRPr="00000000">
              <w:rPr>
                <w:rtl w:val="0"/>
              </w:rPr>
              <w:t xml:space="preserve">2 years</w:t>
            </w:r>
          </w:p>
        </w:tc>
      </w:tr>
      <w:tr>
        <w:trPr>
          <w:cantSplit w:val="0"/>
          <w:trHeight w:val="596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Declaration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2">
            <w:pPr>
              <w:rPr>
                <w:i w:val="1"/>
                <w:iCs w:val="1"/>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In submitting your Supporting Statement, you are confirming that the applicant’s submission relates to their higher education professional practice and that your statement is your own work and has been written specifically for this applicant. If the professional integrity of the Supporting Statement is in question it will not be accepted.</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I confirm that I have read and agree with the declaration above.</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                                                                              </w:t>
            </w:r>
          </w:p>
          <w:p w:rsidR="00000000" w:rsidDel="00000000" w:rsidP="00000000" w:rsidRDefault="00000000" w:rsidRPr="00000000" w14:paraId="00000029">
            <w:pPr>
              <w:rPr/>
            </w:pPr>
            <w:r w:rsidDel="00000000" w:rsidR="00000000" w:rsidRPr="00000000">
              <w:rPr>
                <w:b w:val="1"/>
                <w:bCs w:val="1"/>
                <w:rtl w:val="0"/>
              </w:rPr>
              <w:t xml:space="preserve"> Date: 09/07/2026</w:t>
            </w:r>
            <w:r w:rsidDel="00000000" w:rsidR="00000000" w:rsidRPr="00000000">
              <w:rPr>
                <w:rtl w:val="0"/>
              </w:rPr>
            </w:r>
          </w:p>
        </w:tc>
      </w:tr>
    </w:tbl>
    <w:p w:rsidR="00000000" w:rsidDel="00000000" w:rsidP="00000000" w:rsidRDefault="00000000" w:rsidRPr="00000000" w14:paraId="0000002A">
      <w:pPr>
        <w:rPr>
          <w:sz w:val="22"/>
          <w:szCs w:val="22"/>
        </w:rPr>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440" w:top="1440" w:left="1440" w:right="1440" w:header="1134" w:footer="708"/>
          <w:pgNumType w:start="1"/>
        </w:sectPr>
      </w:pPr>
      <w:r w:rsidDel="00000000" w:rsidR="00000000" w:rsidRPr="00000000">
        <w:rPr>
          <w:rtl w:val="0"/>
        </w:rPr>
      </w:r>
    </w:p>
    <w:p w:rsidR="00000000" w:rsidDel="00000000" w:rsidP="00000000" w:rsidRDefault="00000000" w:rsidRPr="00000000" w14:paraId="0000002B">
      <w:pPr>
        <w:rPr>
          <w:sz w:val="22"/>
          <w:szCs w:val="22"/>
        </w:rPr>
      </w:pPr>
      <w:r w:rsidDel="00000000" w:rsidR="00000000" w:rsidRPr="00000000">
        <w:rPr>
          <w:rtl w:val="0"/>
        </w:rPr>
      </w:r>
    </w:p>
    <w:p w:rsidR="00000000" w:rsidDel="00000000" w:rsidP="00000000" w:rsidRDefault="00000000" w:rsidRPr="00000000" w14:paraId="0000002C">
      <w:pPr>
        <w:pStyle w:val="Heading1"/>
        <w:ind w:hanging="567"/>
        <w:rPr>
          <w:b w:val="1"/>
          <w:bCs w:val="1"/>
          <w:color w:val="17365d"/>
          <w:sz w:val="32"/>
          <w:szCs w:val="32"/>
        </w:rPr>
      </w:pPr>
      <w:r w:rsidDel="00000000" w:rsidR="00000000" w:rsidRPr="00000000">
        <w:rPr>
          <w:b w:val="1"/>
          <w:bCs w:val="1"/>
          <w:color w:val="17365d"/>
          <w:sz w:val="32"/>
          <w:szCs w:val="32"/>
          <w:rtl w:val="0"/>
        </w:rPr>
        <w:t xml:space="preserve">Supporting Statement</w:t>
      </w:r>
    </w:p>
    <w:p w:rsidR="00000000" w:rsidDel="00000000" w:rsidP="00000000" w:rsidRDefault="00000000" w:rsidRPr="00000000" w14:paraId="0000002D">
      <w:pPr>
        <w:ind w:left="-284" w:firstLine="0"/>
        <w:rPr/>
      </w:pPr>
      <w:r w:rsidDel="00000000" w:rsidR="00000000" w:rsidRPr="00000000">
        <w:rPr>
          <w:rtl w:val="0"/>
        </w:rPr>
      </w:r>
    </w:p>
    <w:p w:rsidR="00000000" w:rsidDel="00000000" w:rsidP="00000000" w:rsidRDefault="00000000" w:rsidRPr="00000000" w14:paraId="0000002E">
      <w:pPr>
        <w:ind w:left="-284" w:firstLine="0"/>
        <w:rPr/>
      </w:pPr>
      <w:r w:rsidDel="00000000" w:rsidR="00000000" w:rsidRPr="00000000">
        <w:rPr>
          <w:rtl w:val="0"/>
        </w:rPr>
        <w:t xml:space="preserve">Please provide your statement to verify and endorse the applicant’s submission for Fellowship in the following section. You are required to comment on the applicant’s recent higher education practice (usually within the last 3 years), providing examples to support your statement wherever possible. </w:t>
      </w:r>
    </w:p>
    <w:p w:rsidR="00000000" w:rsidDel="00000000" w:rsidP="00000000" w:rsidRDefault="00000000" w:rsidRPr="00000000" w14:paraId="0000002F">
      <w:pPr>
        <w:ind w:left="-284" w:firstLine="0"/>
        <w:rPr/>
      </w:pPr>
      <w:r w:rsidDel="00000000" w:rsidR="00000000" w:rsidRPr="00000000">
        <w:rPr>
          <w:rtl w:val="0"/>
        </w:rPr>
        <w:t xml:space="preserve">In completing this Supporting Statement you are confirming that you have read the AdvanceHE Guidance for referees writing a Supporting Statement. In association with the Descriptor 2</w:t>
      </w:r>
      <w:r w:rsidDel="00000000" w:rsidR="00000000" w:rsidRPr="00000000">
        <w:rPr>
          <w:color w:val="d7e3bc"/>
          <w:rtl w:val="0"/>
        </w:rPr>
        <w:t xml:space="preserve"> </w:t>
      </w:r>
      <w:r w:rsidDel="00000000" w:rsidR="00000000" w:rsidRPr="00000000">
        <w:rPr>
          <w:rtl w:val="0"/>
        </w:rPr>
        <w:t xml:space="preserve">criteria, as a guide, you should comment on the following in your supporting statement: </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60" w:lineRule="auto"/>
        <w:ind w:left="578"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your own personal experience of the applicant’s recent and effective HE practice;</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60" w:lineRule="auto"/>
        <w:ind w:left="578"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if you have been involved in peer observation of the applicant’s teaching and/or support of learning, please draw on relevant examples from this;</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60" w:lineRule="auto"/>
        <w:ind w:left="578"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any inclusive practice and/or contribution to developments by the applicant in teaching and/or supporting learning within their context as appropriate;</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60" w:lineRule="auto"/>
        <w:ind w:left="578"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your perspective on the practical examples provided within the application to illustrate the Fellowship requirements.</w:t>
      </w:r>
      <w:r w:rsidDel="00000000" w:rsidR="00000000" w:rsidRPr="00000000">
        <w:rPr>
          <w:rtl w:val="0"/>
        </w:rPr>
      </w:r>
    </w:p>
    <w:p w:rsidR="00000000" w:rsidDel="00000000" w:rsidP="00000000" w:rsidRDefault="00000000" w:rsidRPr="00000000" w14:paraId="00000034">
      <w:pPr>
        <w:ind w:left="-284" w:firstLine="0"/>
        <w:rPr/>
      </w:pPr>
      <w:r w:rsidDel="00000000" w:rsidR="00000000" w:rsidRPr="00000000">
        <w:rPr>
          <w:rtl w:val="0"/>
        </w:rPr>
        <w:t xml:space="preserve">Two sides of A4 will normally be sufficient for this category of Fellowship.</w:t>
      </w:r>
    </w:p>
    <w:tbl>
      <w:tblPr>
        <w:tblStyle w:val="Table2"/>
        <w:tblW w:w="9427.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27"/>
        <w:tblGridChange w:id="0">
          <w:tblGrid>
            <w:gridCol w:w="9427"/>
          </w:tblGrid>
        </w:tblGridChange>
      </w:tblGrid>
      <w:tr>
        <w:trPr>
          <w:cantSplit w:val="0"/>
          <w:tblHeader w:val="0"/>
        </w:trPr>
        <w:tc>
          <w:tcPr>
            <w:tcBorders>
              <w:top w:color="c0504d" w:space="0" w:sz="12" w:val="single"/>
              <w:left w:color="c0504d" w:space="0" w:sz="12" w:val="single"/>
              <w:bottom w:color="c0504d" w:space="0" w:sz="12" w:val="single"/>
              <w:right w:color="c0504d" w:space="0" w:sz="12" w:val="single"/>
            </w:tcBorders>
            <w:shd w:fill="ffffff" w:val="clear"/>
          </w:tcPr>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color w:val="303030"/>
                <w:highlight w:val="white"/>
              </w:rPr>
            </w:pPr>
            <w:r w:rsidDel="00000000" w:rsidR="00000000" w:rsidRPr="00000000">
              <w:rPr>
                <w:color w:val="303030"/>
                <w:highlight w:val="white"/>
                <w:rtl w:val="0"/>
              </w:rPr>
              <w:t xml:space="preserve">I am delighted to provide this supporting statement to verify and endorse Nicola (Nicky) Abraham’s application for Fellowship of Advance HE. As her line manager since her secondment to the Teaching and Learning Team in 2025, I have had extensive opportunities to observe her excellent practice as both a Teaching and Learning Coach and a PGCE lecturer. Having reviewed her Account of Professional Practice, I can confirm it is a genuine, accurate, and highly reflective account of her work.</w:t>
            </w:r>
          </w:p>
          <w:p w:rsidR="00000000" w:rsidDel="00000000" w:rsidP="00000000" w:rsidRDefault="00000000" w:rsidRPr="00000000" w14:paraId="00000038">
            <w:pPr>
              <w:rPr>
                <w:color w:val="303030"/>
                <w:highlight w:val="white"/>
              </w:rPr>
            </w:pPr>
            <w:r w:rsidDel="00000000" w:rsidR="00000000" w:rsidRPr="00000000">
              <w:rPr>
                <w:rtl w:val="0"/>
              </w:rPr>
            </w:r>
          </w:p>
          <w:p w:rsidR="00000000" w:rsidDel="00000000" w:rsidP="00000000" w:rsidRDefault="00000000" w:rsidRPr="00000000" w14:paraId="00000039">
            <w:pPr>
              <w:rPr>
                <w:color w:val="303030"/>
                <w:highlight w:val="white"/>
              </w:rPr>
            </w:pPr>
            <w:r w:rsidDel="00000000" w:rsidR="00000000" w:rsidRPr="00000000">
              <w:rPr>
                <w:b w:val="1"/>
                <w:bCs w:val="1"/>
                <w:color w:val="303030"/>
                <w:highlight w:val="white"/>
                <w:rtl w:val="0"/>
              </w:rPr>
              <w:t xml:space="preserve">Personal experience of the applicant’s recent and effective HE practice</w:t>
            </w:r>
            <w:r w:rsidDel="00000000" w:rsidR="00000000" w:rsidRPr="00000000">
              <w:rPr>
                <w:color w:val="303030"/>
                <w:highlight w:val="white"/>
                <w:rtl w:val="0"/>
              </w:rPr>
              <w:t xml:space="preserve"> Nicky is an outstanding practitioner whose teaching and coaching demonstrate the breadth and depth required for Descriptor 2 of the PSF 2023. In her capacity as a Teaching and Learning Coach, she provides invaluable support to staff across our seven campuses, conducting teaching observations and delivering developmental feedback that consistently enhances the quality of our higher education provision. She effectively translates her own high-level pedagogical expertise and her recent Master of Arts in Education into tangible, evidence-based improvements for her colleagues and learners. There is also outstanding evidence over the last academic year in support of our PGCE HE learners being coached by Nicky to support individual development in their teaching practice, this is reflected in feedback provided by the class and in the recent External Examiner report where the team are evidenced as being supportive. There is outstanding engagement with feedback to learners in relation to supporting and marking in their academic studies, there is efficiency and professionalism embodied throughout this practice, with a sensible and pragmatic approach taken to the moderation process also. Nicky also responds to learners needs and offers a manageable appro</w:t>
            </w:r>
          </w:p>
          <w:p w:rsidR="00000000" w:rsidDel="00000000" w:rsidP="00000000" w:rsidRDefault="00000000" w:rsidRPr="00000000" w14:paraId="0000003A">
            <w:pPr>
              <w:rPr>
                <w:color w:val="303030"/>
                <w:highlight w:val="white"/>
              </w:rPr>
            </w:pPr>
            <w:r w:rsidDel="00000000" w:rsidR="00000000" w:rsidRPr="00000000">
              <w:rPr>
                <w:rtl w:val="0"/>
              </w:rPr>
            </w:r>
          </w:p>
          <w:p w:rsidR="00000000" w:rsidDel="00000000" w:rsidP="00000000" w:rsidRDefault="00000000" w:rsidRPr="00000000" w14:paraId="0000003B">
            <w:pPr>
              <w:rPr>
                <w:color w:val="303030"/>
                <w:highlight w:val="white"/>
              </w:rPr>
            </w:pPr>
            <w:r w:rsidDel="00000000" w:rsidR="00000000" w:rsidRPr="00000000">
              <w:rPr>
                <w:b w:val="1"/>
                <w:bCs w:val="1"/>
                <w:color w:val="303030"/>
                <w:highlight w:val="white"/>
                <w:rtl w:val="0"/>
              </w:rPr>
              <w:t xml:space="preserve">Peer observation of the applicant’s teaching and support of learning</w:t>
            </w:r>
            <w:r w:rsidDel="00000000" w:rsidR="00000000" w:rsidRPr="00000000">
              <w:rPr>
                <w:color w:val="303030"/>
                <w:highlight w:val="white"/>
                <w:rtl w:val="0"/>
              </w:rPr>
              <w:t xml:space="preserve"> I formally observed Nicky’s teaching on 12th January 2026 during a PGCE "Reflect &amp; Renew" session. I graded her practice on our "Extended" pathway, noting significant examples of consistent, excellent planning, learning, and teaching. Nicky was delivering a hybrid session to 13 learners (5 in-person, 8 virtual), and I was highly impressed by her ability to seamlessly bridge the digital and physical divide. She embedded highly effective digital pedagogy, specifically requiring in-person learners to join the classroom via Google Meet "Companion Mode" so that virtual learners felt fully included. She utilised probing questioning and collaborative tools like Canva Whiteboard to foster belonging across both cohorts. The excellent rapport in the room, her encouragement of critical reflection, and her purposeful use of formative assessment perfectly illustrated her mastery of designing learning activities. The learning activities that were chosen were appropriate for the group and embodied the inclusion required for a group with a diverse experience in relation to both teaching and learning themselves, as well as academic experience. One member of the group already holds a PHD whereas others are level 3 qualified at their highest. The questioning, group work and activity were designed skillfully to allow the development of all and to allow all to make progress within the session (A1). and appropriately integrating technology (K4).  </w:t>
            </w:r>
          </w:p>
          <w:p w:rsidR="00000000" w:rsidDel="00000000" w:rsidP="00000000" w:rsidRDefault="00000000" w:rsidRPr="00000000" w14:paraId="0000003C">
            <w:pPr>
              <w:rPr>
                <w:color w:val="303030"/>
                <w:highlight w:val="white"/>
              </w:rPr>
            </w:pPr>
            <w:r w:rsidDel="00000000" w:rsidR="00000000" w:rsidRPr="00000000">
              <w:rPr>
                <w:rtl w:val="0"/>
              </w:rPr>
            </w:r>
          </w:p>
          <w:p w:rsidR="00000000" w:rsidDel="00000000" w:rsidP="00000000" w:rsidRDefault="00000000" w:rsidRPr="00000000" w14:paraId="0000003D">
            <w:pPr>
              <w:rPr>
                <w:color w:val="303030"/>
                <w:highlight w:val="white"/>
              </w:rPr>
            </w:pPr>
            <w:r w:rsidDel="00000000" w:rsidR="00000000" w:rsidRPr="00000000">
              <w:rPr>
                <w:b w:val="1"/>
                <w:bCs w:val="1"/>
                <w:color w:val="303030"/>
                <w:highlight w:val="white"/>
                <w:rtl w:val="0"/>
              </w:rPr>
              <w:t xml:space="preserve">Inclusive practice and contribution to developments in teaching and supporting learning</w:t>
            </w:r>
            <w:r w:rsidDel="00000000" w:rsidR="00000000" w:rsidRPr="00000000">
              <w:rPr>
                <w:color w:val="303030"/>
                <w:highlight w:val="white"/>
                <w:rtl w:val="0"/>
              </w:rPr>
              <w:t xml:space="preserve"> Nicky is deeply committed to inclusivity and equity (V1, V2). In her PGCE Teaching programme, she routinely works with mature learners returning to education from a range of backgrounds from vocational and new to HE to academics. She tackles barriers to learning head-on; drawing on research and experience to foster a sense of belonging, making growth feel manageable for everyone. Furthermore, she contributes significantly to wider developmental initiatives. As a Teaching and Learning Coach, she co-designed and delivered the strategic "Assessment in Action" initiative, leading online workshops to upskill colleagues on rubrics, peer assessment, and digital evaluation tools. She actively models the best practices she teaches, demonstrating a continuous commitment to collaborative enhancement. Nicky has focussed a research project this academic year on driving inclusivity in the Hybrid teaching space, looking at developing tools for engagement for all in relation to equity of experience. This has been undertaken with the collaboration of learners and other academic teaching staff and has supported the creation of cross-college resource (V5).</w:t>
            </w:r>
          </w:p>
          <w:p w:rsidR="00000000" w:rsidDel="00000000" w:rsidP="00000000" w:rsidRDefault="00000000" w:rsidRPr="00000000" w14:paraId="0000003E">
            <w:pPr>
              <w:rPr>
                <w:color w:val="303030"/>
                <w:highlight w:val="white"/>
              </w:rPr>
            </w:pPr>
            <w:r w:rsidDel="00000000" w:rsidR="00000000" w:rsidRPr="00000000">
              <w:rPr>
                <w:rtl w:val="0"/>
              </w:rPr>
            </w:r>
          </w:p>
          <w:p w:rsidR="00000000" w:rsidDel="00000000" w:rsidP="00000000" w:rsidRDefault="00000000" w:rsidRPr="00000000" w14:paraId="0000003F">
            <w:pPr>
              <w:rPr>
                <w:color w:val="303030"/>
                <w:highlight w:val="white"/>
              </w:rPr>
            </w:pPr>
            <w:r w:rsidDel="00000000" w:rsidR="00000000" w:rsidRPr="00000000">
              <w:rPr>
                <w:b w:val="1"/>
                <w:bCs w:val="1"/>
                <w:color w:val="303030"/>
                <w:highlight w:val="white"/>
                <w:rtl w:val="0"/>
              </w:rPr>
              <w:t xml:space="preserve">Perspective on the practical examples provided within the application</w:t>
            </w:r>
            <w:r w:rsidDel="00000000" w:rsidR="00000000" w:rsidRPr="00000000">
              <w:rPr>
                <w:color w:val="303030"/>
                <w:highlight w:val="white"/>
                <w:rtl w:val="0"/>
              </w:rPr>
              <w:t xml:space="preserve"> Nicky’s application provides excellent practical examples that accurately reflect the reality of her day-to-day work. I can fully support her account of conducting action research on the Curriculum for Wales, which resulted in the development of authentic, practice-informed resources that were shared at our college's Festival of Practice. Furthermore, her reflections on redesigning her PGCE lessons using Canva Whiteboards to avoid repetitive slide-based delivery align exactly with the high levels of engagement and peer-review I observed during my formal visit. She consistently applies theoretical frameworks to practical contexts in a way that deeply benefits her learners.</w:t>
            </w:r>
          </w:p>
          <w:p w:rsidR="00000000" w:rsidDel="00000000" w:rsidP="00000000" w:rsidRDefault="00000000" w:rsidRPr="00000000" w14:paraId="00000040">
            <w:pPr>
              <w:rPr>
                <w:color w:val="303030"/>
                <w:highlight w:val="white"/>
              </w:rPr>
            </w:pPr>
            <w:r w:rsidDel="00000000" w:rsidR="00000000" w:rsidRPr="00000000">
              <w:rPr>
                <w:color w:val="303030"/>
                <w:highlight w:val="white"/>
                <w:rtl w:val="0"/>
              </w:rPr>
              <w:t xml:space="preserve">In summary, Nicky’s practice exemplifies all dimensions of the PSF. She is an asset to Coleg Sir Gâr, a leader in teaching and learning, and highly deserving of Fellowship recognition.</w:t>
            </w:r>
          </w:p>
          <w:p w:rsidR="00000000" w:rsidDel="00000000" w:rsidP="00000000" w:rsidRDefault="00000000" w:rsidRPr="00000000" w14:paraId="00000041">
            <w:pPr>
              <w:rPr>
                <w:b w:val="1"/>
                <w:bCs w:val="1"/>
                <w:color w:val="ffffff"/>
              </w:rPr>
            </w:pPr>
            <w:r w:rsidDel="00000000" w:rsidR="00000000" w:rsidRPr="00000000">
              <w:rPr>
                <w:rtl w:val="0"/>
              </w:rPr>
            </w:r>
          </w:p>
        </w:tc>
      </w:tr>
    </w:tbl>
    <w:p w:rsidR="00000000" w:rsidDel="00000000" w:rsidP="00000000" w:rsidRDefault="00000000" w:rsidRPr="00000000" w14:paraId="00000042">
      <w:pPr>
        <w:rPr>
          <w:sz w:val="32"/>
          <w:szCs w:val="32"/>
        </w:rPr>
      </w:pPr>
      <w:r w:rsidDel="00000000" w:rsidR="00000000" w:rsidRPr="00000000">
        <w:rPr>
          <w:rtl w:val="0"/>
        </w:rPr>
      </w:r>
    </w:p>
    <w:sectPr>
      <w:type w:val="nextPage"/>
      <w:pgSz w:h="16838" w:w="11906" w:orient="portrait"/>
      <w:pgMar w:bottom="1440" w:top="1440" w:left="1440" w:right="1440" w:header="1134"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mbria"/>
  <w:font w:name="Courier New"/>
  <w:font w:name="Noto Sans Symbols">
    <w:embedRegular w:fontKey="{00000000-0000-0000-0000-000000000000}" r:id="rId1" w:subsetted="0"/>
    <w:embedBold w:fontKey="{00000000-0000-0000-0000-000000000000}" r:id="rId2" w:subsetted="0"/>
  </w:font>
  <w:font w:name="Open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FELLOWSHIP - SUPPORTING STATEMENT TEMPLATE​ </w:t>
    </w:r>
    <w:r w:rsidDel="00000000" w:rsidR="00000000" w:rsidRPr="00000000">
      <w:rPr>
        <w:rtl w:val="0"/>
      </w:rPr>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Appendix E2.15</w:t>
    </w:r>
    <w:r w:rsidDel="00000000" w:rsidR="00000000" w:rsidRPr="00000000">
      <w:drawing>
        <wp:anchor allowOverlap="1" behindDoc="0" distB="0" distT="0" distL="114300" distR="114300" hidden="0" layoutInCell="1" locked="0" relativeHeight="0" simplePos="0">
          <wp:simplePos x="0" y="0"/>
          <wp:positionH relativeFrom="column">
            <wp:posOffset>-895348</wp:posOffset>
          </wp:positionH>
          <wp:positionV relativeFrom="paragraph">
            <wp:posOffset>-691514</wp:posOffset>
          </wp:positionV>
          <wp:extent cx="2077954" cy="829717"/>
          <wp:effectExtent b="0" l="0" r="0" t="0"/>
          <wp:wrapNone/>
          <wp:docPr descr="C:\Users\qlt-vw\AppData\Local\Microsoft\Windows\Temporary Internet Files\Content.Outlook\0H98VIA0\UWTSD Logo.jpg" id="1" name="image1.jpg"/>
          <a:graphic>
            <a:graphicData uri="http://schemas.openxmlformats.org/drawingml/2006/picture">
              <pic:pic>
                <pic:nvPicPr>
                  <pic:cNvPr descr="C:\Users\qlt-vw\AppData\Local\Microsoft\Windows\Temporary Internet Files\Content.Outlook\0H98VIA0\UWTSD Logo.jpg" id="0" name="image1.jpg"/>
                  <pic:cNvPicPr preferRelativeResize="0"/>
                </pic:nvPicPr>
                <pic:blipFill>
                  <a:blip r:embed="rId1"/>
                  <a:srcRect b="0" l="0" r="0" t="0"/>
                  <a:stretch>
                    <a:fillRect/>
                  </a:stretch>
                </pic:blipFill>
                <pic:spPr>
                  <a:xfrm>
                    <a:off x="0" y="0"/>
                    <a:ext cx="2077954" cy="829717"/>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578" w:hanging="360"/>
      </w:pPr>
      <w:rPr>
        <w:rFonts w:ascii="Noto Sans Symbols" w:cs="Noto Sans Symbols" w:eastAsia="Noto Sans Symbols" w:hAnsi="Noto Sans Symbols"/>
        <w:color w:val="17365d"/>
      </w:rPr>
    </w:lvl>
    <w:lvl w:ilvl="1">
      <w:start w:val="1"/>
      <w:numFmt w:val="bullet"/>
      <w:lvlText w:val="o"/>
      <w:lvlJc w:val="left"/>
      <w:pPr>
        <w:ind w:left="1298" w:hanging="359.9999999999998"/>
      </w:pPr>
      <w:rPr>
        <w:rFonts w:ascii="Courier New" w:cs="Courier New" w:eastAsia="Courier New" w:hAnsi="Courier New"/>
      </w:rPr>
    </w:lvl>
    <w:lvl w:ilvl="2">
      <w:start w:val="1"/>
      <w:numFmt w:val="bullet"/>
      <w:lvlText w:val="▪"/>
      <w:lvlJc w:val="left"/>
      <w:pPr>
        <w:ind w:left="2018" w:hanging="360"/>
      </w:pPr>
      <w:rPr>
        <w:rFonts w:ascii="Noto Sans Symbols" w:cs="Noto Sans Symbols" w:eastAsia="Noto Sans Symbols" w:hAnsi="Noto Sans Symbols"/>
      </w:rPr>
    </w:lvl>
    <w:lvl w:ilvl="3">
      <w:start w:val="1"/>
      <w:numFmt w:val="bullet"/>
      <w:lvlText w:val="●"/>
      <w:lvlJc w:val="left"/>
      <w:pPr>
        <w:ind w:left="2738" w:hanging="360"/>
      </w:pPr>
      <w:rPr>
        <w:rFonts w:ascii="Noto Sans Symbols" w:cs="Noto Sans Symbols" w:eastAsia="Noto Sans Symbols" w:hAnsi="Noto Sans Symbols"/>
      </w:rPr>
    </w:lvl>
    <w:lvl w:ilvl="4">
      <w:start w:val="1"/>
      <w:numFmt w:val="bullet"/>
      <w:lvlText w:val="o"/>
      <w:lvlJc w:val="left"/>
      <w:pPr>
        <w:ind w:left="3458" w:hanging="360"/>
      </w:pPr>
      <w:rPr>
        <w:rFonts w:ascii="Courier New" w:cs="Courier New" w:eastAsia="Courier New" w:hAnsi="Courier New"/>
      </w:rPr>
    </w:lvl>
    <w:lvl w:ilvl="5">
      <w:start w:val="1"/>
      <w:numFmt w:val="bullet"/>
      <w:lvlText w:val="▪"/>
      <w:lvlJc w:val="left"/>
      <w:pPr>
        <w:ind w:left="4178" w:hanging="360"/>
      </w:pPr>
      <w:rPr>
        <w:rFonts w:ascii="Noto Sans Symbols" w:cs="Noto Sans Symbols" w:eastAsia="Noto Sans Symbols" w:hAnsi="Noto Sans Symbols"/>
      </w:rPr>
    </w:lvl>
    <w:lvl w:ilvl="6">
      <w:start w:val="1"/>
      <w:numFmt w:val="bullet"/>
      <w:lvlText w:val="●"/>
      <w:lvlJc w:val="left"/>
      <w:pPr>
        <w:ind w:left="4898" w:hanging="360"/>
      </w:pPr>
      <w:rPr>
        <w:rFonts w:ascii="Noto Sans Symbols" w:cs="Noto Sans Symbols" w:eastAsia="Noto Sans Symbols" w:hAnsi="Noto Sans Symbols"/>
      </w:rPr>
    </w:lvl>
    <w:lvl w:ilvl="7">
      <w:start w:val="1"/>
      <w:numFmt w:val="bullet"/>
      <w:lvlText w:val="o"/>
      <w:lvlJc w:val="left"/>
      <w:pPr>
        <w:ind w:left="5618" w:hanging="360"/>
      </w:pPr>
      <w:rPr>
        <w:rFonts w:ascii="Courier New" w:cs="Courier New" w:eastAsia="Courier New" w:hAnsi="Courier New"/>
      </w:rPr>
    </w:lvl>
    <w:lvl w:ilvl="8">
      <w:start w:val="1"/>
      <w:numFmt w:val="bullet"/>
      <w:lvlText w:val="▪"/>
      <w:lvlJc w:val="left"/>
      <w:pPr>
        <w:ind w:left="6338"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spacing w:after="160" w:line="2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60" w:before="200" w:line="480" w:lineRule="auto"/>
    </w:pPr>
    <w:rPr>
      <w:color w:val="02a4a6"/>
      <w:sz w:val="56"/>
      <w:szCs w:val="56"/>
    </w:rPr>
  </w:style>
  <w:style w:type="paragraph" w:styleId="Heading2">
    <w:name w:val="heading 2"/>
    <w:basedOn w:val="Normal"/>
    <w:next w:val="Normal"/>
    <w:pPr>
      <w:spacing w:after="30" w:before="240" w:line="400" w:lineRule="auto"/>
    </w:pPr>
    <w:rPr>
      <w:color w:val="1f497d"/>
      <w:sz w:val="32"/>
      <w:szCs w:val="32"/>
    </w:rPr>
  </w:style>
  <w:style w:type="paragraph" w:styleId="Heading3">
    <w:name w:val="heading 3"/>
    <w:basedOn w:val="Normal"/>
    <w:next w:val="Normal"/>
    <w:pPr>
      <w:spacing w:after="40" w:before="330" w:lineRule="auto"/>
    </w:pPr>
    <w:rPr>
      <w:color w:val="000000"/>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Cambria" w:cs="Cambria" w:eastAsia="Cambria" w:hAnsi="Cambria"/>
      <w:sz w:val="24"/>
      <w:szCs w:val="24"/>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Cambria" w:cs="Cambria" w:eastAsia="Cambria" w:hAnsi="Cambria"/>
      <w:sz w:val="24"/>
      <w:szCs w:val="24"/>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OpenSans-regular.ttf"/><Relationship Id="rId4" Type="http://schemas.openxmlformats.org/officeDocument/2006/relationships/font" Target="fonts/OpenSans-bold.ttf"/><Relationship Id="rId5" Type="http://schemas.openxmlformats.org/officeDocument/2006/relationships/font" Target="fonts/OpenSans-italic.ttf"/><Relationship Id="rId6" Type="http://schemas.openxmlformats.org/officeDocument/2006/relationships/font" Target="fonts/Open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RI1nGrlwq+9NhMlFFziTXQnYsA==">CgMxLjA4AHIhMWN2MFJNLVpuVWhXbUhRWUtDMlpXeEgwM2hSaUpTdHRC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MediaServiceImageTags</vt:lpwstr>
  </property>
</Properties>
</file>