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34C06F" w14:textId="72D9F96C" w:rsidR="00BF59E4" w:rsidRDefault="00F35549" w:rsidP="00BF59E4">
      <w:pPr>
        <w:rPr>
          <w:b/>
          <w:bCs/>
        </w:rPr>
      </w:pPr>
      <w:r>
        <w:rPr>
          <w:b/>
          <w:bCs/>
        </w:rPr>
        <w:t xml:space="preserve">Factsheet: Learning and Development for Sales Assistant at Clean Quarter Ltd. </w:t>
      </w:r>
    </w:p>
    <w:p w14:paraId="2B9F835E" w14:textId="02764606" w:rsidR="00F35549" w:rsidRDefault="00F35549" w:rsidP="00BF59E4">
      <w:pPr>
        <w:rPr>
          <w:b/>
          <w:bCs/>
        </w:rPr>
      </w:pPr>
      <w:r>
        <w:rPr>
          <w:b/>
          <w:bCs/>
        </w:rPr>
        <w:t>AC 6.1. Benefits of Learning and Development Activities</w:t>
      </w:r>
    </w:p>
    <w:p w14:paraId="6E82B343" w14:textId="051BB683" w:rsidR="00F35549" w:rsidRDefault="00F35549" w:rsidP="00BF59E4">
      <w:r>
        <w:t xml:space="preserve">Learning and Development activities offer significant benefits to both the sales assistants and Clean Quarter. For sales assistants, these activities enhance their skills, knowledge and competencies, enabling them to perform their roles more effectively. </w:t>
      </w:r>
      <w:r w:rsidR="001A710F">
        <w:t>Hopkins et al (2000) states that c</w:t>
      </w:r>
      <w:r>
        <w:t xml:space="preserve">ontinuous learning helps employees stay updated with the latest industry trends, sales techniques and product knowledge, which can directly improve their </w:t>
      </w:r>
      <w:r w:rsidR="00A06865">
        <w:t>performance and sales outcomes. Additionally, learning opportunities foster personal and professional growth, increasing job satisfaction and motivation. When employees feel valued, they are more likely to be engaged and committed to their roles.</w:t>
      </w:r>
    </w:p>
    <w:p w14:paraId="7A4F6298" w14:textId="4E2833A1" w:rsidR="00A06865" w:rsidRDefault="00A06865" w:rsidP="00BF59E4">
      <w:r>
        <w:t xml:space="preserve">Investing in learning and development activities leads to a more skilled and competent workforce. Enhancing employee capabilities translate into better customer service, higher sales and increased customer satisfaction. A well-trained sales team can more effectively address customer needs, handle objections and close sales which can ultimately contribute to the company’s revenue growth. </w:t>
      </w:r>
      <w:r w:rsidR="001A710F">
        <w:t>Waite et al (2021) shows how</w:t>
      </w:r>
      <w:r>
        <w:t xml:space="preserve"> learning and development initiatives help in building a positive organisational culture that values continuous improvement and professional growth. </w:t>
      </w:r>
      <w:r w:rsidR="00FD409A">
        <w:t xml:space="preserve">This can improve employee retention rates, as employees are more likely to stay with a company that supports their development. Overall, learning and development activities are a strategic investment that can drive business success and create a competitive advantage for Clean Quarter. </w:t>
      </w:r>
    </w:p>
    <w:p w14:paraId="6F8E89C3" w14:textId="6CE257EF" w:rsidR="00FD409A" w:rsidRDefault="00FD409A" w:rsidP="00BF59E4">
      <w:pPr>
        <w:rPr>
          <w:b/>
          <w:bCs/>
        </w:rPr>
      </w:pPr>
      <w:r>
        <w:rPr>
          <w:b/>
          <w:bCs/>
        </w:rPr>
        <w:t>AC 6.2. Different Types of Learning Needs and Reasons they Arise</w:t>
      </w:r>
    </w:p>
    <w:p w14:paraId="37E166FC" w14:textId="3C976367" w:rsidR="00FD409A" w:rsidRDefault="00FD409A" w:rsidP="00BF59E4">
      <w:r>
        <w:t>Learning needs for sales assistants and Clean Quarter can be categorised into several types, each arising from different circumstances.</w:t>
      </w:r>
      <w:r w:rsidR="00A3371F">
        <w:t xml:space="preserve"> Talbot (2019 provides examples, such as: </w:t>
      </w:r>
    </w:p>
    <w:p w14:paraId="454842CF" w14:textId="51541F00" w:rsidR="00FD409A" w:rsidRDefault="00FD409A" w:rsidP="00FD409A">
      <w:pPr>
        <w:pStyle w:val="ListParagraph"/>
        <w:numPr>
          <w:ilvl w:val="0"/>
          <w:numId w:val="11"/>
        </w:numPr>
      </w:pPr>
      <w:r>
        <w:t>Job-Specific Needs: These are immediate learning needs related to specific tasks and responsibilities of sales assistants. For example, understanding product features, mastering sales techniques and learning how to use the software that’s essential for performing their daily duties effectively. These needs arise from the requirement to meet job expectations and perform effectively.</w:t>
      </w:r>
    </w:p>
    <w:p w14:paraId="6C9E858D" w14:textId="120AAE98" w:rsidR="00FD409A" w:rsidRDefault="000F3B2F" w:rsidP="00FD409A">
      <w:pPr>
        <w:pStyle w:val="ListParagraph"/>
        <w:numPr>
          <w:ilvl w:val="0"/>
          <w:numId w:val="11"/>
        </w:numPr>
      </w:pPr>
      <w:r>
        <w:t xml:space="preserve">Skill Development Needs: These involve broader competencies that enhance overall job performance and career progression. Skills such as communication, negotiation and problem-solving fall into this category. These needs often arise from performance appraisals, where gaps are identified, or from the evolving demands of the role. </w:t>
      </w:r>
    </w:p>
    <w:p w14:paraId="37AA8852" w14:textId="2BEDC4F9" w:rsidR="00C81904" w:rsidRDefault="00C81904" w:rsidP="00FD409A">
      <w:pPr>
        <w:pStyle w:val="ListParagraph"/>
        <w:numPr>
          <w:ilvl w:val="0"/>
          <w:numId w:val="11"/>
        </w:numPr>
      </w:pPr>
      <w:r>
        <w:t xml:space="preserve">Compliance and Regulatory Needs: Certain learning needs start from the necessity to comply with industry regulations, company policies and legal </w:t>
      </w:r>
      <w:r>
        <w:lastRenderedPageBreak/>
        <w:t xml:space="preserve">requirements. For example, training on data protection, health and safety, or ethical sale practices ensure that employees operate within legal and ethical boundaries. These arise from external regulations and internal policy requirements.  </w:t>
      </w:r>
    </w:p>
    <w:p w14:paraId="31DF1C0F" w14:textId="3B33269C" w:rsidR="00C81904" w:rsidRDefault="00C81904" w:rsidP="00FD409A">
      <w:pPr>
        <w:pStyle w:val="ListParagraph"/>
        <w:numPr>
          <w:ilvl w:val="0"/>
          <w:numId w:val="11"/>
        </w:numPr>
      </w:pPr>
      <w:r>
        <w:t>Developmental Needs: These are long term needs focused on career growth and personal development. For sales assistants aspiring to move into managerial roles, training into leadership, strategic thinking and management skills become crucial. These needs are often identified during career planning sessions or through individual career aspirations.</w:t>
      </w:r>
    </w:p>
    <w:p w14:paraId="720AC504" w14:textId="0B227F66" w:rsidR="00C81904" w:rsidRDefault="00B662AC" w:rsidP="00B662AC">
      <w:r>
        <w:t>By identifying and addressing these various learning needs, Clean Quarter can ensure that its sales assistants are well-equipped to meet current and future challenges, thereby enhancing overall organisational performance.</w:t>
      </w:r>
    </w:p>
    <w:p w14:paraId="103970DA" w14:textId="4F54467C" w:rsidR="00B662AC" w:rsidRDefault="00B662AC" w:rsidP="00B662AC">
      <w:pPr>
        <w:rPr>
          <w:b/>
          <w:bCs/>
        </w:rPr>
      </w:pPr>
      <w:r>
        <w:rPr>
          <w:b/>
          <w:bCs/>
        </w:rPr>
        <w:t>AC 6.3. Face-to-Face and Blended Learning and Development Approaches</w:t>
      </w:r>
    </w:p>
    <w:p w14:paraId="5B567BAB" w14:textId="5310FC25" w:rsidR="00B662AC" w:rsidRDefault="00B662AC" w:rsidP="00B662AC">
      <w:r>
        <w:t xml:space="preserve">Different approaches to learning and development can be employed to meet the diverse needs of sales assistants. </w:t>
      </w:r>
      <w:r w:rsidR="005A515B">
        <w:t>Linder (2023) summarises</w:t>
      </w:r>
      <w:r>
        <w:t xml:space="preserve"> </w:t>
      </w:r>
      <w:r w:rsidR="005A515B">
        <w:t>the</w:t>
      </w:r>
      <w:r>
        <w:t xml:space="preserve"> key methods</w:t>
      </w:r>
      <w:r w:rsidR="005A515B">
        <w:t xml:space="preserve"> and the benefits they can have in a company setting. For example: </w:t>
      </w:r>
    </w:p>
    <w:p w14:paraId="6D183878" w14:textId="67E26183" w:rsidR="00B662AC" w:rsidRDefault="00B662AC" w:rsidP="00B662AC">
      <w:pPr>
        <w:pStyle w:val="ListParagraph"/>
        <w:numPr>
          <w:ilvl w:val="0"/>
          <w:numId w:val="12"/>
        </w:numPr>
      </w:pPr>
      <w:r>
        <w:t xml:space="preserve">Face-to-face Learning: </w:t>
      </w:r>
    </w:p>
    <w:p w14:paraId="5B86CE9D" w14:textId="2420446C" w:rsidR="00B662AC" w:rsidRDefault="00B662AC" w:rsidP="00B662AC">
      <w:pPr>
        <w:pStyle w:val="ListParagraph"/>
        <w:numPr>
          <w:ilvl w:val="0"/>
          <w:numId w:val="13"/>
        </w:numPr>
      </w:pPr>
      <w:r>
        <w:t>Facilitation: This method involves a facilitator guiding a group through learning activities. Facilitators encourage participation, discussion, and collaboration to help learners engage with the material.</w:t>
      </w:r>
    </w:p>
    <w:p w14:paraId="2DE605D0" w14:textId="611417F3" w:rsidR="00B662AC" w:rsidRDefault="00B662AC" w:rsidP="00B662AC">
      <w:pPr>
        <w:pStyle w:val="ListParagraph"/>
        <w:numPr>
          <w:ilvl w:val="0"/>
          <w:numId w:val="13"/>
        </w:numPr>
      </w:pPr>
      <w:r>
        <w:t xml:space="preserve">Training: Traditional classroom-based training where an instructor delivers </w:t>
      </w:r>
      <w:r w:rsidR="0093544E">
        <w:t xml:space="preserve">content to a group of learners. It’s effective for teaching specific skills and knowledge, allowing for feedback and hands-on practice. </w:t>
      </w:r>
    </w:p>
    <w:p w14:paraId="07819D84" w14:textId="1ED27EF6" w:rsidR="0093544E" w:rsidRDefault="0093544E" w:rsidP="00B662AC">
      <w:pPr>
        <w:pStyle w:val="ListParagraph"/>
        <w:numPr>
          <w:ilvl w:val="0"/>
          <w:numId w:val="13"/>
        </w:numPr>
      </w:pPr>
      <w:r>
        <w:t>Coaching: A one-to-one approach where a coach works directly with an individual to improve specific skills and performance. It can be highly personalised and focused on the individual’s development needs.</w:t>
      </w:r>
    </w:p>
    <w:p w14:paraId="75325E9E" w14:textId="7A764564" w:rsidR="0093544E" w:rsidRDefault="0093544E" w:rsidP="00B662AC">
      <w:pPr>
        <w:pStyle w:val="ListParagraph"/>
        <w:numPr>
          <w:ilvl w:val="0"/>
          <w:numId w:val="13"/>
        </w:numPr>
      </w:pPr>
      <w:r>
        <w:t xml:space="preserve">Mentoring: This involves a more experienced individual to provide guidance, advise and support to a less experienced employee. This focuses on long-term development and career growth. </w:t>
      </w:r>
    </w:p>
    <w:p w14:paraId="0AC976E3" w14:textId="576C507C" w:rsidR="0093544E" w:rsidRDefault="0093544E" w:rsidP="0093544E">
      <w:pPr>
        <w:pStyle w:val="ListParagraph"/>
      </w:pPr>
    </w:p>
    <w:p w14:paraId="2780ACBA" w14:textId="5527BFEA" w:rsidR="0093544E" w:rsidRDefault="0093544E" w:rsidP="0093544E">
      <w:pPr>
        <w:pStyle w:val="ListParagraph"/>
        <w:numPr>
          <w:ilvl w:val="0"/>
          <w:numId w:val="12"/>
        </w:numPr>
      </w:pPr>
      <w:r>
        <w:t xml:space="preserve">Blended Learning: </w:t>
      </w:r>
      <w:r w:rsidR="009E0DC5">
        <w:t>Auster (2016) explains</w:t>
      </w:r>
      <w:r>
        <w:t xml:space="preserve"> techniques like</w:t>
      </w:r>
      <w:r w:rsidR="009E0DC5">
        <w:t xml:space="preserve"> this </w:t>
      </w:r>
      <w:proofErr w:type="gramStart"/>
      <w:r w:rsidR="009E0DC5">
        <w:t>as</w:t>
      </w:r>
      <w:r>
        <w:t>;</w:t>
      </w:r>
      <w:proofErr w:type="gramEnd"/>
    </w:p>
    <w:p w14:paraId="4F9FF46A" w14:textId="3C79A3E5" w:rsidR="0093544E" w:rsidRDefault="0093544E" w:rsidP="0093544E">
      <w:pPr>
        <w:pStyle w:val="ListParagraph"/>
        <w:numPr>
          <w:ilvl w:val="0"/>
          <w:numId w:val="13"/>
        </w:numPr>
      </w:pPr>
      <w:r>
        <w:t>Combination of Online and face-to-face: Blended learning integrates traditional face-to-face methods with online learning tools. This approach allows for flexibility and can accommodate different learning styles.</w:t>
      </w:r>
    </w:p>
    <w:p w14:paraId="60764992" w14:textId="76857656" w:rsidR="0093544E" w:rsidRDefault="0093544E" w:rsidP="0093544E">
      <w:pPr>
        <w:pStyle w:val="ListParagraph"/>
        <w:numPr>
          <w:ilvl w:val="0"/>
          <w:numId w:val="13"/>
        </w:numPr>
      </w:pPr>
      <w:r>
        <w:t xml:space="preserve">E-Learning Modules: Self-paced online learning that employees can complete at their convenience. These modules often include interactive elements, quizzes to make the content more engaging. </w:t>
      </w:r>
    </w:p>
    <w:p w14:paraId="6B6CCC2D" w14:textId="7108B90E" w:rsidR="0093544E" w:rsidRDefault="0093544E" w:rsidP="0093544E">
      <w:pPr>
        <w:pStyle w:val="ListParagraph"/>
        <w:numPr>
          <w:ilvl w:val="0"/>
          <w:numId w:val="13"/>
        </w:numPr>
      </w:pPr>
      <w:r>
        <w:lastRenderedPageBreak/>
        <w:t xml:space="preserve">Webinars and Virtual Classrooms: </w:t>
      </w:r>
      <w:r w:rsidR="0087639A">
        <w:t xml:space="preserve">Live online sessions where employees can interact with instructors and peers in real time. This method combines the benefits of a classroom and the convenience of remote access. </w:t>
      </w:r>
    </w:p>
    <w:p w14:paraId="5B9740E0" w14:textId="33E48DC2" w:rsidR="0087639A" w:rsidRDefault="0087639A" w:rsidP="0087639A">
      <w:r>
        <w:t xml:space="preserve">Each approach has its own strengths and weaknesses and can be selected based on the specific learning objectives, resources available and the preference of the sales assistants. A blended approach often provides most flexibility and comprehensive coverage of the learning objectives. </w:t>
      </w:r>
    </w:p>
    <w:p w14:paraId="5D9FE059" w14:textId="25E8250F" w:rsidR="0087639A" w:rsidRDefault="0087639A" w:rsidP="0087639A">
      <w:pPr>
        <w:rPr>
          <w:b/>
          <w:bCs/>
        </w:rPr>
      </w:pPr>
      <w:r>
        <w:rPr>
          <w:b/>
          <w:bCs/>
        </w:rPr>
        <w:t>AC 6.4 Accommodating Individual Requirements and Preferences in Learning and Development</w:t>
      </w:r>
    </w:p>
    <w:p w14:paraId="69CCC502" w14:textId="2E74DEAA" w:rsidR="0087639A" w:rsidRDefault="0087639A" w:rsidP="0087639A">
      <w:r>
        <w:t xml:space="preserve">When designing and delivering learning and development initiatives, it is crucial to consider individual requirements and preferences to ensure effective learning outcomes. </w:t>
      </w:r>
      <w:r w:rsidR="009E0DC5">
        <w:t xml:space="preserve">Truong (2016) explains how to </w:t>
      </w:r>
      <w:r>
        <w:t xml:space="preserve">accommodate </w:t>
      </w:r>
      <w:r w:rsidR="009E0DC5">
        <w:t xml:space="preserve">some of </w:t>
      </w:r>
      <w:r>
        <w:t>the needs:</w:t>
      </w:r>
    </w:p>
    <w:p w14:paraId="0C92A899" w14:textId="77777777" w:rsidR="0087639A" w:rsidRDefault="0087639A" w:rsidP="0087639A">
      <w:pPr>
        <w:pStyle w:val="ListParagraph"/>
        <w:numPr>
          <w:ilvl w:val="0"/>
          <w:numId w:val="14"/>
        </w:numPr>
      </w:pPr>
      <w:r>
        <w:t>Learning Styles: Recognising employees have different learning styles. This involves visual, auditory, reading/writing and kinesthetics.  Incorporating different methods such as videos, written materials and hands on activities can cater to these diverse needs.</w:t>
      </w:r>
    </w:p>
    <w:p w14:paraId="4CF75D78" w14:textId="77777777" w:rsidR="00716DC5" w:rsidRDefault="00716DC5" w:rsidP="0087639A">
      <w:pPr>
        <w:pStyle w:val="ListParagraph"/>
        <w:numPr>
          <w:ilvl w:val="0"/>
          <w:numId w:val="14"/>
        </w:numPr>
      </w:pPr>
      <w:r>
        <w:t>Flexible Delivery Methods: Offering a mix of face-to-face and online learning options to provide flexibility. Some employees may prefer the interaction of classroom training, whilst others may benefit from the convenience completing online modules at their own pace.</w:t>
      </w:r>
    </w:p>
    <w:p w14:paraId="2D6A16E3" w14:textId="692B8AD4" w:rsidR="0087639A" w:rsidRDefault="00716DC5" w:rsidP="0087639A">
      <w:pPr>
        <w:pStyle w:val="ListParagraph"/>
        <w:numPr>
          <w:ilvl w:val="0"/>
          <w:numId w:val="14"/>
        </w:numPr>
      </w:pPr>
      <w:r>
        <w:t>Inclusive Training Methods: Ensuring that training materials are accessible to all employees, including those with disabilities. This may involve providing content in multiple formats like audio, large print, coloured</w:t>
      </w:r>
      <w:r w:rsidR="00592676">
        <w:t xml:space="preserve"> paper and online sources. These ensure that materials are user friendly and compliant with accessibility standards. </w:t>
      </w:r>
      <w:r w:rsidR="0087639A">
        <w:t xml:space="preserve"> </w:t>
      </w:r>
    </w:p>
    <w:p w14:paraId="490AB62B" w14:textId="135F51A5" w:rsidR="00592676" w:rsidRDefault="00592676" w:rsidP="0087639A">
      <w:pPr>
        <w:pStyle w:val="ListParagraph"/>
        <w:numPr>
          <w:ilvl w:val="0"/>
          <w:numId w:val="14"/>
        </w:numPr>
      </w:pPr>
      <w:r>
        <w:t xml:space="preserve">Feedback and Adaptation: Regularly gathering feedback from employees on their learning experiences and be willing to adapt programs based on their input. Continuous improvement of training initiatives ensures they remain effective and align with employees needs. </w:t>
      </w:r>
    </w:p>
    <w:p w14:paraId="0A1DF5C2" w14:textId="34BACAE5" w:rsidR="00592676" w:rsidRDefault="00592676" w:rsidP="00592676">
      <w:r>
        <w:t xml:space="preserve">By accommodating individual requirements and preferences, Clean Quarter can ensure that its learning and development initiatives are effective, engaging and allow employee growth and satisfaction. </w:t>
      </w:r>
    </w:p>
    <w:p w14:paraId="5A7102FC" w14:textId="77777777" w:rsidR="00592676" w:rsidRDefault="00592676" w:rsidP="00592676"/>
    <w:p w14:paraId="72DB3646" w14:textId="58F00501" w:rsidR="00592676" w:rsidRDefault="00592676" w:rsidP="00592676">
      <w:pPr>
        <w:rPr>
          <w:b/>
          <w:bCs/>
        </w:rPr>
      </w:pPr>
      <w:r>
        <w:rPr>
          <w:b/>
          <w:bCs/>
        </w:rPr>
        <w:t>AC 6.5. Methods of Evaluating Learning and Development and its Impact</w:t>
      </w:r>
    </w:p>
    <w:p w14:paraId="1F20B301" w14:textId="390D932F" w:rsidR="00592676" w:rsidRDefault="00592676" w:rsidP="00592676">
      <w:r>
        <w:t xml:space="preserve">Evaluating learning and development initiatives is essential to ensure they are effective and deliver the desired impact. Here are two methods: </w:t>
      </w:r>
    </w:p>
    <w:p w14:paraId="634EA33B" w14:textId="36A49F35" w:rsidR="00592676" w:rsidRDefault="004E68C8" w:rsidP="00592676">
      <w:pPr>
        <w:pStyle w:val="ListParagraph"/>
        <w:numPr>
          <w:ilvl w:val="0"/>
          <w:numId w:val="15"/>
        </w:numPr>
      </w:pPr>
      <w:r>
        <w:t xml:space="preserve">Return on Investment (ROI) Analysis: </w:t>
      </w:r>
    </w:p>
    <w:p w14:paraId="16227CE7" w14:textId="67276AD8" w:rsidR="004E68C8" w:rsidRDefault="004E68C8" w:rsidP="004E68C8">
      <w:pPr>
        <w:pStyle w:val="ListParagraph"/>
        <w:numPr>
          <w:ilvl w:val="0"/>
          <w:numId w:val="13"/>
        </w:numPr>
      </w:pPr>
      <w:r>
        <w:lastRenderedPageBreak/>
        <w:t xml:space="preserve">Cost-Benefit Analysis: </w:t>
      </w:r>
      <w:r w:rsidR="00B718F4">
        <w:t xml:space="preserve">Walker-Fraser (2011) </w:t>
      </w:r>
      <w:r w:rsidR="00B718F4">
        <w:t>describes this</w:t>
      </w:r>
      <w:r>
        <w:t xml:space="preserve"> method </w:t>
      </w:r>
      <w:r w:rsidR="00B718F4">
        <w:t xml:space="preserve">that </w:t>
      </w:r>
      <w:r>
        <w:t>involves calculating the costs of the training program and comparing them to the financial benefits gained. A positive ROI indicates that the benefits of the training outweigh the costs, demonstrating its values to the organisation.</w:t>
      </w:r>
    </w:p>
    <w:p w14:paraId="49178BD5" w14:textId="18370FD6" w:rsidR="004E68C8" w:rsidRDefault="004E68C8" w:rsidP="004E68C8">
      <w:pPr>
        <w:pStyle w:val="ListParagraph"/>
        <w:numPr>
          <w:ilvl w:val="0"/>
          <w:numId w:val="13"/>
        </w:numPr>
      </w:pPr>
      <w:r>
        <w:t>Qualitative Impact Assessment: Qualitative methods such as interviews, focus groups and case studies can provide insights into the broader impact of training on employee engagement, job satisfaction and organisational culture. These can compliment quantitative data and offer comprehensive evaluation of the training’s effectiveness.</w:t>
      </w:r>
    </w:p>
    <w:p w14:paraId="7C7110A8" w14:textId="0CC5E985" w:rsidR="004E68C8" w:rsidRDefault="00153F10" w:rsidP="00153F10">
      <w:pPr>
        <w:pStyle w:val="ListParagraph"/>
        <w:numPr>
          <w:ilvl w:val="0"/>
          <w:numId w:val="15"/>
        </w:numPr>
      </w:pPr>
      <w:r>
        <w:t xml:space="preserve">Kirkpatrick’s Four Levels of Evaluation: </w:t>
      </w:r>
      <w:r w:rsidR="00B718F4">
        <w:t xml:space="preserve">Kirkpatrick and Kirkpatrick (2007) </w:t>
      </w:r>
      <w:proofErr w:type="gramStart"/>
      <w:r w:rsidR="00B718F4">
        <w:t>explains</w:t>
      </w:r>
      <w:proofErr w:type="gramEnd"/>
      <w:r w:rsidR="00B718F4">
        <w:t xml:space="preserve"> their evaluation process in four levels. Firstly,</w:t>
      </w:r>
    </w:p>
    <w:p w14:paraId="24C52BFD" w14:textId="4606E1FC" w:rsidR="00153F10" w:rsidRDefault="00153F10" w:rsidP="00153F10">
      <w:pPr>
        <w:pStyle w:val="ListParagraph"/>
        <w:numPr>
          <w:ilvl w:val="0"/>
          <w:numId w:val="13"/>
        </w:numPr>
      </w:pPr>
      <w:r>
        <w:t xml:space="preserve">Reaction: This measures participants reactions to training by using surveys and feedback forms. From this you can gauge their satisfaction and overall experience. Understanding these reactions helps to ensure </w:t>
      </w:r>
      <w:r>
        <w:tab/>
        <w:t>that the training is engaging and relevant.</w:t>
      </w:r>
    </w:p>
    <w:p w14:paraId="70BD3DB3" w14:textId="01A1C15A" w:rsidR="00153F10" w:rsidRDefault="00153F10" w:rsidP="00153F10">
      <w:pPr>
        <w:pStyle w:val="ListParagraph"/>
        <w:numPr>
          <w:ilvl w:val="0"/>
          <w:numId w:val="13"/>
        </w:numPr>
      </w:pPr>
      <w:r>
        <w:t xml:space="preserve">Learning: This level focuses on the extent to which participants have acquired the knowledge and skills. Using quizzes, tests and assessments can measure learning outcomes and by comparing these results, you can determine how effective the training has enhanced </w:t>
      </w:r>
      <w:r w:rsidR="001A710F">
        <w:t>employees’</w:t>
      </w:r>
      <w:r>
        <w:t xml:space="preserve"> competencies. </w:t>
      </w:r>
    </w:p>
    <w:p w14:paraId="6F2E69B1" w14:textId="060BD662" w:rsidR="00153F10" w:rsidRDefault="00153F10" w:rsidP="00153F10">
      <w:pPr>
        <w:pStyle w:val="ListParagraph"/>
        <w:numPr>
          <w:ilvl w:val="0"/>
          <w:numId w:val="13"/>
        </w:numPr>
      </w:pPr>
      <w:r>
        <w:t>Behaviour: This examines how well participants apply what they have learned in their job roles. Observations and feedback from supervisors and colleagues can assess changes in workplace behaviours. This can assist in determining if the training has led to practical improvements in job performance.</w:t>
      </w:r>
    </w:p>
    <w:p w14:paraId="28A7E8D7" w14:textId="2694BF6B" w:rsidR="00153F10" w:rsidRPr="00592676" w:rsidRDefault="00153F10" w:rsidP="00153F10">
      <w:pPr>
        <w:pStyle w:val="ListParagraph"/>
        <w:numPr>
          <w:ilvl w:val="0"/>
          <w:numId w:val="13"/>
        </w:numPr>
      </w:pPr>
      <w:r>
        <w:t xml:space="preserve">Results: The final level evaluates the overall impact of the training on organised outcomes. This level can help establish the ROI and the broader impact on organisational success. </w:t>
      </w:r>
    </w:p>
    <w:p w14:paraId="7C2CE24E" w14:textId="77777777" w:rsidR="00592676" w:rsidRPr="0087639A" w:rsidRDefault="00592676" w:rsidP="00592676"/>
    <w:p w14:paraId="4DE0FC88" w14:textId="77777777" w:rsidR="00BF59E4" w:rsidRDefault="00BF59E4" w:rsidP="00BF59E4"/>
    <w:p w14:paraId="27BF3785" w14:textId="77777777" w:rsidR="00BF59E4" w:rsidRDefault="00BF59E4" w:rsidP="00BF59E4"/>
    <w:p w14:paraId="39273838" w14:textId="77777777" w:rsidR="00BF59E4" w:rsidRDefault="00BF59E4" w:rsidP="00BF59E4"/>
    <w:p w14:paraId="336D6E68" w14:textId="77777777" w:rsidR="00BF59E4" w:rsidRDefault="00BF59E4" w:rsidP="00BF59E4"/>
    <w:p w14:paraId="662643B2" w14:textId="77777777" w:rsidR="00BF59E4" w:rsidRDefault="00BF59E4" w:rsidP="00BF59E4"/>
    <w:p w14:paraId="4A3FC8BD" w14:textId="77777777" w:rsidR="00BF59E4" w:rsidRDefault="00BF59E4" w:rsidP="00BF59E4"/>
    <w:p w14:paraId="2EFA53F3" w14:textId="77777777" w:rsidR="00BF59E4" w:rsidRDefault="00BF59E4" w:rsidP="00BF59E4"/>
    <w:p w14:paraId="6B6B295C" w14:textId="77777777" w:rsidR="00BF59E4" w:rsidRDefault="00BF59E4" w:rsidP="00BF59E4"/>
    <w:p w14:paraId="7826CCFE" w14:textId="77777777" w:rsidR="00BF59E4" w:rsidRDefault="00BF59E4" w:rsidP="00BF59E4"/>
    <w:p w14:paraId="591DD71C" w14:textId="77777777" w:rsidR="00F47962" w:rsidRDefault="00F47962" w:rsidP="00BF59E4"/>
    <w:p w14:paraId="4795A1BA" w14:textId="72C3B5AE" w:rsidR="00BF59E4" w:rsidRDefault="00BF59E4" w:rsidP="00BF59E4">
      <w:r w:rsidRPr="00BF59E4">
        <w:rPr>
          <w:b/>
          <w:bCs/>
        </w:rPr>
        <w:t>References</w:t>
      </w:r>
      <w:r>
        <w:t>:</w:t>
      </w:r>
    </w:p>
    <w:p w14:paraId="16DCC0A7" w14:textId="26730B0B" w:rsidR="00BE7C47" w:rsidRDefault="009E0DC5" w:rsidP="00BF59E4">
      <w:r>
        <w:t xml:space="preserve">Auster, C. (2016) </w:t>
      </w:r>
      <w:r>
        <w:rPr>
          <w:i/>
          <w:iCs/>
        </w:rPr>
        <w:t>Blended Learning as a Potentially Winning Combination of Face-to-Face and Online Learning: An Exploratory Study</w:t>
      </w:r>
      <w:r>
        <w:t xml:space="preserve">. Vol.44(1). Available at: </w:t>
      </w:r>
      <w:r w:rsidRPr="009E0DC5">
        <w:t>DOI: 10.1177/0092055X15619217</w:t>
      </w:r>
    </w:p>
    <w:p w14:paraId="63125A08" w14:textId="7B0CA664" w:rsidR="00F47962" w:rsidRDefault="00F47962" w:rsidP="00BF59E4">
      <w:r>
        <w:t xml:space="preserve">Hopkins, D., Harris, A., Singleton, C. and Watts, R. (2000) </w:t>
      </w:r>
      <w:r>
        <w:rPr>
          <w:i/>
          <w:iCs/>
        </w:rPr>
        <w:t xml:space="preserve">Creating the Conditions for Teaching and Learning: A Handbook of Staff Development Activities. </w:t>
      </w:r>
      <w:r>
        <w:t>London: David Fulton Publishers</w:t>
      </w:r>
    </w:p>
    <w:p w14:paraId="2333AEFA" w14:textId="0FEBDEA6" w:rsidR="00B718F4" w:rsidRPr="00B718F4" w:rsidRDefault="00B718F4" w:rsidP="00BF59E4">
      <w:r>
        <w:t xml:space="preserve">Kirkpatrick, D. and Kirkpatrick, J. (2007) </w:t>
      </w:r>
      <w:r>
        <w:rPr>
          <w:i/>
          <w:iCs/>
        </w:rPr>
        <w:t xml:space="preserve">Implementing the Four Levels: A Practical Guide for Effective Evaluation of Training Programs. </w:t>
      </w:r>
      <w:r>
        <w:t>1stED. London: Berrett-Koehler Publishers</w:t>
      </w:r>
    </w:p>
    <w:p w14:paraId="6D5D6D4E" w14:textId="452B24E8" w:rsidR="005A515B" w:rsidRDefault="005A515B" w:rsidP="00BF59E4">
      <w:r>
        <w:t xml:space="preserve">Linder, I. (2023) </w:t>
      </w:r>
      <w:r>
        <w:rPr>
          <w:i/>
          <w:iCs/>
        </w:rPr>
        <w:t xml:space="preserve">Impact of Simulation Training-Comparison between Face-to-Face and Online Learning. </w:t>
      </w:r>
      <w:r>
        <w:t xml:space="preserve">Vol.20(4). Available at: </w:t>
      </w:r>
      <w:r w:rsidRPr="005A515B">
        <w:t>DOI: 10.9743/JEO.2023.20.4.14</w:t>
      </w:r>
    </w:p>
    <w:p w14:paraId="10399E65" w14:textId="0CBFF504" w:rsidR="001A710F" w:rsidRDefault="001A710F" w:rsidP="00BF59E4">
      <w:r>
        <w:t>Talbot, J. (201</w:t>
      </w:r>
      <w:r w:rsidR="00A3371F">
        <w:t>9</w:t>
      </w:r>
      <w:r>
        <w:t xml:space="preserve">) </w:t>
      </w:r>
      <w:r w:rsidR="00A3371F">
        <w:rPr>
          <w:i/>
          <w:iCs/>
        </w:rPr>
        <w:t xml:space="preserve">Global Perspectives on Work-Based Learning Initiatives. </w:t>
      </w:r>
      <w:r w:rsidR="00A3371F">
        <w:t>London: IGI Local</w:t>
      </w:r>
    </w:p>
    <w:p w14:paraId="4CD71786" w14:textId="28C37ABD" w:rsidR="009E0DC5" w:rsidRPr="009E0DC5" w:rsidRDefault="009E0DC5" w:rsidP="00BF59E4">
      <w:r>
        <w:t xml:space="preserve">Truong, H. (2016) </w:t>
      </w:r>
      <w:r>
        <w:rPr>
          <w:i/>
          <w:iCs/>
        </w:rPr>
        <w:t xml:space="preserve">Integrating Learning Styles and Adaptive E-Learning System: Current Developments, Problems and Opportunities. </w:t>
      </w:r>
      <w:r>
        <w:t xml:space="preserve">Vol.55. Available at: </w:t>
      </w:r>
      <w:r w:rsidRPr="009E0DC5">
        <w:t>DOI: 10.1016/j.chb.2015.02.014</w:t>
      </w:r>
    </w:p>
    <w:p w14:paraId="6DE78D74" w14:textId="77777777" w:rsidR="001A710F" w:rsidRDefault="001A710F" w:rsidP="001A710F">
      <w:pPr>
        <w:spacing w:before="240" w:after="240" w:line="256" w:lineRule="auto"/>
        <w:rPr>
          <w:rFonts w:eastAsia="Arial" w:cs="Arial"/>
          <w:color w:val="000000" w:themeColor="text1"/>
        </w:rPr>
      </w:pPr>
      <w:r w:rsidRPr="00DE2E65">
        <w:rPr>
          <w:rFonts w:eastAsia="Arial" w:cs="Arial"/>
          <w:color w:val="000000" w:themeColor="text1"/>
        </w:rPr>
        <w:t xml:space="preserve">Waite, K., Beevers, K., Small, N., Tomlinson, K. and Hussain, S. (2021) </w:t>
      </w:r>
      <w:r w:rsidRPr="00DE2E65">
        <w:rPr>
          <w:rFonts w:eastAsia="Arial" w:cs="Arial"/>
          <w:i/>
          <w:iCs/>
          <w:color w:val="000000" w:themeColor="text1"/>
        </w:rPr>
        <w:t>People Practice: A Complete Guide</w:t>
      </w:r>
      <w:r w:rsidRPr="00DE2E65">
        <w:rPr>
          <w:rFonts w:eastAsia="Arial" w:cs="Arial"/>
          <w:color w:val="000000" w:themeColor="text1"/>
        </w:rPr>
        <w:t>. London: CIPD Kogan Page</w:t>
      </w:r>
    </w:p>
    <w:p w14:paraId="1AC4F167" w14:textId="5F95B036" w:rsidR="00B718F4" w:rsidRPr="00B718F4" w:rsidRDefault="00B718F4" w:rsidP="001A710F">
      <w:pPr>
        <w:spacing w:before="240" w:after="240" w:line="256" w:lineRule="auto"/>
        <w:rPr>
          <w:rFonts w:eastAsia="Arial" w:cs="Arial"/>
          <w:color w:val="000000" w:themeColor="text1"/>
        </w:rPr>
      </w:pPr>
      <w:r>
        <w:rPr>
          <w:rFonts w:eastAsia="Arial" w:cs="Arial"/>
          <w:color w:val="000000" w:themeColor="text1"/>
        </w:rPr>
        <w:t xml:space="preserve">Walker-Fraser, A. (2011) </w:t>
      </w:r>
      <w:r>
        <w:rPr>
          <w:rFonts w:eastAsia="Arial" w:cs="Arial"/>
          <w:i/>
          <w:iCs/>
          <w:color w:val="000000" w:themeColor="text1"/>
        </w:rPr>
        <w:t xml:space="preserve">Coaching and the Link to Organisational Performance: An HR Perspective on how to Demonstrate Return on Investment. </w:t>
      </w:r>
      <w:r>
        <w:rPr>
          <w:rFonts w:eastAsia="Arial" w:cs="Arial"/>
          <w:color w:val="000000" w:themeColor="text1"/>
        </w:rPr>
        <w:t xml:space="preserve">Vol.25(4) Available at: </w:t>
      </w:r>
      <w:r w:rsidRPr="00B718F4">
        <w:rPr>
          <w:rFonts w:eastAsia="Arial" w:cs="Arial"/>
          <w:color w:val="000000" w:themeColor="text1"/>
        </w:rPr>
        <w:t>DOI: 10.1108/14777281111147035</w:t>
      </w:r>
    </w:p>
    <w:p w14:paraId="4B6AC4CA" w14:textId="2985F27D" w:rsidR="002C29A6" w:rsidRPr="00017ADC" w:rsidRDefault="002C29A6" w:rsidP="00BF59E4"/>
    <w:sectPr w:rsidR="002C29A6" w:rsidRPr="00017A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4B4AA1"/>
    <w:multiLevelType w:val="hybridMultilevel"/>
    <w:tmpl w:val="898A11EA"/>
    <w:lvl w:ilvl="0" w:tplc="03D6840E">
      <w:start w:val="1"/>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474605C"/>
    <w:multiLevelType w:val="hybridMultilevel"/>
    <w:tmpl w:val="7D28FD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BE4005"/>
    <w:multiLevelType w:val="hybridMultilevel"/>
    <w:tmpl w:val="2006F9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CD7799"/>
    <w:multiLevelType w:val="hybridMultilevel"/>
    <w:tmpl w:val="D8002C10"/>
    <w:lvl w:ilvl="0" w:tplc="AED826C6">
      <w:start w:val="1"/>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5DD2DD6"/>
    <w:multiLevelType w:val="hybridMultilevel"/>
    <w:tmpl w:val="349804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3E21D1"/>
    <w:multiLevelType w:val="multilevel"/>
    <w:tmpl w:val="FC3AD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7D743AD"/>
    <w:multiLevelType w:val="hybridMultilevel"/>
    <w:tmpl w:val="1A0699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0D41B1"/>
    <w:multiLevelType w:val="hybridMultilevel"/>
    <w:tmpl w:val="ED2C3A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493035"/>
    <w:multiLevelType w:val="hybridMultilevel"/>
    <w:tmpl w:val="8DAA4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6F52A71"/>
    <w:multiLevelType w:val="hybridMultilevel"/>
    <w:tmpl w:val="EC9232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2C5F0C"/>
    <w:multiLevelType w:val="hybridMultilevel"/>
    <w:tmpl w:val="9F1688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1BA6486"/>
    <w:multiLevelType w:val="hybridMultilevel"/>
    <w:tmpl w:val="F5D488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B33545D"/>
    <w:multiLevelType w:val="hybridMultilevel"/>
    <w:tmpl w:val="287ECD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FF72659"/>
    <w:multiLevelType w:val="hybridMultilevel"/>
    <w:tmpl w:val="E4DA1EF4"/>
    <w:lvl w:ilvl="0" w:tplc="84CE639C">
      <w:start w:val="1"/>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EDF0FF1"/>
    <w:multiLevelType w:val="hybridMultilevel"/>
    <w:tmpl w:val="0DA001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5945536">
    <w:abstractNumId w:val="7"/>
  </w:num>
  <w:num w:numId="2" w16cid:durableId="1220744184">
    <w:abstractNumId w:val="1"/>
  </w:num>
  <w:num w:numId="3" w16cid:durableId="2112317309">
    <w:abstractNumId w:val="5"/>
  </w:num>
  <w:num w:numId="4" w16cid:durableId="1072238302">
    <w:abstractNumId w:val="11"/>
  </w:num>
  <w:num w:numId="5" w16cid:durableId="1304576318">
    <w:abstractNumId w:val="4"/>
  </w:num>
  <w:num w:numId="6" w16cid:durableId="1742826393">
    <w:abstractNumId w:val="2"/>
  </w:num>
  <w:num w:numId="7" w16cid:durableId="1792019087">
    <w:abstractNumId w:val="13"/>
  </w:num>
  <w:num w:numId="8" w16cid:durableId="1344429395">
    <w:abstractNumId w:val="9"/>
  </w:num>
  <w:num w:numId="9" w16cid:durableId="1670061256">
    <w:abstractNumId w:val="3"/>
  </w:num>
  <w:num w:numId="10" w16cid:durableId="1617756700">
    <w:abstractNumId w:val="12"/>
  </w:num>
  <w:num w:numId="11" w16cid:durableId="1888838946">
    <w:abstractNumId w:val="14"/>
  </w:num>
  <w:num w:numId="12" w16cid:durableId="767458629">
    <w:abstractNumId w:val="6"/>
  </w:num>
  <w:num w:numId="13" w16cid:durableId="1800302288">
    <w:abstractNumId w:val="0"/>
  </w:num>
  <w:num w:numId="14" w16cid:durableId="1476989133">
    <w:abstractNumId w:val="8"/>
  </w:num>
  <w:num w:numId="15" w16cid:durableId="46859363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203"/>
    <w:rsid w:val="00017ADC"/>
    <w:rsid w:val="000F3B2F"/>
    <w:rsid w:val="00140A96"/>
    <w:rsid w:val="00153F10"/>
    <w:rsid w:val="0016029D"/>
    <w:rsid w:val="001A710F"/>
    <w:rsid w:val="00203925"/>
    <w:rsid w:val="002526C1"/>
    <w:rsid w:val="00282203"/>
    <w:rsid w:val="002853C1"/>
    <w:rsid w:val="00294491"/>
    <w:rsid w:val="002C29A6"/>
    <w:rsid w:val="00304476"/>
    <w:rsid w:val="003C564F"/>
    <w:rsid w:val="004E68C8"/>
    <w:rsid w:val="00585F81"/>
    <w:rsid w:val="00592676"/>
    <w:rsid w:val="005A515B"/>
    <w:rsid w:val="00673634"/>
    <w:rsid w:val="00683192"/>
    <w:rsid w:val="006F6D76"/>
    <w:rsid w:val="00716DC5"/>
    <w:rsid w:val="00811282"/>
    <w:rsid w:val="0087639A"/>
    <w:rsid w:val="008A3C33"/>
    <w:rsid w:val="00901091"/>
    <w:rsid w:val="0093544E"/>
    <w:rsid w:val="009E0DC5"/>
    <w:rsid w:val="00A06865"/>
    <w:rsid w:val="00A3371F"/>
    <w:rsid w:val="00A62AF8"/>
    <w:rsid w:val="00AA42D7"/>
    <w:rsid w:val="00B662AC"/>
    <w:rsid w:val="00B718F4"/>
    <w:rsid w:val="00BA19BE"/>
    <w:rsid w:val="00BE7C47"/>
    <w:rsid w:val="00BF59E4"/>
    <w:rsid w:val="00C81904"/>
    <w:rsid w:val="00CD71F7"/>
    <w:rsid w:val="00CE3EDB"/>
    <w:rsid w:val="00DE1C02"/>
    <w:rsid w:val="00E8772C"/>
    <w:rsid w:val="00F35549"/>
    <w:rsid w:val="00F435CE"/>
    <w:rsid w:val="00F47962"/>
    <w:rsid w:val="00FA6695"/>
    <w:rsid w:val="00FD409A"/>
    <w:rsid w:val="00FF0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7FE1D"/>
  <w15:chartTrackingRefBased/>
  <w15:docId w15:val="{1763FF82-3943-48ED-9934-A27A26E2B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22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22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22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22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22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22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22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22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22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2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22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22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22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22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22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22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22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2203"/>
    <w:rPr>
      <w:rFonts w:eastAsiaTheme="majorEastAsia" w:cstheme="majorBidi"/>
      <w:color w:val="272727" w:themeColor="text1" w:themeTint="D8"/>
    </w:rPr>
  </w:style>
  <w:style w:type="paragraph" w:styleId="Title">
    <w:name w:val="Title"/>
    <w:basedOn w:val="Normal"/>
    <w:next w:val="Normal"/>
    <w:link w:val="TitleChar"/>
    <w:uiPriority w:val="10"/>
    <w:qFormat/>
    <w:rsid w:val="002822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22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22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22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2203"/>
    <w:pPr>
      <w:spacing w:before="160"/>
      <w:jc w:val="center"/>
    </w:pPr>
    <w:rPr>
      <w:i/>
      <w:iCs/>
      <w:color w:val="404040" w:themeColor="text1" w:themeTint="BF"/>
    </w:rPr>
  </w:style>
  <w:style w:type="character" w:customStyle="1" w:styleId="QuoteChar">
    <w:name w:val="Quote Char"/>
    <w:basedOn w:val="DefaultParagraphFont"/>
    <w:link w:val="Quote"/>
    <w:uiPriority w:val="29"/>
    <w:rsid w:val="00282203"/>
    <w:rPr>
      <w:i/>
      <w:iCs/>
      <w:color w:val="404040" w:themeColor="text1" w:themeTint="BF"/>
    </w:rPr>
  </w:style>
  <w:style w:type="paragraph" w:styleId="ListParagraph">
    <w:name w:val="List Paragraph"/>
    <w:basedOn w:val="Normal"/>
    <w:uiPriority w:val="34"/>
    <w:qFormat/>
    <w:rsid w:val="00282203"/>
    <w:pPr>
      <w:ind w:left="720"/>
      <w:contextualSpacing/>
    </w:pPr>
  </w:style>
  <w:style w:type="character" w:styleId="IntenseEmphasis">
    <w:name w:val="Intense Emphasis"/>
    <w:basedOn w:val="DefaultParagraphFont"/>
    <w:uiPriority w:val="21"/>
    <w:qFormat/>
    <w:rsid w:val="00282203"/>
    <w:rPr>
      <w:i/>
      <w:iCs/>
      <w:color w:val="0F4761" w:themeColor="accent1" w:themeShade="BF"/>
    </w:rPr>
  </w:style>
  <w:style w:type="paragraph" w:styleId="IntenseQuote">
    <w:name w:val="Intense Quote"/>
    <w:basedOn w:val="Normal"/>
    <w:next w:val="Normal"/>
    <w:link w:val="IntenseQuoteChar"/>
    <w:uiPriority w:val="30"/>
    <w:qFormat/>
    <w:rsid w:val="002822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2203"/>
    <w:rPr>
      <w:i/>
      <w:iCs/>
      <w:color w:val="0F4761" w:themeColor="accent1" w:themeShade="BF"/>
    </w:rPr>
  </w:style>
  <w:style w:type="character" w:styleId="IntenseReference">
    <w:name w:val="Intense Reference"/>
    <w:basedOn w:val="DefaultParagraphFont"/>
    <w:uiPriority w:val="32"/>
    <w:qFormat/>
    <w:rsid w:val="00282203"/>
    <w:rPr>
      <w:b/>
      <w:bCs/>
      <w:smallCaps/>
      <w:color w:val="0F4761" w:themeColor="accent1" w:themeShade="BF"/>
      <w:spacing w:val="5"/>
    </w:rPr>
  </w:style>
  <w:style w:type="character" w:styleId="Hyperlink">
    <w:name w:val="Hyperlink"/>
    <w:basedOn w:val="DefaultParagraphFont"/>
    <w:uiPriority w:val="99"/>
    <w:unhideWhenUsed/>
    <w:rsid w:val="002853C1"/>
    <w:rPr>
      <w:color w:val="467886" w:themeColor="hyperlink"/>
      <w:u w:val="single"/>
    </w:rPr>
  </w:style>
  <w:style w:type="character" w:styleId="UnresolvedMention">
    <w:name w:val="Unresolved Mention"/>
    <w:basedOn w:val="DefaultParagraphFont"/>
    <w:uiPriority w:val="99"/>
    <w:semiHidden/>
    <w:unhideWhenUsed/>
    <w:rsid w:val="002853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85008796">
      <w:bodyDiv w:val="1"/>
      <w:marLeft w:val="0"/>
      <w:marRight w:val="0"/>
      <w:marTop w:val="0"/>
      <w:marBottom w:val="0"/>
      <w:divBdr>
        <w:top w:val="none" w:sz="0" w:space="0" w:color="auto"/>
        <w:left w:val="none" w:sz="0" w:space="0" w:color="auto"/>
        <w:bottom w:val="none" w:sz="0" w:space="0" w:color="auto"/>
        <w:right w:val="none" w:sz="0" w:space="0" w:color="auto"/>
      </w:divBdr>
      <w:divsChild>
        <w:div w:id="125202502">
          <w:marLeft w:val="0"/>
          <w:marRight w:val="0"/>
          <w:marTop w:val="0"/>
          <w:marBottom w:val="48"/>
          <w:divBdr>
            <w:top w:val="none" w:sz="0" w:space="0" w:color="auto"/>
            <w:left w:val="none" w:sz="0" w:space="0" w:color="auto"/>
            <w:bottom w:val="none" w:sz="0" w:space="0" w:color="auto"/>
            <w:right w:val="none" w:sz="0" w:space="0" w:color="auto"/>
          </w:divBdr>
          <w:divsChild>
            <w:div w:id="1617371345">
              <w:marLeft w:val="0"/>
              <w:marRight w:val="0"/>
              <w:marTop w:val="0"/>
              <w:marBottom w:val="0"/>
              <w:divBdr>
                <w:top w:val="none" w:sz="0" w:space="0" w:color="auto"/>
                <w:left w:val="none" w:sz="0" w:space="0" w:color="auto"/>
                <w:bottom w:val="none" w:sz="0" w:space="0" w:color="auto"/>
                <w:right w:val="none" w:sz="0" w:space="0" w:color="auto"/>
              </w:divBdr>
              <w:divsChild>
                <w:div w:id="1111319872">
                  <w:marLeft w:val="0"/>
                  <w:marRight w:val="0"/>
                  <w:marTop w:val="0"/>
                  <w:marBottom w:val="0"/>
                  <w:divBdr>
                    <w:top w:val="none" w:sz="0" w:space="0" w:color="auto"/>
                    <w:left w:val="none" w:sz="0" w:space="0" w:color="auto"/>
                    <w:bottom w:val="none" w:sz="0" w:space="0" w:color="auto"/>
                    <w:right w:val="none" w:sz="0" w:space="0" w:color="auto"/>
                  </w:divBdr>
                  <w:divsChild>
                    <w:div w:id="1523056802">
                      <w:marLeft w:val="0"/>
                      <w:marRight w:val="0"/>
                      <w:marTop w:val="0"/>
                      <w:marBottom w:val="0"/>
                      <w:divBdr>
                        <w:top w:val="none" w:sz="0" w:space="0" w:color="auto"/>
                        <w:left w:val="none" w:sz="0" w:space="0" w:color="auto"/>
                        <w:bottom w:val="none" w:sz="0" w:space="0" w:color="auto"/>
                        <w:right w:val="none" w:sz="0" w:space="0" w:color="auto"/>
                      </w:divBdr>
                      <w:divsChild>
                        <w:div w:id="142044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2565369">
      <w:bodyDiv w:val="1"/>
      <w:marLeft w:val="0"/>
      <w:marRight w:val="0"/>
      <w:marTop w:val="0"/>
      <w:marBottom w:val="0"/>
      <w:divBdr>
        <w:top w:val="none" w:sz="0" w:space="0" w:color="auto"/>
        <w:left w:val="none" w:sz="0" w:space="0" w:color="auto"/>
        <w:bottom w:val="none" w:sz="0" w:space="0" w:color="auto"/>
        <w:right w:val="none" w:sz="0" w:space="0" w:color="auto"/>
      </w:divBdr>
      <w:divsChild>
        <w:div w:id="2128234750">
          <w:marLeft w:val="0"/>
          <w:marRight w:val="0"/>
          <w:marTop w:val="0"/>
          <w:marBottom w:val="48"/>
          <w:divBdr>
            <w:top w:val="none" w:sz="0" w:space="0" w:color="auto"/>
            <w:left w:val="none" w:sz="0" w:space="0" w:color="auto"/>
            <w:bottom w:val="none" w:sz="0" w:space="0" w:color="auto"/>
            <w:right w:val="none" w:sz="0" w:space="0" w:color="auto"/>
          </w:divBdr>
          <w:divsChild>
            <w:div w:id="1021517072">
              <w:marLeft w:val="0"/>
              <w:marRight w:val="0"/>
              <w:marTop w:val="0"/>
              <w:marBottom w:val="0"/>
              <w:divBdr>
                <w:top w:val="none" w:sz="0" w:space="0" w:color="auto"/>
                <w:left w:val="none" w:sz="0" w:space="0" w:color="auto"/>
                <w:bottom w:val="none" w:sz="0" w:space="0" w:color="auto"/>
                <w:right w:val="none" w:sz="0" w:space="0" w:color="auto"/>
              </w:divBdr>
              <w:divsChild>
                <w:div w:id="1724595553">
                  <w:marLeft w:val="0"/>
                  <w:marRight w:val="0"/>
                  <w:marTop w:val="0"/>
                  <w:marBottom w:val="0"/>
                  <w:divBdr>
                    <w:top w:val="none" w:sz="0" w:space="0" w:color="auto"/>
                    <w:left w:val="none" w:sz="0" w:space="0" w:color="auto"/>
                    <w:bottom w:val="none" w:sz="0" w:space="0" w:color="auto"/>
                    <w:right w:val="none" w:sz="0" w:space="0" w:color="auto"/>
                  </w:divBdr>
                  <w:divsChild>
                    <w:div w:id="1096024133">
                      <w:marLeft w:val="0"/>
                      <w:marRight w:val="0"/>
                      <w:marTop w:val="0"/>
                      <w:marBottom w:val="0"/>
                      <w:divBdr>
                        <w:top w:val="none" w:sz="0" w:space="0" w:color="auto"/>
                        <w:left w:val="none" w:sz="0" w:space="0" w:color="auto"/>
                        <w:bottom w:val="none" w:sz="0" w:space="0" w:color="auto"/>
                        <w:right w:val="none" w:sz="0" w:space="0" w:color="auto"/>
                      </w:divBdr>
                      <w:divsChild>
                        <w:div w:id="978071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6492181">
      <w:bodyDiv w:val="1"/>
      <w:marLeft w:val="0"/>
      <w:marRight w:val="0"/>
      <w:marTop w:val="0"/>
      <w:marBottom w:val="0"/>
      <w:divBdr>
        <w:top w:val="none" w:sz="0" w:space="0" w:color="auto"/>
        <w:left w:val="none" w:sz="0" w:space="0" w:color="auto"/>
        <w:bottom w:val="none" w:sz="0" w:space="0" w:color="auto"/>
        <w:right w:val="none" w:sz="0" w:space="0" w:color="auto"/>
      </w:divBdr>
    </w:div>
    <w:div w:id="2105303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1599</Words>
  <Characters>9118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Kidd</dc:creator>
  <cp:keywords/>
  <dc:description/>
  <cp:lastModifiedBy>Rebecca Kidd</cp:lastModifiedBy>
  <cp:revision>2</cp:revision>
  <dcterms:created xsi:type="dcterms:W3CDTF">2024-08-02T18:07:00Z</dcterms:created>
  <dcterms:modified xsi:type="dcterms:W3CDTF">2024-08-02T18:07:00Z</dcterms:modified>
</cp:coreProperties>
</file>