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oter4.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word/header5.xml" ContentType="application/vnd.openxmlformats-officedocument.wordprocessingml.header+xml"/>
  <Override PartName="/word/settings.xml" ContentType="application/vnd.openxmlformats-officedocument.wordprocessingml.settings+xml"/>
  <Override PartName="/docProps/custom.xml" ContentType="application/vnd.openxmlformats-officedocument.custom-properties+xml"/>
  <Override PartName="/word/header2.xml" ContentType="application/vnd.openxmlformats-officedocument.wordprocessingml.header+xml"/>
  <Override PartName="/word/footer3.xml" ContentType="application/vnd.openxmlformats-officedocument.wordprocessingml.footer+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ackground w:color="ffffff"/>
  <w:body>
    <w:p>
      <w:pPr>
        <w:pStyle w:val="style1"/>
        <w:spacing w:after="240" w:lineRule="auto" w:line="360"/>
        <w:rPr>
          <w:rFonts w:eastAsia="Arial"/>
          <w:b w:val="false"/>
          <w:bCs/>
          <w:color w:val="222222"/>
          <w:highlight w:val="white"/>
        </w:rPr>
      </w:pPr>
      <w:bookmarkStart w:id="0" w:name="_heading=h.ciomxybi1p85" w:colFirst="0" w:colLast="0"/>
      <w:bookmarkEnd w:id="0"/>
    </w:p>
    <w:bookmarkStart w:id="1" w:name="_heading=h.pbpdp5ogy0o5" w:colFirst="0" w:colLast="0"/>
    <w:bookmarkEnd w:id="1"/>
    <w:p>
      <w:pPr>
        <w:pStyle w:val="style1"/>
        <w:spacing w:after="240" w:lineRule="auto" w:line="360"/>
        <w:rPr>
          <w:rFonts w:eastAsia="Arial"/>
          <w:b w:val="false"/>
          <w:bCs/>
          <w:color w:val="222222"/>
          <w:highlight w:val="white"/>
        </w:rPr>
      </w:pPr>
    </w:p>
    <w:bookmarkStart w:id="2" w:name="_heading=h.55d5vonodnp1" w:colFirst="0" w:colLast="0"/>
    <w:bookmarkEnd w:id="2"/>
    <w:p>
      <w:pPr>
        <w:pStyle w:val="style1"/>
        <w:spacing w:after="240" w:lineRule="auto" w:line="360"/>
        <w:rPr>
          <w:rFonts w:eastAsia="Arial"/>
          <w:b w:val="false"/>
          <w:bCs/>
          <w:color w:val="222222"/>
          <w:highlight w:val="white"/>
        </w:rPr>
      </w:pPr>
    </w:p>
    <w:bookmarkStart w:id="3" w:name="_heading=h.jpui3q654nzm" w:colFirst="0" w:colLast="0"/>
    <w:bookmarkEnd w:id="3"/>
    <w:p>
      <w:pPr>
        <w:pStyle w:val="style1"/>
        <w:spacing w:after="240" w:lineRule="auto" w:line="360"/>
        <w:rPr>
          <w:rFonts w:eastAsia="Arial"/>
          <w:b w:val="false"/>
          <w:bCs/>
          <w:color w:val="222222"/>
          <w:highlight w:val="white"/>
        </w:rPr>
      </w:pPr>
    </w:p>
    <w:bookmarkStart w:id="4" w:name="_heading=h.c1p0wjvmrp0w" w:colFirst="0" w:colLast="0"/>
    <w:bookmarkEnd w:id="4"/>
    <w:p>
      <w:pPr>
        <w:pStyle w:val="style1"/>
        <w:spacing w:after="240" w:lineRule="auto" w:line="360"/>
        <w:rPr>
          <w:rFonts w:eastAsia="Arial"/>
          <w:b w:val="false"/>
          <w:bCs/>
          <w:color w:val="222222"/>
          <w:highlight w:val="white"/>
        </w:rPr>
      </w:pPr>
    </w:p>
    <w:p>
      <w:pPr>
        <w:pStyle w:val="style0"/>
        <w:spacing w:after="240" w:lineRule="auto" w:line="360"/>
        <w:ind w:left="1440"/>
        <w:jc w:val="center"/>
        <w:rPr>
          <w:rFonts w:ascii="Times New Roman" w:cs="Times New Roman" w:eastAsia="Times New Roman" w:hAnsi="Times New Roman"/>
          <w:b/>
          <w:sz w:val="36"/>
          <w:szCs w:val="36"/>
        </w:rPr>
      </w:pPr>
    </w:p>
    <w:p>
      <w:pPr>
        <w:pStyle w:val="style0"/>
        <w:spacing w:after="240" w:lineRule="auto" w:line="360"/>
        <w:ind w:left="1440"/>
        <w:jc w:val="center"/>
        <w:rPr>
          <w:rFonts w:ascii="Times New Roman" w:cs="Times New Roman" w:eastAsia="Times New Roman" w:hAnsi="Times New Roman"/>
          <w:b/>
          <w:sz w:val="36"/>
          <w:szCs w:val="36"/>
        </w:rPr>
      </w:pPr>
    </w:p>
    <w:p>
      <w:pPr>
        <w:pStyle w:val="style0"/>
        <w:spacing w:after="240" w:lineRule="auto" w:line="360"/>
        <w:ind w:left="1440"/>
        <w:jc w:val="center"/>
        <w:rPr>
          <w:rFonts w:ascii="Times New Roman" w:cs="Times New Roman" w:eastAsia="Times New Roman" w:hAnsi="Times New Roman"/>
          <w:b/>
          <w:sz w:val="36"/>
          <w:szCs w:val="36"/>
        </w:rPr>
      </w:pPr>
      <w:r>
        <w:rPr>
          <w:rFonts w:ascii="Times New Roman" w:cs="Times New Roman" w:eastAsia="Times New Roman" w:hAnsi="Times New Roman"/>
          <w:b/>
          <w:sz w:val="36"/>
          <w:szCs w:val="36"/>
          <w:lang w:val="en-US"/>
        </w:rPr>
        <w:t xml:space="preserve">Reflection of presentation </w:t>
      </w: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hAnsi="Times New Roman"/>
          <w:bCs/>
          <w:sz w:val="24"/>
          <w:szCs w:val="24"/>
        </w:rPr>
        <w:br w:type="page"/>
      </w:r>
    </w:p>
    <w:p>
      <w:pPr>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Portrayal</w:t>
      </w: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Inside the Commerce endeavor module, my gather and I worked together to set up a company concept and provide a nitty abrasive exchange organize (Wagner, et al., 2021). We were able to sharpen our ask approximately, composing, entrepreneurial, communication, presentation, time organization, and conflict organization capacities through this approach. We did a portion of examine to form past any question our company concept was reasonable, and we at that point collaborated to come up with a strong commerce orchestrate that would draw in monetary masters. We picked up vital aptitudes in time organization and communication all through this handle, as well as how to honestly express our contemplations to others. We were as well able to hone talk about assurance and make closer bonds with our gather people, all of which can verifiably be pleasing in our future livelihoods. All things considered; the Commerce undertaking module publicized a great chance to secure a grouping of capacities that are critical for triumph inside the commerce world.</w:t>
      </w: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Sentiments</w:t>
      </w: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I was eager to encourage started on the Undertaking module since it would permit me the chance to collaborate with others to build a company concept and a exhaustive commerce strategy. Be that because it may, since I had as of now had challenges in past bunch wanders, I was as well concerned around the potential for contrasts among my gather people.</w:t>
      </w: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We were able to mold a unprecedented agreeable vitality by esteeming each other’s distinctive points of view and capacities, which illustrated to be significant in moving our amplify ahead. The collaborative association fortified my cherish for commerce in extension to making a distinction me make strides by and by. I directly have a more grounded understanding of the regard of interest and flexibility in coming to common goals much obliged to this association.</w:t>
      </w:r>
    </w:p>
    <w:p>
      <w:pPr>
        <w:pStyle w:val="style0"/>
        <w:spacing w:after="240" w:lineRule="auto" w:line="360"/>
        <w:jc w:val="both"/>
        <w:rPr>
          <w:rFonts w:ascii="Times New Roman" w:cs="Times New Roman" w:eastAsia="Times New Roman" w:hAnsi="Times New Roman"/>
          <w:bCs/>
          <w:sz w:val="24"/>
          <w:szCs w:val="24"/>
        </w:rPr>
      </w:pP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Assessment</w:t>
      </w: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I can directly see that the Endeavor module given a unimaginable chance for me to memorize and put into sharpen a combination of capacities that are basic for triumph inside the exchange world.</w:t>
      </w: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We were able to invigorate our ask approximately, composing, and appearing capacities by working as a bunch to come up with a company concept and compose a exchange orchestrate. To form past any question that our company concept was commonsense, we had to do a portion of explore, which we at that point turned into a well-written, in-depth commerce orchestrate (Nguyen, Pham, and TU, 2021). Additionally, we had to arrange and appear to our peers and instructors, which made a distinction us hone our presentation and open talking capacities.</w:t>
      </w: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We have the chance to sharpen fragile aptitudes like time organization and wrangle about assurance in extension to these specialized ones. In organize to meet amplify due dates and wrap up commitments on time, we had to capably direct our time. Inside the corporate section, where get together due dates is regularly noteworthy to triumph, this capacity is imperative.</w:t>
      </w: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Moreover, we arranged in battle organization, a critical capacity in any working environment. Wewere able to collaborate more effectively and fabricate prevalent bonds with our gather people as a result of learning how to handle contrasts well. Working in a gather may be a noteworthy parcel of various commerce errands, in this way having this capacity will be basic in our future callings. In common, the Trade endeavor module gave us a cautious teacher experience that enabled us to secure and put into hone a collection of capacities that are essential for triumph inside the commerce world (RASIAH, SOMASUNDRAM, and TEE, 2019). We were able to make our specialized capacities in explore, composing, and introduction as well as our sensitive capacities in time organization and talk about assurance by working in conjunction with our gather people. I have no address that the capacities I secured in this module will be obliging to me in my future capable desires.</w:t>
      </w: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Investigation</w:t>
      </w: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As I think back on my participation experiences, I’ve realized that it can be both troublesome and satisfying. Working close to others may offer help us learn from one another and build capacities that we may not something else have, without a doubt within the occasion that there may be wrangle about or clashes that come up all through the strategy. Working together enables us to bring a grouping of viewpoints and districts of experience to the table, which may result in more creative and reasonable courses of action (Mora, et al., 2020). Together, we may develop on one other’s blessings and insufficiencies and give back to one another when fundamental. It’s imperative to urge it that talk about and clashes may happen in the midst of the strategy. Here, having effective battle organization techniques is essential. Prepared to keep up charming and useful gather chemistry and make past any question that everyone’s conclusions are tuned in by understanding how to handle inconsistencies viably. I’ve learned to respect participation and conflict assurance strategies as a result of my experiences working in groups.</w:t>
      </w: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Conclusion</w:t>
      </w: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By and large, the Trade endeavor module publicized a exceptional chance to make aptitudes and collaborate with others. I acknowledge I directly have removed better;a much better;a higher;a stronger;an improved”&gt;a far off superior get a handle on of the entrepreneurial plan and have obtained important association that I may utilize in my another tries. As these capacities are significant for triumph in any corporate setting, I got to keep advancing my communication, presentation, and strife organization capacities going ahead.</w:t>
      </w: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Activity arrange</w:t>
      </w:r>
    </w:p>
    <w:p>
      <w:pPr>
        <w:pStyle w:val="style0"/>
        <w:spacing w:after="240" w:lineRule="auto" w:line="360"/>
        <w:jc w:val="both"/>
        <w:rPr>
          <w:rFonts w:ascii="Times New Roman" w:cs="Times New Roman" w:eastAsia="Times New Roman" w:hAnsi="Times New Roman"/>
          <w:bCs/>
          <w:sz w:val="24"/>
          <w:szCs w:val="24"/>
        </w:rPr>
      </w:pPr>
      <w:r>
        <w:rPr>
          <w:rFonts w:ascii="Times New Roman" w:cs="Times New Roman" w:eastAsia="Times New Roman" w:hAnsi="Times New Roman" w:hint="default"/>
          <w:b/>
          <w:bCs/>
          <w:i w:val="false"/>
          <w:iCs w:val="false"/>
          <w:color w:val="auto"/>
          <w:sz w:val="28"/>
          <w:szCs w:val="28"/>
          <w:highlight w:val="none"/>
          <w:vertAlign w:val="baseline"/>
          <w:em w:val="none"/>
          <w:lang w:val="en-GB" w:eastAsia="en-GB"/>
        </w:rPr>
        <w:t>I ought to continue attempting to discover chances to sharpen open talking and showing capacities. In extension, I ought to consider more around battle assurance, sharpen energetic tuning in, and have sympathy for people when I bargain with them. At final, I’ll keep looking for out for chances to collaborate with others since I think collaboration is imperative for making uncommon achievements.</w:t>
      </w:r>
    </w:p>
    <w:p>
      <w:pPr>
        <w:pStyle w:val="style0"/>
        <w:spacing w:after="240" w:lineRule="auto" w:line="360"/>
        <w:jc w:val="center"/>
        <w:rPr>
          <w:rFonts w:ascii="Times New Roman" w:cs="Times New Roman" w:eastAsia="Times New Roman" w:hAnsi="Times New Roman"/>
          <w:bCs/>
          <w:sz w:val="24"/>
          <w:szCs w:val="24"/>
        </w:rPr>
      </w:pPr>
    </w:p>
    <w:bookmarkStart w:id="5" w:name="_heading=h.1fob9te" w:colFirst="0" w:colLast="0"/>
    <w:bookmarkEnd w:id="5"/>
    <w:p>
      <w:pPr>
        <w:pStyle w:val="style0"/>
        <w:spacing w:after="240" w:lineRule="auto" w:line="360"/>
        <w:jc w:val="both"/>
        <w:rPr>
          <w:rFonts w:ascii="Times New Roman" w:cs="Times New Roman" w:eastAsia="Times New Roman" w:hAnsi="Times New Roman"/>
          <w:bCs/>
          <w:sz w:val="24"/>
          <w:szCs w:val="24"/>
        </w:rPr>
      </w:pPr>
    </w:p>
    <w:bookmarkStart w:id="6" w:name="_heading=h.4d34og8" w:colFirst="0" w:colLast="0"/>
    <w:bookmarkEnd w:id="6"/>
    <w:p>
      <w:pPr>
        <w:pStyle w:val="style1"/>
        <w:spacing w:after="240" w:lineRule="auto" w:line="360"/>
        <w:rPr>
          <w:sz w:val="28"/>
          <w:szCs w:val="28"/>
        </w:rPr>
      </w:pPr>
      <w:r>
        <w:rPr>
          <w:sz w:val="28"/>
          <w:szCs w:val="28"/>
        </w:rPr>
        <w:t xml:space="preserve">References </w:t>
      </w:r>
    </w:p>
    <w:p>
      <w:pPr>
        <w:pStyle w:val="style0"/>
        <w:spacing w:after="240" w:lineRule="auto" w:line="360"/>
        <w:jc w:val="both"/>
        <w:rPr>
          <w:rFonts w:ascii="Times New Roman" w:cs="Times New Roman" w:eastAsia="Times New Roman" w:hAnsi="Times New Roman"/>
          <w:bCs/>
          <w:color w:val="222222"/>
          <w:sz w:val="24"/>
          <w:szCs w:val="24"/>
          <w:highlight w:val="white"/>
        </w:rPr>
      </w:pPr>
      <w:r>
        <w:rPr>
          <w:rFonts w:ascii="Times New Roman" w:cs="Times New Roman" w:eastAsia="Times New Roman" w:hAnsi="Times New Roman"/>
          <w:bCs/>
          <w:color w:val="222222"/>
          <w:sz w:val="24"/>
          <w:szCs w:val="24"/>
          <w:highlight w:val="white"/>
        </w:rPr>
        <w:t xml:space="preserve">Di Gregorio, A., </w:t>
      </w:r>
      <w:r>
        <w:rPr>
          <w:rFonts w:ascii="Times New Roman" w:cs="Times New Roman" w:eastAsia="Times New Roman" w:hAnsi="Times New Roman"/>
          <w:bCs/>
          <w:color w:val="222222"/>
          <w:sz w:val="24"/>
          <w:szCs w:val="24"/>
          <w:highlight w:val="white"/>
        </w:rPr>
        <w:t>Maggioni</w:t>
      </w:r>
      <w:r>
        <w:rPr>
          <w:rFonts w:ascii="Times New Roman" w:cs="Times New Roman" w:eastAsia="Times New Roman" w:hAnsi="Times New Roman"/>
          <w:bCs/>
          <w:color w:val="222222"/>
          <w:sz w:val="24"/>
          <w:szCs w:val="24"/>
          <w:highlight w:val="white"/>
        </w:rPr>
        <w:t xml:space="preserve">, I., Mauri, C. and </w:t>
      </w:r>
      <w:r>
        <w:rPr>
          <w:rFonts w:ascii="Times New Roman" w:cs="Times New Roman" w:eastAsia="Times New Roman" w:hAnsi="Times New Roman"/>
          <w:bCs/>
          <w:color w:val="222222"/>
          <w:sz w:val="24"/>
          <w:szCs w:val="24"/>
          <w:highlight w:val="white"/>
        </w:rPr>
        <w:t>Mazzucchelli</w:t>
      </w:r>
      <w:r>
        <w:rPr>
          <w:rFonts w:ascii="Times New Roman" w:cs="Times New Roman" w:eastAsia="Times New Roman" w:hAnsi="Times New Roman"/>
          <w:bCs/>
          <w:color w:val="222222"/>
          <w:sz w:val="24"/>
          <w:szCs w:val="24"/>
          <w:highlight w:val="white"/>
        </w:rPr>
        <w:t xml:space="preserve">, A., 2019. Employability skills for future marketing professionals. </w:t>
      </w:r>
      <w:r>
        <w:rPr>
          <w:rFonts w:ascii="Times New Roman" w:cs="Times New Roman" w:eastAsia="Times New Roman" w:hAnsi="Times New Roman"/>
          <w:bCs/>
          <w:i/>
          <w:color w:val="222222"/>
          <w:sz w:val="24"/>
          <w:szCs w:val="24"/>
          <w:highlight w:val="white"/>
        </w:rPr>
        <w:t>Europe</w:t>
      </w:r>
      <w:r>
        <w:rPr>
          <w:rFonts w:ascii="Times New Roman" w:cs="Times New Roman" w:eastAsia="Times New Roman" w:hAnsi="Times New Roman"/>
          <w:bCs/>
          <w:i/>
          <w:color w:val="222222"/>
          <w:sz w:val="24"/>
          <w:szCs w:val="24"/>
          <w:highlight w:val="white"/>
        </w:rPr>
        <w:t>an management journal</w:t>
      </w:r>
      <w:r>
        <w:rPr>
          <w:rFonts w:ascii="Times New Roman" w:cs="Times New Roman" w:eastAsia="Times New Roman" w:hAnsi="Times New Roman"/>
          <w:bCs/>
          <w:color w:val="222222"/>
          <w:sz w:val="24"/>
          <w:szCs w:val="24"/>
          <w:highlight w:val="white"/>
        </w:rPr>
        <w:t xml:space="preserve">, </w:t>
      </w:r>
      <w:r>
        <w:rPr>
          <w:rFonts w:ascii="Times New Roman" w:cs="Times New Roman" w:eastAsia="Times New Roman" w:hAnsi="Times New Roman"/>
          <w:bCs/>
          <w:i/>
          <w:color w:val="222222"/>
          <w:sz w:val="24"/>
          <w:szCs w:val="24"/>
          <w:highlight w:val="white"/>
        </w:rPr>
        <w:t>37</w:t>
      </w:r>
      <w:r>
        <w:rPr>
          <w:rFonts w:ascii="Times New Roman" w:cs="Times New Roman" w:eastAsia="Times New Roman" w:hAnsi="Times New Roman"/>
          <w:bCs/>
          <w:color w:val="222222"/>
          <w:sz w:val="24"/>
          <w:szCs w:val="24"/>
          <w:highlight w:val="white"/>
        </w:rPr>
        <w:t>(3), pp.251-258.</w:t>
      </w:r>
    </w:p>
    <w:p>
      <w:pPr>
        <w:pStyle w:val="style0"/>
        <w:spacing w:after="240" w:lineRule="auto" w:line="360"/>
        <w:jc w:val="both"/>
        <w:rPr>
          <w:rFonts w:ascii="Times New Roman" w:cs="Times New Roman" w:eastAsia="Times New Roman" w:hAnsi="Times New Roman"/>
          <w:bCs/>
          <w:color w:val="222222"/>
          <w:sz w:val="24"/>
          <w:szCs w:val="24"/>
          <w:highlight w:val="white"/>
        </w:rPr>
      </w:pPr>
      <w:r>
        <w:rPr>
          <w:rFonts w:ascii="Times New Roman" w:cs="Times New Roman" w:eastAsia="Times New Roman" w:hAnsi="Times New Roman"/>
          <w:bCs/>
          <w:color w:val="222222"/>
          <w:sz w:val="24"/>
          <w:szCs w:val="24"/>
          <w:highlight w:val="white"/>
        </w:rPr>
        <w:t xml:space="preserve">Mora, H., </w:t>
      </w:r>
      <w:r>
        <w:rPr>
          <w:rFonts w:ascii="Times New Roman" w:cs="Times New Roman" w:eastAsia="Times New Roman" w:hAnsi="Times New Roman"/>
          <w:bCs/>
          <w:color w:val="222222"/>
          <w:sz w:val="24"/>
          <w:szCs w:val="24"/>
          <w:highlight w:val="white"/>
        </w:rPr>
        <w:t>Signes</w:t>
      </w:r>
      <w:r>
        <w:rPr>
          <w:rFonts w:ascii="Times New Roman" w:cs="Times New Roman" w:eastAsia="Times New Roman" w:hAnsi="Times New Roman"/>
          <w:bCs/>
          <w:color w:val="222222"/>
          <w:sz w:val="24"/>
          <w:szCs w:val="24"/>
          <w:highlight w:val="white"/>
        </w:rPr>
        <w:t xml:space="preserve">-Pont, M.T., </w:t>
      </w:r>
      <w:r>
        <w:rPr>
          <w:rFonts w:ascii="Times New Roman" w:cs="Times New Roman" w:eastAsia="Times New Roman" w:hAnsi="Times New Roman"/>
          <w:bCs/>
          <w:color w:val="222222"/>
          <w:sz w:val="24"/>
          <w:szCs w:val="24"/>
          <w:highlight w:val="white"/>
        </w:rPr>
        <w:t>Fuster-Guilló</w:t>
      </w:r>
      <w:r>
        <w:rPr>
          <w:rFonts w:ascii="Times New Roman" w:cs="Times New Roman" w:eastAsia="Times New Roman" w:hAnsi="Times New Roman"/>
          <w:bCs/>
          <w:color w:val="222222"/>
          <w:sz w:val="24"/>
          <w:szCs w:val="24"/>
          <w:highlight w:val="white"/>
        </w:rPr>
        <w:t xml:space="preserve">, A. and </w:t>
      </w:r>
      <w:r>
        <w:rPr>
          <w:rFonts w:ascii="Times New Roman" w:cs="Times New Roman" w:eastAsia="Times New Roman" w:hAnsi="Times New Roman"/>
          <w:bCs/>
          <w:color w:val="222222"/>
          <w:sz w:val="24"/>
          <w:szCs w:val="24"/>
          <w:highlight w:val="white"/>
        </w:rPr>
        <w:t>Pertegal-Felices</w:t>
      </w:r>
      <w:r>
        <w:rPr>
          <w:rFonts w:ascii="Times New Roman" w:cs="Times New Roman" w:eastAsia="Times New Roman" w:hAnsi="Times New Roman"/>
          <w:bCs/>
          <w:color w:val="222222"/>
          <w:sz w:val="24"/>
          <w:szCs w:val="24"/>
          <w:highlight w:val="white"/>
        </w:rPr>
        <w:t xml:space="preserve">, M.L., 2020. A collaborative working model for enhancing the learning process of science &amp; engineering students. </w:t>
      </w:r>
      <w:r>
        <w:rPr>
          <w:rFonts w:ascii="Times New Roman" w:cs="Times New Roman" w:eastAsia="Times New Roman" w:hAnsi="Times New Roman"/>
          <w:bCs/>
          <w:i/>
          <w:color w:val="222222"/>
          <w:sz w:val="24"/>
          <w:szCs w:val="24"/>
          <w:highlight w:val="white"/>
        </w:rPr>
        <w:t xml:space="preserve">Computers in Human </w:t>
      </w:r>
      <w:r>
        <w:rPr>
          <w:rFonts w:ascii="Times New Roman" w:cs="Times New Roman" w:eastAsia="Times New Roman" w:hAnsi="Times New Roman"/>
          <w:bCs/>
          <w:i/>
          <w:color w:val="222222"/>
          <w:sz w:val="24"/>
          <w:szCs w:val="24"/>
          <w:highlight w:val="white"/>
        </w:rPr>
        <w:t>Behavior</w:t>
      </w:r>
      <w:r>
        <w:rPr>
          <w:rFonts w:ascii="Times New Roman" w:cs="Times New Roman" w:eastAsia="Times New Roman" w:hAnsi="Times New Roman"/>
          <w:bCs/>
          <w:color w:val="222222"/>
          <w:sz w:val="24"/>
          <w:szCs w:val="24"/>
          <w:highlight w:val="white"/>
        </w:rPr>
        <w:t xml:space="preserve">, </w:t>
      </w:r>
      <w:r>
        <w:rPr>
          <w:rFonts w:ascii="Times New Roman" w:cs="Times New Roman" w:eastAsia="Times New Roman" w:hAnsi="Times New Roman"/>
          <w:bCs/>
          <w:i/>
          <w:color w:val="222222"/>
          <w:sz w:val="24"/>
          <w:szCs w:val="24"/>
          <w:highlight w:val="white"/>
        </w:rPr>
        <w:t>103</w:t>
      </w:r>
      <w:r>
        <w:rPr>
          <w:rFonts w:ascii="Times New Roman" w:cs="Times New Roman" w:eastAsia="Times New Roman" w:hAnsi="Times New Roman"/>
          <w:bCs/>
          <w:color w:val="222222"/>
          <w:sz w:val="24"/>
          <w:szCs w:val="24"/>
          <w:highlight w:val="white"/>
        </w:rPr>
        <w:t>,</w:t>
      </w:r>
      <w:r>
        <w:rPr>
          <w:rFonts w:ascii="Times New Roman" w:cs="Times New Roman" w:eastAsia="Times New Roman" w:hAnsi="Times New Roman"/>
          <w:bCs/>
          <w:color w:val="222222"/>
          <w:sz w:val="24"/>
          <w:szCs w:val="24"/>
          <w:highlight w:val="white"/>
        </w:rPr>
        <w:t xml:space="preserve"> pp.140-150.</w:t>
      </w:r>
    </w:p>
    <w:p>
      <w:pPr>
        <w:pStyle w:val="style0"/>
        <w:spacing w:after="240" w:lineRule="auto" w:line="360"/>
        <w:jc w:val="both"/>
        <w:rPr>
          <w:rFonts w:ascii="Times New Roman" w:cs="Times New Roman" w:eastAsia="Times New Roman" w:hAnsi="Times New Roman"/>
          <w:bCs/>
          <w:color w:val="222222"/>
          <w:sz w:val="24"/>
          <w:szCs w:val="24"/>
          <w:highlight w:val="white"/>
        </w:rPr>
      </w:pPr>
      <w:r>
        <w:rPr>
          <w:rFonts w:ascii="Times New Roman" w:cs="Times New Roman" w:eastAsia="Times New Roman" w:hAnsi="Times New Roman"/>
          <w:bCs/>
          <w:color w:val="222222"/>
          <w:sz w:val="24"/>
          <w:szCs w:val="24"/>
          <w:highlight w:val="white"/>
        </w:rPr>
        <w:t xml:space="preserve">Nguyen, T.H., Pham, X.L. and TU, N.T.T., 2021. The Impact of Design Thinking on Problem Solving and Teamwork Mindset in A Flipped Classroom. </w:t>
      </w:r>
      <w:r>
        <w:rPr>
          <w:rFonts w:ascii="Times New Roman" w:cs="Times New Roman" w:eastAsia="Times New Roman" w:hAnsi="Times New Roman"/>
          <w:bCs/>
          <w:i/>
          <w:color w:val="222222"/>
          <w:sz w:val="24"/>
          <w:szCs w:val="24"/>
          <w:highlight w:val="white"/>
        </w:rPr>
        <w:t>Eurasian Journal of Educational Research</w:t>
      </w:r>
      <w:r>
        <w:rPr>
          <w:rFonts w:ascii="Times New Roman" w:cs="Times New Roman" w:eastAsia="Times New Roman" w:hAnsi="Times New Roman"/>
          <w:bCs/>
          <w:color w:val="222222"/>
          <w:sz w:val="24"/>
          <w:szCs w:val="24"/>
          <w:highlight w:val="white"/>
        </w:rPr>
        <w:t xml:space="preserve">, </w:t>
      </w:r>
      <w:r>
        <w:rPr>
          <w:rFonts w:ascii="Times New Roman" w:cs="Times New Roman" w:eastAsia="Times New Roman" w:hAnsi="Times New Roman"/>
          <w:bCs/>
          <w:i/>
          <w:color w:val="222222"/>
          <w:sz w:val="24"/>
          <w:szCs w:val="24"/>
          <w:highlight w:val="white"/>
        </w:rPr>
        <w:t>96</w:t>
      </w:r>
      <w:r>
        <w:rPr>
          <w:rFonts w:ascii="Times New Roman" w:cs="Times New Roman" w:eastAsia="Times New Roman" w:hAnsi="Times New Roman"/>
          <w:bCs/>
          <w:color w:val="222222"/>
          <w:sz w:val="24"/>
          <w:szCs w:val="24"/>
          <w:highlight w:val="white"/>
        </w:rPr>
        <w:t>(96), pp.30-50.</w:t>
      </w:r>
    </w:p>
    <w:p>
      <w:pPr>
        <w:pStyle w:val="style0"/>
        <w:spacing w:after="240" w:lineRule="auto" w:line="360"/>
        <w:jc w:val="both"/>
        <w:rPr>
          <w:rFonts w:ascii="Times New Roman" w:cs="Times New Roman" w:eastAsia="Times New Roman" w:hAnsi="Times New Roman"/>
          <w:bCs/>
          <w:color w:val="222222"/>
          <w:sz w:val="24"/>
          <w:szCs w:val="24"/>
          <w:highlight w:val="white"/>
        </w:rPr>
      </w:pPr>
      <w:r>
        <w:rPr>
          <w:rFonts w:ascii="Times New Roman" w:cs="Times New Roman" w:eastAsia="Times New Roman" w:hAnsi="Times New Roman"/>
          <w:bCs/>
          <w:color w:val="222222"/>
          <w:sz w:val="24"/>
          <w:szCs w:val="24"/>
          <w:highlight w:val="white"/>
        </w:rPr>
        <w:t>RASIAH, R., SOMASUNDRAM, S. and TEE, K.P.,</w:t>
      </w:r>
      <w:r>
        <w:rPr>
          <w:rFonts w:ascii="Times New Roman" w:cs="Times New Roman" w:eastAsia="Times New Roman" w:hAnsi="Times New Roman"/>
          <w:bCs/>
          <w:color w:val="222222"/>
          <w:sz w:val="24"/>
          <w:szCs w:val="24"/>
          <w:highlight w:val="white"/>
        </w:rPr>
        <w:t xml:space="preserve"> 2019. Entrepreneurship in education: Innovations in higher education to promote experiential learning and develop future ready entrepreneurial graduates. </w:t>
      </w:r>
      <w:r>
        <w:rPr>
          <w:rFonts w:ascii="Times New Roman" w:cs="Times New Roman" w:eastAsia="Times New Roman" w:hAnsi="Times New Roman"/>
          <w:bCs/>
          <w:i/>
          <w:color w:val="222222"/>
          <w:sz w:val="24"/>
          <w:szCs w:val="24"/>
          <w:highlight w:val="white"/>
        </w:rPr>
        <w:t>development</w:t>
      </w:r>
      <w:r>
        <w:rPr>
          <w:rFonts w:ascii="Times New Roman" w:cs="Times New Roman" w:eastAsia="Times New Roman" w:hAnsi="Times New Roman"/>
          <w:bCs/>
          <w:color w:val="222222"/>
          <w:sz w:val="24"/>
          <w:szCs w:val="24"/>
          <w:highlight w:val="white"/>
        </w:rPr>
        <w:t xml:space="preserve">, </w:t>
      </w:r>
      <w:r>
        <w:rPr>
          <w:rFonts w:ascii="Times New Roman" w:cs="Times New Roman" w:eastAsia="Times New Roman" w:hAnsi="Times New Roman"/>
          <w:bCs/>
          <w:i/>
          <w:color w:val="222222"/>
          <w:sz w:val="24"/>
          <w:szCs w:val="24"/>
          <w:highlight w:val="white"/>
        </w:rPr>
        <w:t>6</w:t>
      </w:r>
      <w:r>
        <w:rPr>
          <w:rFonts w:ascii="Times New Roman" w:cs="Times New Roman" w:eastAsia="Times New Roman" w:hAnsi="Times New Roman"/>
          <w:bCs/>
          <w:color w:val="222222"/>
          <w:sz w:val="24"/>
          <w:szCs w:val="24"/>
          <w:highlight w:val="white"/>
        </w:rPr>
        <w:t>, p.7.</w:t>
      </w:r>
    </w:p>
    <w:p>
      <w:pPr>
        <w:pStyle w:val="style0"/>
        <w:spacing w:after="240" w:lineRule="auto" w:line="360"/>
        <w:jc w:val="both"/>
        <w:rPr>
          <w:rFonts w:ascii="Times New Roman" w:cs="Times New Roman" w:eastAsia="Times New Roman" w:hAnsi="Times New Roman"/>
          <w:bCs/>
          <w:color w:val="222222"/>
          <w:sz w:val="24"/>
          <w:szCs w:val="24"/>
          <w:highlight w:val="white"/>
        </w:rPr>
      </w:pPr>
    </w:p>
    <w:p>
      <w:pPr>
        <w:pStyle w:val="style0"/>
        <w:spacing w:after="240" w:lineRule="auto" w:line="360"/>
        <w:jc w:val="both"/>
        <w:rPr>
          <w:rFonts w:ascii="Times New Roman" w:cs="Times New Roman" w:hAnsi="Times New Roman"/>
          <w:bCs/>
          <w:sz w:val="24"/>
          <w:szCs w:val="24"/>
        </w:rPr>
      </w:pPr>
    </w:p>
    <w:sectPr>
      <w:headerReference w:type="even" r:id="rId2"/>
      <w:headerReference w:type="default" r:id="rId3"/>
      <w:footerReference w:type="even" r:id="rId4"/>
      <w:footerReference w:type="default" r:id="rId5"/>
      <w:headerReference w:type="first" r:id="rId6"/>
      <w:pgSz w:w="12240" w:h="15840" w:orient="portrait"/>
      <w:pgMar w:top="1440" w:right="1080" w:bottom="1440" w:left="1080" w:header="720" w:footer="720" w:gutter="0"/>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0020204"/>
    <w:charset w:val="00"/>
    <w:family w:val="swiss"/>
    <w:pitch w:val="variable"/>
    <w:sig w:usb0="E0002EFF" w:usb1="C0007843" w:usb2="00000009" w:usb3="00000000" w:csb0="000001FF" w:csb1="00000000"/>
  </w:font>
  <w:font w:name="Times New Roman">
    <w:altName w:val="Times New Roman"/>
    <w:panose1 w:val="02020603050000020304"/>
    <w:charset w:val="00"/>
    <w:family w:val="roman"/>
    <w:pitch w:val="variable"/>
    <w:sig w:usb0="E0002EFF" w:usb1="C000785B" w:usb2="00000009" w:usb3="00000000" w:csb0="000001FF" w:csb1="00000000"/>
  </w:font>
  <w:font w:name="Calibri">
    <w:altName w:val="Calibri"/>
    <w:panose1 w:val="020f0502020000030204"/>
    <w:charset w:val="00"/>
    <w:family w:val="swiss"/>
    <w:pitch w:val="variable"/>
    <w:sig w:usb0="E00002FF" w:usb1="4000ACFF" w:usb2="00000001" w:usb3="00000000" w:csb0="0000019F" w:csb1="00000000"/>
  </w:font>
  <w:font w:name="Cambria">
    <w:altName w:val="Cambria"/>
    <w:panose1 w:val="02040503050000030204"/>
    <w:charset w:val="00"/>
    <w:family w:val="roman"/>
    <w:pitch w:val="variable"/>
    <w:sig w:usb0="E00006FF" w:usb1="420024FF" w:usb2="02000000" w:usb3="00000000" w:csb0="0000019F" w:csb1="00000000"/>
  </w:font>
</w:fonts>
</file>

<file path=word/footer3.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tabs>
        <w:tab w:val="center" w:leader="none" w:pos="4513"/>
        <w:tab w:val="right" w:leader="none" w:pos="9026"/>
      </w:tabs>
      <w:spacing w:lineRule="auto" w:line="240"/>
      <w:rPr>
        <w:color w:val="000000"/>
      </w:rPr>
    </w:pPr>
  </w:p>
</w:ftr>
</file>

<file path=word/footer4.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jc w:val="right"/>
      <w:rPr>
        <w:rFonts w:ascii="Times New Roman" w:cs="Times New Roman" w:eastAsia="Times New Roman" w:hAnsi="Times New Roman"/>
      </w:rPr>
    </w:pPr>
    <w:r>
      <w:rPr>
        <w:rFonts w:ascii="Times New Roman" w:cs="Times New Roman" w:eastAsia="Times New Roman" w:hAnsi="Times New Roman"/>
      </w:rPr>
      <w:fldChar w:fldCharType="begin"/>
    </w:r>
    <w:r>
      <w:rPr>
        <w:rFonts w:ascii="Times New Roman" w:cs="Times New Roman" w:eastAsia="Times New Roman" w:hAnsi="Times New Roman"/>
      </w:rPr>
      <w:instrText>PAGE</w:instrText>
    </w:r>
    <w:r>
      <w:rPr>
        <w:rFonts w:ascii="Times New Roman" w:cs="Times New Roman" w:eastAsia="Times New Roman" w:hAnsi="Times New Roman"/>
      </w:rPr>
      <w:fldChar w:fldCharType="separate"/>
    </w:r>
    <w:r>
      <w:rPr>
        <w:rFonts w:ascii="Times New Roman" w:cs="Times New Roman" w:eastAsia="Times New Roman" w:hAnsi="Times New Roman"/>
        <w:noProof/>
      </w:rPr>
      <w:t>1</w:t>
    </w:r>
    <w:r>
      <w:rPr>
        <w:rFonts w:ascii="Times New Roman" w:cs="Times New Roman" w:eastAsia="Times New Roman" w:hAnsi="Times New Roman"/>
      </w:rPr>
      <w:fldChar w:fldCharType="end"/>
    </w:r>
  </w:p>
  <w:p>
    <w:pPr>
      <w:pStyle w:val="style0"/>
      <w:widowControl w:val="false"/>
      <w:pBdr>
        <w:left w:val="nil"/>
        <w:right w:val="nil"/>
        <w:top w:val="nil"/>
        <w:bottom w:val="nil"/>
        <w:between w:val="nil"/>
      </w:pBdr>
      <w:rPr>
        <w:rFonts w:ascii="Times New Roman" w:cs="Times New Roman" w:eastAsia="Times New Roman" w:hAnsi="Times New Roman"/>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tabs>
        <w:tab w:val="center" w:leader="none" w:pos="4513"/>
        <w:tab w:val="right" w:leader="none" w:pos="9026"/>
      </w:tabs>
      <w:spacing w:lineRule="auto" w:line="240"/>
      <w:rPr>
        <w:color w:val="000000"/>
      </w:rPr>
    </w:pPr>
  </w:p>
</w:hdr>
</file>

<file path=word/header2.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tabs>
        <w:tab w:val="center" w:leader="none" w:pos="4513"/>
        <w:tab w:val="right" w:leader="none" w:pos="9026"/>
      </w:tabs>
      <w:spacing w:lineRule="auto" w:line="240"/>
      <w:rPr>
        <w:color w:val="000000"/>
      </w:rPr>
    </w:pPr>
  </w:p>
</w:hdr>
</file>

<file path=word/header5.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tabs>
        <w:tab w:val="center" w:leader="none" w:pos="4513"/>
        <w:tab w:val="right" w:leader="none" w:pos="9026"/>
      </w:tabs>
      <w:spacing w:lineRule="auto" w:line="240"/>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26"/>
  <w:displayBackgroundShape/>
  <w:proofState w:spelling="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GB" w:bidi="ar-SA" w:eastAsia="en-GB"/>
      </w:rPr>
    </w:rPrDefault>
    <w:pPrDefault>
      <w:pPr>
        <w:spacing w:lineRule="auto" w:line="276"/>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spacing w:lineRule="auto" w:line="480"/>
      <w:jc w:val="both"/>
      <w:outlineLvl w:val="0"/>
    </w:pPr>
    <w:rPr>
      <w:rFonts w:ascii="Times New Roman" w:cs="Times New Roman" w:eastAsia="Times New Roman" w:hAnsi="Times New Roman"/>
      <w:b/>
      <w:sz w:val="24"/>
      <w:szCs w:val="24"/>
    </w:rPr>
  </w:style>
  <w:style w:type="paragraph" w:styleId="style2">
    <w:name w:val="heading 2"/>
    <w:basedOn w:val="style0"/>
    <w:next w:val="style0"/>
    <w:qFormat/>
    <w:uiPriority w:val="9"/>
    <w:pPr>
      <w:keepNext/>
      <w:keepLines/>
      <w:spacing w:lineRule="auto" w:line="480"/>
      <w:jc w:val="both"/>
      <w:outlineLvl w:val="1"/>
    </w:pPr>
    <w:rPr>
      <w:rFonts w:ascii="Times New Roman" w:cs="Times New Roman" w:eastAsia="Times New Roman" w:hAnsi="Times New Roman"/>
      <w:b/>
      <w:sz w:val="24"/>
      <w:szCs w:val="24"/>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sz w:val="24"/>
      <w:szCs w:val="24"/>
    </w:rPr>
  </w:style>
  <w:style w:type="paragraph" w:styleId="style5">
    <w:name w:val="heading 5"/>
    <w:basedOn w:val="style0"/>
    <w:next w:val="style0"/>
    <w:qFormat/>
    <w:uiPriority w:val="9"/>
    <w:pPr>
      <w:keepNext/>
      <w:keepLines/>
      <w:spacing w:before="240" w:after="80"/>
      <w:outlineLvl w:val="4"/>
    </w:pPr>
    <w:rPr>
      <w:color w:val="666666"/>
    </w:rPr>
  </w:style>
  <w:style w:type="paragraph" w:styleId="style6">
    <w:name w:val="heading 6"/>
    <w:basedOn w:val="style0"/>
    <w:next w:val="style0"/>
    <w:qFormat/>
    <w:uiPriority w:val="9"/>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color w:val="666666"/>
      <w:sz w:val="30"/>
      <w:szCs w:val="30"/>
    </w:rPr>
  </w:style>
  <w:style w:type="paragraph" w:styleId="style31">
    <w:name w:val="header"/>
    <w:basedOn w:val="style0"/>
    <w:next w:val="style31"/>
    <w:link w:val="style4097"/>
    <w:uiPriority w:val="99"/>
    <w:pPr>
      <w:tabs>
        <w:tab w:val="center" w:leader="none" w:pos="4513"/>
        <w:tab w:val="right" w:leader="none" w:pos="9026"/>
      </w:tabs>
      <w:spacing w:lineRule="auto" w:line="240"/>
    </w:pPr>
    <w:rPr/>
  </w:style>
  <w:style w:type="character" w:customStyle="1" w:styleId="style4097">
    <w:name w:val="Header Char_350162c7-7d22-413e-9821-48d7d98fc002"/>
    <w:basedOn w:val="style65"/>
    <w:next w:val="style4097"/>
    <w:link w:val="style31"/>
    <w:uiPriority w:val="99"/>
  </w:style>
  <w:style w:type="paragraph" w:styleId="style32">
    <w:name w:val="footer"/>
    <w:basedOn w:val="style0"/>
    <w:next w:val="style32"/>
    <w:link w:val="style4098"/>
    <w:uiPriority w:val="99"/>
    <w:pPr>
      <w:tabs>
        <w:tab w:val="center" w:leader="none" w:pos="4513"/>
        <w:tab w:val="right" w:leader="none" w:pos="9026"/>
      </w:tabs>
      <w:spacing w:lineRule="auto" w:line="240"/>
    </w:pPr>
    <w:rPr/>
  </w:style>
  <w:style w:type="character" w:customStyle="1" w:styleId="style4098">
    <w:name w:val="Footer Char_67835034-216c-468c-916b-586397ae5183"/>
    <w:basedOn w:val="style65"/>
    <w:next w:val="style4098"/>
    <w:link w:val="style32"/>
    <w:uiPriority w:val="99"/>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header" Target="header2.xml"/><Relationship Id="rId4" Type="http://schemas.openxmlformats.org/officeDocument/2006/relationships/footer" Target="footer3.xml"/><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footer" Target="footer4.xml"/><Relationship Id="rId6" Type="http://schemas.openxmlformats.org/officeDocument/2006/relationships/header" Target="header5.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8fHO7TuuocMVzJP2G3fdthkQyBw==">AMUW2mVDZq6J867uc4AYLnY3NhSdWY2mV9CL9W6Y4mbqrL5BLbzNyyTSK5GP0PFB965qnQTjljY3TTI8TFkQLDTCm2brN+BKPx+zDEGKZlu/o7qMrO4pp7j4lplwujLGv8n+8uujSMJC0KG744ijzKFlxzXvPAAmZW+EkAWCI+hb31pp9nEiNthmBIA7ZCbD3M4hSNPc7vqegSKd8uwOh9JrZxCl08wSh2OIlLVifL27giQM4Ux/UGg1X5IUbgk3qrHL0iZftnfS7WxsDaGr8vSehuibgeuGeB7x7XQVCI+pkdQoie66bbEiHGFIdgwMgxqLkbcOSa1uEtmFwOYzedxtUk36rLru68fpoIFU/3rRPuVqlOfxB+spGvxAPZV7psQ8/2kygFjoR5eZUq4b1syR/C8kycBw7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1084</Words>
  <Pages>6</Pages>
  <Characters>5853</Characters>
  <Application>WPS Office</Application>
  <DocSecurity>0</DocSecurity>
  <Paragraphs>46</Paragraphs>
  <ScaleCrop>false</ScaleCrop>
  <LinksUpToDate>false</LinksUpToDate>
  <CharactersWithSpaces>6916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2023-05-09T14:11:00Z</dcterms:created>
  <dc:creator>WPS Office</dc:creator>
  <lastModifiedBy>DN2101</lastModifiedBy>
  <dcterms:modified xsi:type="dcterms:W3CDTF">2023-05-09T20:33:23Z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3330937667ff2593e52eab7a66f640d339cd9969ab3a0b64199f9370722aa4ee</vt:lpwstr>
  </property>
  <property fmtid="{D5CDD505-2E9C-101B-9397-08002B2CF9AE}" pid="3" name="ICV">
    <vt:lpwstr>ccb78e12cfaa4e3880cc3e096e1b710d</vt:lpwstr>
  </property>
</Properties>
</file>