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BD223E" w14:textId="4238FAD3" w:rsidR="000C599E" w:rsidRPr="00AD2037" w:rsidRDefault="12AA6BBA" w:rsidP="000C599E">
      <w:pPr>
        <w:spacing w:line="360" w:lineRule="auto"/>
        <w:jc w:val="center"/>
        <w:rPr>
          <w:rFonts w:ascii="Arial" w:hAnsi="Arial" w:cs="Arial"/>
          <w:sz w:val="32"/>
          <w:szCs w:val="32"/>
        </w:rPr>
      </w:pPr>
      <w:r w:rsidRPr="00AD2037">
        <w:rPr>
          <w:rFonts w:ascii="Arial" w:hAnsi="Arial" w:cs="Arial"/>
          <w:b/>
          <w:bCs/>
          <w:sz w:val="32"/>
          <w:szCs w:val="32"/>
        </w:rPr>
        <w:t>Foreign Languages and Cultural Awareness</w:t>
      </w:r>
      <w:r w:rsidR="000C599E">
        <w:rPr>
          <w:rFonts w:ascii="Arial" w:hAnsi="Arial" w:cs="Arial"/>
          <w:b/>
          <w:bCs/>
          <w:sz w:val="32"/>
          <w:szCs w:val="32"/>
        </w:rPr>
        <w:t>.</w:t>
      </w:r>
      <w:r w:rsidR="000C599E">
        <w:rPr>
          <w:rFonts w:ascii="Arial" w:hAnsi="Arial" w:cs="Arial"/>
          <w:b/>
          <w:bCs/>
          <w:sz w:val="32"/>
          <w:szCs w:val="32"/>
        </w:rPr>
        <w:br/>
      </w:r>
      <w:r w:rsidR="000C599E" w:rsidRPr="00AD2037">
        <w:rPr>
          <w:rFonts w:ascii="Arial" w:hAnsi="Arial" w:cs="Arial"/>
          <w:b/>
          <w:bCs/>
          <w:sz w:val="32"/>
          <w:szCs w:val="32"/>
        </w:rPr>
        <w:t>BMIH5003</w:t>
      </w:r>
      <w:r w:rsidR="000C599E">
        <w:rPr>
          <w:rFonts w:ascii="Arial" w:hAnsi="Arial" w:cs="Arial"/>
          <w:b/>
          <w:bCs/>
          <w:sz w:val="32"/>
          <w:szCs w:val="32"/>
        </w:rPr>
        <w:br/>
      </w:r>
      <w:r w:rsidR="000C599E">
        <w:rPr>
          <w:rFonts w:ascii="Arial" w:hAnsi="Arial" w:cs="Arial"/>
          <w:b/>
          <w:bCs/>
          <w:sz w:val="32"/>
          <w:szCs w:val="32"/>
        </w:rPr>
        <w:t>Hotel Handbook.</w:t>
      </w:r>
    </w:p>
    <w:p w14:paraId="4D2DEED5" w14:textId="3ED774B2" w:rsidR="12AA6BBA" w:rsidRDefault="12AA6BBA" w:rsidP="00AD2037">
      <w:pPr>
        <w:spacing w:line="360" w:lineRule="auto"/>
        <w:jc w:val="center"/>
        <w:rPr>
          <w:rFonts w:ascii="Arial" w:hAnsi="Arial" w:cs="Arial"/>
          <w:b/>
          <w:bCs/>
          <w:sz w:val="32"/>
          <w:szCs w:val="32"/>
        </w:rPr>
      </w:pPr>
    </w:p>
    <w:p w14:paraId="17B65A73" w14:textId="49B8A154" w:rsidR="00AD2037" w:rsidRDefault="00AD2037" w:rsidP="00AD2037">
      <w:pPr>
        <w:spacing w:line="360" w:lineRule="auto"/>
        <w:jc w:val="center"/>
        <w:rPr>
          <w:rFonts w:ascii="Arial" w:hAnsi="Arial" w:cs="Arial"/>
          <w:b/>
          <w:bCs/>
          <w:sz w:val="32"/>
          <w:szCs w:val="32"/>
        </w:rPr>
      </w:pPr>
    </w:p>
    <w:p w14:paraId="4B11EC28" w14:textId="77777777" w:rsidR="00AD2037" w:rsidRPr="00AD2037" w:rsidRDefault="00AD2037" w:rsidP="00AD2037">
      <w:pPr>
        <w:spacing w:line="360" w:lineRule="auto"/>
        <w:jc w:val="center"/>
        <w:rPr>
          <w:rFonts w:ascii="Arial" w:hAnsi="Arial" w:cs="Arial"/>
          <w:sz w:val="32"/>
          <w:szCs w:val="32"/>
        </w:rPr>
      </w:pPr>
    </w:p>
    <w:p w14:paraId="65F3F621" w14:textId="0DD08397" w:rsidR="12AA6BBA" w:rsidRPr="00AD2037" w:rsidRDefault="12AA6BBA" w:rsidP="00AD2037">
      <w:pPr>
        <w:spacing w:line="360" w:lineRule="auto"/>
        <w:jc w:val="both"/>
        <w:rPr>
          <w:rFonts w:ascii="Arial" w:hAnsi="Arial" w:cs="Arial"/>
          <w:b/>
          <w:bCs/>
          <w:sz w:val="24"/>
          <w:szCs w:val="24"/>
        </w:rPr>
      </w:pPr>
    </w:p>
    <w:p w14:paraId="1DE38E22" w14:textId="5EDCC13E" w:rsidR="12AA6BBA" w:rsidRPr="00AD2037" w:rsidRDefault="12AA6BBA" w:rsidP="00AD2037">
      <w:pPr>
        <w:spacing w:line="360" w:lineRule="auto"/>
        <w:jc w:val="both"/>
        <w:rPr>
          <w:rFonts w:ascii="Arial" w:hAnsi="Arial" w:cs="Arial"/>
          <w:b/>
          <w:bCs/>
          <w:sz w:val="24"/>
          <w:szCs w:val="24"/>
        </w:rPr>
      </w:pPr>
      <w:r w:rsidRPr="00AD2037">
        <w:rPr>
          <w:rFonts w:ascii="Arial" w:hAnsi="Arial" w:cs="Arial"/>
          <w:b/>
          <w:bCs/>
          <w:sz w:val="24"/>
          <w:szCs w:val="24"/>
        </w:rPr>
        <w:t xml:space="preserve">Student </w:t>
      </w:r>
      <w:proofErr w:type="spellStart"/>
      <w:proofErr w:type="gramStart"/>
      <w:r w:rsidRPr="00AD2037">
        <w:rPr>
          <w:rFonts w:ascii="Arial" w:hAnsi="Arial" w:cs="Arial"/>
          <w:b/>
          <w:bCs/>
          <w:sz w:val="24"/>
          <w:szCs w:val="24"/>
        </w:rPr>
        <w:t>Name:</w:t>
      </w:r>
      <w:r w:rsidR="000C599E">
        <w:rPr>
          <w:rFonts w:ascii="Arial" w:hAnsi="Arial" w:cs="Arial"/>
          <w:b/>
          <w:bCs/>
          <w:sz w:val="24"/>
          <w:szCs w:val="24"/>
        </w:rPr>
        <w:t>Iulia</w:t>
      </w:r>
      <w:proofErr w:type="spellEnd"/>
      <w:proofErr w:type="gramEnd"/>
      <w:r w:rsidR="000C599E">
        <w:rPr>
          <w:rFonts w:ascii="Arial" w:hAnsi="Arial" w:cs="Arial"/>
          <w:b/>
          <w:bCs/>
          <w:sz w:val="24"/>
          <w:szCs w:val="24"/>
        </w:rPr>
        <w:t xml:space="preserve"> Dascal</w:t>
      </w:r>
    </w:p>
    <w:p w14:paraId="6ABA6957" w14:textId="061417FD" w:rsidR="12AA6BBA" w:rsidRPr="00AD2037" w:rsidRDefault="12AA6BBA" w:rsidP="00AD2037">
      <w:pPr>
        <w:spacing w:line="360" w:lineRule="auto"/>
        <w:jc w:val="both"/>
        <w:rPr>
          <w:rFonts w:ascii="Arial" w:hAnsi="Arial" w:cs="Arial"/>
          <w:b/>
          <w:bCs/>
          <w:sz w:val="24"/>
          <w:szCs w:val="24"/>
        </w:rPr>
      </w:pPr>
      <w:r w:rsidRPr="00AD2037">
        <w:rPr>
          <w:rFonts w:ascii="Arial" w:hAnsi="Arial" w:cs="Arial"/>
          <w:b/>
          <w:bCs/>
          <w:sz w:val="24"/>
          <w:szCs w:val="24"/>
        </w:rPr>
        <w:t>Student ID:</w:t>
      </w:r>
      <w:r w:rsidR="000C599E">
        <w:rPr>
          <w:rFonts w:ascii="Arial" w:hAnsi="Arial" w:cs="Arial"/>
          <w:b/>
          <w:bCs/>
          <w:sz w:val="24"/>
          <w:szCs w:val="24"/>
        </w:rPr>
        <w:t>2127529</w:t>
      </w:r>
    </w:p>
    <w:p w14:paraId="298F60D4" w14:textId="42F0AB79" w:rsidR="12AA6BBA" w:rsidRPr="00AD2037" w:rsidRDefault="12AA6BBA" w:rsidP="00AD2037">
      <w:pPr>
        <w:spacing w:line="360" w:lineRule="auto"/>
        <w:jc w:val="both"/>
        <w:rPr>
          <w:rFonts w:ascii="Arial" w:hAnsi="Arial" w:cs="Arial"/>
          <w:b/>
          <w:bCs/>
          <w:sz w:val="24"/>
          <w:szCs w:val="24"/>
        </w:rPr>
      </w:pPr>
      <w:proofErr w:type="spellStart"/>
      <w:proofErr w:type="gramStart"/>
      <w:r w:rsidRPr="00AD2037">
        <w:rPr>
          <w:rFonts w:ascii="Arial" w:hAnsi="Arial" w:cs="Arial"/>
          <w:b/>
          <w:bCs/>
          <w:sz w:val="24"/>
          <w:szCs w:val="24"/>
        </w:rPr>
        <w:t>Lecturer:</w:t>
      </w:r>
      <w:r w:rsidR="000C599E">
        <w:rPr>
          <w:rFonts w:ascii="Arial" w:hAnsi="Arial" w:cs="Arial"/>
          <w:b/>
          <w:bCs/>
          <w:sz w:val="24"/>
          <w:szCs w:val="24"/>
        </w:rPr>
        <w:t>Lisa</w:t>
      </w:r>
      <w:proofErr w:type="spellEnd"/>
      <w:proofErr w:type="gramEnd"/>
      <w:r w:rsidR="000C599E">
        <w:rPr>
          <w:rFonts w:ascii="Arial" w:hAnsi="Arial" w:cs="Arial"/>
          <w:b/>
          <w:bCs/>
          <w:sz w:val="24"/>
          <w:szCs w:val="24"/>
        </w:rPr>
        <w:t xml:space="preserve"> </w:t>
      </w:r>
      <w:proofErr w:type="spellStart"/>
      <w:r w:rsidR="000C599E">
        <w:rPr>
          <w:rFonts w:ascii="Arial" w:hAnsi="Arial" w:cs="Arial"/>
          <w:b/>
          <w:bCs/>
          <w:sz w:val="24"/>
          <w:szCs w:val="24"/>
        </w:rPr>
        <w:t>Bassler</w:t>
      </w:r>
      <w:proofErr w:type="spellEnd"/>
    </w:p>
    <w:p w14:paraId="1AD93B56" w14:textId="0EBECBCE" w:rsidR="00AD2037" w:rsidRPr="00AD2037" w:rsidRDefault="00AD2037" w:rsidP="00AD2037">
      <w:pPr>
        <w:spacing w:line="360" w:lineRule="auto"/>
        <w:jc w:val="both"/>
        <w:rPr>
          <w:rFonts w:ascii="Arial" w:hAnsi="Arial" w:cs="Arial"/>
          <w:bCs/>
          <w:sz w:val="24"/>
          <w:szCs w:val="24"/>
        </w:rPr>
      </w:pPr>
      <w:r w:rsidRPr="00AD2037">
        <w:rPr>
          <w:rFonts w:ascii="Arial" w:hAnsi="Arial" w:cs="Arial"/>
          <w:bCs/>
          <w:sz w:val="24"/>
          <w:szCs w:val="24"/>
        </w:rPr>
        <w:br w:type="page"/>
      </w:r>
    </w:p>
    <w:p w14:paraId="489D682A" w14:textId="77777777" w:rsidR="12AA6BBA" w:rsidRPr="00AD2037" w:rsidRDefault="12AA6BBA" w:rsidP="00AD2037">
      <w:pPr>
        <w:spacing w:line="360" w:lineRule="auto"/>
        <w:jc w:val="both"/>
        <w:rPr>
          <w:rFonts w:ascii="Arial" w:hAnsi="Arial" w:cs="Arial"/>
          <w:bCs/>
          <w:sz w:val="24"/>
          <w:szCs w:val="24"/>
        </w:rPr>
      </w:pPr>
    </w:p>
    <w:p w14:paraId="2C078E63" w14:textId="205768C3" w:rsidR="00DD2AF6" w:rsidRPr="00AD2037" w:rsidRDefault="12AA6BBA" w:rsidP="00AD2037">
      <w:pPr>
        <w:spacing w:line="360" w:lineRule="auto"/>
        <w:jc w:val="both"/>
        <w:rPr>
          <w:rFonts w:ascii="Arial" w:hAnsi="Arial" w:cs="Arial"/>
          <w:b/>
          <w:bCs/>
          <w:sz w:val="24"/>
          <w:szCs w:val="24"/>
        </w:rPr>
      </w:pPr>
      <w:r w:rsidRPr="00AD2037">
        <w:rPr>
          <w:rFonts w:ascii="Arial" w:hAnsi="Arial" w:cs="Arial"/>
          <w:b/>
          <w:bCs/>
          <w:sz w:val="24"/>
          <w:szCs w:val="24"/>
        </w:rPr>
        <w:t xml:space="preserve">Introduction </w:t>
      </w:r>
    </w:p>
    <w:p w14:paraId="2BC28EDE" w14:textId="03C28A40" w:rsidR="12AA6BBA" w:rsidRPr="00AD2037" w:rsidRDefault="12AA6BBA" w:rsidP="00AD2037">
      <w:pPr>
        <w:spacing w:line="360" w:lineRule="auto"/>
        <w:jc w:val="both"/>
        <w:rPr>
          <w:rFonts w:ascii="Arial" w:hAnsi="Arial" w:cs="Arial"/>
          <w:sz w:val="24"/>
          <w:szCs w:val="24"/>
        </w:rPr>
      </w:pPr>
      <w:r w:rsidRPr="00AD2037">
        <w:rPr>
          <w:rFonts w:ascii="Arial" w:hAnsi="Arial" w:cs="Arial"/>
          <w:sz w:val="24"/>
          <w:szCs w:val="24"/>
        </w:rPr>
        <w:t>Cultural knowledge and adaptability are crucial to providing excellent guest service to international hotel guests. Hotel personnel may create a friendly and inclusive environment that fits the unique requirements and expectations of Japanese guests by acknowledging and respecting their cultural differences, customs, and behavior. Intercultural competence helps hotel staff interact with people from other cultures (</w:t>
      </w:r>
      <w:r w:rsidRPr="00AD2037">
        <w:rPr>
          <w:rFonts w:ascii="Arial" w:eastAsia="Arial" w:hAnsi="Arial" w:cs="Arial"/>
          <w:color w:val="222222"/>
          <w:sz w:val="24"/>
          <w:szCs w:val="24"/>
        </w:rPr>
        <w:t>Moran, et al., 2014)</w:t>
      </w:r>
      <w:r w:rsidRPr="00AD2037">
        <w:rPr>
          <w:rFonts w:ascii="Arial" w:hAnsi="Arial" w:cs="Arial"/>
          <w:sz w:val="24"/>
          <w:szCs w:val="24"/>
        </w:rPr>
        <w:t>. This report's Hotel Handbook helps hotel workers understand Japanese clients' culture. It emphasizes communication style, privacy, customs and decorum, and food and eating preferences. It also suggests ways each hotel department/function might improve service delivery for a smooth and culturally aware guest experience.  Cultural knowledge and adaptation will improve a hotel's reputation, customer loyalty, and long-term performance in the global hospitality sector.</w:t>
      </w:r>
    </w:p>
    <w:p w14:paraId="1FF04975" w14:textId="07C77C9B" w:rsidR="12AA6BBA" w:rsidRPr="00AD2037" w:rsidRDefault="12AA6BBA" w:rsidP="00AD2037">
      <w:pPr>
        <w:spacing w:line="360" w:lineRule="auto"/>
        <w:jc w:val="both"/>
        <w:rPr>
          <w:rFonts w:ascii="Arial" w:hAnsi="Arial" w:cs="Arial"/>
          <w:b/>
          <w:bCs/>
          <w:sz w:val="24"/>
          <w:szCs w:val="24"/>
        </w:rPr>
      </w:pPr>
      <w:r w:rsidRPr="00AD2037">
        <w:rPr>
          <w:rFonts w:ascii="Arial" w:hAnsi="Arial" w:cs="Arial"/>
          <w:b/>
          <w:bCs/>
          <w:sz w:val="24"/>
          <w:szCs w:val="24"/>
        </w:rPr>
        <w:t>Understanding of Intercultural competence</w:t>
      </w:r>
    </w:p>
    <w:p w14:paraId="0EC5B96B" w14:textId="0AD86445" w:rsidR="12AA6BBA" w:rsidRPr="00AD2037" w:rsidRDefault="009C024E" w:rsidP="00AD2037">
      <w:pPr>
        <w:spacing w:line="360" w:lineRule="auto"/>
        <w:jc w:val="both"/>
        <w:rPr>
          <w:rFonts w:ascii="Arial" w:hAnsi="Arial" w:cs="Arial"/>
          <w:sz w:val="24"/>
          <w:szCs w:val="24"/>
        </w:rPr>
      </w:pPr>
      <w:r w:rsidRPr="00AD2037">
        <w:rPr>
          <w:rFonts w:ascii="Arial" w:hAnsi="Arial" w:cs="Arial"/>
          <w:sz w:val="24"/>
          <w:szCs w:val="24"/>
        </w:rPr>
        <w:t>Intercultural competency goes beyond recognizing different cultures and includes understanding their values, attitudes, actions, and communication patterns. It requires hotel workers to understand the cultural norms of different guest groups to anticipate and meet their needs (</w:t>
      </w:r>
      <w:proofErr w:type="spellStart"/>
      <w:r w:rsidRPr="00AD2037">
        <w:rPr>
          <w:rFonts w:ascii="Arial" w:hAnsi="Arial" w:cs="Arial"/>
          <w:sz w:val="24"/>
          <w:szCs w:val="24"/>
        </w:rPr>
        <w:t>Jandt</w:t>
      </w:r>
      <w:proofErr w:type="spellEnd"/>
      <w:r w:rsidRPr="00AD2037">
        <w:rPr>
          <w:rFonts w:ascii="Arial" w:hAnsi="Arial" w:cs="Arial"/>
          <w:sz w:val="24"/>
          <w:szCs w:val="24"/>
        </w:rPr>
        <w:t>, 2017). Hotel employees must learn and reflect on intercultural proficiency. They must examine their assumptions, biases, and misconceptions of other cultures. Learning about various cultures and having cross-cultural experiences can help hotel personnel become more culturally sensitive. Intercultural competency helps hotel personnel avoid cultural misunderstandings. It helps them understand visitor behaviors, preferences, and communication styles for successful and rewarding engagements. This fosters trust, rapport, and visitor satisfaction (Moran, et al., 2014).</w:t>
      </w:r>
    </w:p>
    <w:p w14:paraId="66A3E1EA" w14:textId="7DB60740" w:rsidR="12AA6BBA" w:rsidRPr="00AD2037" w:rsidRDefault="12AA6BBA" w:rsidP="00AD2037">
      <w:pPr>
        <w:spacing w:line="360" w:lineRule="auto"/>
        <w:jc w:val="both"/>
        <w:rPr>
          <w:rFonts w:ascii="Arial" w:hAnsi="Arial" w:cs="Arial"/>
          <w:b/>
          <w:bCs/>
          <w:sz w:val="24"/>
          <w:szCs w:val="24"/>
        </w:rPr>
      </w:pPr>
      <w:r w:rsidRPr="00AD2037">
        <w:rPr>
          <w:rFonts w:ascii="Arial" w:hAnsi="Arial" w:cs="Arial"/>
          <w:b/>
          <w:bCs/>
          <w:sz w:val="24"/>
          <w:szCs w:val="24"/>
        </w:rPr>
        <w:t>Significance of Cultural Understanding in the Global Market</w:t>
      </w:r>
    </w:p>
    <w:p w14:paraId="1D7709D8" w14:textId="2FF60ADD" w:rsidR="12AA6BBA" w:rsidRPr="00AD2037" w:rsidRDefault="12AA6BBA" w:rsidP="00AD2037">
      <w:pPr>
        <w:spacing w:line="360" w:lineRule="auto"/>
        <w:jc w:val="both"/>
        <w:rPr>
          <w:rFonts w:ascii="Arial" w:hAnsi="Arial" w:cs="Arial"/>
          <w:sz w:val="24"/>
          <w:szCs w:val="24"/>
        </w:rPr>
      </w:pPr>
      <w:r w:rsidRPr="00AD2037">
        <w:rPr>
          <w:rFonts w:ascii="Arial" w:hAnsi="Arial" w:cs="Arial"/>
          <w:sz w:val="24"/>
          <w:szCs w:val="24"/>
        </w:rPr>
        <w:t xml:space="preserve">The hospitality sector acts as a nexus for international visitors from many cultural backgrounds in today's globalized globe. Hotels that are aware of and respond to these cultural variations get an advantage in the global market. Hotels may create an environment that is respectful, inclusive, and catered to their requirements by having a </w:t>
      </w:r>
      <w:r w:rsidRPr="00AD2037">
        <w:rPr>
          <w:rFonts w:ascii="Arial" w:hAnsi="Arial" w:cs="Arial"/>
          <w:sz w:val="24"/>
          <w:szCs w:val="24"/>
        </w:rPr>
        <w:lastRenderedPageBreak/>
        <w:t>thorough understanding of the cultural expectations, beliefs, and customs of international visitors. In order to provide a friendly environment for visitors from other countries, cultural knowledge is essential. The sense of belonging and comfort that visitors feel throughout their stay is increased when hotel service members genuinely care about and respect their cultural origins. Due to their great experience, guests may suggest the hotel to others and stay there again in the future (</w:t>
      </w:r>
      <w:proofErr w:type="spellStart"/>
      <w:r w:rsidRPr="00AD2037">
        <w:rPr>
          <w:rFonts w:ascii="Arial" w:eastAsia="Arial" w:hAnsi="Arial" w:cs="Arial"/>
          <w:color w:val="222222"/>
          <w:sz w:val="24"/>
          <w:szCs w:val="24"/>
        </w:rPr>
        <w:t>Meethan</w:t>
      </w:r>
      <w:proofErr w:type="spellEnd"/>
      <w:r w:rsidRPr="00AD2037">
        <w:rPr>
          <w:rFonts w:ascii="Arial" w:eastAsia="Arial" w:hAnsi="Arial" w:cs="Arial"/>
          <w:color w:val="222222"/>
          <w:sz w:val="24"/>
          <w:szCs w:val="24"/>
        </w:rPr>
        <w:t>, 2005</w:t>
      </w:r>
      <w:r w:rsidRPr="00AD2037">
        <w:rPr>
          <w:rFonts w:ascii="Arial" w:hAnsi="Arial" w:cs="Arial"/>
          <w:sz w:val="24"/>
          <w:szCs w:val="24"/>
        </w:rPr>
        <w:t>).</w:t>
      </w:r>
    </w:p>
    <w:p w14:paraId="604396C9" w14:textId="58BF4D94" w:rsidR="12AA6BBA" w:rsidRPr="00AD2037" w:rsidRDefault="12AA6BBA" w:rsidP="00AD2037">
      <w:pPr>
        <w:spacing w:line="360" w:lineRule="auto"/>
        <w:jc w:val="both"/>
        <w:rPr>
          <w:rFonts w:ascii="Arial" w:hAnsi="Arial" w:cs="Arial"/>
          <w:sz w:val="24"/>
          <w:szCs w:val="24"/>
        </w:rPr>
      </w:pPr>
      <w:r w:rsidRPr="00AD2037">
        <w:rPr>
          <w:rFonts w:ascii="Arial" w:hAnsi="Arial" w:cs="Arial"/>
          <w:sz w:val="24"/>
          <w:szCs w:val="24"/>
        </w:rPr>
        <w:t>Additionally, cultural sensitivity supports effective word-of-mouth promotion. Customers are more inclined to share their great experiences with friends, family, and review sites when they feel heard and respected. As a result, the hotel draws more tourists from abroad and develops a reputation for being a sensitive hotel. Hotels can tailor their services and amenities to meet the distinct preferences and demands of various cultural groups by placing a high priority on cultural understanding. To do this, it may be necessary to provide language support, cultural experiences, or other activities, as well as to make sure that the hotel environment respects and represents a variety of cultural backgrounds (</w:t>
      </w:r>
      <w:r w:rsidRPr="00AD2037">
        <w:rPr>
          <w:rFonts w:ascii="Arial" w:eastAsia="Arial" w:hAnsi="Arial" w:cs="Arial"/>
          <w:color w:val="222222"/>
          <w:sz w:val="24"/>
          <w:szCs w:val="24"/>
        </w:rPr>
        <w:t>Cooper, and Wahab, 2005</w:t>
      </w:r>
      <w:r w:rsidRPr="00AD2037">
        <w:rPr>
          <w:rFonts w:ascii="Arial" w:hAnsi="Arial" w:cs="Arial"/>
          <w:sz w:val="24"/>
          <w:szCs w:val="24"/>
        </w:rPr>
        <w:t>).</w:t>
      </w:r>
    </w:p>
    <w:p w14:paraId="574260B9" w14:textId="1A175F5B" w:rsidR="12AA6BBA" w:rsidRPr="00AD2037" w:rsidRDefault="12AA6BBA" w:rsidP="00AD2037">
      <w:pPr>
        <w:spacing w:line="360" w:lineRule="auto"/>
        <w:jc w:val="both"/>
        <w:rPr>
          <w:rFonts w:ascii="Arial" w:hAnsi="Arial" w:cs="Arial"/>
          <w:sz w:val="24"/>
          <w:szCs w:val="24"/>
        </w:rPr>
      </w:pPr>
    </w:p>
    <w:p w14:paraId="430355E5" w14:textId="4EB6F676" w:rsidR="12AA6BBA" w:rsidRPr="00AD2037" w:rsidRDefault="12AA6BBA" w:rsidP="00AD2037">
      <w:pPr>
        <w:spacing w:line="360" w:lineRule="auto"/>
        <w:jc w:val="both"/>
        <w:rPr>
          <w:rFonts w:ascii="Arial" w:hAnsi="Arial" w:cs="Arial"/>
          <w:b/>
          <w:bCs/>
          <w:sz w:val="24"/>
          <w:szCs w:val="24"/>
        </w:rPr>
      </w:pPr>
      <w:r w:rsidRPr="00AD2037">
        <w:rPr>
          <w:rFonts w:ascii="Arial" w:hAnsi="Arial" w:cs="Arial"/>
          <w:b/>
          <w:bCs/>
          <w:sz w:val="24"/>
          <w:szCs w:val="24"/>
        </w:rPr>
        <w:t>Japanese visitors' insights of their culture</w:t>
      </w:r>
    </w:p>
    <w:p w14:paraId="69AC7023" w14:textId="77777777" w:rsidR="009C024E" w:rsidRPr="00AD2037" w:rsidRDefault="009C024E" w:rsidP="00AD2037">
      <w:pPr>
        <w:spacing w:line="360" w:lineRule="auto"/>
        <w:jc w:val="both"/>
        <w:rPr>
          <w:rFonts w:ascii="Arial" w:hAnsi="Arial" w:cs="Arial"/>
          <w:sz w:val="24"/>
          <w:szCs w:val="24"/>
        </w:rPr>
      </w:pPr>
      <w:r w:rsidRPr="00AD2037">
        <w:rPr>
          <w:rFonts w:ascii="Arial" w:hAnsi="Arial" w:cs="Arial"/>
          <w:sz w:val="24"/>
          <w:szCs w:val="24"/>
        </w:rPr>
        <w:t xml:space="preserve">Japanese guests' communication style should be considered when talking to them. Respectful language and honorifics are important. Japanese tourists sometimes prefer to chat casually, so be patient and attentive. To maintain peace, avoid hostile or direct dialogue. Respect Japanese guests' privacy and space. Check hotel rooms for soundproofing and blackout shades to avoid being nosy. Offer personalized services that prioritize privacy and comfort. To provide a culturally sensitive experience, one must understand Japanese customs. Learn the customs, such as bowing and taking off your shoes before entering particular regions (Watkins, and </w:t>
      </w:r>
      <w:proofErr w:type="spellStart"/>
      <w:r w:rsidRPr="00AD2037">
        <w:rPr>
          <w:rFonts w:ascii="Arial" w:hAnsi="Arial" w:cs="Arial"/>
          <w:sz w:val="24"/>
          <w:szCs w:val="24"/>
        </w:rPr>
        <w:t>Gnoth</w:t>
      </w:r>
      <w:proofErr w:type="spellEnd"/>
      <w:r w:rsidRPr="00AD2037">
        <w:rPr>
          <w:rFonts w:ascii="Arial" w:hAnsi="Arial" w:cs="Arial"/>
          <w:sz w:val="24"/>
          <w:szCs w:val="24"/>
        </w:rPr>
        <w:t xml:space="preserve"> 2011). Japanese guests should be greeted at the front desk and concierge with a bow. Welcome cards and area maps in Japanese will make their stay easier. Help them plan cultural or tourist activities to enrich their stay (Seaton, and Yamamura, 2015).</w:t>
      </w:r>
    </w:p>
    <w:p w14:paraId="7BE20D02" w14:textId="4227E88F" w:rsidR="009C024E" w:rsidRPr="00AD2037" w:rsidRDefault="009C024E" w:rsidP="00AD2037">
      <w:pPr>
        <w:spacing w:line="360" w:lineRule="auto"/>
        <w:jc w:val="both"/>
        <w:rPr>
          <w:rFonts w:ascii="Arial" w:hAnsi="Arial" w:cs="Arial"/>
          <w:sz w:val="24"/>
          <w:szCs w:val="24"/>
        </w:rPr>
      </w:pPr>
      <w:r w:rsidRPr="00AD2037">
        <w:rPr>
          <w:rFonts w:ascii="Arial" w:hAnsi="Arial" w:cs="Arial"/>
          <w:sz w:val="24"/>
          <w:szCs w:val="24"/>
        </w:rPr>
        <w:lastRenderedPageBreak/>
        <w:t xml:space="preserve">When cleaning, don't interrupt guests. Be mindful of Japanese room cleanliness and order. Slippers, yukatas, and tea sets create a homey, real feel. Work with Japanese chefs or consultants in the food and beverage business to ensure Japanese cuisine authenticity. To provide a smooth and culturally appropriate dining experience, train staff on Japanese table manners and dining etiquette. Provide </w:t>
      </w:r>
      <w:proofErr w:type="spellStart"/>
      <w:r w:rsidRPr="00AD2037">
        <w:rPr>
          <w:rFonts w:ascii="Arial" w:hAnsi="Arial" w:cs="Arial"/>
          <w:sz w:val="24"/>
          <w:szCs w:val="24"/>
        </w:rPr>
        <w:t>oshibori</w:t>
      </w:r>
      <w:proofErr w:type="spellEnd"/>
      <w:r w:rsidRPr="00AD2037">
        <w:rPr>
          <w:rFonts w:ascii="Arial" w:hAnsi="Arial" w:cs="Arial"/>
          <w:sz w:val="24"/>
          <w:szCs w:val="24"/>
        </w:rPr>
        <w:t xml:space="preserve"> (warm towels) and teach visitors of its use to show hospitality (Kim, and O'Connor, 2011). Create cultural events or programs in guest relations that highlight Japanese customs. To help visitors, hire Japanese-speaking staff. Encourage all staff to actively investigate Japanese culture to generate meaningful relationships and a nice atmosphere. Customizing service delivery across hotel divisions can offer a memorable and culturally sensitive experience for Japanese tourists, enhancing satisfaction and customer loyalty (Kim, and Lee, 2020).</w:t>
      </w:r>
    </w:p>
    <w:p w14:paraId="2A19F632" w14:textId="77777777" w:rsidR="009C024E" w:rsidRPr="00AD2037" w:rsidRDefault="009C024E" w:rsidP="00AD2037">
      <w:pPr>
        <w:spacing w:line="360" w:lineRule="auto"/>
        <w:jc w:val="both"/>
        <w:rPr>
          <w:rFonts w:ascii="Arial" w:hAnsi="Arial" w:cs="Arial"/>
          <w:sz w:val="24"/>
          <w:szCs w:val="24"/>
        </w:rPr>
      </w:pPr>
    </w:p>
    <w:p w14:paraId="7ABF0352" w14:textId="1DA5F088" w:rsidR="12AA6BBA" w:rsidRPr="00AD2037" w:rsidRDefault="12AA6BBA" w:rsidP="00AD2037">
      <w:pPr>
        <w:spacing w:line="360" w:lineRule="auto"/>
        <w:jc w:val="both"/>
        <w:rPr>
          <w:rFonts w:ascii="Arial" w:hAnsi="Arial" w:cs="Arial"/>
          <w:sz w:val="24"/>
          <w:szCs w:val="24"/>
        </w:rPr>
      </w:pPr>
    </w:p>
    <w:p w14:paraId="5FECD16F" w14:textId="1755E1FD" w:rsidR="12AA6BBA" w:rsidRPr="00AD2037" w:rsidRDefault="12AA6BBA" w:rsidP="00AD2037">
      <w:pPr>
        <w:spacing w:line="360" w:lineRule="auto"/>
        <w:jc w:val="both"/>
        <w:rPr>
          <w:rFonts w:ascii="Arial" w:hAnsi="Arial" w:cs="Arial"/>
          <w:b/>
          <w:bCs/>
          <w:sz w:val="24"/>
          <w:szCs w:val="24"/>
        </w:rPr>
      </w:pPr>
      <w:r w:rsidRPr="00AD2037">
        <w:rPr>
          <w:rFonts w:ascii="Arial" w:hAnsi="Arial" w:cs="Arial"/>
          <w:b/>
          <w:bCs/>
          <w:sz w:val="24"/>
          <w:szCs w:val="24"/>
        </w:rPr>
        <w:t xml:space="preserve">Dos and don’t for the staff </w:t>
      </w:r>
    </w:p>
    <w:p w14:paraId="7F87D2D4" w14:textId="539B5425" w:rsidR="12AA6BBA" w:rsidRPr="00AD2037" w:rsidRDefault="12AA6BBA" w:rsidP="00AD2037">
      <w:pPr>
        <w:spacing w:line="360" w:lineRule="auto"/>
        <w:jc w:val="both"/>
        <w:rPr>
          <w:rFonts w:ascii="Arial" w:hAnsi="Arial" w:cs="Arial"/>
          <w:sz w:val="24"/>
          <w:szCs w:val="24"/>
        </w:rPr>
      </w:pPr>
      <w:r w:rsidRPr="00AD2037">
        <w:rPr>
          <w:rFonts w:ascii="Arial" w:hAnsi="Arial" w:cs="Arial"/>
          <w:sz w:val="24"/>
          <w:szCs w:val="24"/>
        </w:rPr>
        <w:t>Hotel staff must follow specific dos and don'ts while working with Japanese clients to create a positive and culturally appropriate encounter. First of all, it is advised to bow and address Japanese visitors with honorifics to show them respect. This action establishes a friendly atmosphere and recognizes the value of manners in Japanese culture.</w:t>
      </w:r>
    </w:p>
    <w:p w14:paraId="10239C62" w14:textId="283DFF8E" w:rsidR="12AA6BBA" w:rsidRPr="00AD2037" w:rsidRDefault="12AA6BBA" w:rsidP="00AD2037">
      <w:pPr>
        <w:spacing w:line="360" w:lineRule="auto"/>
        <w:jc w:val="both"/>
        <w:rPr>
          <w:rFonts w:ascii="Arial" w:hAnsi="Arial" w:cs="Arial"/>
          <w:sz w:val="24"/>
          <w:szCs w:val="24"/>
        </w:rPr>
      </w:pPr>
      <w:r w:rsidRPr="00AD2037">
        <w:rPr>
          <w:rFonts w:ascii="Arial" w:hAnsi="Arial" w:cs="Arial"/>
          <w:sz w:val="24"/>
          <w:szCs w:val="24"/>
        </w:rPr>
        <w:t>Another essential component is respecting privacy and personal space. Hotel service members should be careful not to invade visitors' privacy or personal space. To make visitors feel comfortable and at peace during their stay, it is crucial to provide them with the space and solitude they require.</w:t>
      </w:r>
    </w:p>
    <w:p w14:paraId="1CEDB51B" w14:textId="71D88C13" w:rsidR="12AA6BBA" w:rsidRPr="00AD2037" w:rsidRDefault="12AA6BBA" w:rsidP="00AD2037">
      <w:pPr>
        <w:spacing w:line="360" w:lineRule="auto"/>
        <w:jc w:val="both"/>
        <w:rPr>
          <w:rFonts w:ascii="Arial" w:hAnsi="Arial" w:cs="Arial"/>
          <w:sz w:val="24"/>
          <w:szCs w:val="24"/>
        </w:rPr>
      </w:pPr>
      <w:r w:rsidRPr="00AD2037">
        <w:rPr>
          <w:rFonts w:ascii="Arial" w:hAnsi="Arial" w:cs="Arial"/>
          <w:sz w:val="24"/>
          <w:szCs w:val="24"/>
        </w:rPr>
        <w:t>Japanese visitors are very appreciative of traditional Japanese cuisine and dietary preferences. A dedication to accommodating their requirements and preferences is shown by providing a variety of traditional cuisines and making sure there are options for those with dietary restrictions or preferences, such as vegetarian or halal.</w:t>
      </w:r>
    </w:p>
    <w:p w14:paraId="114064EC" w14:textId="01E289D0" w:rsidR="12AA6BBA" w:rsidRPr="00AD2037" w:rsidRDefault="12AA6BBA" w:rsidP="00AD2037">
      <w:pPr>
        <w:spacing w:line="360" w:lineRule="auto"/>
        <w:jc w:val="both"/>
        <w:rPr>
          <w:rFonts w:ascii="Arial" w:hAnsi="Arial" w:cs="Arial"/>
          <w:sz w:val="24"/>
          <w:szCs w:val="24"/>
        </w:rPr>
      </w:pPr>
      <w:r w:rsidRPr="00AD2037">
        <w:rPr>
          <w:rFonts w:ascii="Arial" w:hAnsi="Arial" w:cs="Arial"/>
          <w:sz w:val="24"/>
          <w:szCs w:val="24"/>
        </w:rPr>
        <w:t xml:space="preserve">Hotel employees should refrain from having direct or argumentative conversations with Japanese visitors. Direct confrontation may result in discomfort or miscommunication in </w:t>
      </w:r>
      <w:r w:rsidRPr="00AD2037">
        <w:rPr>
          <w:rFonts w:ascii="Arial" w:hAnsi="Arial" w:cs="Arial"/>
          <w:sz w:val="24"/>
          <w:szCs w:val="24"/>
        </w:rPr>
        <w:lastRenderedPageBreak/>
        <w:t xml:space="preserve">Japanese culture, where indirect communication is frequently </w:t>
      </w:r>
      <w:proofErr w:type="spellStart"/>
      <w:r w:rsidRPr="00AD2037">
        <w:rPr>
          <w:rFonts w:ascii="Arial" w:hAnsi="Arial" w:cs="Arial"/>
          <w:sz w:val="24"/>
          <w:szCs w:val="24"/>
        </w:rPr>
        <w:t>favoured</w:t>
      </w:r>
      <w:proofErr w:type="spellEnd"/>
      <w:r w:rsidRPr="00AD2037">
        <w:rPr>
          <w:rFonts w:ascii="Arial" w:hAnsi="Arial" w:cs="Arial"/>
          <w:sz w:val="24"/>
          <w:szCs w:val="24"/>
        </w:rPr>
        <w:t>. Staff members should take a patient and attentive stance while encouraging efficient communication and keeping cultural quirks in mind.</w:t>
      </w:r>
    </w:p>
    <w:p w14:paraId="1355E42E" w14:textId="694A0C7B" w:rsidR="12AA6BBA" w:rsidRPr="00AD2037" w:rsidRDefault="12AA6BBA" w:rsidP="00AD2037">
      <w:pPr>
        <w:spacing w:line="360" w:lineRule="auto"/>
        <w:jc w:val="both"/>
        <w:rPr>
          <w:rFonts w:ascii="Arial" w:hAnsi="Arial" w:cs="Arial"/>
          <w:sz w:val="24"/>
          <w:szCs w:val="24"/>
        </w:rPr>
      </w:pPr>
      <w:r w:rsidRPr="00AD2037">
        <w:rPr>
          <w:rFonts w:ascii="Arial" w:hAnsi="Arial" w:cs="Arial"/>
          <w:sz w:val="24"/>
          <w:szCs w:val="24"/>
        </w:rPr>
        <w:t>It's important to remember that Japanese visitors may not be familiar with regional traditions and practices. As an alternative, hotel personnel should ensure that Japanese visitors feel knowledgeable and at ease during their stay by offering the required advice and information about regional customs, services, and amenities.</w:t>
      </w:r>
    </w:p>
    <w:p w14:paraId="6566B6F8" w14:textId="30CD7B73" w:rsidR="12AA6BBA" w:rsidRPr="00AD2037" w:rsidRDefault="12AA6BBA" w:rsidP="00AD2037">
      <w:pPr>
        <w:spacing w:line="360" w:lineRule="auto"/>
        <w:jc w:val="both"/>
        <w:rPr>
          <w:rFonts w:ascii="Arial" w:hAnsi="Arial" w:cs="Arial"/>
          <w:sz w:val="24"/>
          <w:szCs w:val="24"/>
        </w:rPr>
      </w:pPr>
      <w:r w:rsidRPr="00AD2037">
        <w:rPr>
          <w:rFonts w:ascii="Arial" w:hAnsi="Arial" w:cs="Arial"/>
          <w:sz w:val="24"/>
          <w:szCs w:val="24"/>
        </w:rPr>
        <w:t xml:space="preserve"> </w:t>
      </w:r>
    </w:p>
    <w:p w14:paraId="6D8B72DD" w14:textId="0645BD45" w:rsidR="12AA6BBA" w:rsidRPr="00AD2037" w:rsidRDefault="12AA6BBA" w:rsidP="00AD2037">
      <w:pPr>
        <w:spacing w:line="360" w:lineRule="auto"/>
        <w:jc w:val="both"/>
        <w:rPr>
          <w:rFonts w:ascii="Arial" w:hAnsi="Arial" w:cs="Arial"/>
          <w:b/>
          <w:bCs/>
          <w:sz w:val="24"/>
          <w:szCs w:val="24"/>
        </w:rPr>
      </w:pPr>
      <w:r w:rsidRPr="00AD2037">
        <w:rPr>
          <w:rFonts w:ascii="Arial" w:hAnsi="Arial" w:cs="Arial"/>
          <w:b/>
          <w:bCs/>
          <w:sz w:val="24"/>
          <w:szCs w:val="24"/>
        </w:rPr>
        <w:t>Conclusion</w:t>
      </w:r>
    </w:p>
    <w:p w14:paraId="6EE3EE64" w14:textId="7E96114E" w:rsidR="12AA6BBA" w:rsidRPr="00AD2037" w:rsidRDefault="12AA6BBA" w:rsidP="00AD2037">
      <w:pPr>
        <w:spacing w:line="360" w:lineRule="auto"/>
        <w:jc w:val="both"/>
        <w:rPr>
          <w:rFonts w:ascii="Arial" w:hAnsi="Arial" w:cs="Arial"/>
          <w:sz w:val="24"/>
          <w:szCs w:val="24"/>
        </w:rPr>
      </w:pPr>
      <w:r w:rsidRPr="00AD2037">
        <w:rPr>
          <w:rFonts w:ascii="Arial" w:hAnsi="Arial" w:cs="Arial"/>
          <w:sz w:val="24"/>
          <w:szCs w:val="24"/>
        </w:rPr>
        <w:t>Hotel personnel can improve visitor happiness by learning Japanese cultural nuances, customs, and habits. This handbook helps hotel workers give excellent service to Japanese clients. Respecting communication styles, personal space, privacy, and dietary preferences while avoiding confrontational or assumptive conduct generates great interactions and memorable visitor experiences. Embracing cultural knowledge and customizing service delivery across hotel divisions ensures that Japanese visitors feel valued, respected, and appreciated, leading to enhanced guest loyalty and global success.</w:t>
      </w:r>
    </w:p>
    <w:p w14:paraId="0081DFB3" w14:textId="364BAFCA" w:rsidR="009C024E" w:rsidRPr="00AD2037" w:rsidRDefault="12AA6BBA" w:rsidP="00AD2037">
      <w:pPr>
        <w:spacing w:line="360" w:lineRule="auto"/>
        <w:jc w:val="both"/>
        <w:rPr>
          <w:rFonts w:ascii="Arial" w:hAnsi="Arial" w:cs="Arial"/>
          <w:sz w:val="24"/>
          <w:szCs w:val="24"/>
        </w:rPr>
      </w:pPr>
      <w:r w:rsidRPr="00AD2037">
        <w:rPr>
          <w:rFonts w:ascii="Arial" w:hAnsi="Arial" w:cs="Arial"/>
          <w:sz w:val="24"/>
          <w:szCs w:val="24"/>
        </w:rPr>
        <w:t xml:space="preserve"> </w:t>
      </w:r>
    </w:p>
    <w:p w14:paraId="10A39EE5" w14:textId="77777777" w:rsidR="009C024E" w:rsidRPr="00AD2037" w:rsidRDefault="009C024E" w:rsidP="00AD2037">
      <w:pPr>
        <w:spacing w:line="360" w:lineRule="auto"/>
        <w:jc w:val="both"/>
        <w:rPr>
          <w:rFonts w:ascii="Arial" w:hAnsi="Arial" w:cs="Arial"/>
          <w:sz w:val="24"/>
          <w:szCs w:val="24"/>
        </w:rPr>
      </w:pPr>
      <w:r w:rsidRPr="00AD2037">
        <w:rPr>
          <w:rFonts w:ascii="Arial" w:hAnsi="Arial" w:cs="Arial"/>
          <w:sz w:val="24"/>
          <w:szCs w:val="24"/>
        </w:rPr>
        <w:br w:type="page"/>
      </w:r>
    </w:p>
    <w:p w14:paraId="2DFF4D78" w14:textId="77777777" w:rsidR="12AA6BBA" w:rsidRPr="00AD2037" w:rsidRDefault="12AA6BBA" w:rsidP="00AD2037">
      <w:pPr>
        <w:spacing w:line="360" w:lineRule="auto"/>
        <w:jc w:val="both"/>
        <w:rPr>
          <w:rFonts w:ascii="Arial" w:hAnsi="Arial" w:cs="Arial"/>
          <w:sz w:val="24"/>
          <w:szCs w:val="24"/>
        </w:rPr>
      </w:pPr>
    </w:p>
    <w:p w14:paraId="156581CE" w14:textId="031B5B2D" w:rsidR="12AA6BBA" w:rsidRPr="00AD2037" w:rsidRDefault="12AA6BBA" w:rsidP="00AD2037">
      <w:pPr>
        <w:spacing w:line="360" w:lineRule="auto"/>
        <w:jc w:val="both"/>
        <w:rPr>
          <w:rFonts w:ascii="Arial" w:hAnsi="Arial" w:cs="Arial"/>
          <w:b/>
          <w:sz w:val="24"/>
          <w:szCs w:val="24"/>
        </w:rPr>
      </w:pPr>
      <w:r w:rsidRPr="00AD2037">
        <w:rPr>
          <w:rFonts w:ascii="Arial" w:hAnsi="Arial" w:cs="Arial"/>
          <w:b/>
          <w:sz w:val="24"/>
          <w:szCs w:val="24"/>
        </w:rPr>
        <w:t xml:space="preserve"> References </w:t>
      </w:r>
    </w:p>
    <w:p w14:paraId="7B913157" w14:textId="50E70312" w:rsidR="12AA6BBA" w:rsidRPr="00AD2037" w:rsidRDefault="12AA6BBA" w:rsidP="00AD2037">
      <w:pPr>
        <w:spacing w:line="360" w:lineRule="auto"/>
        <w:jc w:val="both"/>
        <w:rPr>
          <w:rFonts w:ascii="Arial" w:eastAsia="Calibri" w:hAnsi="Arial" w:cs="Arial"/>
          <w:sz w:val="24"/>
          <w:szCs w:val="24"/>
        </w:rPr>
      </w:pPr>
      <w:r w:rsidRPr="00AD2037">
        <w:rPr>
          <w:rFonts w:ascii="Arial" w:eastAsia="Arial" w:hAnsi="Arial" w:cs="Arial"/>
          <w:color w:val="222222"/>
          <w:sz w:val="24"/>
          <w:szCs w:val="24"/>
        </w:rPr>
        <w:t xml:space="preserve">Cooper, C. and Wahab, S. eds., 2005. </w:t>
      </w:r>
      <w:r w:rsidRPr="00AD2037">
        <w:rPr>
          <w:rFonts w:ascii="Arial" w:eastAsia="Arial" w:hAnsi="Arial" w:cs="Arial"/>
          <w:i/>
          <w:iCs/>
          <w:color w:val="222222"/>
          <w:sz w:val="24"/>
          <w:szCs w:val="24"/>
        </w:rPr>
        <w:t xml:space="preserve">Tourism in the Age of </w:t>
      </w:r>
      <w:proofErr w:type="spellStart"/>
      <w:r w:rsidRPr="00AD2037">
        <w:rPr>
          <w:rFonts w:ascii="Arial" w:eastAsia="Arial" w:hAnsi="Arial" w:cs="Arial"/>
          <w:i/>
          <w:iCs/>
          <w:color w:val="222222"/>
          <w:sz w:val="24"/>
          <w:szCs w:val="24"/>
        </w:rPr>
        <w:t>Globalisation</w:t>
      </w:r>
      <w:proofErr w:type="spellEnd"/>
      <w:r w:rsidRPr="00AD2037">
        <w:rPr>
          <w:rFonts w:ascii="Arial" w:eastAsia="Arial" w:hAnsi="Arial" w:cs="Arial"/>
          <w:color w:val="222222"/>
          <w:sz w:val="24"/>
          <w:szCs w:val="24"/>
        </w:rPr>
        <w:t>. Routledge.</w:t>
      </w:r>
    </w:p>
    <w:p w14:paraId="624106EB" w14:textId="08A87D0B" w:rsidR="12AA6BBA" w:rsidRPr="00AD2037" w:rsidRDefault="12AA6BBA" w:rsidP="00AD2037">
      <w:pPr>
        <w:spacing w:line="360" w:lineRule="auto"/>
        <w:jc w:val="both"/>
        <w:rPr>
          <w:rFonts w:ascii="Arial" w:eastAsia="Calibri" w:hAnsi="Arial" w:cs="Arial"/>
          <w:sz w:val="24"/>
          <w:szCs w:val="24"/>
        </w:rPr>
      </w:pPr>
      <w:proofErr w:type="spellStart"/>
      <w:r w:rsidRPr="00AD2037">
        <w:rPr>
          <w:rFonts w:ascii="Arial" w:eastAsia="Arial" w:hAnsi="Arial" w:cs="Arial"/>
          <w:color w:val="222222"/>
          <w:sz w:val="24"/>
          <w:szCs w:val="24"/>
        </w:rPr>
        <w:t>Jandt</w:t>
      </w:r>
      <w:proofErr w:type="spellEnd"/>
      <w:r w:rsidRPr="00AD2037">
        <w:rPr>
          <w:rFonts w:ascii="Arial" w:eastAsia="Arial" w:hAnsi="Arial" w:cs="Arial"/>
          <w:color w:val="222222"/>
          <w:sz w:val="24"/>
          <w:szCs w:val="24"/>
        </w:rPr>
        <w:t xml:space="preserve">, F.E., 2017. </w:t>
      </w:r>
      <w:r w:rsidRPr="00AD2037">
        <w:rPr>
          <w:rFonts w:ascii="Arial" w:eastAsia="Arial" w:hAnsi="Arial" w:cs="Arial"/>
          <w:i/>
          <w:iCs/>
          <w:color w:val="222222"/>
          <w:sz w:val="24"/>
          <w:szCs w:val="24"/>
        </w:rPr>
        <w:t>An introduction to intercultural communication: Identities in a global community</w:t>
      </w:r>
      <w:r w:rsidRPr="00AD2037">
        <w:rPr>
          <w:rFonts w:ascii="Arial" w:eastAsia="Arial" w:hAnsi="Arial" w:cs="Arial"/>
          <w:color w:val="222222"/>
          <w:sz w:val="24"/>
          <w:szCs w:val="24"/>
        </w:rPr>
        <w:t>. Sage Publications.</w:t>
      </w:r>
    </w:p>
    <w:p w14:paraId="535D70C4" w14:textId="7FE95A1F" w:rsidR="12AA6BBA" w:rsidRPr="00AD2037" w:rsidRDefault="12AA6BBA" w:rsidP="00AD2037">
      <w:pPr>
        <w:spacing w:line="360" w:lineRule="auto"/>
        <w:jc w:val="both"/>
        <w:rPr>
          <w:rFonts w:ascii="Arial" w:eastAsia="Arial" w:hAnsi="Arial" w:cs="Arial"/>
          <w:sz w:val="24"/>
          <w:szCs w:val="24"/>
        </w:rPr>
      </w:pPr>
      <w:r w:rsidRPr="00AD2037">
        <w:rPr>
          <w:rFonts w:ascii="Arial" w:eastAsia="Arial" w:hAnsi="Arial" w:cs="Arial"/>
          <w:color w:val="222222"/>
          <w:sz w:val="24"/>
          <w:szCs w:val="24"/>
        </w:rPr>
        <w:t xml:space="preserve">Kim, C. and Lee, S., 2020. Understanding the cultural differences in tourist motivation between Anglo-American and Japanese tourists. In </w:t>
      </w:r>
      <w:r w:rsidRPr="00AD2037">
        <w:rPr>
          <w:rFonts w:ascii="Arial" w:eastAsia="Arial" w:hAnsi="Arial" w:cs="Arial"/>
          <w:i/>
          <w:iCs/>
          <w:color w:val="222222"/>
          <w:sz w:val="24"/>
          <w:szCs w:val="24"/>
        </w:rPr>
        <w:t>Japanese tourists: Socio-economic, marketing and psychological analysis</w:t>
      </w:r>
      <w:r w:rsidRPr="00AD2037">
        <w:rPr>
          <w:rFonts w:ascii="Arial" w:eastAsia="Arial" w:hAnsi="Arial" w:cs="Arial"/>
          <w:color w:val="222222"/>
          <w:sz w:val="24"/>
          <w:szCs w:val="24"/>
        </w:rPr>
        <w:t xml:space="preserve"> (pp. 153-170). Routledge.</w:t>
      </w:r>
    </w:p>
    <w:p w14:paraId="2BD5A503" w14:textId="4F6CFC0B" w:rsidR="12AA6BBA" w:rsidRPr="00AD2037" w:rsidRDefault="12AA6BBA" w:rsidP="00AD2037">
      <w:pPr>
        <w:spacing w:line="360" w:lineRule="auto"/>
        <w:jc w:val="both"/>
        <w:rPr>
          <w:rFonts w:ascii="Arial" w:eastAsia="Arial" w:hAnsi="Arial" w:cs="Arial"/>
          <w:sz w:val="24"/>
          <w:szCs w:val="24"/>
        </w:rPr>
      </w:pPr>
      <w:r w:rsidRPr="00AD2037">
        <w:rPr>
          <w:rFonts w:ascii="Arial" w:eastAsia="Arial" w:hAnsi="Arial" w:cs="Arial"/>
          <w:color w:val="222222"/>
          <w:sz w:val="24"/>
          <w:szCs w:val="24"/>
        </w:rPr>
        <w:t>Kim, S. and O'Connor, N., 2011. A cross</w:t>
      </w:r>
      <w:r w:rsidRPr="00AD2037">
        <w:rPr>
          <w:rFonts w:ascii="Cambria Math" w:eastAsia="Arial" w:hAnsi="Cambria Math" w:cs="Cambria Math"/>
          <w:color w:val="222222"/>
          <w:sz w:val="24"/>
          <w:szCs w:val="24"/>
        </w:rPr>
        <w:t>‐</w:t>
      </w:r>
      <w:r w:rsidRPr="00AD2037">
        <w:rPr>
          <w:rFonts w:ascii="Arial" w:eastAsia="Arial" w:hAnsi="Arial" w:cs="Arial"/>
          <w:color w:val="222222"/>
          <w:sz w:val="24"/>
          <w:szCs w:val="24"/>
        </w:rPr>
        <w:t>cultural study of screen</w:t>
      </w:r>
      <w:r w:rsidRPr="00AD2037">
        <w:rPr>
          <w:rFonts w:ascii="Cambria Math" w:eastAsia="Arial" w:hAnsi="Cambria Math" w:cs="Cambria Math"/>
          <w:color w:val="222222"/>
          <w:sz w:val="24"/>
          <w:szCs w:val="24"/>
        </w:rPr>
        <w:t>‐</w:t>
      </w:r>
      <w:r w:rsidRPr="00AD2037">
        <w:rPr>
          <w:rFonts w:ascii="Arial" w:eastAsia="Arial" w:hAnsi="Arial" w:cs="Arial"/>
          <w:color w:val="222222"/>
          <w:sz w:val="24"/>
          <w:szCs w:val="24"/>
        </w:rPr>
        <w:t xml:space="preserve">tourists' profiles. </w:t>
      </w:r>
      <w:r w:rsidRPr="00AD2037">
        <w:rPr>
          <w:rFonts w:ascii="Arial" w:eastAsia="Arial" w:hAnsi="Arial" w:cs="Arial"/>
          <w:i/>
          <w:iCs/>
          <w:color w:val="222222"/>
          <w:sz w:val="24"/>
          <w:szCs w:val="24"/>
        </w:rPr>
        <w:t>Worldwide Hospitality and Tourism Themes</w:t>
      </w:r>
      <w:r w:rsidRPr="00AD2037">
        <w:rPr>
          <w:rFonts w:ascii="Arial" w:eastAsia="Arial" w:hAnsi="Arial" w:cs="Arial"/>
          <w:color w:val="222222"/>
          <w:sz w:val="24"/>
          <w:szCs w:val="24"/>
        </w:rPr>
        <w:t>.</w:t>
      </w:r>
    </w:p>
    <w:p w14:paraId="60B6DE93" w14:textId="5F9C64AC" w:rsidR="12AA6BBA" w:rsidRPr="00AD2037" w:rsidRDefault="12AA6BBA" w:rsidP="00AD2037">
      <w:pPr>
        <w:spacing w:line="360" w:lineRule="auto"/>
        <w:jc w:val="both"/>
        <w:rPr>
          <w:rFonts w:ascii="Arial" w:eastAsia="Arial" w:hAnsi="Arial" w:cs="Arial"/>
          <w:sz w:val="24"/>
          <w:szCs w:val="24"/>
        </w:rPr>
      </w:pPr>
      <w:proofErr w:type="spellStart"/>
      <w:r w:rsidRPr="00AD2037">
        <w:rPr>
          <w:rFonts w:ascii="Arial" w:eastAsia="Arial" w:hAnsi="Arial" w:cs="Arial"/>
          <w:color w:val="222222"/>
          <w:sz w:val="24"/>
          <w:szCs w:val="24"/>
        </w:rPr>
        <w:t>Meethan</w:t>
      </w:r>
      <w:proofErr w:type="spellEnd"/>
      <w:r w:rsidRPr="00AD2037">
        <w:rPr>
          <w:rFonts w:ascii="Arial" w:eastAsia="Arial" w:hAnsi="Arial" w:cs="Arial"/>
          <w:color w:val="222222"/>
          <w:sz w:val="24"/>
          <w:szCs w:val="24"/>
        </w:rPr>
        <w:t xml:space="preserve">, K., 2005. Tourism in global society. Place, culture, consumption. </w:t>
      </w:r>
      <w:proofErr w:type="spellStart"/>
      <w:r w:rsidRPr="00AD2037">
        <w:rPr>
          <w:rFonts w:ascii="Arial" w:eastAsia="Arial" w:hAnsi="Arial" w:cs="Arial"/>
          <w:i/>
          <w:iCs/>
          <w:color w:val="222222"/>
          <w:sz w:val="24"/>
          <w:szCs w:val="24"/>
        </w:rPr>
        <w:t>Relaciones</w:t>
      </w:r>
      <w:proofErr w:type="spellEnd"/>
      <w:r w:rsidRPr="00AD2037">
        <w:rPr>
          <w:rFonts w:ascii="Arial" w:eastAsia="Arial" w:hAnsi="Arial" w:cs="Arial"/>
          <w:i/>
          <w:iCs/>
          <w:color w:val="222222"/>
          <w:sz w:val="24"/>
          <w:szCs w:val="24"/>
        </w:rPr>
        <w:t xml:space="preserve">: </w:t>
      </w:r>
      <w:proofErr w:type="spellStart"/>
      <w:r w:rsidRPr="00AD2037">
        <w:rPr>
          <w:rFonts w:ascii="Arial" w:eastAsia="Arial" w:hAnsi="Arial" w:cs="Arial"/>
          <w:i/>
          <w:iCs/>
          <w:color w:val="222222"/>
          <w:sz w:val="24"/>
          <w:szCs w:val="24"/>
        </w:rPr>
        <w:t>Estudios</w:t>
      </w:r>
      <w:proofErr w:type="spellEnd"/>
      <w:r w:rsidRPr="00AD2037">
        <w:rPr>
          <w:rFonts w:ascii="Arial" w:eastAsia="Arial" w:hAnsi="Arial" w:cs="Arial"/>
          <w:i/>
          <w:iCs/>
          <w:color w:val="222222"/>
          <w:sz w:val="24"/>
          <w:szCs w:val="24"/>
        </w:rPr>
        <w:t xml:space="preserve"> de </w:t>
      </w:r>
      <w:proofErr w:type="spellStart"/>
      <w:r w:rsidRPr="00AD2037">
        <w:rPr>
          <w:rFonts w:ascii="Arial" w:eastAsia="Arial" w:hAnsi="Arial" w:cs="Arial"/>
          <w:i/>
          <w:iCs/>
          <w:color w:val="222222"/>
          <w:sz w:val="24"/>
          <w:szCs w:val="24"/>
        </w:rPr>
        <w:t>historia</w:t>
      </w:r>
      <w:proofErr w:type="spellEnd"/>
      <w:r w:rsidRPr="00AD2037">
        <w:rPr>
          <w:rFonts w:ascii="Arial" w:eastAsia="Arial" w:hAnsi="Arial" w:cs="Arial"/>
          <w:i/>
          <w:iCs/>
          <w:color w:val="222222"/>
          <w:sz w:val="24"/>
          <w:szCs w:val="24"/>
        </w:rPr>
        <w:t xml:space="preserve"> y </w:t>
      </w:r>
      <w:proofErr w:type="spellStart"/>
      <w:r w:rsidRPr="00AD2037">
        <w:rPr>
          <w:rFonts w:ascii="Arial" w:eastAsia="Arial" w:hAnsi="Arial" w:cs="Arial"/>
          <w:i/>
          <w:iCs/>
          <w:color w:val="222222"/>
          <w:sz w:val="24"/>
          <w:szCs w:val="24"/>
        </w:rPr>
        <w:t>sociedad</w:t>
      </w:r>
      <w:proofErr w:type="spellEnd"/>
      <w:r w:rsidRPr="00AD2037">
        <w:rPr>
          <w:rFonts w:ascii="Arial" w:eastAsia="Arial" w:hAnsi="Arial" w:cs="Arial"/>
          <w:color w:val="222222"/>
          <w:sz w:val="24"/>
          <w:szCs w:val="24"/>
        </w:rPr>
        <w:t xml:space="preserve">, </w:t>
      </w:r>
      <w:r w:rsidRPr="00AD2037">
        <w:rPr>
          <w:rFonts w:ascii="Arial" w:eastAsia="Arial" w:hAnsi="Arial" w:cs="Arial"/>
          <w:i/>
          <w:iCs/>
          <w:color w:val="222222"/>
          <w:sz w:val="24"/>
          <w:szCs w:val="24"/>
        </w:rPr>
        <w:t>26</w:t>
      </w:r>
      <w:r w:rsidRPr="00AD2037">
        <w:rPr>
          <w:rFonts w:ascii="Arial" w:eastAsia="Arial" w:hAnsi="Arial" w:cs="Arial"/>
          <w:color w:val="222222"/>
          <w:sz w:val="24"/>
          <w:szCs w:val="24"/>
        </w:rPr>
        <w:t>(103), pp.270-277.</w:t>
      </w:r>
    </w:p>
    <w:p w14:paraId="4CE6DF3C" w14:textId="5698A933" w:rsidR="12AA6BBA" w:rsidRPr="00AD2037" w:rsidRDefault="12AA6BBA" w:rsidP="00AD2037">
      <w:pPr>
        <w:spacing w:line="360" w:lineRule="auto"/>
        <w:jc w:val="both"/>
        <w:rPr>
          <w:rFonts w:ascii="Arial" w:eastAsia="Arial" w:hAnsi="Arial" w:cs="Arial"/>
          <w:sz w:val="24"/>
          <w:szCs w:val="24"/>
        </w:rPr>
      </w:pPr>
      <w:r w:rsidRPr="00AD2037">
        <w:rPr>
          <w:rFonts w:ascii="Arial" w:eastAsia="Arial" w:hAnsi="Arial" w:cs="Arial"/>
          <w:color w:val="222222"/>
          <w:sz w:val="24"/>
          <w:szCs w:val="24"/>
        </w:rPr>
        <w:t xml:space="preserve">Moran, R.T., Abramson, N.R. and Moran, S.V., 2014. </w:t>
      </w:r>
      <w:r w:rsidRPr="00AD2037">
        <w:rPr>
          <w:rFonts w:ascii="Arial" w:eastAsia="Arial" w:hAnsi="Arial" w:cs="Arial"/>
          <w:i/>
          <w:iCs/>
          <w:color w:val="222222"/>
          <w:sz w:val="24"/>
          <w:szCs w:val="24"/>
        </w:rPr>
        <w:t>Managing cultural differences</w:t>
      </w:r>
      <w:r w:rsidRPr="00AD2037">
        <w:rPr>
          <w:rFonts w:ascii="Arial" w:eastAsia="Arial" w:hAnsi="Arial" w:cs="Arial"/>
          <w:color w:val="222222"/>
          <w:sz w:val="24"/>
          <w:szCs w:val="24"/>
        </w:rPr>
        <w:t>. Routledge.</w:t>
      </w:r>
    </w:p>
    <w:p w14:paraId="08437F9F" w14:textId="4C47C943" w:rsidR="12AA6BBA" w:rsidRPr="00AD2037" w:rsidRDefault="12AA6BBA" w:rsidP="00AD2037">
      <w:pPr>
        <w:spacing w:line="360" w:lineRule="auto"/>
        <w:jc w:val="both"/>
        <w:rPr>
          <w:rFonts w:ascii="Arial" w:eastAsia="Arial" w:hAnsi="Arial" w:cs="Arial"/>
          <w:sz w:val="24"/>
          <w:szCs w:val="24"/>
        </w:rPr>
      </w:pPr>
      <w:r w:rsidRPr="00AD2037">
        <w:rPr>
          <w:rFonts w:ascii="Arial" w:eastAsia="Arial" w:hAnsi="Arial" w:cs="Arial"/>
          <w:color w:val="222222"/>
          <w:sz w:val="24"/>
          <w:szCs w:val="24"/>
        </w:rPr>
        <w:t xml:space="preserve">Seaton, P. and Yamamura, T., 2015, January. Japanese popular culture and contents tourism–Introduction. In </w:t>
      </w:r>
      <w:r w:rsidRPr="00AD2037">
        <w:rPr>
          <w:rFonts w:ascii="Arial" w:eastAsia="Arial" w:hAnsi="Arial" w:cs="Arial"/>
          <w:i/>
          <w:iCs/>
          <w:color w:val="222222"/>
          <w:sz w:val="24"/>
          <w:szCs w:val="24"/>
        </w:rPr>
        <w:t>Japan forum</w:t>
      </w:r>
      <w:r w:rsidRPr="00AD2037">
        <w:rPr>
          <w:rFonts w:ascii="Arial" w:eastAsia="Arial" w:hAnsi="Arial" w:cs="Arial"/>
          <w:color w:val="222222"/>
          <w:sz w:val="24"/>
          <w:szCs w:val="24"/>
        </w:rPr>
        <w:t xml:space="preserve"> (Vol. 27, No. 1, pp. 1-11). Routledge.</w:t>
      </w:r>
    </w:p>
    <w:p w14:paraId="6CA9144B" w14:textId="1C4534F8" w:rsidR="12AA6BBA" w:rsidRPr="00AD2037" w:rsidRDefault="12AA6BBA" w:rsidP="00AD2037">
      <w:pPr>
        <w:spacing w:line="360" w:lineRule="auto"/>
        <w:jc w:val="both"/>
        <w:rPr>
          <w:rFonts w:ascii="Arial" w:eastAsia="Arial" w:hAnsi="Arial" w:cs="Arial"/>
          <w:sz w:val="24"/>
          <w:szCs w:val="24"/>
        </w:rPr>
      </w:pPr>
      <w:r w:rsidRPr="00AD2037">
        <w:rPr>
          <w:rFonts w:ascii="Arial" w:eastAsia="Arial" w:hAnsi="Arial" w:cs="Arial"/>
          <w:color w:val="222222"/>
          <w:sz w:val="24"/>
          <w:szCs w:val="24"/>
        </w:rPr>
        <w:t xml:space="preserve">Watkins, L.J. and </w:t>
      </w:r>
      <w:proofErr w:type="spellStart"/>
      <w:r w:rsidRPr="00AD2037">
        <w:rPr>
          <w:rFonts w:ascii="Arial" w:eastAsia="Arial" w:hAnsi="Arial" w:cs="Arial"/>
          <w:color w:val="222222"/>
          <w:sz w:val="24"/>
          <w:szCs w:val="24"/>
        </w:rPr>
        <w:t>Gnoth</w:t>
      </w:r>
      <w:proofErr w:type="spellEnd"/>
      <w:r w:rsidRPr="00AD2037">
        <w:rPr>
          <w:rFonts w:ascii="Arial" w:eastAsia="Arial" w:hAnsi="Arial" w:cs="Arial"/>
          <w:color w:val="222222"/>
          <w:sz w:val="24"/>
          <w:szCs w:val="24"/>
        </w:rPr>
        <w:t xml:space="preserve">, J., 2011. Japanese tourism values: A means–end investigation. </w:t>
      </w:r>
      <w:r w:rsidRPr="00AD2037">
        <w:rPr>
          <w:rFonts w:ascii="Arial" w:eastAsia="Arial" w:hAnsi="Arial" w:cs="Arial"/>
          <w:i/>
          <w:iCs/>
          <w:color w:val="222222"/>
          <w:sz w:val="24"/>
          <w:szCs w:val="24"/>
        </w:rPr>
        <w:t>Journal of Travel Research</w:t>
      </w:r>
      <w:r w:rsidRPr="00AD2037">
        <w:rPr>
          <w:rFonts w:ascii="Arial" w:eastAsia="Arial" w:hAnsi="Arial" w:cs="Arial"/>
          <w:color w:val="222222"/>
          <w:sz w:val="24"/>
          <w:szCs w:val="24"/>
        </w:rPr>
        <w:t xml:space="preserve">, </w:t>
      </w:r>
      <w:r w:rsidRPr="00AD2037">
        <w:rPr>
          <w:rFonts w:ascii="Arial" w:eastAsia="Arial" w:hAnsi="Arial" w:cs="Arial"/>
          <w:i/>
          <w:iCs/>
          <w:color w:val="222222"/>
          <w:sz w:val="24"/>
          <w:szCs w:val="24"/>
        </w:rPr>
        <w:t>50</w:t>
      </w:r>
      <w:r w:rsidRPr="00AD2037">
        <w:rPr>
          <w:rFonts w:ascii="Arial" w:eastAsia="Arial" w:hAnsi="Arial" w:cs="Arial"/>
          <w:color w:val="222222"/>
          <w:sz w:val="24"/>
          <w:szCs w:val="24"/>
        </w:rPr>
        <w:t>(6), pp.654-668.</w:t>
      </w:r>
    </w:p>
    <w:sectPr w:rsidR="12AA6BBA" w:rsidRPr="00AD203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063F61" w14:textId="77777777" w:rsidR="00952896" w:rsidRDefault="00952896" w:rsidP="000C599E">
      <w:pPr>
        <w:spacing w:after="0" w:line="240" w:lineRule="auto"/>
      </w:pPr>
      <w:r>
        <w:separator/>
      </w:r>
    </w:p>
  </w:endnote>
  <w:endnote w:type="continuationSeparator" w:id="0">
    <w:p w14:paraId="1DA172AC" w14:textId="77777777" w:rsidR="00952896" w:rsidRDefault="00952896" w:rsidP="000C59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533AB6" w14:textId="77777777" w:rsidR="00952896" w:rsidRDefault="00952896" w:rsidP="000C599E">
      <w:pPr>
        <w:spacing w:after="0" w:line="240" w:lineRule="auto"/>
      </w:pPr>
      <w:r>
        <w:separator/>
      </w:r>
    </w:p>
  </w:footnote>
  <w:footnote w:type="continuationSeparator" w:id="0">
    <w:p w14:paraId="5DDFE8D1" w14:textId="77777777" w:rsidR="00952896" w:rsidRDefault="00952896" w:rsidP="000C599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0EF002C"/>
    <w:rsid w:val="000C599E"/>
    <w:rsid w:val="00952896"/>
    <w:rsid w:val="009C024E"/>
    <w:rsid w:val="00AD2037"/>
    <w:rsid w:val="00DD2AF6"/>
    <w:rsid w:val="12AA6BBA"/>
    <w:rsid w:val="70EF002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EF002C"/>
  <w15:chartTrackingRefBased/>
  <w15:docId w15:val="{7DB3CCEE-078F-470F-B632-7A9F56826C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C59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599E"/>
  </w:style>
  <w:style w:type="paragraph" w:styleId="Footer">
    <w:name w:val="footer"/>
    <w:basedOn w:val="Normal"/>
    <w:link w:val="FooterChar"/>
    <w:uiPriority w:val="99"/>
    <w:unhideWhenUsed/>
    <w:rsid w:val="000C59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59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1335</Words>
  <Characters>7611</Characters>
  <Application>Microsoft Office Word</Application>
  <DocSecurity>0</DocSecurity>
  <Lines>63</Lines>
  <Paragraphs>17</Paragraphs>
  <ScaleCrop>false</ScaleCrop>
  <Company/>
  <LinksUpToDate>false</LinksUpToDate>
  <CharactersWithSpaces>8929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Writer 3</dc:creator>
  <cp:keywords/>
  <dc:description/>
  <cp:lastModifiedBy>iulia dascal</cp:lastModifiedBy>
  <cp:revision>8</cp:revision>
  <dcterms:created xsi:type="dcterms:W3CDTF">2023-06-14T17:12:00Z</dcterms:created>
  <dcterms:modified xsi:type="dcterms:W3CDTF">2023-06-15T18:37:00Z</dcterms:modified>
</cp:coreProperties>
</file>