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5DF7FB" w14:textId="77777777" w:rsidR="00F10402" w:rsidRPr="00F10402" w:rsidRDefault="00F10402" w:rsidP="00F10402">
      <w:pPr>
        <w:jc w:val="center"/>
        <w:rPr>
          <w:b/>
          <w:bCs/>
          <w:sz w:val="72"/>
          <w:szCs w:val="72"/>
        </w:rPr>
      </w:pPr>
      <w:r w:rsidRPr="00F10402">
        <w:rPr>
          <w:b/>
          <w:bCs/>
          <w:sz w:val="72"/>
          <w:szCs w:val="72"/>
        </w:rPr>
        <w:t>Investigating the Human Factors Which Led to the Flixborough Disaster on 1st June 1974</w:t>
      </w:r>
    </w:p>
    <w:p w14:paraId="3537A788" w14:textId="77777777" w:rsidR="00F10402" w:rsidRDefault="00F10402" w:rsidP="00F10402">
      <w:pPr>
        <w:rPr>
          <w:b/>
          <w:bCs/>
        </w:rPr>
      </w:pPr>
    </w:p>
    <w:p w14:paraId="5DDC2590" w14:textId="77777777" w:rsidR="00F10402" w:rsidRDefault="00F10402" w:rsidP="00F10402">
      <w:pPr>
        <w:rPr>
          <w:b/>
          <w:bCs/>
        </w:rPr>
      </w:pPr>
    </w:p>
    <w:p w14:paraId="0A44C43A" w14:textId="77777777" w:rsidR="00F10402" w:rsidRPr="00F10402" w:rsidRDefault="00F10402" w:rsidP="00F10402">
      <w:pPr>
        <w:rPr>
          <w:b/>
          <w:bCs/>
        </w:rPr>
      </w:pPr>
    </w:p>
    <w:p w14:paraId="60FF3338" w14:textId="1C077974" w:rsidR="00F10402" w:rsidRPr="00F10402" w:rsidRDefault="00F10402" w:rsidP="00F10402">
      <w:pPr>
        <w:jc w:val="center"/>
        <w:rPr>
          <w:sz w:val="44"/>
          <w:szCs w:val="44"/>
        </w:rPr>
      </w:pPr>
      <w:r w:rsidRPr="00F10402">
        <w:rPr>
          <w:sz w:val="44"/>
          <w:szCs w:val="44"/>
        </w:rPr>
        <w:t>Emma Lane 2313851</w:t>
      </w:r>
    </w:p>
    <w:p w14:paraId="2D183F90" w14:textId="77777777" w:rsidR="00F10402" w:rsidRDefault="00F10402" w:rsidP="00F10402"/>
    <w:p w14:paraId="5F3C1BF4" w14:textId="77777777" w:rsidR="00F10402" w:rsidRDefault="00F10402" w:rsidP="00F10402"/>
    <w:p w14:paraId="21A35F2C" w14:textId="77777777" w:rsidR="00F10402" w:rsidRDefault="00F10402" w:rsidP="00F10402"/>
    <w:p w14:paraId="358BB7F6" w14:textId="77777777" w:rsidR="00F10402" w:rsidRDefault="00F10402" w:rsidP="00F10402"/>
    <w:p w14:paraId="181601AD" w14:textId="77777777" w:rsidR="00F10402" w:rsidRDefault="00F10402" w:rsidP="00F10402"/>
    <w:p w14:paraId="1E96E047" w14:textId="77777777" w:rsidR="00F10402" w:rsidRDefault="00F10402" w:rsidP="00F10402"/>
    <w:p w14:paraId="750918EE" w14:textId="77777777" w:rsidR="00F10402" w:rsidRDefault="00F10402" w:rsidP="00F10402"/>
    <w:p w14:paraId="34A76B11" w14:textId="77777777" w:rsidR="00F10402" w:rsidRDefault="00F10402" w:rsidP="00F10402"/>
    <w:p w14:paraId="7AEBADC8" w14:textId="77777777" w:rsidR="00F10402" w:rsidRDefault="00F10402" w:rsidP="00F10402"/>
    <w:p w14:paraId="70BC66E3" w14:textId="77777777" w:rsidR="00F10402" w:rsidRDefault="00F10402" w:rsidP="00F10402"/>
    <w:p w14:paraId="2B6BD787" w14:textId="77777777" w:rsidR="00F10402" w:rsidRDefault="00F10402" w:rsidP="00F10402"/>
    <w:p w14:paraId="7A5E87A1" w14:textId="77777777" w:rsidR="00F10402" w:rsidRDefault="00F10402" w:rsidP="00F10402"/>
    <w:p w14:paraId="0EFF713B" w14:textId="77777777" w:rsidR="00F10402" w:rsidRDefault="00F10402" w:rsidP="00F10402"/>
    <w:p w14:paraId="4F4DC4E5" w14:textId="77777777" w:rsidR="00F10402" w:rsidRDefault="00F10402" w:rsidP="00F10402"/>
    <w:p w14:paraId="66E235BB" w14:textId="77777777" w:rsidR="00F10402" w:rsidRDefault="00F10402" w:rsidP="00F10402"/>
    <w:sdt>
      <w:sdtPr>
        <w:rPr>
          <w:rFonts w:asciiTheme="minorHAnsi" w:eastAsiaTheme="minorHAnsi" w:hAnsiTheme="minorHAnsi" w:cstheme="minorBidi"/>
          <w:color w:val="auto"/>
          <w:kern w:val="2"/>
          <w:sz w:val="24"/>
          <w:szCs w:val="24"/>
          <w:lang w:val="en-GB"/>
          <w14:ligatures w14:val="standardContextual"/>
        </w:rPr>
        <w:id w:val="-1203551556"/>
        <w:docPartObj>
          <w:docPartGallery w:val="Table of Contents"/>
          <w:docPartUnique/>
        </w:docPartObj>
      </w:sdtPr>
      <w:sdtEndPr>
        <w:rPr>
          <w:b/>
          <w:bCs/>
          <w:noProof/>
        </w:rPr>
      </w:sdtEndPr>
      <w:sdtContent>
        <w:p w14:paraId="02951310" w14:textId="385E1C89" w:rsidR="00F10402" w:rsidRDefault="00F10402">
          <w:pPr>
            <w:pStyle w:val="TOCHeading"/>
          </w:pPr>
          <w:r>
            <w:t>Contents</w:t>
          </w:r>
        </w:p>
        <w:p w14:paraId="7D4479FA" w14:textId="378EC90C" w:rsidR="00BB51A1" w:rsidRDefault="00F10402">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03651216" w:history="1">
            <w:r w:rsidR="00BB51A1" w:rsidRPr="0090223E">
              <w:rPr>
                <w:rStyle w:val="Hyperlink"/>
                <w:noProof/>
              </w:rPr>
              <w:t>1.</w:t>
            </w:r>
            <w:r w:rsidR="00BB51A1">
              <w:rPr>
                <w:rFonts w:eastAsiaTheme="minorEastAsia"/>
                <w:noProof/>
                <w:lang w:eastAsia="en-GB"/>
              </w:rPr>
              <w:tab/>
            </w:r>
            <w:r w:rsidR="00BB51A1" w:rsidRPr="0090223E">
              <w:rPr>
                <w:rStyle w:val="Hyperlink"/>
                <w:noProof/>
              </w:rPr>
              <w:t>Introduction</w:t>
            </w:r>
            <w:r w:rsidR="00BB51A1">
              <w:rPr>
                <w:noProof/>
                <w:webHidden/>
              </w:rPr>
              <w:tab/>
            </w:r>
            <w:r w:rsidR="00BB51A1">
              <w:rPr>
                <w:noProof/>
                <w:webHidden/>
              </w:rPr>
              <w:fldChar w:fldCharType="begin"/>
            </w:r>
            <w:r w:rsidR="00BB51A1">
              <w:rPr>
                <w:noProof/>
                <w:webHidden/>
              </w:rPr>
              <w:instrText xml:space="preserve"> PAGEREF _Toc203651216 \h </w:instrText>
            </w:r>
            <w:r w:rsidR="00BB51A1">
              <w:rPr>
                <w:noProof/>
                <w:webHidden/>
              </w:rPr>
            </w:r>
            <w:r w:rsidR="00BB51A1">
              <w:rPr>
                <w:noProof/>
                <w:webHidden/>
              </w:rPr>
              <w:fldChar w:fldCharType="separate"/>
            </w:r>
            <w:r w:rsidR="00BB51A1">
              <w:rPr>
                <w:noProof/>
                <w:webHidden/>
              </w:rPr>
              <w:t>3</w:t>
            </w:r>
            <w:r w:rsidR="00BB51A1">
              <w:rPr>
                <w:noProof/>
                <w:webHidden/>
              </w:rPr>
              <w:fldChar w:fldCharType="end"/>
            </w:r>
          </w:hyperlink>
        </w:p>
        <w:p w14:paraId="47085D90" w14:textId="1B8600F8" w:rsidR="00BB51A1" w:rsidRDefault="00BB51A1">
          <w:pPr>
            <w:pStyle w:val="TOC1"/>
            <w:tabs>
              <w:tab w:val="left" w:pos="480"/>
              <w:tab w:val="right" w:leader="dot" w:pos="9016"/>
            </w:tabs>
            <w:rPr>
              <w:rFonts w:eastAsiaTheme="minorEastAsia"/>
              <w:noProof/>
              <w:lang w:eastAsia="en-GB"/>
            </w:rPr>
          </w:pPr>
          <w:hyperlink w:anchor="_Toc203651217" w:history="1">
            <w:r w:rsidRPr="0090223E">
              <w:rPr>
                <w:rStyle w:val="Hyperlink"/>
                <w:noProof/>
              </w:rPr>
              <w:t>2.</w:t>
            </w:r>
            <w:r>
              <w:rPr>
                <w:rFonts w:eastAsiaTheme="minorEastAsia"/>
                <w:noProof/>
                <w:lang w:eastAsia="en-GB"/>
              </w:rPr>
              <w:tab/>
            </w:r>
            <w:r w:rsidRPr="0090223E">
              <w:rPr>
                <w:rStyle w:val="Hyperlink"/>
                <w:noProof/>
              </w:rPr>
              <w:t>Overview of the Flixborough Disaster</w:t>
            </w:r>
            <w:r>
              <w:rPr>
                <w:noProof/>
                <w:webHidden/>
              </w:rPr>
              <w:tab/>
            </w:r>
            <w:r>
              <w:rPr>
                <w:noProof/>
                <w:webHidden/>
              </w:rPr>
              <w:fldChar w:fldCharType="begin"/>
            </w:r>
            <w:r>
              <w:rPr>
                <w:noProof/>
                <w:webHidden/>
              </w:rPr>
              <w:instrText xml:space="preserve"> PAGEREF _Toc203651217 \h </w:instrText>
            </w:r>
            <w:r>
              <w:rPr>
                <w:noProof/>
                <w:webHidden/>
              </w:rPr>
            </w:r>
            <w:r>
              <w:rPr>
                <w:noProof/>
                <w:webHidden/>
              </w:rPr>
              <w:fldChar w:fldCharType="separate"/>
            </w:r>
            <w:r>
              <w:rPr>
                <w:noProof/>
                <w:webHidden/>
              </w:rPr>
              <w:t>4</w:t>
            </w:r>
            <w:r>
              <w:rPr>
                <w:noProof/>
                <w:webHidden/>
              </w:rPr>
              <w:fldChar w:fldCharType="end"/>
            </w:r>
          </w:hyperlink>
        </w:p>
        <w:p w14:paraId="26FA2CF7" w14:textId="71AAC903" w:rsidR="00BB51A1" w:rsidRDefault="00BB51A1">
          <w:pPr>
            <w:pStyle w:val="TOC2"/>
            <w:tabs>
              <w:tab w:val="right" w:leader="dot" w:pos="9016"/>
            </w:tabs>
            <w:rPr>
              <w:rFonts w:eastAsiaTheme="minorEastAsia"/>
              <w:noProof/>
              <w:lang w:eastAsia="en-GB"/>
            </w:rPr>
          </w:pPr>
          <w:hyperlink w:anchor="_Toc203651218" w:history="1">
            <w:r w:rsidRPr="0090223E">
              <w:rPr>
                <w:rStyle w:val="Hyperlink"/>
                <w:noProof/>
              </w:rPr>
              <w:t>2.1 Incident Summary</w:t>
            </w:r>
            <w:r>
              <w:rPr>
                <w:noProof/>
                <w:webHidden/>
              </w:rPr>
              <w:tab/>
            </w:r>
            <w:r>
              <w:rPr>
                <w:noProof/>
                <w:webHidden/>
              </w:rPr>
              <w:fldChar w:fldCharType="begin"/>
            </w:r>
            <w:r>
              <w:rPr>
                <w:noProof/>
                <w:webHidden/>
              </w:rPr>
              <w:instrText xml:space="preserve"> PAGEREF _Toc203651218 \h </w:instrText>
            </w:r>
            <w:r>
              <w:rPr>
                <w:noProof/>
                <w:webHidden/>
              </w:rPr>
            </w:r>
            <w:r>
              <w:rPr>
                <w:noProof/>
                <w:webHidden/>
              </w:rPr>
              <w:fldChar w:fldCharType="separate"/>
            </w:r>
            <w:r>
              <w:rPr>
                <w:noProof/>
                <w:webHidden/>
              </w:rPr>
              <w:t>4</w:t>
            </w:r>
            <w:r>
              <w:rPr>
                <w:noProof/>
                <w:webHidden/>
              </w:rPr>
              <w:fldChar w:fldCharType="end"/>
            </w:r>
          </w:hyperlink>
        </w:p>
        <w:p w14:paraId="669BB66D" w14:textId="39DD2EC1" w:rsidR="00BB51A1" w:rsidRDefault="00BB51A1">
          <w:pPr>
            <w:pStyle w:val="TOC2"/>
            <w:tabs>
              <w:tab w:val="left" w:pos="960"/>
              <w:tab w:val="right" w:leader="dot" w:pos="9016"/>
            </w:tabs>
            <w:rPr>
              <w:rFonts w:eastAsiaTheme="minorEastAsia"/>
              <w:noProof/>
              <w:lang w:eastAsia="en-GB"/>
            </w:rPr>
          </w:pPr>
          <w:hyperlink w:anchor="_Toc203651219" w:history="1">
            <w:r w:rsidRPr="0090223E">
              <w:rPr>
                <w:rStyle w:val="Hyperlink"/>
                <w:noProof/>
              </w:rPr>
              <w:t>2.2</w:t>
            </w:r>
            <w:r>
              <w:rPr>
                <w:rFonts w:eastAsiaTheme="minorEastAsia"/>
                <w:noProof/>
                <w:lang w:eastAsia="en-GB"/>
              </w:rPr>
              <w:tab/>
            </w:r>
            <w:r w:rsidRPr="0090223E">
              <w:rPr>
                <w:rStyle w:val="Hyperlink"/>
                <w:noProof/>
              </w:rPr>
              <w:t>Consequences</w:t>
            </w:r>
            <w:r>
              <w:rPr>
                <w:noProof/>
                <w:webHidden/>
              </w:rPr>
              <w:tab/>
            </w:r>
            <w:r>
              <w:rPr>
                <w:noProof/>
                <w:webHidden/>
              </w:rPr>
              <w:fldChar w:fldCharType="begin"/>
            </w:r>
            <w:r>
              <w:rPr>
                <w:noProof/>
                <w:webHidden/>
              </w:rPr>
              <w:instrText xml:space="preserve"> PAGEREF _Toc203651219 \h </w:instrText>
            </w:r>
            <w:r>
              <w:rPr>
                <w:noProof/>
                <w:webHidden/>
              </w:rPr>
            </w:r>
            <w:r>
              <w:rPr>
                <w:noProof/>
                <w:webHidden/>
              </w:rPr>
              <w:fldChar w:fldCharType="separate"/>
            </w:r>
            <w:r>
              <w:rPr>
                <w:noProof/>
                <w:webHidden/>
              </w:rPr>
              <w:t>4</w:t>
            </w:r>
            <w:r>
              <w:rPr>
                <w:noProof/>
                <w:webHidden/>
              </w:rPr>
              <w:fldChar w:fldCharType="end"/>
            </w:r>
          </w:hyperlink>
        </w:p>
        <w:p w14:paraId="7EB2645C" w14:textId="3604CACA" w:rsidR="00BB51A1" w:rsidRDefault="00BB51A1">
          <w:pPr>
            <w:pStyle w:val="TOC1"/>
            <w:tabs>
              <w:tab w:val="right" w:leader="dot" w:pos="9016"/>
            </w:tabs>
            <w:rPr>
              <w:rFonts w:eastAsiaTheme="minorEastAsia"/>
              <w:noProof/>
              <w:lang w:eastAsia="en-GB"/>
            </w:rPr>
          </w:pPr>
          <w:hyperlink w:anchor="_Toc203651220" w:history="1">
            <w:r w:rsidRPr="0090223E">
              <w:rPr>
                <w:rStyle w:val="Hyperlink"/>
                <w:noProof/>
              </w:rPr>
              <w:t>3. Human Factors Analysis using the Dirty Dozen</w:t>
            </w:r>
            <w:r>
              <w:rPr>
                <w:noProof/>
                <w:webHidden/>
              </w:rPr>
              <w:tab/>
            </w:r>
            <w:r>
              <w:rPr>
                <w:noProof/>
                <w:webHidden/>
              </w:rPr>
              <w:fldChar w:fldCharType="begin"/>
            </w:r>
            <w:r>
              <w:rPr>
                <w:noProof/>
                <w:webHidden/>
              </w:rPr>
              <w:instrText xml:space="preserve"> PAGEREF _Toc203651220 \h </w:instrText>
            </w:r>
            <w:r>
              <w:rPr>
                <w:noProof/>
                <w:webHidden/>
              </w:rPr>
            </w:r>
            <w:r>
              <w:rPr>
                <w:noProof/>
                <w:webHidden/>
              </w:rPr>
              <w:fldChar w:fldCharType="separate"/>
            </w:r>
            <w:r>
              <w:rPr>
                <w:noProof/>
                <w:webHidden/>
              </w:rPr>
              <w:t>5</w:t>
            </w:r>
            <w:r>
              <w:rPr>
                <w:noProof/>
                <w:webHidden/>
              </w:rPr>
              <w:fldChar w:fldCharType="end"/>
            </w:r>
          </w:hyperlink>
        </w:p>
        <w:p w14:paraId="1CC12BCA" w14:textId="0A1E6F4C" w:rsidR="00BB51A1" w:rsidRDefault="00BB51A1">
          <w:pPr>
            <w:pStyle w:val="TOC1"/>
            <w:tabs>
              <w:tab w:val="left" w:pos="480"/>
              <w:tab w:val="right" w:leader="dot" w:pos="9016"/>
            </w:tabs>
            <w:rPr>
              <w:rFonts w:eastAsiaTheme="minorEastAsia"/>
              <w:noProof/>
              <w:lang w:eastAsia="en-GB"/>
            </w:rPr>
          </w:pPr>
          <w:hyperlink w:anchor="_Toc203651221" w:history="1">
            <w:r w:rsidRPr="0090223E">
              <w:rPr>
                <w:rStyle w:val="Hyperlink"/>
                <w:noProof/>
              </w:rPr>
              <w:t>4.</w:t>
            </w:r>
            <w:r>
              <w:rPr>
                <w:rFonts w:eastAsiaTheme="minorEastAsia"/>
                <w:noProof/>
                <w:lang w:eastAsia="en-GB"/>
              </w:rPr>
              <w:tab/>
            </w:r>
            <w:r w:rsidRPr="0090223E">
              <w:rPr>
                <w:rStyle w:val="Hyperlink"/>
                <w:noProof/>
              </w:rPr>
              <w:t>Top Three Dirty Dozen Elements</w:t>
            </w:r>
            <w:r>
              <w:rPr>
                <w:noProof/>
                <w:webHidden/>
              </w:rPr>
              <w:tab/>
            </w:r>
            <w:r>
              <w:rPr>
                <w:noProof/>
                <w:webHidden/>
              </w:rPr>
              <w:fldChar w:fldCharType="begin"/>
            </w:r>
            <w:r>
              <w:rPr>
                <w:noProof/>
                <w:webHidden/>
              </w:rPr>
              <w:instrText xml:space="preserve"> PAGEREF _Toc203651221 \h </w:instrText>
            </w:r>
            <w:r>
              <w:rPr>
                <w:noProof/>
                <w:webHidden/>
              </w:rPr>
            </w:r>
            <w:r>
              <w:rPr>
                <w:noProof/>
                <w:webHidden/>
              </w:rPr>
              <w:fldChar w:fldCharType="separate"/>
            </w:r>
            <w:r>
              <w:rPr>
                <w:noProof/>
                <w:webHidden/>
              </w:rPr>
              <w:t>7</w:t>
            </w:r>
            <w:r>
              <w:rPr>
                <w:noProof/>
                <w:webHidden/>
              </w:rPr>
              <w:fldChar w:fldCharType="end"/>
            </w:r>
          </w:hyperlink>
        </w:p>
        <w:p w14:paraId="39B99C5B" w14:textId="3ED3B988" w:rsidR="00BB51A1" w:rsidRDefault="00BB51A1">
          <w:pPr>
            <w:pStyle w:val="TOC2"/>
            <w:tabs>
              <w:tab w:val="right" w:leader="dot" w:pos="9016"/>
            </w:tabs>
            <w:rPr>
              <w:rFonts w:eastAsiaTheme="minorEastAsia"/>
              <w:noProof/>
              <w:lang w:eastAsia="en-GB"/>
            </w:rPr>
          </w:pPr>
          <w:hyperlink w:anchor="_Toc203651222" w:history="1">
            <w:r w:rsidRPr="0090223E">
              <w:rPr>
                <w:rStyle w:val="Hyperlink"/>
                <w:noProof/>
              </w:rPr>
              <w:t>4.1 Lack of knowledge</w:t>
            </w:r>
            <w:r>
              <w:rPr>
                <w:noProof/>
                <w:webHidden/>
              </w:rPr>
              <w:tab/>
            </w:r>
            <w:r>
              <w:rPr>
                <w:noProof/>
                <w:webHidden/>
              </w:rPr>
              <w:fldChar w:fldCharType="begin"/>
            </w:r>
            <w:r>
              <w:rPr>
                <w:noProof/>
                <w:webHidden/>
              </w:rPr>
              <w:instrText xml:space="preserve"> PAGEREF _Toc203651222 \h </w:instrText>
            </w:r>
            <w:r>
              <w:rPr>
                <w:noProof/>
                <w:webHidden/>
              </w:rPr>
            </w:r>
            <w:r>
              <w:rPr>
                <w:noProof/>
                <w:webHidden/>
              </w:rPr>
              <w:fldChar w:fldCharType="separate"/>
            </w:r>
            <w:r>
              <w:rPr>
                <w:noProof/>
                <w:webHidden/>
              </w:rPr>
              <w:t>7</w:t>
            </w:r>
            <w:r>
              <w:rPr>
                <w:noProof/>
                <w:webHidden/>
              </w:rPr>
              <w:fldChar w:fldCharType="end"/>
            </w:r>
          </w:hyperlink>
        </w:p>
        <w:p w14:paraId="20B01CD6" w14:textId="0CB3D57B" w:rsidR="00BB51A1" w:rsidRDefault="00BB51A1">
          <w:pPr>
            <w:pStyle w:val="TOC2"/>
            <w:tabs>
              <w:tab w:val="left" w:pos="960"/>
              <w:tab w:val="right" w:leader="dot" w:pos="9016"/>
            </w:tabs>
            <w:rPr>
              <w:rFonts w:eastAsiaTheme="minorEastAsia"/>
              <w:noProof/>
              <w:lang w:eastAsia="en-GB"/>
            </w:rPr>
          </w:pPr>
          <w:hyperlink w:anchor="_Toc203651223" w:history="1">
            <w:r w:rsidRPr="0090223E">
              <w:rPr>
                <w:rStyle w:val="Hyperlink"/>
                <w:noProof/>
              </w:rPr>
              <w:t>4.2</w:t>
            </w:r>
            <w:r>
              <w:rPr>
                <w:rFonts w:eastAsiaTheme="minorEastAsia"/>
                <w:noProof/>
                <w:lang w:eastAsia="en-GB"/>
              </w:rPr>
              <w:tab/>
            </w:r>
            <w:r w:rsidRPr="0090223E">
              <w:rPr>
                <w:rStyle w:val="Hyperlink"/>
                <w:noProof/>
              </w:rPr>
              <w:t>Pressure</w:t>
            </w:r>
            <w:r>
              <w:rPr>
                <w:noProof/>
                <w:webHidden/>
              </w:rPr>
              <w:tab/>
            </w:r>
            <w:r>
              <w:rPr>
                <w:noProof/>
                <w:webHidden/>
              </w:rPr>
              <w:fldChar w:fldCharType="begin"/>
            </w:r>
            <w:r>
              <w:rPr>
                <w:noProof/>
                <w:webHidden/>
              </w:rPr>
              <w:instrText xml:space="preserve"> PAGEREF _Toc203651223 \h </w:instrText>
            </w:r>
            <w:r>
              <w:rPr>
                <w:noProof/>
                <w:webHidden/>
              </w:rPr>
            </w:r>
            <w:r>
              <w:rPr>
                <w:noProof/>
                <w:webHidden/>
              </w:rPr>
              <w:fldChar w:fldCharType="separate"/>
            </w:r>
            <w:r>
              <w:rPr>
                <w:noProof/>
                <w:webHidden/>
              </w:rPr>
              <w:t>7</w:t>
            </w:r>
            <w:r>
              <w:rPr>
                <w:noProof/>
                <w:webHidden/>
              </w:rPr>
              <w:fldChar w:fldCharType="end"/>
            </w:r>
          </w:hyperlink>
        </w:p>
        <w:p w14:paraId="1F4F060D" w14:textId="3CD60E16" w:rsidR="00BB51A1" w:rsidRDefault="00BB51A1">
          <w:pPr>
            <w:pStyle w:val="TOC2"/>
            <w:tabs>
              <w:tab w:val="right" w:leader="dot" w:pos="9016"/>
            </w:tabs>
            <w:rPr>
              <w:rFonts w:eastAsiaTheme="minorEastAsia"/>
              <w:noProof/>
              <w:lang w:eastAsia="en-GB"/>
            </w:rPr>
          </w:pPr>
          <w:hyperlink w:anchor="_Toc203651224" w:history="1">
            <w:r w:rsidRPr="0090223E">
              <w:rPr>
                <w:rStyle w:val="Hyperlink"/>
                <w:noProof/>
              </w:rPr>
              <w:t>4.3 Lack of Awareness</w:t>
            </w:r>
            <w:r>
              <w:rPr>
                <w:noProof/>
                <w:webHidden/>
              </w:rPr>
              <w:tab/>
            </w:r>
            <w:r>
              <w:rPr>
                <w:noProof/>
                <w:webHidden/>
              </w:rPr>
              <w:fldChar w:fldCharType="begin"/>
            </w:r>
            <w:r>
              <w:rPr>
                <w:noProof/>
                <w:webHidden/>
              </w:rPr>
              <w:instrText xml:space="preserve"> PAGEREF _Toc203651224 \h </w:instrText>
            </w:r>
            <w:r>
              <w:rPr>
                <w:noProof/>
                <w:webHidden/>
              </w:rPr>
            </w:r>
            <w:r>
              <w:rPr>
                <w:noProof/>
                <w:webHidden/>
              </w:rPr>
              <w:fldChar w:fldCharType="separate"/>
            </w:r>
            <w:r>
              <w:rPr>
                <w:noProof/>
                <w:webHidden/>
              </w:rPr>
              <w:t>8</w:t>
            </w:r>
            <w:r>
              <w:rPr>
                <w:noProof/>
                <w:webHidden/>
              </w:rPr>
              <w:fldChar w:fldCharType="end"/>
            </w:r>
          </w:hyperlink>
        </w:p>
        <w:p w14:paraId="35A7DF10" w14:textId="10969298" w:rsidR="00BB51A1" w:rsidRDefault="00BB51A1">
          <w:pPr>
            <w:pStyle w:val="TOC1"/>
            <w:tabs>
              <w:tab w:val="right" w:leader="dot" w:pos="9016"/>
            </w:tabs>
            <w:rPr>
              <w:rFonts w:eastAsiaTheme="minorEastAsia"/>
              <w:noProof/>
              <w:lang w:eastAsia="en-GB"/>
            </w:rPr>
          </w:pPr>
          <w:hyperlink w:anchor="_Toc203651225" w:history="1">
            <w:r w:rsidRPr="0090223E">
              <w:rPr>
                <w:rStyle w:val="Hyperlink"/>
                <w:noProof/>
              </w:rPr>
              <w:t>5. Fuel-Air Explosions and the OME Industry</w:t>
            </w:r>
            <w:r>
              <w:rPr>
                <w:noProof/>
                <w:webHidden/>
              </w:rPr>
              <w:tab/>
            </w:r>
            <w:r>
              <w:rPr>
                <w:noProof/>
                <w:webHidden/>
              </w:rPr>
              <w:fldChar w:fldCharType="begin"/>
            </w:r>
            <w:r>
              <w:rPr>
                <w:noProof/>
                <w:webHidden/>
              </w:rPr>
              <w:instrText xml:space="preserve"> PAGEREF _Toc203651225 \h </w:instrText>
            </w:r>
            <w:r>
              <w:rPr>
                <w:noProof/>
                <w:webHidden/>
              </w:rPr>
            </w:r>
            <w:r>
              <w:rPr>
                <w:noProof/>
                <w:webHidden/>
              </w:rPr>
              <w:fldChar w:fldCharType="separate"/>
            </w:r>
            <w:r>
              <w:rPr>
                <w:noProof/>
                <w:webHidden/>
              </w:rPr>
              <w:t>9</w:t>
            </w:r>
            <w:r>
              <w:rPr>
                <w:noProof/>
                <w:webHidden/>
              </w:rPr>
              <w:fldChar w:fldCharType="end"/>
            </w:r>
          </w:hyperlink>
        </w:p>
        <w:p w14:paraId="04254773" w14:textId="59297256" w:rsidR="00BB51A1" w:rsidRDefault="00BB51A1">
          <w:pPr>
            <w:pStyle w:val="TOC2"/>
            <w:tabs>
              <w:tab w:val="right" w:leader="dot" w:pos="9016"/>
            </w:tabs>
            <w:rPr>
              <w:rFonts w:eastAsiaTheme="minorEastAsia"/>
              <w:noProof/>
              <w:lang w:eastAsia="en-GB"/>
            </w:rPr>
          </w:pPr>
          <w:hyperlink w:anchor="_Toc203651226" w:history="1">
            <w:r w:rsidRPr="0090223E">
              <w:rPr>
                <w:rStyle w:val="Hyperlink"/>
                <w:noProof/>
              </w:rPr>
              <w:t>5.1 What is a Fuel-Air Explosion</w:t>
            </w:r>
            <w:r>
              <w:rPr>
                <w:noProof/>
                <w:webHidden/>
              </w:rPr>
              <w:tab/>
            </w:r>
            <w:r>
              <w:rPr>
                <w:noProof/>
                <w:webHidden/>
              </w:rPr>
              <w:fldChar w:fldCharType="begin"/>
            </w:r>
            <w:r>
              <w:rPr>
                <w:noProof/>
                <w:webHidden/>
              </w:rPr>
              <w:instrText xml:space="preserve"> PAGEREF _Toc203651226 \h </w:instrText>
            </w:r>
            <w:r>
              <w:rPr>
                <w:noProof/>
                <w:webHidden/>
              </w:rPr>
            </w:r>
            <w:r>
              <w:rPr>
                <w:noProof/>
                <w:webHidden/>
              </w:rPr>
              <w:fldChar w:fldCharType="separate"/>
            </w:r>
            <w:r>
              <w:rPr>
                <w:noProof/>
                <w:webHidden/>
              </w:rPr>
              <w:t>9</w:t>
            </w:r>
            <w:r>
              <w:rPr>
                <w:noProof/>
                <w:webHidden/>
              </w:rPr>
              <w:fldChar w:fldCharType="end"/>
            </w:r>
          </w:hyperlink>
        </w:p>
        <w:p w14:paraId="2532CA11" w14:textId="6E20A2D1" w:rsidR="00BB51A1" w:rsidRDefault="00BB51A1">
          <w:pPr>
            <w:pStyle w:val="TOC2"/>
            <w:tabs>
              <w:tab w:val="right" w:leader="dot" w:pos="9016"/>
            </w:tabs>
            <w:rPr>
              <w:rFonts w:eastAsiaTheme="minorEastAsia"/>
              <w:noProof/>
              <w:lang w:eastAsia="en-GB"/>
            </w:rPr>
          </w:pPr>
          <w:hyperlink w:anchor="_Toc203651227" w:history="1">
            <w:r w:rsidRPr="0090223E">
              <w:rPr>
                <w:rStyle w:val="Hyperlink"/>
                <w:noProof/>
              </w:rPr>
              <w:t>5.2 Lessons for the OME industry</w:t>
            </w:r>
            <w:r>
              <w:rPr>
                <w:noProof/>
                <w:webHidden/>
              </w:rPr>
              <w:tab/>
            </w:r>
            <w:r>
              <w:rPr>
                <w:noProof/>
                <w:webHidden/>
              </w:rPr>
              <w:fldChar w:fldCharType="begin"/>
            </w:r>
            <w:r>
              <w:rPr>
                <w:noProof/>
                <w:webHidden/>
              </w:rPr>
              <w:instrText xml:space="preserve"> PAGEREF _Toc203651227 \h </w:instrText>
            </w:r>
            <w:r>
              <w:rPr>
                <w:noProof/>
                <w:webHidden/>
              </w:rPr>
            </w:r>
            <w:r>
              <w:rPr>
                <w:noProof/>
                <w:webHidden/>
              </w:rPr>
              <w:fldChar w:fldCharType="separate"/>
            </w:r>
            <w:r>
              <w:rPr>
                <w:noProof/>
                <w:webHidden/>
              </w:rPr>
              <w:t>9</w:t>
            </w:r>
            <w:r>
              <w:rPr>
                <w:noProof/>
                <w:webHidden/>
              </w:rPr>
              <w:fldChar w:fldCharType="end"/>
            </w:r>
          </w:hyperlink>
        </w:p>
        <w:p w14:paraId="287EA600" w14:textId="78382645" w:rsidR="00BB51A1" w:rsidRDefault="00BB51A1">
          <w:pPr>
            <w:pStyle w:val="TOC1"/>
            <w:tabs>
              <w:tab w:val="right" w:leader="dot" w:pos="9016"/>
            </w:tabs>
            <w:rPr>
              <w:rFonts w:eastAsiaTheme="minorEastAsia"/>
              <w:noProof/>
              <w:lang w:eastAsia="en-GB"/>
            </w:rPr>
          </w:pPr>
          <w:hyperlink w:anchor="_Toc203651228" w:history="1">
            <w:r w:rsidRPr="0090223E">
              <w:rPr>
                <w:rStyle w:val="Hyperlink"/>
                <w:noProof/>
              </w:rPr>
              <w:t>6. Mitigating Human Error in Industry Settings</w:t>
            </w:r>
            <w:r>
              <w:rPr>
                <w:noProof/>
                <w:webHidden/>
              </w:rPr>
              <w:tab/>
            </w:r>
            <w:r>
              <w:rPr>
                <w:noProof/>
                <w:webHidden/>
              </w:rPr>
              <w:fldChar w:fldCharType="begin"/>
            </w:r>
            <w:r>
              <w:rPr>
                <w:noProof/>
                <w:webHidden/>
              </w:rPr>
              <w:instrText xml:space="preserve"> PAGEREF _Toc203651228 \h </w:instrText>
            </w:r>
            <w:r>
              <w:rPr>
                <w:noProof/>
                <w:webHidden/>
              </w:rPr>
            </w:r>
            <w:r>
              <w:rPr>
                <w:noProof/>
                <w:webHidden/>
              </w:rPr>
              <w:fldChar w:fldCharType="separate"/>
            </w:r>
            <w:r>
              <w:rPr>
                <w:noProof/>
                <w:webHidden/>
              </w:rPr>
              <w:t>11</w:t>
            </w:r>
            <w:r>
              <w:rPr>
                <w:noProof/>
                <w:webHidden/>
              </w:rPr>
              <w:fldChar w:fldCharType="end"/>
            </w:r>
          </w:hyperlink>
        </w:p>
        <w:p w14:paraId="1DB30DD7" w14:textId="1CADCDA9" w:rsidR="00BB51A1" w:rsidRDefault="00BB51A1">
          <w:pPr>
            <w:pStyle w:val="TOC2"/>
            <w:tabs>
              <w:tab w:val="right" w:leader="dot" w:pos="9016"/>
            </w:tabs>
            <w:rPr>
              <w:rFonts w:eastAsiaTheme="minorEastAsia"/>
              <w:noProof/>
              <w:lang w:eastAsia="en-GB"/>
            </w:rPr>
          </w:pPr>
          <w:hyperlink w:anchor="_Toc203651229" w:history="1">
            <w:r w:rsidRPr="0090223E">
              <w:rPr>
                <w:rStyle w:val="Hyperlink"/>
                <w:noProof/>
              </w:rPr>
              <w:t>6.1 Recognising Human Error</w:t>
            </w:r>
            <w:r>
              <w:rPr>
                <w:noProof/>
                <w:webHidden/>
              </w:rPr>
              <w:tab/>
            </w:r>
            <w:r>
              <w:rPr>
                <w:noProof/>
                <w:webHidden/>
              </w:rPr>
              <w:fldChar w:fldCharType="begin"/>
            </w:r>
            <w:r>
              <w:rPr>
                <w:noProof/>
                <w:webHidden/>
              </w:rPr>
              <w:instrText xml:space="preserve"> PAGEREF _Toc203651229 \h </w:instrText>
            </w:r>
            <w:r>
              <w:rPr>
                <w:noProof/>
                <w:webHidden/>
              </w:rPr>
            </w:r>
            <w:r>
              <w:rPr>
                <w:noProof/>
                <w:webHidden/>
              </w:rPr>
              <w:fldChar w:fldCharType="separate"/>
            </w:r>
            <w:r>
              <w:rPr>
                <w:noProof/>
                <w:webHidden/>
              </w:rPr>
              <w:t>11</w:t>
            </w:r>
            <w:r>
              <w:rPr>
                <w:noProof/>
                <w:webHidden/>
              </w:rPr>
              <w:fldChar w:fldCharType="end"/>
            </w:r>
          </w:hyperlink>
        </w:p>
        <w:p w14:paraId="7926C1A6" w14:textId="651BBAE6" w:rsidR="00BB51A1" w:rsidRDefault="00BB51A1">
          <w:pPr>
            <w:pStyle w:val="TOC1"/>
            <w:tabs>
              <w:tab w:val="right" w:leader="dot" w:pos="9016"/>
            </w:tabs>
            <w:rPr>
              <w:rFonts w:eastAsiaTheme="minorEastAsia"/>
              <w:noProof/>
              <w:lang w:eastAsia="en-GB"/>
            </w:rPr>
          </w:pPr>
          <w:hyperlink w:anchor="_Toc203651230" w:history="1">
            <w:r w:rsidRPr="0090223E">
              <w:rPr>
                <w:rStyle w:val="Hyperlink"/>
                <w:noProof/>
              </w:rPr>
              <w:t>7. Conclusion</w:t>
            </w:r>
            <w:r>
              <w:rPr>
                <w:noProof/>
                <w:webHidden/>
              </w:rPr>
              <w:tab/>
            </w:r>
            <w:r>
              <w:rPr>
                <w:noProof/>
                <w:webHidden/>
              </w:rPr>
              <w:fldChar w:fldCharType="begin"/>
            </w:r>
            <w:r>
              <w:rPr>
                <w:noProof/>
                <w:webHidden/>
              </w:rPr>
              <w:instrText xml:space="preserve"> PAGEREF _Toc203651230 \h </w:instrText>
            </w:r>
            <w:r>
              <w:rPr>
                <w:noProof/>
                <w:webHidden/>
              </w:rPr>
            </w:r>
            <w:r>
              <w:rPr>
                <w:noProof/>
                <w:webHidden/>
              </w:rPr>
              <w:fldChar w:fldCharType="separate"/>
            </w:r>
            <w:r>
              <w:rPr>
                <w:noProof/>
                <w:webHidden/>
              </w:rPr>
              <w:t>13</w:t>
            </w:r>
            <w:r>
              <w:rPr>
                <w:noProof/>
                <w:webHidden/>
              </w:rPr>
              <w:fldChar w:fldCharType="end"/>
            </w:r>
          </w:hyperlink>
        </w:p>
        <w:p w14:paraId="5EE0079F" w14:textId="227D8A76" w:rsidR="00BB51A1" w:rsidRDefault="00BB51A1">
          <w:pPr>
            <w:pStyle w:val="TOC1"/>
            <w:tabs>
              <w:tab w:val="right" w:leader="dot" w:pos="9016"/>
            </w:tabs>
            <w:rPr>
              <w:rFonts w:eastAsiaTheme="minorEastAsia"/>
              <w:noProof/>
              <w:lang w:eastAsia="en-GB"/>
            </w:rPr>
          </w:pPr>
          <w:hyperlink w:anchor="_Toc203651231" w:history="1">
            <w:r w:rsidRPr="0090223E">
              <w:rPr>
                <w:rStyle w:val="Hyperlink"/>
                <w:noProof/>
              </w:rPr>
              <w:t>Bibliography</w:t>
            </w:r>
            <w:r>
              <w:rPr>
                <w:noProof/>
                <w:webHidden/>
              </w:rPr>
              <w:tab/>
            </w:r>
            <w:r>
              <w:rPr>
                <w:noProof/>
                <w:webHidden/>
              </w:rPr>
              <w:fldChar w:fldCharType="begin"/>
            </w:r>
            <w:r>
              <w:rPr>
                <w:noProof/>
                <w:webHidden/>
              </w:rPr>
              <w:instrText xml:space="preserve"> PAGEREF _Toc203651231 \h </w:instrText>
            </w:r>
            <w:r>
              <w:rPr>
                <w:noProof/>
                <w:webHidden/>
              </w:rPr>
            </w:r>
            <w:r>
              <w:rPr>
                <w:noProof/>
                <w:webHidden/>
              </w:rPr>
              <w:fldChar w:fldCharType="separate"/>
            </w:r>
            <w:r>
              <w:rPr>
                <w:noProof/>
                <w:webHidden/>
              </w:rPr>
              <w:t>14</w:t>
            </w:r>
            <w:r>
              <w:rPr>
                <w:noProof/>
                <w:webHidden/>
              </w:rPr>
              <w:fldChar w:fldCharType="end"/>
            </w:r>
          </w:hyperlink>
        </w:p>
        <w:p w14:paraId="2C090FCD" w14:textId="53914497" w:rsidR="00F10402" w:rsidRDefault="00F10402">
          <w:r>
            <w:rPr>
              <w:b/>
              <w:bCs/>
              <w:noProof/>
            </w:rPr>
            <w:fldChar w:fldCharType="end"/>
          </w:r>
        </w:p>
      </w:sdtContent>
    </w:sdt>
    <w:p w14:paraId="5ECB92BD" w14:textId="77777777" w:rsidR="00F10402" w:rsidRDefault="00F10402" w:rsidP="00F10402"/>
    <w:p w14:paraId="3C08E080" w14:textId="77777777" w:rsidR="00F10402" w:rsidRDefault="00F10402" w:rsidP="00F10402"/>
    <w:p w14:paraId="06D1A874" w14:textId="77777777" w:rsidR="00F10402" w:rsidRDefault="00F10402" w:rsidP="00F10402"/>
    <w:p w14:paraId="6978B530" w14:textId="77777777" w:rsidR="00F10402" w:rsidRDefault="00F10402" w:rsidP="00F10402"/>
    <w:p w14:paraId="6528FD4A" w14:textId="77777777" w:rsidR="00F10402" w:rsidRDefault="00F10402" w:rsidP="00F10402"/>
    <w:p w14:paraId="364CD824" w14:textId="77777777" w:rsidR="00F10402" w:rsidRDefault="00F10402" w:rsidP="00F10402"/>
    <w:p w14:paraId="2B118FB6" w14:textId="77777777" w:rsidR="00F10402" w:rsidRDefault="00F10402" w:rsidP="00F10402"/>
    <w:p w14:paraId="610C689A" w14:textId="77777777" w:rsidR="00F10402" w:rsidRDefault="00F10402" w:rsidP="00F10402"/>
    <w:p w14:paraId="446C5DD5" w14:textId="77777777" w:rsidR="00F10402" w:rsidRDefault="00F10402" w:rsidP="00F10402"/>
    <w:p w14:paraId="3BD371D6" w14:textId="77777777" w:rsidR="00F10402" w:rsidRDefault="00F10402" w:rsidP="00F10402"/>
    <w:p w14:paraId="06C1A993" w14:textId="77777777" w:rsidR="00F10402" w:rsidRDefault="00F10402" w:rsidP="00F10402"/>
    <w:p w14:paraId="395CDFC8" w14:textId="473ED032" w:rsidR="00F10402" w:rsidRDefault="00F10402" w:rsidP="00F10402"/>
    <w:p w14:paraId="775F34A7" w14:textId="1684810B" w:rsidR="00F10402" w:rsidRPr="00F10402" w:rsidRDefault="0098513C" w:rsidP="00F10402">
      <w:pPr>
        <w:pStyle w:val="Heading1"/>
        <w:numPr>
          <w:ilvl w:val="0"/>
          <w:numId w:val="5"/>
        </w:numPr>
      </w:pPr>
      <w:bookmarkStart w:id="0" w:name="_Toc203651216"/>
      <w:r>
        <w:lastRenderedPageBreak/>
        <w:t>Introduction</w:t>
      </w:r>
      <w:bookmarkEnd w:id="0"/>
    </w:p>
    <w:p w14:paraId="3B01DFD6" w14:textId="77777777" w:rsidR="00F10402" w:rsidRPr="00F10402" w:rsidRDefault="00F10402" w:rsidP="00F10402">
      <w:r w:rsidRPr="00F10402">
        <w:t>The Flixborough disaster, which occurred on 1st June 1974 at the Nypro chemical plant in Lincolnshire, UK, remains one of the most catastrophic industrial accidents in British history. The explosion, caused by the release and ignition of cyclohexane vapor, resulted in 28 deaths, 36 serious injuries, and widespread damage to surrounding communities. While technical failures played a role, the disaster was fundamentally rooted in human factors—errors, oversights, and systemic weaknesses in safety culture and engineering practice.</w:t>
      </w:r>
    </w:p>
    <w:p w14:paraId="51F4E8F6" w14:textId="32F2323F" w:rsidR="00F10402" w:rsidRDefault="00F10402" w:rsidP="00F10402">
      <w:r w:rsidRPr="00F10402">
        <w:t xml:space="preserve">This report </w:t>
      </w:r>
      <w:r>
        <w:t>examines the human factors that contributed to the disaster, utilising the “Dirty Dozen” framework—a model that identifies twelve common precursors of human error</w:t>
      </w:r>
      <w:r w:rsidRPr="00F10402">
        <w:t>. It also identifies the three most significant contributors and explores how understanding fuel-air explosions can inform safety in the O</w:t>
      </w:r>
      <w:r>
        <w:t>rdnance</w:t>
      </w:r>
      <w:r w:rsidRPr="00F10402">
        <w:t>, Munitions, and Explosives (OME) industry.</w:t>
      </w:r>
    </w:p>
    <w:p w14:paraId="5CBE6759" w14:textId="77777777" w:rsidR="00F10402" w:rsidRDefault="00F10402" w:rsidP="00F10402"/>
    <w:p w14:paraId="1368F6D9" w14:textId="77777777" w:rsidR="00F10402" w:rsidRDefault="00F10402" w:rsidP="00F10402"/>
    <w:p w14:paraId="78A6064C" w14:textId="77777777" w:rsidR="00F10402" w:rsidRDefault="00F10402" w:rsidP="00F10402"/>
    <w:p w14:paraId="54C29581" w14:textId="77777777" w:rsidR="00F10402" w:rsidRDefault="00F10402" w:rsidP="00F10402"/>
    <w:p w14:paraId="1CBC5AD5" w14:textId="77777777" w:rsidR="00F10402" w:rsidRDefault="00F10402" w:rsidP="00F10402"/>
    <w:p w14:paraId="5FE93F2F" w14:textId="77777777" w:rsidR="00F10402" w:rsidRDefault="00F10402" w:rsidP="00F10402"/>
    <w:p w14:paraId="69D882C5" w14:textId="77777777" w:rsidR="00F10402" w:rsidRDefault="00F10402" w:rsidP="00F10402"/>
    <w:p w14:paraId="35B26F85" w14:textId="77777777" w:rsidR="00F10402" w:rsidRDefault="00F10402" w:rsidP="00F10402"/>
    <w:p w14:paraId="0B21CEE9" w14:textId="77777777" w:rsidR="00F10402" w:rsidRDefault="00F10402" w:rsidP="00F10402"/>
    <w:p w14:paraId="740D7CED" w14:textId="77777777" w:rsidR="00F10402" w:rsidRDefault="00F10402" w:rsidP="00F10402"/>
    <w:p w14:paraId="46D46752" w14:textId="77777777" w:rsidR="00F10402" w:rsidRDefault="00F10402" w:rsidP="00F10402"/>
    <w:p w14:paraId="774245E3" w14:textId="77777777" w:rsidR="00F10402" w:rsidRDefault="00F10402" w:rsidP="00F10402"/>
    <w:p w14:paraId="7E0BD2A0" w14:textId="77777777" w:rsidR="00F10402" w:rsidRDefault="00F10402" w:rsidP="00F10402"/>
    <w:p w14:paraId="52105231" w14:textId="77777777" w:rsidR="00F10402" w:rsidRDefault="00F10402" w:rsidP="00F10402"/>
    <w:p w14:paraId="1D0412C2" w14:textId="77777777" w:rsidR="00F10402" w:rsidRDefault="00F10402" w:rsidP="00F10402"/>
    <w:p w14:paraId="650C6A51" w14:textId="77777777" w:rsidR="00F10402" w:rsidRDefault="00F10402" w:rsidP="00F10402"/>
    <w:p w14:paraId="44A80C9A" w14:textId="77777777" w:rsidR="00F10402" w:rsidRDefault="00F10402" w:rsidP="00F10402"/>
    <w:p w14:paraId="383960F2" w14:textId="77777777" w:rsidR="00F10402" w:rsidRDefault="00F10402" w:rsidP="00F10402"/>
    <w:p w14:paraId="3B9A0580" w14:textId="06D65965" w:rsidR="00F10402" w:rsidRDefault="00F10402" w:rsidP="00F10402">
      <w:pPr>
        <w:pStyle w:val="Heading1"/>
        <w:numPr>
          <w:ilvl w:val="0"/>
          <w:numId w:val="5"/>
        </w:numPr>
      </w:pPr>
      <w:bookmarkStart w:id="1" w:name="_Toc203651217"/>
      <w:r>
        <w:lastRenderedPageBreak/>
        <w:t>Overview of the Flixborough Disaster</w:t>
      </w:r>
      <w:bookmarkEnd w:id="1"/>
      <w:r>
        <w:t xml:space="preserve"> </w:t>
      </w:r>
    </w:p>
    <w:p w14:paraId="0BFDE184" w14:textId="25C12E3E" w:rsidR="00654362" w:rsidRDefault="00F10402" w:rsidP="00654362">
      <w:pPr>
        <w:pStyle w:val="Heading2"/>
      </w:pPr>
      <w:bookmarkStart w:id="2" w:name="_Toc203651218"/>
      <w:r>
        <w:t>2.1 Incident Summar</w:t>
      </w:r>
      <w:r w:rsidR="00654362">
        <w:t>y</w:t>
      </w:r>
      <w:bookmarkEnd w:id="2"/>
    </w:p>
    <w:p w14:paraId="6AE312BB" w14:textId="77777777" w:rsidR="0098513C" w:rsidRDefault="0098513C" w:rsidP="0098513C">
      <w:r>
        <w:t>O</w:t>
      </w:r>
      <w:r w:rsidRPr="0098513C">
        <w:t>n 27</w:t>
      </w:r>
      <w:r>
        <w:t>th</w:t>
      </w:r>
      <w:r w:rsidRPr="0098513C">
        <w:t xml:space="preserve"> March 1974, a vertical crack </w:t>
      </w:r>
      <w:r>
        <w:t xml:space="preserve">was discovered </w:t>
      </w:r>
      <w:r w:rsidRPr="0098513C">
        <w:t>in reactor No.5</w:t>
      </w:r>
      <w:r>
        <w:t>,</w:t>
      </w:r>
      <w:r w:rsidRPr="0098513C">
        <w:t xml:space="preserve"> </w:t>
      </w:r>
      <w:r>
        <w:t xml:space="preserve">which </w:t>
      </w:r>
      <w:r w:rsidRPr="0098513C">
        <w:t xml:space="preserve">was leaking cyclohexane. The plant was subsequently </w:t>
      </w:r>
      <w:r>
        <w:t>shut down</w:t>
      </w:r>
      <w:r w:rsidRPr="0098513C">
        <w:t xml:space="preserve"> for an investigation. The investigation that followed identified a serious problem with the reactor</w:t>
      </w:r>
      <w:r>
        <w:t>,</w:t>
      </w:r>
      <w:r w:rsidRPr="0098513C">
        <w:t xml:space="preserve"> and the decision was taken to remove it and install a bypass assembly to connect reactors No.4 and No.6 so that the plant could continue production.</w:t>
      </w:r>
    </w:p>
    <w:p w14:paraId="0D0D0066" w14:textId="547B3668" w:rsidR="00654362" w:rsidRDefault="00F10402" w:rsidP="00F10402">
      <w:r w:rsidRPr="00F10402">
        <w:t xml:space="preserve">On </w:t>
      </w:r>
      <w:r w:rsidR="00654362">
        <w:t>1</w:t>
      </w:r>
      <w:r w:rsidR="0098513C">
        <w:t>st</w:t>
      </w:r>
      <w:r w:rsidR="00654362">
        <w:t xml:space="preserve"> June 1974, at approximately 1653 hours</w:t>
      </w:r>
      <w:r w:rsidRPr="00F10402">
        <w:t xml:space="preserve">, </w:t>
      </w:r>
      <w:r w:rsidR="0098513C">
        <w:t>the</w:t>
      </w:r>
      <w:r w:rsidRPr="00F10402">
        <w:t xml:space="preserve"> temporary bypass pipe installed between Reactors 4 and 6 failed catastrophically. The bypass was poorly designed, lacking proper mechanical support and stress analysis. When the pipe ruptured, it released an estimated 30–60 tons of cyclohexane vapor, which formed a dense cloud and ignited, causing an explosion equivalent to 15–45 tons of TNT.</w:t>
      </w:r>
      <w:r w:rsidR="00654362">
        <w:t xml:space="preserve"> </w:t>
      </w:r>
      <w:sdt>
        <w:sdtPr>
          <w:id w:val="-649673749"/>
          <w:citation/>
        </w:sdtPr>
        <w:sdtContent>
          <w:r w:rsidR="0098513C">
            <w:fldChar w:fldCharType="begin"/>
          </w:r>
          <w:r w:rsidR="0098513C">
            <w:instrText xml:space="preserve"> CITATION HSE25 \l 2057 </w:instrText>
          </w:r>
          <w:r w:rsidR="0098513C">
            <w:fldChar w:fldCharType="separate"/>
          </w:r>
          <w:r w:rsidR="00BB51A1" w:rsidRPr="00BB51A1">
            <w:rPr>
              <w:noProof/>
            </w:rPr>
            <w:t>[1]</w:t>
          </w:r>
          <w:r w:rsidR="0098513C">
            <w:fldChar w:fldCharType="end"/>
          </w:r>
        </w:sdtContent>
      </w:sdt>
    </w:p>
    <w:p w14:paraId="0EDC0F8C" w14:textId="77777777" w:rsidR="00654362" w:rsidRDefault="00654362" w:rsidP="00F10402"/>
    <w:p w14:paraId="3949F0AB" w14:textId="0D95A343" w:rsidR="00F10402" w:rsidRDefault="00654362" w:rsidP="00654362">
      <w:pPr>
        <w:pStyle w:val="Heading2"/>
        <w:numPr>
          <w:ilvl w:val="1"/>
          <w:numId w:val="5"/>
        </w:numPr>
      </w:pPr>
      <w:bookmarkStart w:id="3" w:name="_Toc203651219"/>
      <w:r>
        <w:t>Consequences</w:t>
      </w:r>
      <w:bookmarkEnd w:id="3"/>
    </w:p>
    <w:p w14:paraId="3522A80C" w14:textId="539F9E2C" w:rsidR="00654362" w:rsidRDefault="00654362" w:rsidP="00654362">
      <w:r>
        <w:t xml:space="preserve">In total, there were 28 fatalities from the explosion. Including all 18 personnel who were inside the control room. </w:t>
      </w:r>
    </w:p>
    <w:p w14:paraId="188A75AA" w14:textId="3A047553" w:rsidR="00654362" w:rsidRDefault="00654362" w:rsidP="00654362">
      <w:r>
        <w:t>36 onsite personnel suffered serious injuries, and 53 off-site personnel also sustained injuries from the explosion.</w:t>
      </w:r>
    </w:p>
    <w:p w14:paraId="52901165" w14:textId="48599463" w:rsidR="00F10402" w:rsidRPr="00F10402" w:rsidRDefault="00654362" w:rsidP="0098513C">
      <w:pPr>
        <w:tabs>
          <w:tab w:val="num" w:pos="720"/>
        </w:tabs>
      </w:pPr>
      <w:r>
        <w:t>Over 2000 buildings were damaged</w:t>
      </w:r>
      <w:r w:rsidR="00C96819">
        <w:t>,</w:t>
      </w:r>
      <w:r w:rsidR="0098513C">
        <w:t xml:space="preserve"> and fires burned for several days, severely hampering rescue efforts.</w:t>
      </w:r>
    </w:p>
    <w:p w14:paraId="7810FF21" w14:textId="5DE31B70" w:rsidR="00B47F63" w:rsidRDefault="00B47F63" w:rsidP="00C96819">
      <w:r>
        <w:rPr>
          <w:noProof/>
        </w:rPr>
        <mc:AlternateContent>
          <mc:Choice Requires="wps">
            <w:drawing>
              <wp:anchor distT="0" distB="0" distL="114300" distR="114300" simplePos="0" relativeHeight="251660288" behindDoc="0" locked="0" layoutInCell="1" allowOverlap="1" wp14:anchorId="2334C998" wp14:editId="1A77BBA6">
                <wp:simplePos x="0" y="0"/>
                <wp:positionH relativeFrom="margin">
                  <wp:align>left</wp:align>
                </wp:positionH>
                <wp:positionV relativeFrom="paragraph">
                  <wp:posOffset>3178810</wp:posOffset>
                </wp:positionV>
                <wp:extent cx="3712210" cy="635"/>
                <wp:effectExtent l="0" t="0" r="2540" b="0"/>
                <wp:wrapTopAndBottom/>
                <wp:docPr id="577062894" name="Text Box 1"/>
                <wp:cNvGraphicFramePr/>
                <a:graphic xmlns:a="http://schemas.openxmlformats.org/drawingml/2006/main">
                  <a:graphicData uri="http://schemas.microsoft.com/office/word/2010/wordprocessingShape">
                    <wps:wsp>
                      <wps:cNvSpPr txBox="1"/>
                      <wps:spPr>
                        <a:xfrm>
                          <a:off x="0" y="0"/>
                          <a:ext cx="3712210" cy="635"/>
                        </a:xfrm>
                        <a:prstGeom prst="rect">
                          <a:avLst/>
                        </a:prstGeom>
                        <a:solidFill>
                          <a:prstClr val="white"/>
                        </a:solidFill>
                        <a:ln>
                          <a:noFill/>
                        </a:ln>
                      </wps:spPr>
                      <wps:txbx>
                        <w:txbxContent>
                          <w:p w14:paraId="2FD94782" w14:textId="40DE4D54" w:rsidR="00B47F63" w:rsidRPr="00C65354" w:rsidRDefault="00B47F63" w:rsidP="00B47F63">
                            <w:pPr>
                              <w:pStyle w:val="Caption"/>
                              <w:rPr>
                                <w:noProof/>
                              </w:rPr>
                            </w:pPr>
                            <w:r>
                              <w:t xml:space="preserve">Figure </w:t>
                            </w:r>
                            <w:fldSimple w:instr=" SEQ Figure \* ARABIC ">
                              <w:r>
                                <w:rPr>
                                  <w:noProof/>
                                </w:rPr>
                                <w:t>1</w:t>
                              </w:r>
                            </w:fldSimple>
                            <w:r w:rsidRPr="009F2BC6">
                              <w:t>: Aftermath of the Flixborough Explosion Source: BBC News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334C998" id="_x0000_t202" coordsize="21600,21600" o:spt="202" path="m,l,21600r21600,l21600,xe">
                <v:stroke joinstyle="miter"/>
                <v:path gradientshapeok="t" o:connecttype="rect"/>
              </v:shapetype>
              <v:shape id="Text Box 1" o:spid="_x0000_s1026" type="#_x0000_t202" style="position:absolute;margin-left:0;margin-top:250.3pt;width:292.3pt;height:.05pt;z-index:2516602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" stroked="f">
                <v:textbox style="mso-fit-shape-to-text:t" inset="0,0,0,0">
                  <w:txbxContent>
                    <w:p w14:paraId="2FD94782" w14:textId="40DE4D54" w:rsidR="00B47F63" w:rsidRPr="00C65354" w:rsidRDefault="00B47F63" w:rsidP="00B47F63">
                      <w:pPr>
                        <w:pStyle w:val="Caption"/>
                        <w:rPr>
                          <w:noProof/>
                        </w:rPr>
                      </w:pPr>
                      <w:r>
                        <w:t xml:space="preserve">Figure </w:t>
                      </w:r>
                      <w:fldSimple w:instr=" SEQ Figure \* ARABIC ">
                        <w:r>
                          <w:rPr>
                            <w:noProof/>
                          </w:rPr>
                          <w:t>1</w:t>
                        </w:r>
                      </w:fldSimple>
                      <w:r w:rsidRPr="009F2BC6">
                        <w:t>: Aftermath of the Flixborough Explosion Source: BBC News (2024)</w:t>
                      </w:r>
                    </w:p>
                  </w:txbxContent>
                </v:textbox>
                <w10:wrap type="topAndBottom" anchorx="margin"/>
              </v:shape>
            </w:pict>
          </mc:Fallback>
        </mc:AlternateContent>
      </w:r>
      <w:r>
        <w:rPr>
          <w:noProof/>
        </w:rPr>
        <w:drawing>
          <wp:anchor distT="0" distB="0" distL="114300" distR="114300" simplePos="0" relativeHeight="251658240" behindDoc="1" locked="0" layoutInCell="1" allowOverlap="1" wp14:anchorId="3D2D9FAE" wp14:editId="64AD0725">
            <wp:simplePos x="0" y="0"/>
            <wp:positionH relativeFrom="margin">
              <wp:align>left</wp:align>
            </wp:positionH>
            <wp:positionV relativeFrom="paragraph">
              <wp:posOffset>1354455</wp:posOffset>
            </wp:positionV>
            <wp:extent cx="3712210" cy="2087880"/>
            <wp:effectExtent l="0" t="0" r="2540" b="7620"/>
            <wp:wrapTopAndBottom/>
            <wp:docPr id="274921814" name="Picture 1" descr="Flixborough chemical plant disaster 'not forgotten' 50 years on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ixborough chemical plant disaster 'not forgotten' 50 years on - BBC New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12210" cy="20878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96819">
        <w:t>T</w:t>
      </w:r>
      <w:r w:rsidR="00F10402" w:rsidRPr="00F10402">
        <w:t>he Health and Safety at Work Act 1974</w:t>
      </w:r>
      <w:r w:rsidR="00C96819">
        <w:t xml:space="preserve"> was already going to parliament, having been in preparation for several years before the Flixborough disaster; however, it seems that in the wake of the tragedy, it helped focus </w:t>
      </w:r>
      <w:r w:rsidR="00C96819" w:rsidRPr="00C96819">
        <w:rPr>
          <w:rFonts w:hint="cs"/>
        </w:rPr>
        <w:t>both the public and the government and made them ready to support the new legislation with the necessary funds and enforcement power.</w:t>
      </w:r>
      <w:r w:rsidR="00C96819">
        <w:t xml:space="preserve"> </w:t>
      </w:r>
      <w:sdt>
        <w:sdtPr>
          <w:id w:val="1745988212"/>
          <w:citation/>
        </w:sdtPr>
        <w:sdtContent>
          <w:r w:rsidR="00C96819">
            <w:fldChar w:fldCharType="begin"/>
          </w:r>
          <w:r w:rsidR="00C96819">
            <w:instrText xml:space="preserve"> CITATION Ann24 \l 2057 </w:instrText>
          </w:r>
          <w:r w:rsidR="00C96819">
            <w:fldChar w:fldCharType="separate"/>
          </w:r>
          <w:r w:rsidR="00BB51A1" w:rsidRPr="00BB51A1">
            <w:rPr>
              <w:noProof/>
            </w:rPr>
            <w:t>[2]</w:t>
          </w:r>
          <w:r w:rsidR="00C96819">
            <w:fldChar w:fldCharType="end"/>
          </w:r>
        </w:sdtContent>
      </w:sdt>
    </w:p>
    <w:p w14:paraId="3E801B25" w14:textId="520C85D0" w:rsidR="00B47F63" w:rsidRDefault="00B47F63" w:rsidP="00B47F63">
      <w:pPr>
        <w:pStyle w:val="Heading1"/>
      </w:pPr>
      <w:bookmarkStart w:id="4" w:name="_Toc203651220"/>
      <w:r>
        <w:lastRenderedPageBreak/>
        <w:t>3. Human Factors Analysis using the Dirty Dozen</w:t>
      </w:r>
      <w:bookmarkEnd w:id="4"/>
    </w:p>
    <w:p w14:paraId="43605B09" w14:textId="77777777" w:rsidR="00F10402" w:rsidRPr="00F10402" w:rsidRDefault="00F10402" w:rsidP="00F10402">
      <w:r w:rsidRPr="00F10402">
        <w:t>The “Dirty Dozen” framework identifies twelve human error precursors. Each is examined below in the context of the Flixborough disaster.</w:t>
      </w:r>
    </w:p>
    <w:p w14:paraId="62914D6C" w14:textId="77777777" w:rsidR="00F10402" w:rsidRPr="00F10402" w:rsidRDefault="00F10402" w:rsidP="00F10402">
      <w:r w:rsidRPr="00F10402">
        <w:rPr>
          <w:b/>
          <w:bCs/>
        </w:rPr>
        <w:t>Table 1</w:t>
      </w:r>
      <w:r w:rsidRPr="00F10402">
        <w:t>: Dirty Dozen Factors and Their Relevance to Flixborough</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36"/>
        <w:gridCol w:w="6780"/>
      </w:tblGrid>
      <w:tr w:rsidR="00F10402" w:rsidRPr="00F10402" w14:paraId="7DC0B4C3" w14:textId="77777777" w:rsidTr="00B47F63">
        <w:trPr>
          <w:tblHeader/>
          <w:tblCellSpacing w:w="15" w:type="dxa"/>
        </w:trPr>
        <w:tc>
          <w:tcPr>
            <w:tcW w:w="0" w:type="auto"/>
            <w:vAlign w:val="center"/>
            <w:hideMark/>
          </w:tcPr>
          <w:p w14:paraId="7B540A50" w14:textId="77777777" w:rsidR="00F10402" w:rsidRPr="00F10402" w:rsidRDefault="00F10402" w:rsidP="00F10402">
            <w:pPr>
              <w:rPr>
                <w:b/>
                <w:bCs/>
              </w:rPr>
            </w:pPr>
            <w:r w:rsidRPr="00F10402">
              <w:rPr>
                <w:b/>
                <w:bCs/>
              </w:rPr>
              <w:t>Factor</w:t>
            </w:r>
          </w:p>
        </w:tc>
        <w:tc>
          <w:tcPr>
            <w:tcW w:w="0" w:type="auto"/>
            <w:vAlign w:val="center"/>
            <w:hideMark/>
          </w:tcPr>
          <w:p w14:paraId="621C9659" w14:textId="77777777" w:rsidR="00F10402" w:rsidRPr="00F10402" w:rsidRDefault="00F10402" w:rsidP="00F10402">
            <w:pPr>
              <w:rPr>
                <w:b/>
                <w:bCs/>
              </w:rPr>
            </w:pPr>
            <w:r w:rsidRPr="00F10402">
              <w:rPr>
                <w:b/>
                <w:bCs/>
              </w:rPr>
              <w:t>Relevance to Flixborough</w:t>
            </w:r>
          </w:p>
        </w:tc>
      </w:tr>
      <w:tr w:rsidR="00F10402" w:rsidRPr="00F10402" w14:paraId="1388540C" w14:textId="77777777" w:rsidTr="00B47F63">
        <w:trPr>
          <w:tblCellSpacing w:w="15" w:type="dxa"/>
        </w:trPr>
        <w:tc>
          <w:tcPr>
            <w:tcW w:w="0" w:type="auto"/>
            <w:vAlign w:val="center"/>
            <w:hideMark/>
          </w:tcPr>
          <w:p w14:paraId="64E39446" w14:textId="77777777" w:rsidR="00F10402" w:rsidRPr="00F10402" w:rsidRDefault="00F10402" w:rsidP="00F10402">
            <w:r w:rsidRPr="00F10402">
              <w:t>Lack of Communication</w:t>
            </w:r>
          </w:p>
        </w:tc>
        <w:tc>
          <w:tcPr>
            <w:tcW w:w="0" w:type="auto"/>
            <w:vAlign w:val="center"/>
            <w:hideMark/>
          </w:tcPr>
          <w:p w14:paraId="09BC2FF4" w14:textId="673496E7" w:rsidR="00F10402" w:rsidRPr="00F10402" w:rsidRDefault="00F10402" w:rsidP="00F10402">
            <w:r w:rsidRPr="00F10402">
              <w:t xml:space="preserve">Poor interdepartmental </w:t>
            </w:r>
            <w:r w:rsidR="00B47F63" w:rsidRPr="00F10402">
              <w:t>communication:</w:t>
            </w:r>
            <w:r w:rsidRPr="00F10402">
              <w:t xml:space="preserve"> decisions </w:t>
            </w:r>
            <w:r w:rsidR="0098513C">
              <w:t xml:space="preserve">are </w:t>
            </w:r>
            <w:r w:rsidRPr="00F10402">
              <w:t>made without consulting qualified engineers</w:t>
            </w:r>
          </w:p>
        </w:tc>
      </w:tr>
      <w:tr w:rsidR="00F10402" w:rsidRPr="00F10402" w14:paraId="6A6786DF" w14:textId="77777777" w:rsidTr="00B47F63">
        <w:trPr>
          <w:tblCellSpacing w:w="15" w:type="dxa"/>
        </w:trPr>
        <w:tc>
          <w:tcPr>
            <w:tcW w:w="0" w:type="auto"/>
            <w:vAlign w:val="center"/>
            <w:hideMark/>
          </w:tcPr>
          <w:p w14:paraId="700D10DF" w14:textId="77777777" w:rsidR="00F10402" w:rsidRPr="00F10402" w:rsidRDefault="00F10402" w:rsidP="00F10402">
            <w:r w:rsidRPr="00F10402">
              <w:t>Complacency</w:t>
            </w:r>
          </w:p>
        </w:tc>
        <w:tc>
          <w:tcPr>
            <w:tcW w:w="0" w:type="auto"/>
            <w:vAlign w:val="center"/>
            <w:hideMark/>
          </w:tcPr>
          <w:p w14:paraId="404D23E9" w14:textId="00C29FA6" w:rsidR="00F10402" w:rsidRPr="00F10402" w:rsidRDefault="00F10402" w:rsidP="00F10402">
            <w:r w:rsidRPr="00F10402">
              <w:t xml:space="preserve">Assumption that the plant could operate safely without Reactor 5; </w:t>
            </w:r>
            <w:r w:rsidR="0098513C">
              <w:t xml:space="preserve">the </w:t>
            </w:r>
            <w:r w:rsidRPr="00F10402">
              <w:t>bypass operated for weeks</w:t>
            </w:r>
          </w:p>
        </w:tc>
      </w:tr>
      <w:tr w:rsidR="00F10402" w:rsidRPr="00F10402" w14:paraId="4F2F23D8" w14:textId="77777777" w:rsidTr="00B47F63">
        <w:trPr>
          <w:tblCellSpacing w:w="15" w:type="dxa"/>
        </w:trPr>
        <w:tc>
          <w:tcPr>
            <w:tcW w:w="0" w:type="auto"/>
            <w:vAlign w:val="center"/>
            <w:hideMark/>
          </w:tcPr>
          <w:p w14:paraId="20AE0210" w14:textId="77777777" w:rsidR="00F10402" w:rsidRPr="00F10402" w:rsidRDefault="00F10402" w:rsidP="00F10402">
            <w:r w:rsidRPr="00F10402">
              <w:t>Lack of Knowledge</w:t>
            </w:r>
          </w:p>
        </w:tc>
        <w:tc>
          <w:tcPr>
            <w:tcW w:w="0" w:type="auto"/>
            <w:vAlign w:val="center"/>
            <w:hideMark/>
          </w:tcPr>
          <w:p w14:paraId="4E91EC9D" w14:textId="77777777" w:rsidR="00F10402" w:rsidRPr="00F10402" w:rsidRDefault="00F10402" w:rsidP="00F10402">
            <w:r w:rsidRPr="00F10402">
              <w:t>No mechanical engineer involved; bypass design lacked stress analysis</w:t>
            </w:r>
          </w:p>
        </w:tc>
      </w:tr>
      <w:tr w:rsidR="00F10402" w:rsidRPr="00F10402" w14:paraId="3000EED5" w14:textId="77777777" w:rsidTr="00B47F63">
        <w:trPr>
          <w:tblCellSpacing w:w="15" w:type="dxa"/>
        </w:trPr>
        <w:tc>
          <w:tcPr>
            <w:tcW w:w="0" w:type="auto"/>
            <w:vAlign w:val="center"/>
            <w:hideMark/>
          </w:tcPr>
          <w:p w14:paraId="5E7EE305" w14:textId="77777777" w:rsidR="00F10402" w:rsidRPr="00F10402" w:rsidRDefault="00F10402" w:rsidP="00F10402">
            <w:r w:rsidRPr="00F10402">
              <w:t>Distraction</w:t>
            </w:r>
          </w:p>
        </w:tc>
        <w:tc>
          <w:tcPr>
            <w:tcW w:w="0" w:type="auto"/>
            <w:vAlign w:val="center"/>
            <w:hideMark/>
          </w:tcPr>
          <w:p w14:paraId="44D81095" w14:textId="20E6E21C" w:rsidR="00F10402" w:rsidRPr="00F10402" w:rsidRDefault="00F10402" w:rsidP="00F10402">
            <w:r w:rsidRPr="00F10402">
              <w:t>Pressure to resume production may have diverted focus from safety</w:t>
            </w:r>
            <w:r w:rsidR="0098513C">
              <w:t>.</w:t>
            </w:r>
          </w:p>
        </w:tc>
      </w:tr>
      <w:tr w:rsidR="00F10402" w:rsidRPr="00F10402" w14:paraId="65CCA87C" w14:textId="77777777" w:rsidTr="00B47F63">
        <w:trPr>
          <w:tblCellSpacing w:w="15" w:type="dxa"/>
        </w:trPr>
        <w:tc>
          <w:tcPr>
            <w:tcW w:w="0" w:type="auto"/>
            <w:vAlign w:val="center"/>
            <w:hideMark/>
          </w:tcPr>
          <w:p w14:paraId="2ED73EE4" w14:textId="77777777" w:rsidR="00F10402" w:rsidRPr="00F10402" w:rsidRDefault="00F10402" w:rsidP="00F10402">
            <w:r w:rsidRPr="00F10402">
              <w:t>Lack of Teamwork</w:t>
            </w:r>
          </w:p>
        </w:tc>
        <w:tc>
          <w:tcPr>
            <w:tcW w:w="0" w:type="auto"/>
            <w:vAlign w:val="center"/>
            <w:hideMark/>
          </w:tcPr>
          <w:p w14:paraId="12947EAF" w14:textId="0A148B9A" w:rsidR="00F10402" w:rsidRPr="00F10402" w:rsidRDefault="00F10402" w:rsidP="00F10402">
            <w:r w:rsidRPr="00F10402">
              <w:t>Safety officers had little influence; no collaborative review of the bypass design</w:t>
            </w:r>
            <w:r w:rsidR="0098513C">
              <w:t>.</w:t>
            </w:r>
          </w:p>
        </w:tc>
      </w:tr>
      <w:tr w:rsidR="00F10402" w:rsidRPr="00F10402" w14:paraId="1DBDB644" w14:textId="77777777" w:rsidTr="00B47F63">
        <w:trPr>
          <w:tblCellSpacing w:w="15" w:type="dxa"/>
        </w:trPr>
        <w:tc>
          <w:tcPr>
            <w:tcW w:w="0" w:type="auto"/>
            <w:vAlign w:val="center"/>
            <w:hideMark/>
          </w:tcPr>
          <w:p w14:paraId="77687DA0" w14:textId="77777777" w:rsidR="00F10402" w:rsidRPr="00F10402" w:rsidRDefault="00F10402" w:rsidP="00F10402">
            <w:r w:rsidRPr="00F10402">
              <w:t>Fatigue</w:t>
            </w:r>
          </w:p>
        </w:tc>
        <w:tc>
          <w:tcPr>
            <w:tcW w:w="0" w:type="auto"/>
            <w:vAlign w:val="center"/>
            <w:hideMark/>
          </w:tcPr>
          <w:p w14:paraId="7EA8687E" w14:textId="4E308D18" w:rsidR="00F10402" w:rsidRPr="00F10402" w:rsidRDefault="00B47F63" w:rsidP="00F10402">
            <w:r>
              <w:t>Although not explicitly documented, a</w:t>
            </w:r>
            <w:r w:rsidR="00F10402" w:rsidRPr="00F10402">
              <w:t xml:space="preserve"> rapid turnaround may have led to fatigue-induced errors</w:t>
            </w:r>
            <w:r w:rsidR="0098513C">
              <w:t>.</w:t>
            </w:r>
          </w:p>
        </w:tc>
      </w:tr>
      <w:tr w:rsidR="00F10402" w:rsidRPr="00F10402" w14:paraId="73E4A8A0" w14:textId="77777777" w:rsidTr="00B47F63">
        <w:trPr>
          <w:tblCellSpacing w:w="15" w:type="dxa"/>
        </w:trPr>
        <w:tc>
          <w:tcPr>
            <w:tcW w:w="0" w:type="auto"/>
            <w:vAlign w:val="center"/>
            <w:hideMark/>
          </w:tcPr>
          <w:p w14:paraId="1206185C" w14:textId="77777777" w:rsidR="00F10402" w:rsidRPr="00F10402" w:rsidRDefault="00F10402" w:rsidP="00F10402">
            <w:r w:rsidRPr="00F10402">
              <w:t>Lack of Resources</w:t>
            </w:r>
          </w:p>
        </w:tc>
        <w:tc>
          <w:tcPr>
            <w:tcW w:w="0" w:type="auto"/>
            <w:vAlign w:val="center"/>
            <w:hideMark/>
          </w:tcPr>
          <w:p w14:paraId="0EE14A1B" w14:textId="77777777" w:rsidR="00F10402" w:rsidRPr="00F10402" w:rsidRDefault="00F10402" w:rsidP="00F10402">
            <w:r w:rsidRPr="00F10402">
              <w:t>No access to proper engineering tools or expertise during bypass construction</w:t>
            </w:r>
          </w:p>
        </w:tc>
      </w:tr>
      <w:tr w:rsidR="00F10402" w:rsidRPr="00F10402" w14:paraId="56071DE5" w14:textId="77777777" w:rsidTr="00B47F63">
        <w:trPr>
          <w:tblCellSpacing w:w="15" w:type="dxa"/>
        </w:trPr>
        <w:tc>
          <w:tcPr>
            <w:tcW w:w="0" w:type="auto"/>
            <w:vAlign w:val="center"/>
            <w:hideMark/>
          </w:tcPr>
          <w:p w14:paraId="2625F285" w14:textId="77777777" w:rsidR="00F10402" w:rsidRPr="00F10402" w:rsidRDefault="00F10402" w:rsidP="00F10402">
            <w:r w:rsidRPr="00F10402">
              <w:t>Pressure</w:t>
            </w:r>
          </w:p>
        </w:tc>
        <w:tc>
          <w:tcPr>
            <w:tcW w:w="0" w:type="auto"/>
            <w:vAlign w:val="center"/>
            <w:hideMark/>
          </w:tcPr>
          <w:p w14:paraId="18D59D7A" w14:textId="77777777" w:rsidR="00F10402" w:rsidRPr="00F10402" w:rsidRDefault="00F10402" w:rsidP="00F10402">
            <w:r w:rsidRPr="00F10402">
              <w:t>Management prioritized production over safety</w:t>
            </w:r>
          </w:p>
        </w:tc>
      </w:tr>
      <w:tr w:rsidR="00F10402" w:rsidRPr="00F10402" w14:paraId="5510A783" w14:textId="77777777" w:rsidTr="00B47F63">
        <w:trPr>
          <w:tblCellSpacing w:w="15" w:type="dxa"/>
        </w:trPr>
        <w:tc>
          <w:tcPr>
            <w:tcW w:w="0" w:type="auto"/>
            <w:vAlign w:val="center"/>
            <w:hideMark/>
          </w:tcPr>
          <w:p w14:paraId="6A12CC74" w14:textId="77777777" w:rsidR="00F10402" w:rsidRPr="00F10402" w:rsidRDefault="00F10402" w:rsidP="00F10402">
            <w:r w:rsidRPr="00F10402">
              <w:t>Lack of Assertiveness</w:t>
            </w:r>
          </w:p>
        </w:tc>
        <w:tc>
          <w:tcPr>
            <w:tcW w:w="0" w:type="auto"/>
            <w:vAlign w:val="center"/>
            <w:hideMark/>
          </w:tcPr>
          <w:p w14:paraId="6E3A7E6A" w14:textId="29B7852E" w:rsidR="00F10402" w:rsidRPr="00F10402" w:rsidRDefault="00F10402" w:rsidP="00F10402">
            <w:r w:rsidRPr="00F10402">
              <w:t>Junior staff may have felt unable to challenge unsafe decisions</w:t>
            </w:r>
            <w:r w:rsidR="0098513C">
              <w:t>.</w:t>
            </w:r>
          </w:p>
        </w:tc>
      </w:tr>
      <w:tr w:rsidR="00F10402" w:rsidRPr="00F10402" w14:paraId="52D21DF3" w14:textId="77777777" w:rsidTr="00B47F63">
        <w:trPr>
          <w:tblCellSpacing w:w="15" w:type="dxa"/>
        </w:trPr>
        <w:tc>
          <w:tcPr>
            <w:tcW w:w="0" w:type="auto"/>
            <w:vAlign w:val="center"/>
            <w:hideMark/>
          </w:tcPr>
          <w:p w14:paraId="7AF721EE" w14:textId="77777777" w:rsidR="00F10402" w:rsidRPr="00F10402" w:rsidRDefault="00F10402" w:rsidP="00F10402">
            <w:r w:rsidRPr="00F10402">
              <w:t>Stress</w:t>
            </w:r>
          </w:p>
        </w:tc>
        <w:tc>
          <w:tcPr>
            <w:tcW w:w="0" w:type="auto"/>
            <w:vAlign w:val="center"/>
            <w:hideMark/>
          </w:tcPr>
          <w:p w14:paraId="75DDA364" w14:textId="2484867B" w:rsidR="00F10402" w:rsidRPr="00F10402" w:rsidRDefault="00F10402" w:rsidP="00F10402">
            <w:r w:rsidRPr="00F10402">
              <w:t>Operational stress during startup may have contributed to the failure</w:t>
            </w:r>
            <w:r w:rsidR="0098513C">
              <w:t>.</w:t>
            </w:r>
          </w:p>
        </w:tc>
      </w:tr>
      <w:tr w:rsidR="00F10402" w:rsidRPr="00F10402" w14:paraId="3E0EACC0" w14:textId="77777777" w:rsidTr="00B47F63">
        <w:trPr>
          <w:tblCellSpacing w:w="15" w:type="dxa"/>
        </w:trPr>
        <w:tc>
          <w:tcPr>
            <w:tcW w:w="0" w:type="auto"/>
            <w:vAlign w:val="center"/>
            <w:hideMark/>
          </w:tcPr>
          <w:p w14:paraId="61D3DF66" w14:textId="77777777" w:rsidR="00F10402" w:rsidRPr="00F10402" w:rsidRDefault="00F10402" w:rsidP="00F10402">
            <w:r w:rsidRPr="00F10402">
              <w:t>Lack of Awareness</w:t>
            </w:r>
          </w:p>
        </w:tc>
        <w:tc>
          <w:tcPr>
            <w:tcW w:w="0" w:type="auto"/>
            <w:vAlign w:val="center"/>
            <w:hideMark/>
          </w:tcPr>
          <w:p w14:paraId="182E2A04" w14:textId="7FC79DAD" w:rsidR="00F10402" w:rsidRPr="00F10402" w:rsidRDefault="00F10402" w:rsidP="00F10402">
            <w:r w:rsidRPr="00F10402">
              <w:t xml:space="preserve">No hazard analysis or risk assessment </w:t>
            </w:r>
            <w:r w:rsidR="0098513C">
              <w:t xml:space="preserve">was </w:t>
            </w:r>
            <w:r w:rsidRPr="00F10402">
              <w:t>conducted for the bypass</w:t>
            </w:r>
            <w:r w:rsidR="0098513C">
              <w:t>.</w:t>
            </w:r>
          </w:p>
        </w:tc>
      </w:tr>
      <w:tr w:rsidR="00F10402" w:rsidRPr="00F10402" w14:paraId="02EEA6F4" w14:textId="77777777" w:rsidTr="00B47F63">
        <w:trPr>
          <w:tblCellSpacing w:w="15" w:type="dxa"/>
        </w:trPr>
        <w:tc>
          <w:tcPr>
            <w:tcW w:w="0" w:type="auto"/>
            <w:vAlign w:val="center"/>
            <w:hideMark/>
          </w:tcPr>
          <w:p w14:paraId="54061EA9" w14:textId="77777777" w:rsidR="00F10402" w:rsidRPr="00F10402" w:rsidRDefault="00F10402" w:rsidP="00F10402">
            <w:r w:rsidRPr="00F10402">
              <w:t>Norms</w:t>
            </w:r>
          </w:p>
        </w:tc>
        <w:tc>
          <w:tcPr>
            <w:tcW w:w="0" w:type="auto"/>
            <w:vAlign w:val="center"/>
            <w:hideMark/>
          </w:tcPr>
          <w:p w14:paraId="09D31C3B" w14:textId="1C28C09C" w:rsidR="00F10402" w:rsidRPr="00F10402" w:rsidRDefault="00F10402" w:rsidP="00F10402">
            <w:r w:rsidRPr="00F10402">
              <w:t xml:space="preserve">Informal practices (e.g., chalk drawings) </w:t>
            </w:r>
            <w:r w:rsidR="0098513C">
              <w:t xml:space="preserve">are </w:t>
            </w:r>
            <w:r w:rsidRPr="00F10402">
              <w:t>accepted as standard procedure</w:t>
            </w:r>
            <w:r w:rsidR="0098513C">
              <w:t>.</w:t>
            </w:r>
          </w:p>
        </w:tc>
      </w:tr>
    </w:tbl>
    <w:p w14:paraId="0CC8FC11" w14:textId="77777777" w:rsidR="00B47F63" w:rsidRDefault="00B47F63" w:rsidP="00B47F63">
      <w:pPr>
        <w:rPr>
          <w:b/>
          <w:bCs/>
        </w:rPr>
      </w:pPr>
    </w:p>
    <w:p w14:paraId="04BDCBBF" w14:textId="7680F274" w:rsidR="00B47F63" w:rsidRPr="00B47F63" w:rsidRDefault="00B47F63" w:rsidP="00B47F63">
      <w:r w:rsidRPr="00B47F63">
        <w:lastRenderedPageBreak/>
        <w:t>The Flixborough disaster was shaped by human error precursors identified in the Dirty Dozen framework. Communication and teamwork failures were evident, as critical decisions were made without consulting qualified personnel</w:t>
      </w:r>
      <w:r w:rsidR="00DD7B46">
        <w:t>,</w:t>
      </w:r>
      <w:r w:rsidRPr="00B47F63">
        <w:t xml:space="preserve"> and safety officers had minimal influence</w:t>
      </w:r>
      <w:r w:rsidR="00144DC1">
        <w:t xml:space="preserve"> over these decisions</w:t>
      </w:r>
      <w:r w:rsidRPr="00B47F63">
        <w:t xml:space="preserve">. A lack of mechanical engineering knowledge and insufficient resources led to a dangerously flawed bypass design. Cultural and </w:t>
      </w:r>
      <w:r w:rsidR="00DD7B46">
        <w:t xml:space="preserve">behavioural issues—including complacency, informal norms, and a lack of assertiveness—allowed unsafe practices to persist unchallenged. Operational pressures, such as stress, distraction, and the </w:t>
      </w:r>
      <w:r w:rsidRPr="00B47F63">
        <w:t xml:space="preserve">urgency to resume production, further compromised safety. Most critically, the absence of formal hazard analysis and risk assessment revealed a profound lack of awareness. Together, these factors </w:t>
      </w:r>
      <w:r w:rsidR="00144DC1">
        <w:t>show</w:t>
      </w:r>
      <w:r w:rsidRPr="00B47F63">
        <w:t xml:space="preserve"> systemic deficiencies in safety culture, decision-making, and engineering assurance at the Nypro plant.</w:t>
      </w:r>
    </w:p>
    <w:p w14:paraId="69965464" w14:textId="77777777" w:rsidR="00B47F63" w:rsidRDefault="00B47F63" w:rsidP="00B47F63">
      <w:pPr>
        <w:ind w:left="360"/>
        <w:rPr>
          <w:b/>
          <w:bCs/>
        </w:rPr>
      </w:pPr>
    </w:p>
    <w:p w14:paraId="54BC349A" w14:textId="77777777" w:rsidR="00DD7B46" w:rsidRDefault="00DD7B46" w:rsidP="00B47F63">
      <w:pPr>
        <w:ind w:left="360"/>
        <w:rPr>
          <w:b/>
          <w:bCs/>
        </w:rPr>
      </w:pPr>
    </w:p>
    <w:p w14:paraId="13A2D147" w14:textId="77777777" w:rsidR="00DD7B46" w:rsidRDefault="00DD7B46" w:rsidP="00B47F63">
      <w:pPr>
        <w:ind w:left="360"/>
        <w:rPr>
          <w:b/>
          <w:bCs/>
        </w:rPr>
      </w:pPr>
    </w:p>
    <w:p w14:paraId="7B816FFD" w14:textId="77777777" w:rsidR="00DD7B46" w:rsidRDefault="00DD7B46" w:rsidP="00B47F63">
      <w:pPr>
        <w:ind w:left="360"/>
        <w:rPr>
          <w:b/>
          <w:bCs/>
        </w:rPr>
      </w:pPr>
    </w:p>
    <w:p w14:paraId="62D6DF2E" w14:textId="77777777" w:rsidR="00DD7B46" w:rsidRDefault="00DD7B46" w:rsidP="00B47F63">
      <w:pPr>
        <w:ind w:left="360"/>
        <w:rPr>
          <w:b/>
          <w:bCs/>
        </w:rPr>
      </w:pPr>
    </w:p>
    <w:p w14:paraId="7E27AC66" w14:textId="77777777" w:rsidR="00DD7B46" w:rsidRDefault="00DD7B46" w:rsidP="00B47F63">
      <w:pPr>
        <w:ind w:left="360"/>
        <w:rPr>
          <w:b/>
          <w:bCs/>
        </w:rPr>
      </w:pPr>
    </w:p>
    <w:p w14:paraId="52D6A0D4" w14:textId="77777777" w:rsidR="00DD7B46" w:rsidRDefault="00DD7B46" w:rsidP="00B47F63">
      <w:pPr>
        <w:ind w:left="360"/>
        <w:rPr>
          <w:b/>
          <w:bCs/>
        </w:rPr>
      </w:pPr>
    </w:p>
    <w:p w14:paraId="795DBF03" w14:textId="77777777" w:rsidR="00DD7B46" w:rsidRDefault="00DD7B46" w:rsidP="00B47F63">
      <w:pPr>
        <w:ind w:left="360"/>
        <w:rPr>
          <w:b/>
          <w:bCs/>
        </w:rPr>
      </w:pPr>
    </w:p>
    <w:p w14:paraId="6CCDCDE5" w14:textId="77777777" w:rsidR="00DD7B46" w:rsidRDefault="00DD7B46" w:rsidP="00B47F63">
      <w:pPr>
        <w:ind w:left="360"/>
        <w:rPr>
          <w:b/>
          <w:bCs/>
        </w:rPr>
      </w:pPr>
    </w:p>
    <w:p w14:paraId="4EB21F82" w14:textId="77777777" w:rsidR="00DD7B46" w:rsidRDefault="00DD7B46" w:rsidP="00B47F63">
      <w:pPr>
        <w:ind w:left="360"/>
        <w:rPr>
          <w:b/>
          <w:bCs/>
        </w:rPr>
      </w:pPr>
    </w:p>
    <w:p w14:paraId="307C9B14" w14:textId="77777777" w:rsidR="00DD7B46" w:rsidRDefault="00DD7B46" w:rsidP="00B47F63">
      <w:pPr>
        <w:ind w:left="360"/>
        <w:rPr>
          <w:b/>
          <w:bCs/>
        </w:rPr>
      </w:pPr>
    </w:p>
    <w:p w14:paraId="7DE055E7" w14:textId="77777777" w:rsidR="00DD7B46" w:rsidRDefault="00DD7B46" w:rsidP="00B47F63">
      <w:pPr>
        <w:ind w:left="360"/>
        <w:rPr>
          <w:b/>
          <w:bCs/>
        </w:rPr>
      </w:pPr>
    </w:p>
    <w:p w14:paraId="69965286" w14:textId="77777777" w:rsidR="00DD7B46" w:rsidRDefault="00DD7B46" w:rsidP="00B47F63">
      <w:pPr>
        <w:ind w:left="360"/>
        <w:rPr>
          <w:b/>
          <w:bCs/>
        </w:rPr>
      </w:pPr>
    </w:p>
    <w:p w14:paraId="6CBE8CA9" w14:textId="77777777" w:rsidR="00DD7B46" w:rsidRDefault="00DD7B46" w:rsidP="00B47F63">
      <w:pPr>
        <w:ind w:left="360"/>
        <w:rPr>
          <w:b/>
          <w:bCs/>
        </w:rPr>
      </w:pPr>
    </w:p>
    <w:p w14:paraId="578801CA" w14:textId="77777777" w:rsidR="00DD7B46" w:rsidRDefault="00DD7B46" w:rsidP="00B47F63">
      <w:pPr>
        <w:ind w:left="360"/>
        <w:rPr>
          <w:b/>
          <w:bCs/>
        </w:rPr>
      </w:pPr>
    </w:p>
    <w:p w14:paraId="44FBA48E" w14:textId="77777777" w:rsidR="00DD7B46" w:rsidRDefault="00DD7B46" w:rsidP="00B47F63">
      <w:pPr>
        <w:ind w:left="360"/>
        <w:rPr>
          <w:b/>
          <w:bCs/>
        </w:rPr>
      </w:pPr>
    </w:p>
    <w:p w14:paraId="5666F8E1" w14:textId="77777777" w:rsidR="00DD7B46" w:rsidRDefault="00DD7B46" w:rsidP="00B47F63">
      <w:pPr>
        <w:ind w:left="360"/>
        <w:rPr>
          <w:b/>
          <w:bCs/>
        </w:rPr>
      </w:pPr>
    </w:p>
    <w:p w14:paraId="64791432" w14:textId="77777777" w:rsidR="00DD7B46" w:rsidRDefault="00DD7B46" w:rsidP="00BB51A1">
      <w:pPr>
        <w:rPr>
          <w:b/>
          <w:bCs/>
        </w:rPr>
      </w:pPr>
    </w:p>
    <w:p w14:paraId="2B5CB220" w14:textId="0DF49EB9" w:rsidR="00DD7B46" w:rsidRDefault="00DD7B46" w:rsidP="00DD7B46">
      <w:pPr>
        <w:pStyle w:val="Heading1"/>
        <w:numPr>
          <w:ilvl w:val="0"/>
          <w:numId w:val="6"/>
        </w:numPr>
      </w:pPr>
      <w:bookmarkStart w:id="5" w:name="_Toc203651221"/>
      <w:r>
        <w:lastRenderedPageBreak/>
        <w:t>Top Three Dirty Dozen Elements</w:t>
      </w:r>
      <w:bookmarkEnd w:id="5"/>
    </w:p>
    <w:p w14:paraId="2FCC9EE1" w14:textId="75E0F041" w:rsidR="00DD7B46" w:rsidRPr="00DD7B46" w:rsidRDefault="00DD7B46" w:rsidP="00DD7B46">
      <w:r>
        <w:t>Three critical human factors primarily drove the Flixborough disaster</w:t>
      </w:r>
      <w:r w:rsidRPr="00DD7B46">
        <w:t xml:space="preserve">. </w:t>
      </w:r>
      <w:r w:rsidRPr="00DD7B46">
        <w:rPr>
          <w:b/>
          <w:bCs/>
        </w:rPr>
        <w:t>Lack of Knowledge</w:t>
      </w:r>
      <w:r w:rsidRPr="00DD7B46">
        <w:t xml:space="preserve"> was evident in the design and installation of the temporary bypass pipe by personnel without mechanical engineering expertise, resulting in a structurally unsound solution. </w:t>
      </w:r>
      <w:r w:rsidRPr="00DD7B46">
        <w:rPr>
          <w:b/>
          <w:bCs/>
        </w:rPr>
        <w:t>Pressure</w:t>
      </w:r>
      <w:r w:rsidRPr="00DD7B46">
        <w:t xml:space="preserve"> to quickly resume production led to rushed decisions and the bypass being implemented without proper safety checks. Finally, a </w:t>
      </w:r>
      <w:r w:rsidRPr="00DD7B46">
        <w:rPr>
          <w:b/>
          <w:bCs/>
        </w:rPr>
        <w:t>Lack of Awareness</w:t>
      </w:r>
      <w:r w:rsidRPr="00DD7B46">
        <w:t xml:space="preserve"> meant that no hazard analysis or risk assessment was conducted, and the potential for a catastrophic fuel-air explosion was not recognized. Together, these factors created a perfect storm of technical failure and organi</w:t>
      </w:r>
      <w:r>
        <w:t>s</w:t>
      </w:r>
      <w:r w:rsidRPr="00DD7B46">
        <w:t>ational oversight.</w:t>
      </w:r>
      <w:r w:rsidR="00B70D5F">
        <w:t xml:space="preserve"> </w:t>
      </w:r>
      <w:sdt>
        <w:sdtPr>
          <w:id w:val="282014654"/>
          <w:citation/>
        </w:sdtPr>
        <w:sdtContent>
          <w:r w:rsidR="00B70D5F">
            <w:fldChar w:fldCharType="begin"/>
          </w:r>
          <w:r w:rsidR="00B70D5F">
            <w:instrText xml:space="preserve"> CITATION Mat19 \l 2057 </w:instrText>
          </w:r>
          <w:r w:rsidR="00B70D5F">
            <w:fldChar w:fldCharType="separate"/>
          </w:r>
          <w:r w:rsidR="00BB51A1" w:rsidRPr="00BB51A1">
            <w:rPr>
              <w:noProof/>
            </w:rPr>
            <w:t>[3]</w:t>
          </w:r>
          <w:r w:rsidR="00B70D5F">
            <w:fldChar w:fldCharType="end"/>
          </w:r>
        </w:sdtContent>
      </w:sdt>
      <w:sdt>
        <w:sdtPr>
          <w:id w:val="151653078"/>
          <w:citation/>
        </w:sdtPr>
        <w:sdtContent>
          <w:r w:rsidR="00B70D5F">
            <w:fldChar w:fldCharType="begin"/>
          </w:r>
          <w:r w:rsidR="00B70D5F">
            <w:instrText xml:space="preserve"> CITATION Nic25 \l 2057 </w:instrText>
          </w:r>
          <w:r w:rsidR="00B70D5F">
            <w:fldChar w:fldCharType="separate"/>
          </w:r>
          <w:r w:rsidR="00BB51A1">
            <w:rPr>
              <w:noProof/>
            </w:rPr>
            <w:t xml:space="preserve"> </w:t>
          </w:r>
          <w:r w:rsidR="00BB51A1" w:rsidRPr="00BB51A1">
            <w:rPr>
              <w:noProof/>
            </w:rPr>
            <w:t>[4]</w:t>
          </w:r>
          <w:r w:rsidR="00B70D5F">
            <w:fldChar w:fldCharType="end"/>
          </w:r>
        </w:sdtContent>
      </w:sdt>
    </w:p>
    <w:p w14:paraId="248D141C" w14:textId="073ECEC8" w:rsidR="00F10402" w:rsidRPr="00F10402" w:rsidRDefault="00DD7B46" w:rsidP="00DD7B46">
      <w:pPr>
        <w:pStyle w:val="Heading2"/>
      </w:pPr>
      <w:bookmarkStart w:id="6" w:name="_Toc203651222"/>
      <w:r>
        <w:t>4.1 Lack of knowledge</w:t>
      </w:r>
      <w:bookmarkEnd w:id="6"/>
    </w:p>
    <w:p w14:paraId="32375C99" w14:textId="5F8840E8" w:rsidR="00755C09" w:rsidRPr="00755C09" w:rsidRDefault="00755C09" w:rsidP="00755C09">
      <w:r w:rsidRPr="00755C09">
        <w:t xml:space="preserve">The absence of technical expertise was a central failure in the events leading to the Flixborough disaster. When Reactor 5 developed a crack, a temporary bypass pipe was installed between Reactors 4 and 6. This critical modification was designed by an electrical engineer who lacked </w:t>
      </w:r>
      <w:r>
        <w:t>qualifications in mechanical engineering</w:t>
      </w:r>
      <w:r w:rsidRPr="00755C09">
        <w:t>. No formal engineering drawings were produced, and no stress calculations or reference to British Standards were made. The pipe was constructed using bellows and unsupported lengths of tubing, which were highly susceptible to mechanical failure under pressure and vibration.</w:t>
      </w:r>
    </w:p>
    <w:p w14:paraId="768B80D3" w14:textId="344CC083" w:rsidR="00755C09" w:rsidRDefault="00755C09" w:rsidP="00755C09">
      <w:r w:rsidRPr="00755C09">
        <w:t>This lack of knowledge extended beyond the individual designer to the organi</w:t>
      </w:r>
      <w:r>
        <w:t>s</w:t>
      </w:r>
      <w:r w:rsidRPr="00755C09">
        <w:t>ational level. Senior management, composed primarily of chemical engineers, did not recognize the mechanical risks involved. The absence of a chartered mechanical engineer in a decision-making role meant that the bypass was never properly reviewed. This knowledge gap directly led to the pipe’s rupture and the release of cyclohexane vapor, triggering the explosion.</w:t>
      </w:r>
      <w:r w:rsidR="00B70D5F">
        <w:t xml:space="preserve"> </w:t>
      </w:r>
      <w:sdt>
        <w:sdtPr>
          <w:id w:val="-304470845"/>
          <w:citation/>
        </w:sdtPr>
        <w:sdtContent>
          <w:r w:rsidR="00B70D5F">
            <w:fldChar w:fldCharType="begin"/>
          </w:r>
          <w:r w:rsidR="00B70D5F">
            <w:instrText xml:space="preserve"> CITATION Mat19 \l 2057 </w:instrText>
          </w:r>
          <w:r w:rsidR="00B70D5F">
            <w:fldChar w:fldCharType="separate"/>
          </w:r>
          <w:r w:rsidR="00BB51A1" w:rsidRPr="00BB51A1">
            <w:rPr>
              <w:noProof/>
            </w:rPr>
            <w:t>[3]</w:t>
          </w:r>
          <w:r w:rsidR="00B70D5F">
            <w:fldChar w:fldCharType="end"/>
          </w:r>
        </w:sdtContent>
      </w:sdt>
      <w:r w:rsidR="00B70D5F">
        <w:t xml:space="preserve"> </w:t>
      </w:r>
      <w:sdt>
        <w:sdtPr>
          <w:id w:val="481512368"/>
          <w:citation/>
        </w:sdtPr>
        <w:sdtContent>
          <w:r w:rsidR="00B70D5F">
            <w:fldChar w:fldCharType="begin"/>
          </w:r>
          <w:r w:rsidR="00B70D5F">
            <w:instrText xml:space="preserve"> CITATION Rob24 \l 2057 </w:instrText>
          </w:r>
          <w:r w:rsidR="00B70D5F">
            <w:fldChar w:fldCharType="separate"/>
          </w:r>
          <w:r w:rsidR="00BB51A1" w:rsidRPr="00BB51A1">
            <w:rPr>
              <w:noProof/>
            </w:rPr>
            <w:t>[5]</w:t>
          </w:r>
          <w:r w:rsidR="00B70D5F">
            <w:fldChar w:fldCharType="end"/>
          </w:r>
        </w:sdtContent>
      </w:sdt>
      <w:r w:rsidR="00B70D5F">
        <w:t xml:space="preserve"> </w:t>
      </w:r>
      <w:sdt>
        <w:sdtPr>
          <w:id w:val="622504751"/>
          <w:citation/>
        </w:sdtPr>
        <w:sdtContent>
          <w:r w:rsidR="00B70D5F">
            <w:fldChar w:fldCharType="begin"/>
          </w:r>
          <w:r w:rsidR="00B70D5F">
            <w:instrText xml:space="preserve"> CITATION Nic25 \l 2057 </w:instrText>
          </w:r>
          <w:r w:rsidR="00B70D5F">
            <w:fldChar w:fldCharType="separate"/>
          </w:r>
          <w:r w:rsidR="00BB51A1" w:rsidRPr="00BB51A1">
            <w:rPr>
              <w:noProof/>
            </w:rPr>
            <w:t>[4]</w:t>
          </w:r>
          <w:r w:rsidR="00B70D5F">
            <w:fldChar w:fldCharType="end"/>
          </w:r>
        </w:sdtContent>
      </w:sdt>
    </w:p>
    <w:p w14:paraId="3A0EA89F" w14:textId="0FC88176" w:rsidR="00F10402" w:rsidRDefault="00DD7B46" w:rsidP="00755C09">
      <w:pPr>
        <w:pStyle w:val="Heading2"/>
        <w:numPr>
          <w:ilvl w:val="1"/>
          <w:numId w:val="6"/>
        </w:numPr>
      </w:pPr>
      <w:bookmarkStart w:id="7" w:name="_Toc203651223"/>
      <w:r>
        <w:t>Pressure</w:t>
      </w:r>
      <w:bookmarkEnd w:id="7"/>
    </w:p>
    <w:p w14:paraId="40C4D718" w14:textId="4CB4902D" w:rsidR="00755C09" w:rsidRPr="00755C09" w:rsidRDefault="00755C09" w:rsidP="00755C09">
      <w:pPr>
        <w:pStyle w:val="NormalWeb"/>
        <w:rPr>
          <w:rFonts w:asciiTheme="minorHAnsi" w:hAnsiTheme="minorHAnsi"/>
        </w:rPr>
      </w:pPr>
      <w:r w:rsidRPr="00755C09">
        <w:rPr>
          <w:rFonts w:asciiTheme="minorHAnsi" w:hAnsiTheme="minorHAnsi"/>
        </w:rPr>
        <w:t xml:space="preserve">Operational and economic pressure played a significant role in compromising safety. The Nypro plant was a major producer of caprolactam, a precursor for nylon, and any downtime had </w:t>
      </w:r>
      <w:r>
        <w:rPr>
          <w:rFonts w:asciiTheme="minorHAnsi" w:hAnsiTheme="minorHAnsi"/>
        </w:rPr>
        <w:t>profound</w:t>
      </w:r>
      <w:r w:rsidRPr="00755C09">
        <w:rPr>
          <w:rFonts w:asciiTheme="minorHAnsi" w:hAnsiTheme="minorHAnsi"/>
        </w:rPr>
        <w:t xml:space="preserve"> financial implications. After Reactor 5 was taken offline, management was eager to resume production as quickly as possible. This urgency led to the bypass being designed, fabricated, and installed within just 30 hours—a timeline that left no room for thorough engineering review or safety assessment.</w:t>
      </w:r>
    </w:p>
    <w:p w14:paraId="5A7C94E6" w14:textId="45D4C646" w:rsidR="00755C09" w:rsidRPr="00755C09" w:rsidRDefault="00755C09" w:rsidP="00755C09">
      <w:pPr>
        <w:pStyle w:val="NormalWeb"/>
        <w:rPr>
          <w:rFonts w:asciiTheme="minorHAnsi" w:hAnsiTheme="minorHAnsi"/>
        </w:rPr>
      </w:pPr>
      <w:r w:rsidRPr="00755C09">
        <w:rPr>
          <w:rFonts w:asciiTheme="minorHAnsi" w:hAnsiTheme="minorHAnsi"/>
        </w:rPr>
        <w:t>The pressure to maintain output overshadowed safety considerations. Decisions were made hastily, and the plant was restarted with the temporary bypass in place, despite its untested design and the presence of known leaks. This culture of prioriti</w:t>
      </w:r>
      <w:r>
        <w:rPr>
          <w:rFonts w:asciiTheme="minorHAnsi" w:hAnsiTheme="minorHAnsi"/>
        </w:rPr>
        <w:t>s</w:t>
      </w:r>
      <w:r w:rsidRPr="00755C09">
        <w:rPr>
          <w:rFonts w:asciiTheme="minorHAnsi" w:hAnsiTheme="minorHAnsi"/>
        </w:rPr>
        <w:t xml:space="preserve">ing production over safety created an environment where risks were downplayed or </w:t>
      </w:r>
      <w:r>
        <w:rPr>
          <w:rFonts w:asciiTheme="minorHAnsi" w:hAnsiTheme="minorHAnsi"/>
        </w:rPr>
        <w:t>overlooked, directly contributing</w:t>
      </w:r>
      <w:r w:rsidRPr="00755C09">
        <w:rPr>
          <w:rFonts w:asciiTheme="minorHAnsi" w:hAnsiTheme="minorHAnsi"/>
        </w:rPr>
        <w:t xml:space="preserve"> to the disaster.</w:t>
      </w:r>
      <w:r w:rsidR="00B70D5F">
        <w:rPr>
          <w:rFonts w:asciiTheme="minorHAnsi" w:hAnsiTheme="minorHAnsi"/>
        </w:rPr>
        <w:t xml:space="preserve"> </w:t>
      </w:r>
      <w:sdt>
        <w:sdtPr>
          <w:rPr>
            <w:rFonts w:asciiTheme="minorHAnsi" w:hAnsiTheme="minorHAnsi"/>
          </w:rPr>
          <w:id w:val="-1682509408"/>
          <w:citation/>
        </w:sdtPr>
        <w:sdtContent>
          <w:r w:rsidR="00B70D5F">
            <w:rPr>
              <w:rFonts w:asciiTheme="minorHAnsi" w:hAnsiTheme="minorHAnsi"/>
            </w:rPr>
            <w:fldChar w:fldCharType="begin"/>
          </w:r>
          <w:r w:rsidR="00B70D5F">
            <w:rPr>
              <w:rFonts w:asciiTheme="minorHAnsi" w:hAnsiTheme="minorHAnsi"/>
            </w:rPr>
            <w:instrText xml:space="preserve"> CITATION Mat19 \l 2057 </w:instrText>
          </w:r>
          <w:r w:rsidR="00B70D5F">
            <w:rPr>
              <w:rFonts w:asciiTheme="minorHAnsi" w:hAnsiTheme="minorHAnsi"/>
            </w:rPr>
            <w:fldChar w:fldCharType="separate"/>
          </w:r>
          <w:r w:rsidR="00BB51A1" w:rsidRPr="00BB51A1">
            <w:rPr>
              <w:rFonts w:asciiTheme="minorHAnsi" w:hAnsiTheme="minorHAnsi"/>
              <w:noProof/>
            </w:rPr>
            <w:t>[3]</w:t>
          </w:r>
          <w:r w:rsidR="00B70D5F">
            <w:rPr>
              <w:rFonts w:asciiTheme="minorHAnsi" w:hAnsiTheme="minorHAnsi"/>
            </w:rPr>
            <w:fldChar w:fldCharType="end"/>
          </w:r>
        </w:sdtContent>
      </w:sdt>
      <w:r w:rsidR="00B70D5F">
        <w:rPr>
          <w:rFonts w:asciiTheme="minorHAnsi" w:hAnsiTheme="minorHAnsi"/>
        </w:rPr>
        <w:t xml:space="preserve"> </w:t>
      </w:r>
      <w:sdt>
        <w:sdtPr>
          <w:rPr>
            <w:rFonts w:asciiTheme="minorHAnsi" w:hAnsiTheme="minorHAnsi"/>
          </w:rPr>
          <w:id w:val="-1703081759"/>
          <w:citation/>
        </w:sdtPr>
        <w:sdtContent>
          <w:r w:rsidR="00B70D5F">
            <w:rPr>
              <w:rFonts w:asciiTheme="minorHAnsi" w:hAnsiTheme="minorHAnsi"/>
            </w:rPr>
            <w:fldChar w:fldCharType="begin"/>
          </w:r>
          <w:r w:rsidR="00B70D5F">
            <w:rPr>
              <w:rFonts w:asciiTheme="minorHAnsi" w:hAnsiTheme="minorHAnsi"/>
            </w:rPr>
            <w:instrText xml:space="preserve"> CITATION Rob24 \l 2057 </w:instrText>
          </w:r>
          <w:r w:rsidR="00B70D5F">
            <w:rPr>
              <w:rFonts w:asciiTheme="minorHAnsi" w:hAnsiTheme="minorHAnsi"/>
            </w:rPr>
            <w:fldChar w:fldCharType="separate"/>
          </w:r>
          <w:r w:rsidR="00BB51A1" w:rsidRPr="00BB51A1">
            <w:rPr>
              <w:rFonts w:asciiTheme="minorHAnsi" w:hAnsiTheme="minorHAnsi"/>
              <w:noProof/>
            </w:rPr>
            <w:t>[5]</w:t>
          </w:r>
          <w:r w:rsidR="00B70D5F">
            <w:rPr>
              <w:rFonts w:asciiTheme="minorHAnsi" w:hAnsiTheme="minorHAnsi"/>
            </w:rPr>
            <w:fldChar w:fldCharType="end"/>
          </w:r>
        </w:sdtContent>
      </w:sdt>
    </w:p>
    <w:p w14:paraId="29D948BF" w14:textId="77777777" w:rsidR="00755C09" w:rsidRPr="00F10402" w:rsidRDefault="00755C09" w:rsidP="00755C09"/>
    <w:p w14:paraId="290D825A" w14:textId="409DC751" w:rsidR="00F10402" w:rsidRPr="00F10402" w:rsidRDefault="00DD7B46" w:rsidP="00DD7B46">
      <w:pPr>
        <w:pStyle w:val="Heading2"/>
      </w:pPr>
      <w:bookmarkStart w:id="8" w:name="_Toc203651224"/>
      <w:r>
        <w:lastRenderedPageBreak/>
        <w:t>4.3 Lack of Awareness</w:t>
      </w:r>
      <w:bookmarkEnd w:id="8"/>
    </w:p>
    <w:p w14:paraId="51B66F08" w14:textId="625B20FC" w:rsidR="00755C09" w:rsidRPr="00755C09" w:rsidRDefault="00755C09" w:rsidP="00755C09">
      <w:r w:rsidRPr="00755C09">
        <w:t xml:space="preserve">No formal hazard analysis or risk assessment was conducted for the bypass modification. The potential for a fuel-air explosion—a well-documented phenomenon in chemical processing—was not </w:t>
      </w:r>
      <w:r>
        <w:t>taken into consideration</w:t>
      </w:r>
      <w:r w:rsidRPr="00755C09">
        <w:t xml:space="preserve">. Cyclohexane is a highly flammable substance, and its release in large quantities </w:t>
      </w:r>
      <w:r>
        <w:t>poses</w:t>
      </w:r>
      <w:r w:rsidRPr="00755C09">
        <w:t xml:space="preserve"> a severe risk. Yet the plant lacked systems to detect or contain such a release.</w:t>
      </w:r>
    </w:p>
    <w:p w14:paraId="5ECE5D45" w14:textId="76EB3D86" w:rsidR="00755C09" w:rsidRPr="00755C09" w:rsidRDefault="00755C09" w:rsidP="00755C09">
      <w:r w:rsidRPr="00755C09">
        <w:t xml:space="preserve">Moreover, the control room was located dangerously close to the reactors and was not designed to withstand explosions. All 18 personnel inside were killed instantly when the blast collapsed the roof. This tragic outcome </w:t>
      </w:r>
      <w:r>
        <w:t>highlights the need for greater</w:t>
      </w:r>
      <w:r w:rsidRPr="00755C09">
        <w:t xml:space="preserve"> awareness in facility design and emergency planning. The failure to anticipate worst-case scenarios and implement protective measures was a critical oversight.</w:t>
      </w:r>
      <w:r w:rsidR="00B70D5F">
        <w:t xml:space="preserve"> </w:t>
      </w:r>
      <w:sdt>
        <w:sdtPr>
          <w:id w:val="1260726190"/>
          <w:citation/>
        </w:sdtPr>
        <w:sdtContent>
          <w:r w:rsidR="00B70D5F">
            <w:fldChar w:fldCharType="begin"/>
          </w:r>
          <w:r w:rsidR="00B70D5F">
            <w:instrText xml:space="preserve"> CITATION HSE25 \l 2057 </w:instrText>
          </w:r>
          <w:r w:rsidR="00B70D5F">
            <w:fldChar w:fldCharType="separate"/>
          </w:r>
          <w:r w:rsidR="00BB51A1" w:rsidRPr="00BB51A1">
            <w:rPr>
              <w:noProof/>
            </w:rPr>
            <w:t>[1]</w:t>
          </w:r>
          <w:r w:rsidR="00B70D5F">
            <w:fldChar w:fldCharType="end"/>
          </w:r>
        </w:sdtContent>
      </w:sdt>
      <w:r w:rsidR="00B70D5F">
        <w:t xml:space="preserve"> </w:t>
      </w:r>
      <w:sdt>
        <w:sdtPr>
          <w:id w:val="-1272623360"/>
          <w:citation/>
        </w:sdtPr>
        <w:sdtContent>
          <w:r w:rsidR="00B70D5F">
            <w:fldChar w:fldCharType="begin"/>
          </w:r>
          <w:r w:rsidR="00B70D5F">
            <w:instrText xml:space="preserve"> CITATION Rob24 \l 2057 </w:instrText>
          </w:r>
          <w:r w:rsidR="00B70D5F">
            <w:fldChar w:fldCharType="separate"/>
          </w:r>
          <w:r w:rsidR="00BB51A1" w:rsidRPr="00BB51A1">
            <w:rPr>
              <w:noProof/>
            </w:rPr>
            <w:t>[5]</w:t>
          </w:r>
          <w:r w:rsidR="00B70D5F">
            <w:fldChar w:fldCharType="end"/>
          </w:r>
        </w:sdtContent>
      </w:sdt>
    </w:p>
    <w:p w14:paraId="3881A479" w14:textId="77777777" w:rsidR="00DD7B46" w:rsidRDefault="00DD7B46" w:rsidP="00F10402"/>
    <w:p w14:paraId="7D7B4310" w14:textId="77777777" w:rsidR="00DD7B46" w:rsidRDefault="00DD7B46" w:rsidP="00F10402"/>
    <w:p w14:paraId="3D24A779" w14:textId="77777777" w:rsidR="00DD7B46" w:rsidRDefault="00DD7B46" w:rsidP="00F10402"/>
    <w:p w14:paraId="3722C468" w14:textId="77777777" w:rsidR="00DD7B46" w:rsidRDefault="00DD7B46" w:rsidP="00F10402"/>
    <w:p w14:paraId="5AD3C063" w14:textId="77777777" w:rsidR="00DD7B46" w:rsidRDefault="00DD7B46" w:rsidP="00F10402"/>
    <w:p w14:paraId="63A4C658" w14:textId="77777777" w:rsidR="00755C09" w:rsidRDefault="00755C09" w:rsidP="00F10402"/>
    <w:p w14:paraId="727838D6" w14:textId="77777777" w:rsidR="00755C09" w:rsidRDefault="00755C09" w:rsidP="00F10402"/>
    <w:p w14:paraId="129BF437" w14:textId="77777777" w:rsidR="00755C09" w:rsidRDefault="00755C09" w:rsidP="00F10402"/>
    <w:p w14:paraId="5C0A7929" w14:textId="77777777" w:rsidR="00755C09" w:rsidRDefault="00755C09" w:rsidP="00F10402"/>
    <w:p w14:paraId="0D8CF437" w14:textId="77777777" w:rsidR="00755C09" w:rsidRDefault="00755C09" w:rsidP="00F10402"/>
    <w:p w14:paraId="5020FAB7" w14:textId="77777777" w:rsidR="00755C09" w:rsidRDefault="00755C09" w:rsidP="00F10402"/>
    <w:p w14:paraId="3BBD11A7" w14:textId="77777777" w:rsidR="00755C09" w:rsidRDefault="00755C09" w:rsidP="00F10402"/>
    <w:p w14:paraId="402B280A" w14:textId="77777777" w:rsidR="00755C09" w:rsidRDefault="00755C09" w:rsidP="00F10402"/>
    <w:p w14:paraId="28F5599C" w14:textId="77777777" w:rsidR="00755C09" w:rsidRDefault="00755C09" w:rsidP="00F10402"/>
    <w:p w14:paraId="32F8DB6C" w14:textId="77777777" w:rsidR="00755C09" w:rsidRDefault="00755C09" w:rsidP="00F10402"/>
    <w:p w14:paraId="42E33FCE" w14:textId="77777777" w:rsidR="00755C09" w:rsidRDefault="00755C09" w:rsidP="00F10402"/>
    <w:p w14:paraId="27AB9D34" w14:textId="7AFB891A" w:rsidR="00755C09" w:rsidRPr="00F10402" w:rsidRDefault="00755C09" w:rsidP="00755C09">
      <w:pPr>
        <w:pStyle w:val="Heading1"/>
      </w:pPr>
      <w:bookmarkStart w:id="9" w:name="_Toc203651225"/>
      <w:r>
        <w:lastRenderedPageBreak/>
        <w:t>5. Fuel-Air Explosions and the OME Industry</w:t>
      </w:r>
      <w:bookmarkEnd w:id="9"/>
    </w:p>
    <w:p w14:paraId="090C4A9B" w14:textId="2375DFB9" w:rsidR="00F10402" w:rsidRDefault="00755C09" w:rsidP="00755C09">
      <w:pPr>
        <w:pStyle w:val="Heading2"/>
      </w:pPr>
      <w:bookmarkStart w:id="10" w:name="_Toc203651226"/>
      <w:r>
        <w:t>5.1 What is a Fuel-Air Explosion</w:t>
      </w:r>
      <w:bookmarkEnd w:id="10"/>
    </w:p>
    <w:p w14:paraId="16F151BA" w14:textId="7B039680" w:rsidR="00755C09" w:rsidRDefault="00755C09" w:rsidP="00755C09">
      <w:r w:rsidRPr="00755C09">
        <w:t>A fuel-air explosion occurs when a flammable vapor mixes with air in the right concentration and encounters an ignition source. The result is a rapid combustion event that produces a powerful blast wave. In the case of Flixborough, this phenomenon was tragically reali</w:t>
      </w:r>
      <w:r w:rsidR="00AE72AE">
        <w:t>s</w:t>
      </w:r>
      <w:r w:rsidRPr="00755C09">
        <w:t>ed under the following conditions:</w:t>
      </w:r>
    </w:p>
    <w:p w14:paraId="060CBB44" w14:textId="7D26724D" w:rsidR="00AE72AE" w:rsidRPr="00AE72AE" w:rsidRDefault="00755C09" w:rsidP="00AE72AE">
      <w:pPr>
        <w:pStyle w:val="ListParagraph"/>
        <w:numPr>
          <w:ilvl w:val="0"/>
          <w:numId w:val="7"/>
        </w:numPr>
      </w:pPr>
      <w:r w:rsidRPr="00AE72AE">
        <w:rPr>
          <w:b/>
          <w:bCs/>
        </w:rPr>
        <w:t>Cyclo</w:t>
      </w:r>
      <w:r w:rsidR="00AE72AE" w:rsidRPr="00AE72AE">
        <w:rPr>
          <w:b/>
          <w:bCs/>
        </w:rPr>
        <w:t>hexane Vapor Release</w:t>
      </w:r>
      <w:r w:rsidR="00AE72AE">
        <w:t xml:space="preserve"> - </w:t>
      </w:r>
      <w:r w:rsidR="00AE72AE" w:rsidRPr="00AE72AE">
        <w:t xml:space="preserve">Cyclohexane, a volatile and highly flammable hydrocarbon, was used in the production of caprolactam. </w:t>
      </w:r>
      <w:r w:rsidR="00AE72AE">
        <w:t>The rupture of the</w:t>
      </w:r>
      <w:r w:rsidR="00AE72AE" w:rsidRPr="00AE72AE">
        <w:t xml:space="preserve"> temporary bypass released approximately 30–60 tons of hot cyclohexane into the atmosphere.</w:t>
      </w:r>
    </w:p>
    <w:p w14:paraId="3178D1FB" w14:textId="77777777" w:rsidR="00AE72AE" w:rsidRDefault="00AE72AE" w:rsidP="00AE72AE">
      <w:pPr>
        <w:pStyle w:val="ListParagraph"/>
      </w:pPr>
      <w:r w:rsidRPr="00AE72AE">
        <w:t>The vapor formed a dense,</w:t>
      </w:r>
      <w:r w:rsidRPr="00AE72AE">
        <w:rPr>
          <w:b/>
          <w:bCs/>
        </w:rPr>
        <w:t xml:space="preserve"> </w:t>
      </w:r>
      <w:r w:rsidRPr="00AE72AE">
        <w:t>low-lying cloud due to its heavier-than-air properties. The cloud spread rapidly across the site, creating an unconfined vapor cloud with explosive potential.</w:t>
      </w:r>
    </w:p>
    <w:p w14:paraId="37A3E539" w14:textId="77777777" w:rsidR="00AE72AE" w:rsidRPr="00AE72AE" w:rsidRDefault="00AE72AE" w:rsidP="00AE72AE">
      <w:pPr>
        <w:pStyle w:val="ListParagraph"/>
      </w:pPr>
    </w:p>
    <w:p w14:paraId="6D8BA4AA" w14:textId="63849EA6" w:rsidR="00755C09" w:rsidRDefault="00AE72AE" w:rsidP="00755C09">
      <w:pPr>
        <w:pStyle w:val="ListParagraph"/>
        <w:numPr>
          <w:ilvl w:val="0"/>
          <w:numId w:val="7"/>
        </w:numPr>
      </w:pPr>
      <w:r>
        <w:rPr>
          <w:b/>
          <w:bCs/>
        </w:rPr>
        <w:t xml:space="preserve">Ignition Source - </w:t>
      </w:r>
      <w:r w:rsidRPr="00AE72AE">
        <w:t>The vapor cloud drifted toward a nearby fired heater or furnace, likely part of the hydrogen production unit. Upon contact with this ignition source, the cloud ignited, triggering a massive fuel-air explosion</w:t>
      </w:r>
      <w:r>
        <w:t>.</w:t>
      </w:r>
    </w:p>
    <w:p w14:paraId="6B977286" w14:textId="77777777" w:rsidR="00AE72AE" w:rsidRDefault="00AE72AE" w:rsidP="00AE72AE">
      <w:pPr>
        <w:pStyle w:val="ListParagraph"/>
      </w:pPr>
    </w:p>
    <w:p w14:paraId="38F1D453" w14:textId="35D747FD" w:rsidR="00AE72AE" w:rsidRPr="00AE72AE" w:rsidRDefault="00AE72AE" w:rsidP="00AE72AE">
      <w:pPr>
        <w:pStyle w:val="ListParagraph"/>
        <w:numPr>
          <w:ilvl w:val="0"/>
          <w:numId w:val="7"/>
        </w:numPr>
      </w:pPr>
      <w:r>
        <w:rPr>
          <w:b/>
          <w:bCs/>
        </w:rPr>
        <w:t xml:space="preserve">Explosion Dynamics - </w:t>
      </w:r>
      <w:r w:rsidRPr="00AE72AE">
        <w:t xml:space="preserve">The explosion was classified as an </w:t>
      </w:r>
      <w:r>
        <w:t>‘</w:t>
      </w:r>
      <w:r w:rsidRPr="00AE72AE">
        <w:t>Unconfined Vapor Cloud Explosion</w:t>
      </w:r>
      <w:r>
        <w:t>’</w:t>
      </w:r>
      <w:r w:rsidRPr="00AE72AE">
        <w:t xml:space="preserve"> (UVCE). These explosions are particularly destructive because:</w:t>
      </w:r>
    </w:p>
    <w:p w14:paraId="306B557C" w14:textId="77777777" w:rsidR="00AE72AE" w:rsidRPr="00AE72AE" w:rsidRDefault="00AE72AE" w:rsidP="00AE72AE">
      <w:pPr>
        <w:pStyle w:val="ListParagraph"/>
      </w:pPr>
      <w:r w:rsidRPr="00AE72AE">
        <w:t>The vapor cloud can cover a large area before ignition.</w:t>
      </w:r>
    </w:p>
    <w:p w14:paraId="20BB4E04" w14:textId="77777777" w:rsidR="00AE72AE" w:rsidRPr="00AE72AE" w:rsidRDefault="00AE72AE" w:rsidP="00AE72AE">
      <w:pPr>
        <w:pStyle w:val="ListParagraph"/>
      </w:pPr>
      <w:r w:rsidRPr="00AE72AE">
        <w:t>The combustion occurs almost instantaneously.</w:t>
      </w:r>
    </w:p>
    <w:p w14:paraId="4CACAC5F" w14:textId="440A2AA1" w:rsidR="00AE72AE" w:rsidRDefault="00AE72AE" w:rsidP="00AE72AE">
      <w:pPr>
        <w:pStyle w:val="ListParagraph"/>
      </w:pPr>
      <w:r w:rsidRPr="00AE72AE">
        <w:t>The resulting blast wave can cause widespread structural damage.</w:t>
      </w:r>
      <w:r w:rsidR="00A93BAF">
        <w:t xml:space="preserve"> </w:t>
      </w:r>
      <w:sdt>
        <w:sdtPr>
          <w:id w:val="-498649661"/>
          <w:citation/>
        </w:sdtPr>
        <w:sdtContent>
          <w:r w:rsidR="00A93BAF">
            <w:fldChar w:fldCharType="begin"/>
          </w:r>
          <w:r w:rsidR="00A93BAF">
            <w:instrText xml:space="preserve"> CITATION HSE25 \l 2057 </w:instrText>
          </w:r>
          <w:r w:rsidR="00A93BAF">
            <w:fldChar w:fldCharType="separate"/>
          </w:r>
          <w:r w:rsidR="00BB51A1" w:rsidRPr="00BB51A1">
            <w:rPr>
              <w:noProof/>
            </w:rPr>
            <w:t>[1]</w:t>
          </w:r>
          <w:r w:rsidR="00A93BAF">
            <w:fldChar w:fldCharType="end"/>
          </w:r>
        </w:sdtContent>
      </w:sdt>
      <w:r w:rsidR="00A93BAF">
        <w:t xml:space="preserve"> </w:t>
      </w:r>
      <w:sdt>
        <w:sdtPr>
          <w:id w:val="-1798598612"/>
          <w:citation/>
        </w:sdtPr>
        <w:sdtContent>
          <w:r w:rsidR="00A93BAF">
            <w:fldChar w:fldCharType="begin"/>
          </w:r>
          <w:r w:rsidR="00A93BAF">
            <w:instrText xml:space="preserve"> CITATION Pet23 \l 2057 </w:instrText>
          </w:r>
          <w:r w:rsidR="00A93BAF">
            <w:fldChar w:fldCharType="separate"/>
          </w:r>
          <w:r w:rsidR="00BB51A1" w:rsidRPr="00BB51A1">
            <w:rPr>
              <w:noProof/>
            </w:rPr>
            <w:t>[6]</w:t>
          </w:r>
          <w:r w:rsidR="00A93BAF">
            <w:fldChar w:fldCharType="end"/>
          </w:r>
        </w:sdtContent>
      </w:sdt>
      <w:r w:rsidR="00A93BAF">
        <w:t xml:space="preserve"> </w:t>
      </w:r>
      <w:sdt>
        <w:sdtPr>
          <w:id w:val="1792481049"/>
          <w:citation/>
        </w:sdtPr>
        <w:sdtContent>
          <w:r w:rsidR="00A93BAF">
            <w:fldChar w:fldCharType="begin"/>
          </w:r>
          <w:r w:rsidR="00A93BAF">
            <w:instrText xml:space="preserve"> CITATION Dag \l 2057 </w:instrText>
          </w:r>
          <w:r w:rsidR="00A93BAF">
            <w:fldChar w:fldCharType="separate"/>
          </w:r>
          <w:r w:rsidR="00BB51A1" w:rsidRPr="00BB51A1">
            <w:rPr>
              <w:noProof/>
            </w:rPr>
            <w:t>[7]</w:t>
          </w:r>
          <w:r w:rsidR="00A93BAF">
            <w:fldChar w:fldCharType="end"/>
          </w:r>
        </w:sdtContent>
      </w:sdt>
    </w:p>
    <w:p w14:paraId="3F1E6BA7" w14:textId="77777777" w:rsidR="00AE72AE" w:rsidRDefault="00AE72AE" w:rsidP="00AE72AE"/>
    <w:p w14:paraId="4F27B242" w14:textId="0822CA45" w:rsidR="00AE72AE" w:rsidRDefault="00AE72AE" w:rsidP="00AE72AE">
      <w:pPr>
        <w:pStyle w:val="Heading2"/>
      </w:pPr>
      <w:bookmarkStart w:id="11" w:name="_Toc203651227"/>
      <w:r>
        <w:t xml:space="preserve">5.2 </w:t>
      </w:r>
      <w:r w:rsidR="00876831">
        <w:t>Lessons for the OME industry</w:t>
      </w:r>
      <w:bookmarkEnd w:id="11"/>
    </w:p>
    <w:p w14:paraId="1828A0D5" w14:textId="6C395388" w:rsidR="00876831" w:rsidRPr="00876831" w:rsidRDefault="00876831" w:rsidP="00876831">
      <w:r w:rsidRPr="00876831">
        <w:t xml:space="preserve">Fuel-air explosions, such as the one at Flixborough, pose a significant threat to high-risk industries like OME. These incidents </w:t>
      </w:r>
      <w:r w:rsidR="00144DC1">
        <w:t>underscore the importance of implementing proactive safety measures, maintaining technical expertise, and developing comprehensive</w:t>
      </w:r>
      <w:r>
        <w:t xml:space="preserve"> emergency plans</w:t>
      </w:r>
      <w:r w:rsidRPr="00876831">
        <w:t>. The following lessons are critical for improving operational safety and preventing similar disasters:</w:t>
      </w:r>
    </w:p>
    <w:p w14:paraId="69AEDCE6" w14:textId="42D76728" w:rsidR="00876831" w:rsidRPr="00876831" w:rsidRDefault="00876831" w:rsidP="00876831">
      <w:pPr>
        <w:rPr>
          <w:b/>
          <w:bCs/>
        </w:rPr>
      </w:pPr>
      <w:r w:rsidRPr="00876831">
        <w:rPr>
          <w:b/>
          <w:bCs/>
        </w:rPr>
        <w:t>1. Early Detection</w:t>
      </w:r>
    </w:p>
    <w:p w14:paraId="745D555E" w14:textId="77777777" w:rsidR="00876831" w:rsidRPr="00876831" w:rsidRDefault="00876831" w:rsidP="00876831">
      <w:r w:rsidRPr="00876831">
        <w:t>Installing vapor detection systems is essential for identifying leaks before they reach dangerous concentrations. These systems should include:</w:t>
      </w:r>
    </w:p>
    <w:p w14:paraId="3BA0F3FB" w14:textId="77777777" w:rsidR="00876831" w:rsidRPr="00876831" w:rsidRDefault="00876831" w:rsidP="00876831">
      <w:pPr>
        <w:numPr>
          <w:ilvl w:val="0"/>
          <w:numId w:val="9"/>
        </w:numPr>
      </w:pPr>
      <w:r w:rsidRPr="00876831">
        <w:t>Gas sensors calibrated for specific flammable substances.</w:t>
      </w:r>
    </w:p>
    <w:p w14:paraId="28BCAF57" w14:textId="77777777" w:rsidR="00876831" w:rsidRPr="00876831" w:rsidRDefault="00876831" w:rsidP="00876831">
      <w:pPr>
        <w:numPr>
          <w:ilvl w:val="0"/>
          <w:numId w:val="9"/>
        </w:numPr>
      </w:pPr>
      <w:r w:rsidRPr="00876831">
        <w:t>Automated alarms linked to control systems for rapid shutdown.</w:t>
      </w:r>
    </w:p>
    <w:p w14:paraId="699F5732" w14:textId="77777777" w:rsidR="00876831" w:rsidRPr="00876831" w:rsidRDefault="00876831" w:rsidP="00876831">
      <w:pPr>
        <w:numPr>
          <w:ilvl w:val="0"/>
          <w:numId w:val="9"/>
        </w:numPr>
      </w:pPr>
      <w:r w:rsidRPr="00876831">
        <w:lastRenderedPageBreak/>
        <w:t>Continuous monitoring in high-risk zones such as reactor areas and storage tanks.</w:t>
      </w:r>
    </w:p>
    <w:p w14:paraId="20E11B04" w14:textId="5C9D5281" w:rsidR="00876831" w:rsidRPr="00876831" w:rsidRDefault="00876831" w:rsidP="00876831">
      <w:r w:rsidRPr="00876831">
        <w:t>Early detection allows operators to intervene before a vapor cloud forms, significantly reducing the risk of ignition and explosion.</w:t>
      </w:r>
    </w:p>
    <w:p w14:paraId="76D639F9" w14:textId="4A7C2361" w:rsidR="00876831" w:rsidRPr="00876831" w:rsidRDefault="00876831" w:rsidP="00876831">
      <w:pPr>
        <w:rPr>
          <w:b/>
          <w:bCs/>
        </w:rPr>
      </w:pPr>
      <w:r w:rsidRPr="00876831">
        <w:rPr>
          <w:b/>
          <w:bCs/>
        </w:rPr>
        <w:t>2. Ignition Control</w:t>
      </w:r>
    </w:p>
    <w:p w14:paraId="137AF747" w14:textId="22AFE30F" w:rsidR="00876831" w:rsidRPr="00876831" w:rsidRDefault="00876831" w:rsidP="00876831">
      <w:r w:rsidRPr="00876831">
        <w:t>Ignition sources must be rigorously controlled or eliminated in areas where flammable vapours may be present. Key strategies include:</w:t>
      </w:r>
    </w:p>
    <w:p w14:paraId="6F6D0EF8" w14:textId="53D988C0" w:rsidR="00876831" w:rsidRPr="00876831" w:rsidRDefault="00876831" w:rsidP="00876831">
      <w:pPr>
        <w:numPr>
          <w:ilvl w:val="0"/>
          <w:numId w:val="10"/>
        </w:numPr>
      </w:pPr>
      <w:r w:rsidRPr="00876831">
        <w:t>Using safe electrical equipment rated for explosive atmospheres.</w:t>
      </w:r>
    </w:p>
    <w:p w14:paraId="45E4386E" w14:textId="77777777" w:rsidR="00876831" w:rsidRPr="00876831" w:rsidRDefault="00876831" w:rsidP="00876831">
      <w:pPr>
        <w:numPr>
          <w:ilvl w:val="0"/>
          <w:numId w:val="10"/>
        </w:numPr>
      </w:pPr>
      <w:r w:rsidRPr="00876831">
        <w:t>Implementing hot work permits and strict controls on welding, grinding, or open flames.</w:t>
      </w:r>
    </w:p>
    <w:p w14:paraId="5F55A302" w14:textId="77777777" w:rsidR="00876831" w:rsidRPr="00876831" w:rsidRDefault="00876831" w:rsidP="00876831">
      <w:pPr>
        <w:numPr>
          <w:ilvl w:val="0"/>
          <w:numId w:val="10"/>
        </w:numPr>
      </w:pPr>
      <w:r w:rsidRPr="00876831">
        <w:t>Ensuring static discharge prevention through grounding and bonding of equipment.</w:t>
      </w:r>
    </w:p>
    <w:p w14:paraId="735B75C4" w14:textId="5B602316" w:rsidR="00876831" w:rsidRPr="00876831" w:rsidRDefault="00876831" w:rsidP="00876831">
      <w:r w:rsidRPr="00876831">
        <w:t>In Flixborough, the vapor cloud ignited upon reaching a fired heater—an ignition source that should have been isolated from volatile zones.</w:t>
      </w:r>
    </w:p>
    <w:p w14:paraId="16C1CB94" w14:textId="2D6FCB4F" w:rsidR="00876831" w:rsidRPr="00876831" w:rsidRDefault="00876831" w:rsidP="00876831">
      <w:pPr>
        <w:rPr>
          <w:b/>
          <w:bCs/>
        </w:rPr>
      </w:pPr>
      <w:r w:rsidRPr="00876831">
        <w:rPr>
          <w:b/>
          <w:bCs/>
        </w:rPr>
        <w:t>3. Facility Design</w:t>
      </w:r>
    </w:p>
    <w:p w14:paraId="23ABAB7C" w14:textId="43BD0266" w:rsidR="00876831" w:rsidRPr="00876831" w:rsidRDefault="00876831" w:rsidP="00876831">
      <w:r w:rsidRPr="00876831">
        <w:t xml:space="preserve">Facility layout plays a crucial role in mitigating </w:t>
      </w:r>
      <w:r>
        <w:t>the impact of explosions</w:t>
      </w:r>
      <w:r w:rsidRPr="00876831">
        <w:t>. Best practices include:</w:t>
      </w:r>
    </w:p>
    <w:p w14:paraId="0BDE68CD" w14:textId="77777777" w:rsidR="00876831" w:rsidRPr="00876831" w:rsidRDefault="00876831" w:rsidP="00876831">
      <w:pPr>
        <w:numPr>
          <w:ilvl w:val="0"/>
          <w:numId w:val="11"/>
        </w:numPr>
      </w:pPr>
      <w:r w:rsidRPr="00876831">
        <w:t>Locating control rooms and occupied buildings away from high-risk process areas.</w:t>
      </w:r>
    </w:p>
    <w:p w14:paraId="6E672F27" w14:textId="77777777" w:rsidR="00876831" w:rsidRPr="00876831" w:rsidRDefault="00876831" w:rsidP="00876831">
      <w:pPr>
        <w:numPr>
          <w:ilvl w:val="0"/>
          <w:numId w:val="11"/>
        </w:numPr>
      </w:pPr>
      <w:r w:rsidRPr="00876831">
        <w:t>Designing structures with blast-resistant materials and pressure relief systems.</w:t>
      </w:r>
    </w:p>
    <w:p w14:paraId="0788CB3B" w14:textId="7D5F4900" w:rsidR="00876831" w:rsidRPr="00876831" w:rsidRDefault="00876831" w:rsidP="00876831">
      <w:pPr>
        <w:numPr>
          <w:ilvl w:val="0"/>
          <w:numId w:val="11"/>
        </w:numPr>
      </w:pPr>
      <w:r w:rsidRPr="00876831">
        <w:t>Incorporating ventilation and dispersion</w:t>
      </w:r>
      <w:r w:rsidRPr="00876831">
        <w:rPr>
          <w:b/>
          <w:bCs/>
        </w:rPr>
        <w:t xml:space="preserve"> </w:t>
      </w:r>
      <w:r w:rsidRPr="00876831">
        <w:t>modelling to predict vapor cloud behaviour.</w:t>
      </w:r>
    </w:p>
    <w:p w14:paraId="4F919380" w14:textId="77777777" w:rsidR="00876831" w:rsidRDefault="00876831" w:rsidP="00876831">
      <w:r w:rsidRPr="00876831">
        <w:t>The Flixborough control room was situated dangerously close to the reactors and lacked blast protection, resulting in 18 fatalities.</w:t>
      </w:r>
    </w:p>
    <w:p w14:paraId="0101CA1D" w14:textId="756F72BC" w:rsidR="00876831" w:rsidRPr="00876831" w:rsidRDefault="00876831" w:rsidP="00876831">
      <w:r w:rsidRPr="00876831">
        <w:rPr>
          <w:b/>
          <w:bCs/>
        </w:rPr>
        <w:t>4. Emergency Planning</w:t>
      </w:r>
    </w:p>
    <w:p w14:paraId="3CB37940" w14:textId="77777777" w:rsidR="00876831" w:rsidRPr="00876831" w:rsidRDefault="00876831" w:rsidP="00876831">
      <w:r w:rsidRPr="00876831">
        <w:t>Robust emergency response plans are vital for minimizing casualties and damage. These plans should include:</w:t>
      </w:r>
    </w:p>
    <w:p w14:paraId="4C3F675D" w14:textId="1ED4836C" w:rsidR="00876831" w:rsidRPr="00876831" w:rsidRDefault="00876831" w:rsidP="00876831">
      <w:pPr>
        <w:numPr>
          <w:ilvl w:val="0"/>
          <w:numId w:val="12"/>
        </w:numPr>
      </w:pPr>
      <w:r w:rsidRPr="00876831">
        <w:t>Evacuation protocols and marked escape routes.</w:t>
      </w:r>
    </w:p>
    <w:p w14:paraId="376D3B4B" w14:textId="77777777" w:rsidR="00876831" w:rsidRPr="00876831" w:rsidRDefault="00876831" w:rsidP="00876831">
      <w:pPr>
        <w:numPr>
          <w:ilvl w:val="0"/>
          <w:numId w:val="12"/>
        </w:numPr>
      </w:pPr>
      <w:r w:rsidRPr="00876831">
        <w:t>Training and drills for staff to respond to vapor releases and fire scenarios.</w:t>
      </w:r>
    </w:p>
    <w:p w14:paraId="74888449" w14:textId="77777777" w:rsidR="00876831" w:rsidRPr="00876831" w:rsidRDefault="00876831" w:rsidP="00876831">
      <w:pPr>
        <w:numPr>
          <w:ilvl w:val="0"/>
          <w:numId w:val="12"/>
        </w:numPr>
      </w:pPr>
      <w:r w:rsidRPr="00876831">
        <w:t>Containment systems such as dikes, fire suppression, and vapor barriers.</w:t>
      </w:r>
    </w:p>
    <w:p w14:paraId="2ED3982E" w14:textId="50E00C55" w:rsidR="00AE72AE" w:rsidRPr="00876831" w:rsidRDefault="00876831" w:rsidP="00F10402">
      <w:r w:rsidRPr="00876831">
        <w:t>The Buncefield explosion (2005) demonstrated the importance of pre-incident planning and the consequences of inadequate emergency systems.</w:t>
      </w:r>
      <w:r w:rsidR="00A93BAF">
        <w:t xml:space="preserve"> </w:t>
      </w:r>
      <w:sdt>
        <w:sdtPr>
          <w:id w:val="1523984324"/>
          <w:citation/>
        </w:sdtPr>
        <w:sdtContent>
          <w:r w:rsidR="00A93BAF">
            <w:fldChar w:fldCharType="begin"/>
          </w:r>
          <w:r w:rsidR="00A93BAF">
            <w:instrText xml:space="preserve"> CITATION Ben14 \l 2057 </w:instrText>
          </w:r>
          <w:r w:rsidR="00A93BAF">
            <w:fldChar w:fldCharType="separate"/>
          </w:r>
          <w:r w:rsidR="00BB51A1" w:rsidRPr="00BB51A1">
            <w:rPr>
              <w:noProof/>
            </w:rPr>
            <w:t>[8]</w:t>
          </w:r>
          <w:r w:rsidR="00A93BAF">
            <w:fldChar w:fldCharType="end"/>
          </w:r>
        </w:sdtContent>
      </w:sdt>
      <w:r w:rsidR="00A93BAF">
        <w:t xml:space="preserve"> </w:t>
      </w:r>
      <w:sdt>
        <w:sdtPr>
          <w:id w:val="-2131543954"/>
          <w:citation/>
        </w:sdtPr>
        <w:sdtContent>
          <w:r w:rsidR="00BB51A1">
            <w:fldChar w:fldCharType="begin"/>
          </w:r>
          <w:r w:rsidR="00BB51A1">
            <w:instrText xml:space="preserve"> CITATION ECO24 \l 2057 </w:instrText>
          </w:r>
          <w:r w:rsidR="00BB51A1">
            <w:fldChar w:fldCharType="separate"/>
          </w:r>
          <w:r w:rsidR="00BB51A1" w:rsidRPr="00BB51A1">
            <w:rPr>
              <w:noProof/>
            </w:rPr>
            <w:t>[9]</w:t>
          </w:r>
          <w:r w:rsidR="00BB51A1">
            <w:fldChar w:fldCharType="end"/>
          </w:r>
        </w:sdtContent>
      </w:sdt>
    </w:p>
    <w:p w14:paraId="3F447A47" w14:textId="306FBDB5" w:rsidR="00AE72AE" w:rsidRDefault="00876831" w:rsidP="00876831">
      <w:pPr>
        <w:pStyle w:val="Heading1"/>
      </w:pPr>
      <w:bookmarkStart w:id="12" w:name="_Toc203651228"/>
      <w:r>
        <w:lastRenderedPageBreak/>
        <w:t>6. Mitigating Human Error in Industry Settings</w:t>
      </w:r>
      <w:bookmarkEnd w:id="12"/>
    </w:p>
    <w:p w14:paraId="3DF11DB8" w14:textId="2D7F9661" w:rsidR="00F10402" w:rsidRDefault="00876831" w:rsidP="00876831">
      <w:pPr>
        <w:pStyle w:val="Heading2"/>
      </w:pPr>
      <w:bookmarkStart w:id="13" w:name="_Toc203651229"/>
      <w:r>
        <w:t>6.1 Recognising Human Error</w:t>
      </w:r>
      <w:bookmarkEnd w:id="13"/>
    </w:p>
    <w:p w14:paraId="1A13589A" w14:textId="18429589" w:rsidR="00876831" w:rsidRDefault="00876831" w:rsidP="00876831">
      <w:r w:rsidRPr="00876831">
        <w:t>Human error is an inevitable part of any industrial operation, but its consequences can be severe</w:t>
      </w:r>
      <w:r>
        <w:t xml:space="preserve">, </w:t>
      </w:r>
      <w:r w:rsidRPr="00876831">
        <w:t>ranging from minor inefficiencies to catastrophic accidents. Recogni</w:t>
      </w:r>
      <w:r>
        <w:t>s</w:t>
      </w:r>
      <w:r w:rsidRPr="00876831">
        <w:t>ing and addressing the conditions that lead to error is the first step in building a resilient safety culture. The following strategies are essential for identifying and managing human error in high-risk environments:</w:t>
      </w:r>
    </w:p>
    <w:p w14:paraId="2CD15973" w14:textId="77777777" w:rsidR="00876831" w:rsidRPr="00876831" w:rsidRDefault="00876831" w:rsidP="00876831">
      <w:pPr>
        <w:rPr>
          <w:b/>
          <w:bCs/>
        </w:rPr>
      </w:pPr>
      <w:r w:rsidRPr="00876831">
        <w:rPr>
          <w:b/>
          <w:bCs/>
        </w:rPr>
        <w:t>Use Checklists and Audits</w:t>
      </w:r>
    </w:p>
    <w:p w14:paraId="1AD4F609" w14:textId="77777777" w:rsidR="00144DC1" w:rsidRPr="00144DC1" w:rsidRDefault="00144DC1" w:rsidP="00144DC1">
      <w:r w:rsidRPr="00144DC1">
        <w:t>At Flixborough, the temporary bypass was installed without formal engineering drawings, stress calculations, or mechanical review. A structured checklist or audit process could have flagged the absence of:</w:t>
      </w:r>
    </w:p>
    <w:p w14:paraId="76EF73A9" w14:textId="77777777" w:rsidR="00144DC1" w:rsidRPr="00144DC1" w:rsidRDefault="00144DC1" w:rsidP="00144DC1">
      <w:pPr>
        <w:numPr>
          <w:ilvl w:val="0"/>
          <w:numId w:val="14"/>
        </w:numPr>
      </w:pPr>
      <w:r w:rsidRPr="00144DC1">
        <w:t>Qualified personnel overseeing the modification</w:t>
      </w:r>
    </w:p>
    <w:p w14:paraId="5B3503AB" w14:textId="77777777" w:rsidR="00144DC1" w:rsidRPr="00144DC1" w:rsidRDefault="00144DC1" w:rsidP="00144DC1">
      <w:pPr>
        <w:numPr>
          <w:ilvl w:val="0"/>
          <w:numId w:val="14"/>
        </w:numPr>
      </w:pPr>
      <w:r w:rsidRPr="00144DC1">
        <w:t>Compliance with British Standards</w:t>
      </w:r>
    </w:p>
    <w:p w14:paraId="1BDA98E8" w14:textId="06ACAB62" w:rsidR="00144DC1" w:rsidRPr="00144DC1" w:rsidRDefault="00144DC1" w:rsidP="00144DC1">
      <w:pPr>
        <w:numPr>
          <w:ilvl w:val="0"/>
          <w:numId w:val="14"/>
        </w:numPr>
      </w:pPr>
      <w:r w:rsidRPr="00144DC1">
        <w:t xml:space="preserve">Risk assessments </w:t>
      </w:r>
      <w:r>
        <w:t>before</w:t>
      </w:r>
      <w:r w:rsidRPr="00144DC1">
        <w:t xml:space="preserve"> startup</w:t>
      </w:r>
    </w:p>
    <w:p w14:paraId="2C28B155" w14:textId="77777777" w:rsidR="00144DC1" w:rsidRDefault="00144DC1" w:rsidP="00144DC1">
      <w:r w:rsidRPr="00144DC1">
        <w:t>Had such tools been in place, the bypass’s design flaws might have been caught before the plant was restarted.</w:t>
      </w:r>
    </w:p>
    <w:p w14:paraId="6AE3F0E3" w14:textId="77777777" w:rsidR="00144DC1" w:rsidRPr="00144DC1" w:rsidRDefault="00144DC1" w:rsidP="00144DC1">
      <w:pPr>
        <w:rPr>
          <w:b/>
          <w:bCs/>
        </w:rPr>
      </w:pPr>
      <w:r w:rsidRPr="00144DC1">
        <w:rPr>
          <w:b/>
          <w:bCs/>
        </w:rPr>
        <w:t>Encourage Reporting of Near-Misses and Unsafe Conditions</w:t>
      </w:r>
    </w:p>
    <w:p w14:paraId="459D2874" w14:textId="0DA37238" w:rsidR="00144DC1" w:rsidRPr="00144DC1" w:rsidRDefault="00144DC1" w:rsidP="00144DC1">
      <w:r w:rsidRPr="00144DC1">
        <w:t>The culture at Nypro did not empower staff to challenge unsafe decisions. Safety officers were junior and had little influence, and informal practices</w:t>
      </w:r>
      <w:r>
        <w:t xml:space="preserve">, </w:t>
      </w:r>
      <w:r w:rsidRPr="00144DC1">
        <w:t>like using chalk sketches for pipe design</w:t>
      </w:r>
      <w:r>
        <w:t xml:space="preserve">, </w:t>
      </w:r>
      <w:r w:rsidRPr="00144DC1">
        <w:t>were accepted without scrutiny.</w:t>
      </w:r>
    </w:p>
    <w:p w14:paraId="3925CAE0" w14:textId="77777777" w:rsidR="00144DC1" w:rsidRPr="00144DC1" w:rsidRDefault="00144DC1" w:rsidP="00144DC1">
      <w:r w:rsidRPr="00144DC1">
        <w:t>If a robust reporting system had existed:</w:t>
      </w:r>
    </w:p>
    <w:p w14:paraId="79E4B9F4" w14:textId="77777777" w:rsidR="00144DC1" w:rsidRPr="00144DC1" w:rsidRDefault="00144DC1" w:rsidP="00144DC1">
      <w:pPr>
        <w:numPr>
          <w:ilvl w:val="0"/>
          <w:numId w:val="15"/>
        </w:numPr>
      </w:pPr>
      <w:r w:rsidRPr="00144DC1">
        <w:t>Staff could have raised concerns about the bypass’s integrity</w:t>
      </w:r>
    </w:p>
    <w:p w14:paraId="56BEC9E3" w14:textId="77777777" w:rsidR="00144DC1" w:rsidRPr="00144DC1" w:rsidRDefault="00144DC1" w:rsidP="00144DC1">
      <w:pPr>
        <w:numPr>
          <w:ilvl w:val="0"/>
          <w:numId w:val="15"/>
        </w:numPr>
      </w:pPr>
      <w:r w:rsidRPr="00144DC1">
        <w:t>Leaks and instability observed during startup might have triggered a shutdown</w:t>
      </w:r>
    </w:p>
    <w:p w14:paraId="7053FA3B" w14:textId="77777777" w:rsidR="00144DC1" w:rsidRPr="00144DC1" w:rsidRDefault="00144DC1" w:rsidP="00144DC1">
      <w:pPr>
        <w:numPr>
          <w:ilvl w:val="0"/>
          <w:numId w:val="15"/>
        </w:numPr>
      </w:pPr>
      <w:r w:rsidRPr="00144DC1">
        <w:t>Management could have been alerted to the risks before the explosion occurred</w:t>
      </w:r>
    </w:p>
    <w:p w14:paraId="60B3916F" w14:textId="5C5A84AC" w:rsidR="00144DC1" w:rsidRDefault="00144DC1" w:rsidP="00144DC1">
      <w:r w:rsidRPr="00144DC1">
        <w:t xml:space="preserve">Encouraging open communication and near-miss reporting is </w:t>
      </w:r>
      <w:r>
        <w:t>crucial for identifying</w:t>
      </w:r>
      <w:r w:rsidRPr="00144DC1">
        <w:t xml:space="preserve"> </w:t>
      </w:r>
      <w:r w:rsidR="001329D5">
        <w:t>potential hazards that may be hidden</w:t>
      </w:r>
      <w:r w:rsidRPr="00144DC1">
        <w:t>.</w:t>
      </w:r>
    </w:p>
    <w:p w14:paraId="05DBBBAB" w14:textId="77777777" w:rsidR="00144DC1" w:rsidRPr="00144DC1" w:rsidRDefault="00144DC1" w:rsidP="00144DC1">
      <w:pPr>
        <w:rPr>
          <w:b/>
          <w:bCs/>
        </w:rPr>
      </w:pPr>
      <w:r w:rsidRPr="00144DC1">
        <w:rPr>
          <w:b/>
          <w:bCs/>
        </w:rPr>
        <w:t>Train Staff to Recognize Error Precursors</w:t>
      </w:r>
    </w:p>
    <w:p w14:paraId="59BB49DD" w14:textId="573EB5C1" w:rsidR="00144DC1" w:rsidRPr="00144DC1" w:rsidRDefault="00144DC1" w:rsidP="00144DC1">
      <w:r w:rsidRPr="00144DC1">
        <w:t>Many of the Dirty Dozen factors—pressure, lack of knowledge, and lack of awareness—were present at Flixborough. Staff were under pressure to resume production, lacked mechanical engineering expertise, and failed to recogni</w:t>
      </w:r>
      <w:r>
        <w:t>s</w:t>
      </w:r>
      <w:r w:rsidRPr="00144DC1">
        <w:t>e the risk of a fuel-air explosion.</w:t>
      </w:r>
    </w:p>
    <w:p w14:paraId="010D9B16" w14:textId="77777777" w:rsidR="00144DC1" w:rsidRPr="00144DC1" w:rsidRDefault="00144DC1" w:rsidP="00144DC1">
      <w:r w:rsidRPr="00144DC1">
        <w:t>Training programs could have helped personnel:</w:t>
      </w:r>
    </w:p>
    <w:p w14:paraId="020348A1" w14:textId="77777777" w:rsidR="00144DC1" w:rsidRPr="00144DC1" w:rsidRDefault="00144DC1" w:rsidP="00144DC1">
      <w:pPr>
        <w:numPr>
          <w:ilvl w:val="0"/>
          <w:numId w:val="16"/>
        </w:numPr>
      </w:pPr>
      <w:r w:rsidRPr="00144DC1">
        <w:lastRenderedPageBreak/>
        <w:t>Understand the mechanical risks of unsupported piping</w:t>
      </w:r>
    </w:p>
    <w:p w14:paraId="5305ED5A" w14:textId="5221617C" w:rsidR="00144DC1" w:rsidRPr="00144DC1" w:rsidRDefault="00144DC1" w:rsidP="00144DC1">
      <w:pPr>
        <w:numPr>
          <w:ilvl w:val="0"/>
          <w:numId w:val="16"/>
        </w:numPr>
      </w:pPr>
      <w:r w:rsidRPr="00144DC1">
        <w:t>Recogni</w:t>
      </w:r>
      <w:r>
        <w:t>s</w:t>
      </w:r>
      <w:r w:rsidRPr="00144DC1">
        <w:t>e the dangers of restarting a plant with known leaks</w:t>
      </w:r>
    </w:p>
    <w:p w14:paraId="256F891F" w14:textId="1FEB1333" w:rsidR="00144DC1" w:rsidRPr="00144DC1" w:rsidRDefault="00144DC1" w:rsidP="00144DC1">
      <w:pPr>
        <w:numPr>
          <w:ilvl w:val="0"/>
          <w:numId w:val="16"/>
        </w:numPr>
      </w:pPr>
      <w:r w:rsidRPr="00144DC1">
        <w:t>Identify the signs of organi</w:t>
      </w:r>
      <w:r>
        <w:t>s</w:t>
      </w:r>
      <w:r w:rsidRPr="00144DC1">
        <w:t>ational drift from safe practices</w:t>
      </w:r>
    </w:p>
    <w:p w14:paraId="42EC3950" w14:textId="5BCD84E8" w:rsidR="00144DC1" w:rsidRPr="00144DC1" w:rsidRDefault="00144DC1" w:rsidP="00144DC1">
      <w:r w:rsidRPr="00144DC1">
        <w:t>By equipping staff with the ability to spot error precursors, organi</w:t>
      </w:r>
      <w:r>
        <w:t>s</w:t>
      </w:r>
      <w:r w:rsidRPr="00144DC1">
        <w:t>ations can build a proactive safety culture.</w:t>
      </w:r>
      <w:r w:rsidR="00BB51A1">
        <w:t xml:space="preserve"> </w:t>
      </w:r>
      <w:sdt>
        <w:sdtPr>
          <w:id w:val="1340578617"/>
          <w:citation/>
        </w:sdtPr>
        <w:sdtContent>
          <w:r w:rsidR="00BB51A1">
            <w:fldChar w:fldCharType="begin"/>
          </w:r>
          <w:r w:rsidR="00BB51A1">
            <w:instrText xml:space="preserve"> CITATION HSE251 \l 2057 </w:instrText>
          </w:r>
          <w:r w:rsidR="00BB51A1">
            <w:fldChar w:fldCharType="separate"/>
          </w:r>
          <w:r w:rsidR="00BB51A1" w:rsidRPr="00BB51A1">
            <w:rPr>
              <w:noProof/>
            </w:rPr>
            <w:t>[10]</w:t>
          </w:r>
          <w:r w:rsidR="00BB51A1">
            <w:fldChar w:fldCharType="end"/>
          </w:r>
        </w:sdtContent>
      </w:sdt>
      <w:r w:rsidR="00BB51A1">
        <w:t xml:space="preserve"> </w:t>
      </w:r>
      <w:sdt>
        <w:sdtPr>
          <w:id w:val="1768579386"/>
          <w:citation/>
        </w:sdtPr>
        <w:sdtContent>
          <w:r w:rsidR="00BB51A1">
            <w:fldChar w:fldCharType="begin"/>
          </w:r>
          <w:r w:rsidR="00BB51A1">
            <w:instrText xml:space="preserve"> CITATION Nic25 \l 2057 </w:instrText>
          </w:r>
          <w:r w:rsidR="00BB51A1">
            <w:fldChar w:fldCharType="separate"/>
          </w:r>
          <w:r w:rsidR="00BB51A1" w:rsidRPr="00BB51A1">
            <w:rPr>
              <w:noProof/>
            </w:rPr>
            <w:t>[4]</w:t>
          </w:r>
          <w:r w:rsidR="00BB51A1">
            <w:fldChar w:fldCharType="end"/>
          </w:r>
        </w:sdtContent>
      </w:sdt>
    </w:p>
    <w:p w14:paraId="5DA2357D" w14:textId="77777777" w:rsidR="00144DC1" w:rsidRPr="00144DC1" w:rsidRDefault="00144DC1" w:rsidP="00144DC1"/>
    <w:p w14:paraId="26469E84" w14:textId="77777777" w:rsidR="00144DC1" w:rsidRPr="00144DC1" w:rsidRDefault="00144DC1" w:rsidP="00144DC1"/>
    <w:p w14:paraId="07E18F6A" w14:textId="77777777" w:rsidR="00876831" w:rsidRPr="00876831" w:rsidRDefault="00876831" w:rsidP="00876831"/>
    <w:p w14:paraId="47351715" w14:textId="77777777" w:rsidR="00876831" w:rsidRPr="00876831" w:rsidRDefault="00876831" w:rsidP="00876831"/>
    <w:p w14:paraId="472BE237" w14:textId="77777777" w:rsidR="00876831" w:rsidRDefault="00876831" w:rsidP="00F10402">
      <w:pPr>
        <w:rPr>
          <w:b/>
          <w:bCs/>
        </w:rPr>
      </w:pPr>
    </w:p>
    <w:p w14:paraId="7AA79EC6" w14:textId="77777777" w:rsidR="00876831" w:rsidRDefault="00876831" w:rsidP="00F10402">
      <w:pPr>
        <w:rPr>
          <w:b/>
          <w:bCs/>
        </w:rPr>
      </w:pPr>
    </w:p>
    <w:p w14:paraId="3DCBBA91" w14:textId="77777777" w:rsidR="00876831" w:rsidRDefault="00876831" w:rsidP="00F10402">
      <w:pPr>
        <w:rPr>
          <w:b/>
          <w:bCs/>
        </w:rPr>
      </w:pPr>
    </w:p>
    <w:p w14:paraId="494BE604" w14:textId="77777777" w:rsidR="00876831" w:rsidRDefault="00876831" w:rsidP="00F10402">
      <w:pPr>
        <w:rPr>
          <w:b/>
          <w:bCs/>
        </w:rPr>
      </w:pPr>
    </w:p>
    <w:p w14:paraId="1EC87C88" w14:textId="77777777" w:rsidR="00876831" w:rsidRDefault="00876831" w:rsidP="00F10402">
      <w:pPr>
        <w:rPr>
          <w:b/>
          <w:bCs/>
        </w:rPr>
      </w:pPr>
    </w:p>
    <w:p w14:paraId="13510211" w14:textId="77777777" w:rsidR="00876831" w:rsidRDefault="00876831" w:rsidP="00F10402">
      <w:pPr>
        <w:rPr>
          <w:b/>
          <w:bCs/>
        </w:rPr>
      </w:pPr>
    </w:p>
    <w:p w14:paraId="2D93A582" w14:textId="77777777" w:rsidR="00876831" w:rsidRDefault="00876831" w:rsidP="00F10402">
      <w:pPr>
        <w:rPr>
          <w:b/>
          <w:bCs/>
        </w:rPr>
      </w:pPr>
    </w:p>
    <w:p w14:paraId="269A1251" w14:textId="77777777" w:rsidR="00876831" w:rsidRDefault="00876831" w:rsidP="00F10402">
      <w:pPr>
        <w:rPr>
          <w:b/>
          <w:bCs/>
        </w:rPr>
      </w:pPr>
    </w:p>
    <w:p w14:paraId="214C37CC" w14:textId="77777777" w:rsidR="00876831" w:rsidRDefault="00876831" w:rsidP="00F10402">
      <w:pPr>
        <w:rPr>
          <w:b/>
          <w:bCs/>
        </w:rPr>
      </w:pPr>
    </w:p>
    <w:p w14:paraId="59D8FD29" w14:textId="77777777" w:rsidR="00876831" w:rsidRDefault="00876831" w:rsidP="00F10402">
      <w:pPr>
        <w:rPr>
          <w:b/>
          <w:bCs/>
        </w:rPr>
      </w:pPr>
    </w:p>
    <w:p w14:paraId="46F3060D" w14:textId="77777777" w:rsidR="00876831" w:rsidRDefault="00876831" w:rsidP="00F10402">
      <w:pPr>
        <w:rPr>
          <w:b/>
          <w:bCs/>
        </w:rPr>
      </w:pPr>
    </w:p>
    <w:p w14:paraId="3BF13905" w14:textId="77777777" w:rsidR="00876831" w:rsidRDefault="00876831" w:rsidP="00F10402">
      <w:pPr>
        <w:rPr>
          <w:b/>
          <w:bCs/>
        </w:rPr>
      </w:pPr>
    </w:p>
    <w:p w14:paraId="247884DD" w14:textId="77777777" w:rsidR="00144DC1" w:rsidRDefault="00144DC1" w:rsidP="00F10402">
      <w:pPr>
        <w:rPr>
          <w:b/>
          <w:bCs/>
        </w:rPr>
      </w:pPr>
    </w:p>
    <w:p w14:paraId="60A0933C" w14:textId="77777777" w:rsidR="00144DC1" w:rsidRDefault="00144DC1" w:rsidP="00F10402">
      <w:pPr>
        <w:rPr>
          <w:b/>
          <w:bCs/>
        </w:rPr>
      </w:pPr>
    </w:p>
    <w:p w14:paraId="483F7D63" w14:textId="77777777" w:rsidR="00144DC1" w:rsidRDefault="00144DC1" w:rsidP="00F10402">
      <w:pPr>
        <w:rPr>
          <w:b/>
          <w:bCs/>
        </w:rPr>
      </w:pPr>
    </w:p>
    <w:p w14:paraId="6AF1F88B" w14:textId="77777777" w:rsidR="00144DC1" w:rsidRDefault="00144DC1" w:rsidP="00F10402">
      <w:pPr>
        <w:rPr>
          <w:b/>
          <w:bCs/>
        </w:rPr>
      </w:pPr>
    </w:p>
    <w:p w14:paraId="1C03CE8F" w14:textId="77777777" w:rsidR="00144DC1" w:rsidRDefault="00144DC1" w:rsidP="00F10402">
      <w:pPr>
        <w:rPr>
          <w:b/>
          <w:bCs/>
        </w:rPr>
      </w:pPr>
    </w:p>
    <w:p w14:paraId="089E3536" w14:textId="77777777" w:rsidR="00144DC1" w:rsidRDefault="00144DC1" w:rsidP="00F10402">
      <w:pPr>
        <w:rPr>
          <w:b/>
          <w:bCs/>
        </w:rPr>
      </w:pPr>
    </w:p>
    <w:p w14:paraId="24E4DD36" w14:textId="77777777" w:rsidR="00144DC1" w:rsidRDefault="00144DC1" w:rsidP="00F10402">
      <w:pPr>
        <w:rPr>
          <w:b/>
          <w:bCs/>
        </w:rPr>
      </w:pPr>
    </w:p>
    <w:p w14:paraId="5696C4FD" w14:textId="743BF9F6" w:rsidR="00F10402" w:rsidRPr="00F10402" w:rsidRDefault="00F10402" w:rsidP="00144DC1">
      <w:pPr>
        <w:pStyle w:val="Heading1"/>
      </w:pPr>
      <w:bookmarkStart w:id="14" w:name="_Toc203651230"/>
      <w:r w:rsidRPr="00F10402">
        <w:lastRenderedPageBreak/>
        <w:t>7. Conclusion</w:t>
      </w:r>
      <w:bookmarkEnd w:id="14"/>
    </w:p>
    <w:p w14:paraId="64F53893" w14:textId="7D047F1D" w:rsidR="00F10402" w:rsidRDefault="00144DC1">
      <w:r w:rsidRPr="00144DC1">
        <w:t xml:space="preserve">The Flixborough disaster stands as a tragic example of how technical failure, when combined with systemic human and organisational shortcomings, can lead to catastrophic consequences. While the immediate cause of the explosion was the mechanical failure of a poorly designed bypass pipe, the </w:t>
      </w:r>
      <w:r>
        <w:t>underlying issues stemmed from</w:t>
      </w:r>
      <w:r w:rsidRPr="00144DC1">
        <w:t xml:space="preserve"> human factors identified through the Dirty Dozen framework. A lack of knowledge, immense pressure to resume production, and a failure to recognise or assess hazards created conditions ripe for disaster. These failures were compounded by weak communication, informal practices, and an insufficient safety culture that allowed unsafe decisions to go unchallenged. The lessons learned from Flixborough remain profoundly relevant, especially in high-risk sectors like the Ordnance, Munitions, and Explosives (OME) industry. By addressing human error precursors, implementing robust engineering and safety systems, and fostering a proactive safety culture, similar tragedies can be prevented. The legacy of Flixborough must be a continued commitment to learning, vigilance, and improvement in industrial safety</w:t>
      </w:r>
      <w:r>
        <w:t>.</w:t>
      </w:r>
    </w:p>
    <w:p w14:paraId="3DD3DECA" w14:textId="77777777" w:rsidR="00144DC1" w:rsidRDefault="00144DC1"/>
    <w:p w14:paraId="766E2656" w14:textId="77777777" w:rsidR="00144DC1" w:rsidRDefault="00144DC1"/>
    <w:p w14:paraId="72262694" w14:textId="77777777" w:rsidR="00144DC1" w:rsidRDefault="00144DC1"/>
    <w:p w14:paraId="4FEED5C7" w14:textId="77777777" w:rsidR="00144DC1" w:rsidRDefault="00144DC1"/>
    <w:p w14:paraId="4EEC4E04" w14:textId="77777777" w:rsidR="00144DC1" w:rsidRDefault="00144DC1"/>
    <w:p w14:paraId="0DDB6C08" w14:textId="77777777" w:rsidR="00144DC1" w:rsidRDefault="00144DC1"/>
    <w:p w14:paraId="75D0DE6E" w14:textId="77777777" w:rsidR="00144DC1" w:rsidRDefault="00144DC1"/>
    <w:p w14:paraId="2C4654BC" w14:textId="77777777" w:rsidR="00144DC1" w:rsidRDefault="00144DC1"/>
    <w:p w14:paraId="664809DE" w14:textId="77777777" w:rsidR="00144DC1" w:rsidRDefault="00144DC1"/>
    <w:p w14:paraId="07F2DF4D" w14:textId="77777777" w:rsidR="00144DC1" w:rsidRDefault="00144DC1"/>
    <w:p w14:paraId="79654C69" w14:textId="77777777" w:rsidR="00144DC1" w:rsidRDefault="00144DC1"/>
    <w:p w14:paraId="06D4D78C" w14:textId="77777777" w:rsidR="00144DC1" w:rsidRDefault="00144DC1"/>
    <w:p w14:paraId="5F77949C" w14:textId="77777777" w:rsidR="00144DC1" w:rsidRDefault="00144DC1"/>
    <w:p w14:paraId="04683299" w14:textId="77777777" w:rsidR="00144DC1" w:rsidRDefault="00144DC1"/>
    <w:p w14:paraId="70DF38C9" w14:textId="77777777" w:rsidR="00144DC1" w:rsidRDefault="00144DC1"/>
    <w:p w14:paraId="0F45ED76" w14:textId="77777777" w:rsidR="00144DC1" w:rsidRDefault="00144DC1"/>
    <w:p w14:paraId="080C280B" w14:textId="77777777" w:rsidR="00144DC1" w:rsidRDefault="00144DC1"/>
    <w:bookmarkStart w:id="15" w:name="_Toc203651231" w:displacedByCustomXml="next"/>
    <w:sdt>
      <w:sdtPr>
        <w:rPr>
          <w:rFonts w:asciiTheme="minorHAnsi" w:eastAsiaTheme="minorHAnsi" w:hAnsiTheme="minorHAnsi" w:cstheme="minorBidi"/>
          <w:color w:val="auto"/>
          <w:sz w:val="24"/>
          <w:szCs w:val="24"/>
        </w:rPr>
        <w:id w:val="-1022169273"/>
        <w:docPartObj>
          <w:docPartGallery w:val="Bibliographies"/>
          <w:docPartUnique/>
        </w:docPartObj>
      </w:sdtPr>
      <w:sdtContent>
        <w:p w14:paraId="7B265537" w14:textId="2DB3B092" w:rsidR="00144DC1" w:rsidRDefault="00144DC1">
          <w:pPr>
            <w:pStyle w:val="Heading1"/>
          </w:pPr>
          <w:r>
            <w:t>Bibliography</w:t>
          </w:r>
          <w:bookmarkEnd w:id="15"/>
        </w:p>
        <w:sdt>
          <w:sdtPr>
            <w:id w:val="111145805"/>
            <w:bibliography/>
          </w:sdtPr>
          <w:sdtContent>
            <w:p w14:paraId="7D53CE0C" w14:textId="77777777" w:rsidR="00BB51A1" w:rsidRDefault="00144DC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BB51A1" w14:paraId="06C1F99A" w14:textId="77777777">
                <w:trPr>
                  <w:divId w:val="1659306783"/>
                  <w:tblCellSpacing w:w="15" w:type="dxa"/>
                </w:trPr>
                <w:tc>
                  <w:tcPr>
                    <w:tcW w:w="50" w:type="pct"/>
                    <w:hideMark/>
                  </w:tcPr>
                  <w:p w14:paraId="35A9A857" w14:textId="0708F2B5" w:rsidR="00BB51A1" w:rsidRDefault="00BB51A1">
                    <w:pPr>
                      <w:pStyle w:val="Bibliography"/>
                      <w:rPr>
                        <w:noProof/>
                        <w:kern w:val="0"/>
                        <w14:ligatures w14:val="none"/>
                      </w:rPr>
                    </w:pPr>
                    <w:r>
                      <w:rPr>
                        <w:noProof/>
                      </w:rPr>
                      <w:t xml:space="preserve">[1] </w:t>
                    </w:r>
                  </w:p>
                </w:tc>
                <w:tc>
                  <w:tcPr>
                    <w:tcW w:w="0" w:type="auto"/>
                    <w:hideMark/>
                  </w:tcPr>
                  <w:p w14:paraId="48ABED78" w14:textId="77777777" w:rsidR="00BB51A1" w:rsidRDefault="00BB51A1">
                    <w:pPr>
                      <w:pStyle w:val="Bibliography"/>
                      <w:rPr>
                        <w:noProof/>
                      </w:rPr>
                    </w:pPr>
                    <w:r>
                      <w:rPr>
                        <w:noProof/>
                      </w:rPr>
                      <w:t>HSE, “HSE - Flixborough (Nypro UK) explosion 1st June 1974,” HSE, [Online]. Available: https://www.hse.gov.uk/comah/sragtech/caseflixboroug74.htm. [Accessed 29 06 2025].</w:t>
                    </w:r>
                  </w:p>
                </w:tc>
              </w:tr>
              <w:tr w:rsidR="00BB51A1" w14:paraId="1F2549FC" w14:textId="77777777">
                <w:trPr>
                  <w:divId w:val="1659306783"/>
                  <w:tblCellSpacing w:w="15" w:type="dxa"/>
                </w:trPr>
                <w:tc>
                  <w:tcPr>
                    <w:tcW w:w="50" w:type="pct"/>
                    <w:hideMark/>
                  </w:tcPr>
                  <w:p w14:paraId="5A9136BA" w14:textId="77777777" w:rsidR="00BB51A1" w:rsidRDefault="00BB51A1">
                    <w:pPr>
                      <w:pStyle w:val="Bibliography"/>
                      <w:rPr>
                        <w:noProof/>
                      </w:rPr>
                    </w:pPr>
                    <w:r>
                      <w:rPr>
                        <w:noProof/>
                      </w:rPr>
                      <w:t xml:space="preserve">[2] </w:t>
                    </w:r>
                  </w:p>
                </w:tc>
                <w:tc>
                  <w:tcPr>
                    <w:tcW w:w="0" w:type="auto"/>
                    <w:hideMark/>
                  </w:tcPr>
                  <w:p w14:paraId="0FED56BD" w14:textId="77777777" w:rsidR="00BB51A1" w:rsidRDefault="00BB51A1">
                    <w:pPr>
                      <w:pStyle w:val="Bibliography"/>
                      <w:rPr>
                        <w:noProof/>
                      </w:rPr>
                    </w:pPr>
                    <w:r>
                      <w:rPr>
                        <w:noProof/>
                      </w:rPr>
                      <w:t>A. Girolami, “Central bylines,” 04 09 2024. [Online]. Available: https://centralbylines.co.uk/society/the-flixborough-disaster-and-its-legacy-for-workplace-safety/. [Accessed 17 07 2025].</w:t>
                    </w:r>
                  </w:p>
                </w:tc>
              </w:tr>
              <w:tr w:rsidR="00BB51A1" w14:paraId="5D3C582C" w14:textId="77777777">
                <w:trPr>
                  <w:divId w:val="1659306783"/>
                  <w:tblCellSpacing w:w="15" w:type="dxa"/>
                </w:trPr>
                <w:tc>
                  <w:tcPr>
                    <w:tcW w:w="50" w:type="pct"/>
                    <w:hideMark/>
                  </w:tcPr>
                  <w:p w14:paraId="7493FA4C" w14:textId="77777777" w:rsidR="00BB51A1" w:rsidRDefault="00BB51A1">
                    <w:pPr>
                      <w:pStyle w:val="Bibliography"/>
                      <w:rPr>
                        <w:noProof/>
                      </w:rPr>
                    </w:pPr>
                    <w:r>
                      <w:rPr>
                        <w:noProof/>
                      </w:rPr>
                      <w:t xml:space="preserve">[3] </w:t>
                    </w:r>
                  </w:p>
                </w:tc>
                <w:tc>
                  <w:tcPr>
                    <w:tcW w:w="0" w:type="auto"/>
                    <w:hideMark/>
                  </w:tcPr>
                  <w:p w14:paraId="6BF626D3" w14:textId="77777777" w:rsidR="00BB51A1" w:rsidRDefault="00BB51A1">
                    <w:pPr>
                      <w:pStyle w:val="Bibliography"/>
                      <w:rPr>
                        <w:noProof/>
                      </w:rPr>
                    </w:pPr>
                    <w:r>
                      <w:rPr>
                        <w:noProof/>
                      </w:rPr>
                      <w:t>C. L. A. N. E. O. Matthew Jenson, “Safety under scrutiny — Flixborough 1974,” Institute of Chemical Engineers, Manchester, 2019.</w:t>
                    </w:r>
                  </w:p>
                </w:tc>
              </w:tr>
              <w:tr w:rsidR="00BB51A1" w14:paraId="39E765F5" w14:textId="77777777">
                <w:trPr>
                  <w:divId w:val="1659306783"/>
                  <w:tblCellSpacing w:w="15" w:type="dxa"/>
                </w:trPr>
                <w:tc>
                  <w:tcPr>
                    <w:tcW w:w="50" w:type="pct"/>
                    <w:hideMark/>
                  </w:tcPr>
                  <w:p w14:paraId="6F0F82FF" w14:textId="77777777" w:rsidR="00BB51A1" w:rsidRDefault="00BB51A1">
                    <w:pPr>
                      <w:pStyle w:val="Bibliography"/>
                      <w:rPr>
                        <w:noProof/>
                      </w:rPr>
                    </w:pPr>
                    <w:r>
                      <w:rPr>
                        <w:noProof/>
                      </w:rPr>
                      <w:t xml:space="preserve">[4] </w:t>
                    </w:r>
                  </w:p>
                </w:tc>
                <w:tc>
                  <w:tcPr>
                    <w:tcW w:w="0" w:type="auto"/>
                    <w:hideMark/>
                  </w:tcPr>
                  <w:p w14:paraId="412169DF" w14:textId="77777777" w:rsidR="00BB51A1" w:rsidRDefault="00BB51A1">
                    <w:pPr>
                      <w:pStyle w:val="Bibliography"/>
                      <w:rPr>
                        <w:noProof/>
                      </w:rPr>
                    </w:pPr>
                    <w:r>
                      <w:rPr>
                        <w:noProof/>
                      </w:rPr>
                      <w:t>T. P. Nick Freer, “Finch Consulting,” 02 06 2025. [Online]. Available: https://www.finch-consulting.com/51-years-on-from-the-flixborough-disaster-what-happened-and-what-have-we-learnt/. [Accessed 17 07 2025].</w:t>
                    </w:r>
                  </w:p>
                </w:tc>
              </w:tr>
              <w:tr w:rsidR="00BB51A1" w14:paraId="0D925264" w14:textId="77777777">
                <w:trPr>
                  <w:divId w:val="1659306783"/>
                  <w:tblCellSpacing w:w="15" w:type="dxa"/>
                </w:trPr>
                <w:tc>
                  <w:tcPr>
                    <w:tcW w:w="50" w:type="pct"/>
                    <w:hideMark/>
                  </w:tcPr>
                  <w:p w14:paraId="7D3F2897" w14:textId="77777777" w:rsidR="00BB51A1" w:rsidRDefault="00BB51A1">
                    <w:pPr>
                      <w:pStyle w:val="Bibliography"/>
                      <w:rPr>
                        <w:noProof/>
                      </w:rPr>
                    </w:pPr>
                    <w:r>
                      <w:rPr>
                        <w:noProof/>
                      </w:rPr>
                      <w:t xml:space="preserve">[5] </w:t>
                    </w:r>
                  </w:p>
                </w:tc>
                <w:tc>
                  <w:tcPr>
                    <w:tcW w:w="0" w:type="auto"/>
                    <w:hideMark/>
                  </w:tcPr>
                  <w:p w14:paraId="7B0518B8" w14:textId="77777777" w:rsidR="00BB51A1" w:rsidRDefault="00BB51A1">
                    <w:pPr>
                      <w:pStyle w:val="Bibliography"/>
                      <w:rPr>
                        <w:noProof/>
                      </w:rPr>
                    </w:pPr>
                    <w:r>
                      <w:rPr>
                        <w:noProof/>
                      </w:rPr>
                      <w:t>R. Turney, “The Chemical Engineer,” 30 05 2024. [Online]. Available: https://www.thechemicalengineer.com/features/flixborough-50-years-on-lessons-for-managers-and-engineers-today/. [Accessed 17 07 17].</w:t>
                    </w:r>
                  </w:p>
                </w:tc>
              </w:tr>
              <w:tr w:rsidR="00BB51A1" w14:paraId="010B309A" w14:textId="77777777">
                <w:trPr>
                  <w:divId w:val="1659306783"/>
                  <w:tblCellSpacing w:w="15" w:type="dxa"/>
                </w:trPr>
                <w:tc>
                  <w:tcPr>
                    <w:tcW w:w="50" w:type="pct"/>
                    <w:hideMark/>
                  </w:tcPr>
                  <w:p w14:paraId="416F906F" w14:textId="77777777" w:rsidR="00BB51A1" w:rsidRDefault="00BB51A1">
                    <w:pPr>
                      <w:pStyle w:val="Bibliography"/>
                      <w:rPr>
                        <w:noProof/>
                      </w:rPr>
                    </w:pPr>
                    <w:r>
                      <w:rPr>
                        <w:noProof/>
                      </w:rPr>
                      <w:t xml:space="preserve">[6] </w:t>
                    </w:r>
                  </w:p>
                </w:tc>
                <w:tc>
                  <w:tcPr>
                    <w:tcW w:w="0" w:type="auto"/>
                    <w:hideMark/>
                  </w:tcPr>
                  <w:p w14:paraId="7004BE73" w14:textId="77777777" w:rsidR="00BB51A1" w:rsidRDefault="00BB51A1">
                    <w:pPr>
                      <w:pStyle w:val="Bibliography"/>
                      <w:rPr>
                        <w:noProof/>
                      </w:rPr>
                    </w:pPr>
                    <w:r>
                      <w:rPr>
                        <w:noProof/>
                      </w:rPr>
                      <w:t>P. Marsh, “Temporary Reactor Bypass Line Rupture,” Institute of Chemical Engineers, 2023.</w:t>
                    </w:r>
                  </w:p>
                </w:tc>
              </w:tr>
              <w:tr w:rsidR="00BB51A1" w14:paraId="3DF063DA" w14:textId="77777777">
                <w:trPr>
                  <w:divId w:val="1659306783"/>
                  <w:tblCellSpacing w:w="15" w:type="dxa"/>
                </w:trPr>
                <w:tc>
                  <w:tcPr>
                    <w:tcW w:w="50" w:type="pct"/>
                    <w:hideMark/>
                  </w:tcPr>
                  <w:p w14:paraId="255429F0" w14:textId="77777777" w:rsidR="00BB51A1" w:rsidRDefault="00BB51A1">
                    <w:pPr>
                      <w:pStyle w:val="Bibliography"/>
                      <w:rPr>
                        <w:noProof/>
                      </w:rPr>
                    </w:pPr>
                    <w:r>
                      <w:rPr>
                        <w:noProof/>
                      </w:rPr>
                      <w:t xml:space="preserve">[7] </w:t>
                    </w:r>
                  </w:p>
                </w:tc>
                <w:tc>
                  <w:tcPr>
                    <w:tcW w:w="0" w:type="auto"/>
                    <w:hideMark/>
                  </w:tcPr>
                  <w:p w14:paraId="28D99330" w14:textId="77777777" w:rsidR="00BB51A1" w:rsidRDefault="00BB51A1">
                    <w:pPr>
                      <w:pStyle w:val="Bibliography"/>
                      <w:rPr>
                        <w:noProof/>
                      </w:rPr>
                    </w:pPr>
                    <w:r>
                      <w:rPr>
                        <w:noProof/>
                      </w:rPr>
                      <w:t>J. R. B. K. v. W. Dag Bjerketvedt, “Gas Explosion Handbook,” GEXCON.</w:t>
                    </w:r>
                  </w:p>
                </w:tc>
              </w:tr>
              <w:tr w:rsidR="00BB51A1" w14:paraId="2EC83005" w14:textId="77777777">
                <w:trPr>
                  <w:divId w:val="1659306783"/>
                  <w:tblCellSpacing w:w="15" w:type="dxa"/>
                </w:trPr>
                <w:tc>
                  <w:tcPr>
                    <w:tcW w:w="50" w:type="pct"/>
                    <w:hideMark/>
                  </w:tcPr>
                  <w:p w14:paraId="4A33885C" w14:textId="77777777" w:rsidR="00BB51A1" w:rsidRDefault="00BB51A1">
                    <w:pPr>
                      <w:pStyle w:val="Bibliography"/>
                      <w:rPr>
                        <w:noProof/>
                      </w:rPr>
                    </w:pPr>
                    <w:r>
                      <w:rPr>
                        <w:noProof/>
                      </w:rPr>
                      <w:t xml:space="preserve">[8] </w:t>
                    </w:r>
                  </w:p>
                </w:tc>
                <w:tc>
                  <w:tcPr>
                    <w:tcW w:w="0" w:type="auto"/>
                    <w:hideMark/>
                  </w:tcPr>
                  <w:p w14:paraId="360311A1" w14:textId="659A5918" w:rsidR="00BB51A1" w:rsidRDefault="00BB51A1">
                    <w:pPr>
                      <w:pStyle w:val="Bibliography"/>
                      <w:rPr>
                        <w:noProof/>
                      </w:rPr>
                    </w:pPr>
                    <w:r>
                      <w:rPr>
                        <w:noProof/>
                      </w:rPr>
                      <w:t>B. Hargreaves, “</w:t>
                    </w:r>
                    <w:r w:rsidR="000C2062">
                      <w:rPr>
                        <w:noProof/>
                      </w:rPr>
                      <w:t>Institute</w:t>
                    </w:r>
                    <w:r>
                      <w:rPr>
                        <w:noProof/>
                      </w:rPr>
                      <w:t xml:space="preserve"> of Mechanical Engineers,” 02 07 2014. [Online]. Available: https://www.imeche.org/news/news-article/after-the-blast. [Accessed 17 07 2025].</w:t>
                    </w:r>
                  </w:p>
                </w:tc>
              </w:tr>
              <w:tr w:rsidR="00BB51A1" w14:paraId="779FF7C2" w14:textId="77777777">
                <w:trPr>
                  <w:divId w:val="1659306783"/>
                  <w:tblCellSpacing w:w="15" w:type="dxa"/>
                </w:trPr>
                <w:tc>
                  <w:tcPr>
                    <w:tcW w:w="50" w:type="pct"/>
                    <w:hideMark/>
                  </w:tcPr>
                  <w:p w14:paraId="50E7042F" w14:textId="77777777" w:rsidR="00BB51A1" w:rsidRDefault="00BB51A1">
                    <w:pPr>
                      <w:pStyle w:val="Bibliography"/>
                      <w:rPr>
                        <w:noProof/>
                      </w:rPr>
                    </w:pPr>
                    <w:r>
                      <w:rPr>
                        <w:noProof/>
                      </w:rPr>
                      <w:t xml:space="preserve">[9] </w:t>
                    </w:r>
                  </w:p>
                </w:tc>
                <w:tc>
                  <w:tcPr>
                    <w:tcW w:w="0" w:type="auto"/>
                    <w:hideMark/>
                  </w:tcPr>
                  <w:p w14:paraId="49986D25" w14:textId="77777777" w:rsidR="00BB51A1" w:rsidRDefault="00BB51A1">
                    <w:pPr>
                      <w:pStyle w:val="Bibliography"/>
                      <w:rPr>
                        <w:noProof/>
                      </w:rPr>
                    </w:pPr>
                    <w:r>
                      <w:rPr>
                        <w:noProof/>
                      </w:rPr>
                      <w:t>“ECOVAPOR,” 23 08 2024. [Online]. Available: https://ecovaporrs.com/reducing-explosion-risk-at-oil-and-gas-facilities/. [Accessed 17 07 2025].</w:t>
                    </w:r>
                  </w:p>
                </w:tc>
              </w:tr>
              <w:tr w:rsidR="00BB51A1" w14:paraId="0161113E" w14:textId="77777777">
                <w:trPr>
                  <w:divId w:val="1659306783"/>
                  <w:tblCellSpacing w:w="15" w:type="dxa"/>
                </w:trPr>
                <w:tc>
                  <w:tcPr>
                    <w:tcW w:w="50" w:type="pct"/>
                    <w:hideMark/>
                  </w:tcPr>
                  <w:p w14:paraId="4EF0CD14" w14:textId="77777777" w:rsidR="00BB51A1" w:rsidRDefault="00BB51A1">
                    <w:pPr>
                      <w:pStyle w:val="Bibliography"/>
                      <w:rPr>
                        <w:noProof/>
                      </w:rPr>
                    </w:pPr>
                    <w:r>
                      <w:rPr>
                        <w:noProof/>
                      </w:rPr>
                      <w:t xml:space="preserve">[10] </w:t>
                    </w:r>
                  </w:p>
                </w:tc>
                <w:tc>
                  <w:tcPr>
                    <w:tcW w:w="0" w:type="auto"/>
                    <w:hideMark/>
                  </w:tcPr>
                  <w:p w14:paraId="06F85EFF" w14:textId="77777777" w:rsidR="00BB51A1" w:rsidRDefault="00BB51A1">
                    <w:pPr>
                      <w:pStyle w:val="Bibliography"/>
                      <w:rPr>
                        <w:noProof/>
                      </w:rPr>
                    </w:pPr>
                    <w:r>
                      <w:rPr>
                        <w:noProof/>
                      </w:rPr>
                      <w:t>HSE, “HSE,” [Online]. Available: https://www.hse.gov.uk/humanfactors/topics/humanfail.htm. [Accessed 17 07 2025].</w:t>
                    </w:r>
                  </w:p>
                </w:tc>
              </w:tr>
            </w:tbl>
            <w:p w14:paraId="03DF1845" w14:textId="77777777" w:rsidR="00BB51A1" w:rsidRDefault="00BB51A1">
              <w:pPr>
                <w:divId w:val="1659306783"/>
                <w:rPr>
                  <w:rFonts w:eastAsia="Times New Roman"/>
                  <w:noProof/>
                </w:rPr>
              </w:pPr>
            </w:p>
            <w:p w14:paraId="08A01FB6" w14:textId="5E34E14A" w:rsidR="00144DC1" w:rsidRDefault="00144DC1">
              <w:r>
                <w:rPr>
                  <w:b/>
                  <w:bCs/>
                  <w:noProof/>
                </w:rPr>
                <w:fldChar w:fldCharType="end"/>
              </w:r>
            </w:p>
          </w:sdtContent>
        </w:sdt>
      </w:sdtContent>
    </w:sdt>
    <w:p w14:paraId="353C9E02" w14:textId="77777777" w:rsidR="00144DC1" w:rsidRDefault="00144DC1"/>
    <w:sectPr w:rsidR="00144D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10F14"/>
    <w:multiLevelType w:val="multilevel"/>
    <w:tmpl w:val="2BEAF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F90689"/>
    <w:multiLevelType w:val="multilevel"/>
    <w:tmpl w:val="A69E6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3205B5"/>
    <w:multiLevelType w:val="multilevel"/>
    <w:tmpl w:val="3F062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F487D"/>
    <w:multiLevelType w:val="multilevel"/>
    <w:tmpl w:val="2D5A4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D61193"/>
    <w:multiLevelType w:val="hybridMultilevel"/>
    <w:tmpl w:val="D66C8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6C189E"/>
    <w:multiLevelType w:val="multilevel"/>
    <w:tmpl w:val="4D120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FA71EE"/>
    <w:multiLevelType w:val="multilevel"/>
    <w:tmpl w:val="17D48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EB5E95"/>
    <w:multiLevelType w:val="multilevel"/>
    <w:tmpl w:val="1570DF58"/>
    <w:lvl w:ilvl="0">
      <w:start w:val="4"/>
      <w:numFmt w:val="decimal"/>
      <w:lvlText w:val="%1."/>
      <w:lvlJc w:val="left"/>
      <w:pPr>
        <w:ind w:left="720" w:hanging="360"/>
      </w:pPr>
      <w:rPr>
        <w:rFonts w:hint="default"/>
      </w:r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2E714EE2"/>
    <w:multiLevelType w:val="multilevel"/>
    <w:tmpl w:val="D5EC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883FB0"/>
    <w:multiLevelType w:val="multilevel"/>
    <w:tmpl w:val="F0A0E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F64974"/>
    <w:multiLevelType w:val="multilevel"/>
    <w:tmpl w:val="7AC0A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883A1A"/>
    <w:multiLevelType w:val="multilevel"/>
    <w:tmpl w:val="6CDEF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6B7439"/>
    <w:multiLevelType w:val="multilevel"/>
    <w:tmpl w:val="E9A28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C83B70"/>
    <w:multiLevelType w:val="multilevel"/>
    <w:tmpl w:val="71C280F6"/>
    <w:lvl w:ilvl="0">
      <w:start w:val="1"/>
      <w:numFmt w:val="decimal"/>
      <w:lvlText w:val="%1."/>
      <w:lvlJc w:val="left"/>
      <w:pPr>
        <w:ind w:left="720" w:hanging="360"/>
      </w:pPr>
      <w:rPr>
        <w:rFonts w:hint="default"/>
      </w:r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5B687932"/>
    <w:multiLevelType w:val="multilevel"/>
    <w:tmpl w:val="79E02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E10E5F"/>
    <w:multiLevelType w:val="multilevel"/>
    <w:tmpl w:val="1FEAD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2526520">
    <w:abstractNumId w:val="10"/>
  </w:num>
  <w:num w:numId="2" w16cid:durableId="321008517">
    <w:abstractNumId w:val="3"/>
  </w:num>
  <w:num w:numId="3" w16cid:durableId="979962277">
    <w:abstractNumId w:val="15"/>
  </w:num>
  <w:num w:numId="4" w16cid:durableId="1591695351">
    <w:abstractNumId w:val="6"/>
  </w:num>
  <w:num w:numId="5" w16cid:durableId="1662075034">
    <w:abstractNumId w:val="13"/>
  </w:num>
  <w:num w:numId="6" w16cid:durableId="2031947588">
    <w:abstractNumId w:val="7"/>
  </w:num>
  <w:num w:numId="7" w16cid:durableId="1196390481">
    <w:abstractNumId w:val="4"/>
  </w:num>
  <w:num w:numId="8" w16cid:durableId="22294634">
    <w:abstractNumId w:val="14"/>
  </w:num>
  <w:num w:numId="9" w16cid:durableId="1119567580">
    <w:abstractNumId w:val="1"/>
  </w:num>
  <w:num w:numId="10" w16cid:durableId="913665848">
    <w:abstractNumId w:val="11"/>
  </w:num>
  <w:num w:numId="11" w16cid:durableId="1773479186">
    <w:abstractNumId w:val="0"/>
  </w:num>
  <w:num w:numId="12" w16cid:durableId="644697733">
    <w:abstractNumId w:val="12"/>
  </w:num>
  <w:num w:numId="13" w16cid:durableId="1986272147">
    <w:abstractNumId w:val="5"/>
  </w:num>
  <w:num w:numId="14" w16cid:durableId="1545022609">
    <w:abstractNumId w:val="9"/>
  </w:num>
  <w:num w:numId="15" w16cid:durableId="1138106495">
    <w:abstractNumId w:val="2"/>
  </w:num>
  <w:num w:numId="16" w16cid:durableId="9806942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402"/>
    <w:rsid w:val="000C2062"/>
    <w:rsid w:val="001329D5"/>
    <w:rsid w:val="00144DC1"/>
    <w:rsid w:val="001B2349"/>
    <w:rsid w:val="003E267D"/>
    <w:rsid w:val="00654362"/>
    <w:rsid w:val="00755C09"/>
    <w:rsid w:val="007E3AD9"/>
    <w:rsid w:val="00876831"/>
    <w:rsid w:val="0098513C"/>
    <w:rsid w:val="00A93BAF"/>
    <w:rsid w:val="00AE72AE"/>
    <w:rsid w:val="00B47F63"/>
    <w:rsid w:val="00B70D5F"/>
    <w:rsid w:val="00BB51A1"/>
    <w:rsid w:val="00C96819"/>
    <w:rsid w:val="00CE7BB5"/>
    <w:rsid w:val="00DD7B46"/>
    <w:rsid w:val="00F10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7F5069"/>
  <w15:chartTrackingRefBased/>
  <w15:docId w15:val="{B861737B-3FBB-4F37-935B-F2CB49CB0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04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04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04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04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04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04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04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04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04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4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04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04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04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04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04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04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04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0402"/>
    <w:rPr>
      <w:rFonts w:eastAsiaTheme="majorEastAsia" w:cstheme="majorBidi"/>
      <w:color w:val="272727" w:themeColor="text1" w:themeTint="D8"/>
    </w:rPr>
  </w:style>
  <w:style w:type="paragraph" w:styleId="Title">
    <w:name w:val="Title"/>
    <w:basedOn w:val="Normal"/>
    <w:next w:val="Normal"/>
    <w:link w:val="TitleChar"/>
    <w:uiPriority w:val="10"/>
    <w:qFormat/>
    <w:rsid w:val="00F104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04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04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04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0402"/>
    <w:pPr>
      <w:spacing w:before="160"/>
      <w:jc w:val="center"/>
    </w:pPr>
    <w:rPr>
      <w:i/>
      <w:iCs/>
      <w:color w:val="404040" w:themeColor="text1" w:themeTint="BF"/>
    </w:rPr>
  </w:style>
  <w:style w:type="character" w:customStyle="1" w:styleId="QuoteChar">
    <w:name w:val="Quote Char"/>
    <w:basedOn w:val="DefaultParagraphFont"/>
    <w:link w:val="Quote"/>
    <w:uiPriority w:val="29"/>
    <w:rsid w:val="00F10402"/>
    <w:rPr>
      <w:i/>
      <w:iCs/>
      <w:color w:val="404040" w:themeColor="text1" w:themeTint="BF"/>
    </w:rPr>
  </w:style>
  <w:style w:type="paragraph" w:styleId="ListParagraph">
    <w:name w:val="List Paragraph"/>
    <w:basedOn w:val="Normal"/>
    <w:uiPriority w:val="34"/>
    <w:qFormat/>
    <w:rsid w:val="00F10402"/>
    <w:pPr>
      <w:ind w:left="720"/>
      <w:contextualSpacing/>
    </w:pPr>
  </w:style>
  <w:style w:type="character" w:styleId="IntenseEmphasis">
    <w:name w:val="Intense Emphasis"/>
    <w:basedOn w:val="DefaultParagraphFont"/>
    <w:uiPriority w:val="21"/>
    <w:qFormat/>
    <w:rsid w:val="00F10402"/>
    <w:rPr>
      <w:i/>
      <w:iCs/>
      <w:color w:val="0F4761" w:themeColor="accent1" w:themeShade="BF"/>
    </w:rPr>
  </w:style>
  <w:style w:type="paragraph" w:styleId="IntenseQuote">
    <w:name w:val="Intense Quote"/>
    <w:basedOn w:val="Normal"/>
    <w:next w:val="Normal"/>
    <w:link w:val="IntenseQuoteChar"/>
    <w:uiPriority w:val="30"/>
    <w:qFormat/>
    <w:rsid w:val="00F104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0402"/>
    <w:rPr>
      <w:i/>
      <w:iCs/>
      <w:color w:val="0F4761" w:themeColor="accent1" w:themeShade="BF"/>
    </w:rPr>
  </w:style>
  <w:style w:type="character" w:styleId="IntenseReference">
    <w:name w:val="Intense Reference"/>
    <w:basedOn w:val="DefaultParagraphFont"/>
    <w:uiPriority w:val="32"/>
    <w:qFormat/>
    <w:rsid w:val="00F10402"/>
    <w:rPr>
      <w:b/>
      <w:bCs/>
      <w:smallCaps/>
      <w:color w:val="0F4761" w:themeColor="accent1" w:themeShade="BF"/>
      <w:spacing w:val="5"/>
    </w:rPr>
  </w:style>
  <w:style w:type="paragraph" w:styleId="TOCHeading">
    <w:name w:val="TOC Heading"/>
    <w:basedOn w:val="Heading1"/>
    <w:next w:val="Normal"/>
    <w:uiPriority w:val="39"/>
    <w:unhideWhenUsed/>
    <w:qFormat/>
    <w:rsid w:val="00F10402"/>
    <w:pPr>
      <w:spacing w:before="240" w:after="0" w:line="259" w:lineRule="auto"/>
      <w:outlineLvl w:val="9"/>
    </w:pPr>
    <w:rPr>
      <w:kern w:val="0"/>
      <w:sz w:val="32"/>
      <w:szCs w:val="32"/>
      <w:lang w:val="en-US"/>
      <w14:ligatures w14:val="none"/>
    </w:rPr>
  </w:style>
  <w:style w:type="paragraph" w:styleId="Caption">
    <w:name w:val="caption"/>
    <w:basedOn w:val="Normal"/>
    <w:next w:val="Normal"/>
    <w:uiPriority w:val="35"/>
    <w:unhideWhenUsed/>
    <w:qFormat/>
    <w:rsid w:val="00B47F63"/>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B47F63"/>
    <w:pPr>
      <w:spacing w:after="100"/>
    </w:pPr>
  </w:style>
  <w:style w:type="paragraph" w:styleId="TOC2">
    <w:name w:val="toc 2"/>
    <w:basedOn w:val="Normal"/>
    <w:next w:val="Normal"/>
    <w:autoRedefine/>
    <w:uiPriority w:val="39"/>
    <w:unhideWhenUsed/>
    <w:rsid w:val="00B47F63"/>
    <w:pPr>
      <w:spacing w:after="100"/>
      <w:ind w:left="240"/>
    </w:pPr>
  </w:style>
  <w:style w:type="character" w:styleId="Hyperlink">
    <w:name w:val="Hyperlink"/>
    <w:basedOn w:val="DefaultParagraphFont"/>
    <w:uiPriority w:val="99"/>
    <w:unhideWhenUsed/>
    <w:rsid w:val="00B47F63"/>
    <w:rPr>
      <w:color w:val="467886" w:themeColor="hyperlink"/>
      <w:u w:val="single"/>
    </w:rPr>
  </w:style>
  <w:style w:type="paragraph" w:styleId="NormalWeb">
    <w:name w:val="Normal (Web)"/>
    <w:basedOn w:val="Normal"/>
    <w:uiPriority w:val="99"/>
    <w:semiHidden/>
    <w:unhideWhenUsed/>
    <w:rsid w:val="00755C0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unhideWhenUsed/>
    <w:rsid w:val="00144D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92849">
      <w:bodyDiv w:val="1"/>
      <w:marLeft w:val="0"/>
      <w:marRight w:val="0"/>
      <w:marTop w:val="0"/>
      <w:marBottom w:val="0"/>
      <w:divBdr>
        <w:top w:val="none" w:sz="0" w:space="0" w:color="auto"/>
        <w:left w:val="none" w:sz="0" w:space="0" w:color="auto"/>
        <w:bottom w:val="none" w:sz="0" w:space="0" w:color="auto"/>
        <w:right w:val="none" w:sz="0" w:space="0" w:color="auto"/>
      </w:divBdr>
    </w:div>
    <w:div w:id="51658875">
      <w:bodyDiv w:val="1"/>
      <w:marLeft w:val="0"/>
      <w:marRight w:val="0"/>
      <w:marTop w:val="0"/>
      <w:marBottom w:val="0"/>
      <w:divBdr>
        <w:top w:val="none" w:sz="0" w:space="0" w:color="auto"/>
        <w:left w:val="none" w:sz="0" w:space="0" w:color="auto"/>
        <w:bottom w:val="none" w:sz="0" w:space="0" w:color="auto"/>
        <w:right w:val="none" w:sz="0" w:space="0" w:color="auto"/>
      </w:divBdr>
    </w:div>
    <w:div w:id="100996377">
      <w:bodyDiv w:val="1"/>
      <w:marLeft w:val="0"/>
      <w:marRight w:val="0"/>
      <w:marTop w:val="0"/>
      <w:marBottom w:val="0"/>
      <w:divBdr>
        <w:top w:val="none" w:sz="0" w:space="0" w:color="auto"/>
        <w:left w:val="none" w:sz="0" w:space="0" w:color="auto"/>
        <w:bottom w:val="none" w:sz="0" w:space="0" w:color="auto"/>
        <w:right w:val="none" w:sz="0" w:space="0" w:color="auto"/>
      </w:divBdr>
    </w:div>
    <w:div w:id="117995302">
      <w:bodyDiv w:val="1"/>
      <w:marLeft w:val="0"/>
      <w:marRight w:val="0"/>
      <w:marTop w:val="0"/>
      <w:marBottom w:val="0"/>
      <w:divBdr>
        <w:top w:val="none" w:sz="0" w:space="0" w:color="auto"/>
        <w:left w:val="none" w:sz="0" w:space="0" w:color="auto"/>
        <w:bottom w:val="none" w:sz="0" w:space="0" w:color="auto"/>
        <w:right w:val="none" w:sz="0" w:space="0" w:color="auto"/>
      </w:divBdr>
    </w:div>
    <w:div w:id="121775527">
      <w:bodyDiv w:val="1"/>
      <w:marLeft w:val="0"/>
      <w:marRight w:val="0"/>
      <w:marTop w:val="0"/>
      <w:marBottom w:val="0"/>
      <w:divBdr>
        <w:top w:val="none" w:sz="0" w:space="0" w:color="auto"/>
        <w:left w:val="none" w:sz="0" w:space="0" w:color="auto"/>
        <w:bottom w:val="none" w:sz="0" w:space="0" w:color="auto"/>
        <w:right w:val="none" w:sz="0" w:space="0" w:color="auto"/>
      </w:divBdr>
    </w:div>
    <w:div w:id="123011246">
      <w:bodyDiv w:val="1"/>
      <w:marLeft w:val="0"/>
      <w:marRight w:val="0"/>
      <w:marTop w:val="0"/>
      <w:marBottom w:val="0"/>
      <w:divBdr>
        <w:top w:val="none" w:sz="0" w:space="0" w:color="auto"/>
        <w:left w:val="none" w:sz="0" w:space="0" w:color="auto"/>
        <w:bottom w:val="none" w:sz="0" w:space="0" w:color="auto"/>
        <w:right w:val="none" w:sz="0" w:space="0" w:color="auto"/>
      </w:divBdr>
    </w:div>
    <w:div w:id="178617795">
      <w:bodyDiv w:val="1"/>
      <w:marLeft w:val="0"/>
      <w:marRight w:val="0"/>
      <w:marTop w:val="0"/>
      <w:marBottom w:val="0"/>
      <w:divBdr>
        <w:top w:val="none" w:sz="0" w:space="0" w:color="auto"/>
        <w:left w:val="none" w:sz="0" w:space="0" w:color="auto"/>
        <w:bottom w:val="none" w:sz="0" w:space="0" w:color="auto"/>
        <w:right w:val="none" w:sz="0" w:space="0" w:color="auto"/>
      </w:divBdr>
    </w:div>
    <w:div w:id="200898193">
      <w:bodyDiv w:val="1"/>
      <w:marLeft w:val="0"/>
      <w:marRight w:val="0"/>
      <w:marTop w:val="0"/>
      <w:marBottom w:val="0"/>
      <w:divBdr>
        <w:top w:val="none" w:sz="0" w:space="0" w:color="auto"/>
        <w:left w:val="none" w:sz="0" w:space="0" w:color="auto"/>
        <w:bottom w:val="none" w:sz="0" w:space="0" w:color="auto"/>
        <w:right w:val="none" w:sz="0" w:space="0" w:color="auto"/>
      </w:divBdr>
    </w:div>
    <w:div w:id="204173322">
      <w:bodyDiv w:val="1"/>
      <w:marLeft w:val="0"/>
      <w:marRight w:val="0"/>
      <w:marTop w:val="0"/>
      <w:marBottom w:val="0"/>
      <w:divBdr>
        <w:top w:val="none" w:sz="0" w:space="0" w:color="auto"/>
        <w:left w:val="none" w:sz="0" w:space="0" w:color="auto"/>
        <w:bottom w:val="none" w:sz="0" w:space="0" w:color="auto"/>
        <w:right w:val="none" w:sz="0" w:space="0" w:color="auto"/>
      </w:divBdr>
      <w:divsChild>
        <w:div w:id="502009944">
          <w:marLeft w:val="0"/>
          <w:marRight w:val="0"/>
          <w:marTop w:val="0"/>
          <w:marBottom w:val="0"/>
          <w:divBdr>
            <w:top w:val="none" w:sz="0" w:space="0" w:color="auto"/>
            <w:left w:val="none" w:sz="0" w:space="0" w:color="auto"/>
            <w:bottom w:val="none" w:sz="0" w:space="0" w:color="auto"/>
            <w:right w:val="none" w:sz="0" w:space="0" w:color="auto"/>
          </w:divBdr>
          <w:divsChild>
            <w:div w:id="1619950271">
              <w:marLeft w:val="0"/>
              <w:marRight w:val="0"/>
              <w:marTop w:val="0"/>
              <w:marBottom w:val="0"/>
              <w:divBdr>
                <w:top w:val="none" w:sz="0" w:space="0" w:color="auto"/>
                <w:left w:val="none" w:sz="0" w:space="0" w:color="auto"/>
                <w:bottom w:val="none" w:sz="0" w:space="0" w:color="auto"/>
                <w:right w:val="none" w:sz="0" w:space="0" w:color="auto"/>
              </w:divBdr>
            </w:div>
          </w:divsChild>
        </w:div>
        <w:div w:id="1462193030">
          <w:marLeft w:val="0"/>
          <w:marRight w:val="0"/>
          <w:marTop w:val="0"/>
          <w:marBottom w:val="0"/>
          <w:divBdr>
            <w:top w:val="none" w:sz="0" w:space="0" w:color="auto"/>
            <w:left w:val="none" w:sz="0" w:space="0" w:color="auto"/>
            <w:bottom w:val="none" w:sz="0" w:space="0" w:color="auto"/>
            <w:right w:val="none" w:sz="0" w:space="0" w:color="auto"/>
          </w:divBdr>
          <w:divsChild>
            <w:div w:id="74011970">
              <w:marLeft w:val="0"/>
              <w:marRight w:val="0"/>
              <w:marTop w:val="0"/>
              <w:marBottom w:val="0"/>
              <w:divBdr>
                <w:top w:val="none" w:sz="0" w:space="0" w:color="auto"/>
                <w:left w:val="none" w:sz="0" w:space="0" w:color="auto"/>
                <w:bottom w:val="none" w:sz="0" w:space="0" w:color="auto"/>
                <w:right w:val="none" w:sz="0" w:space="0" w:color="auto"/>
              </w:divBdr>
            </w:div>
          </w:divsChild>
        </w:div>
        <w:div w:id="1760179631">
          <w:marLeft w:val="0"/>
          <w:marRight w:val="0"/>
          <w:marTop w:val="0"/>
          <w:marBottom w:val="0"/>
          <w:divBdr>
            <w:top w:val="none" w:sz="0" w:space="0" w:color="auto"/>
            <w:left w:val="none" w:sz="0" w:space="0" w:color="auto"/>
            <w:bottom w:val="none" w:sz="0" w:space="0" w:color="auto"/>
            <w:right w:val="none" w:sz="0" w:space="0" w:color="auto"/>
          </w:divBdr>
          <w:divsChild>
            <w:div w:id="151565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081647">
      <w:bodyDiv w:val="1"/>
      <w:marLeft w:val="0"/>
      <w:marRight w:val="0"/>
      <w:marTop w:val="0"/>
      <w:marBottom w:val="0"/>
      <w:divBdr>
        <w:top w:val="none" w:sz="0" w:space="0" w:color="auto"/>
        <w:left w:val="none" w:sz="0" w:space="0" w:color="auto"/>
        <w:bottom w:val="none" w:sz="0" w:space="0" w:color="auto"/>
        <w:right w:val="none" w:sz="0" w:space="0" w:color="auto"/>
      </w:divBdr>
    </w:div>
    <w:div w:id="269824465">
      <w:bodyDiv w:val="1"/>
      <w:marLeft w:val="0"/>
      <w:marRight w:val="0"/>
      <w:marTop w:val="0"/>
      <w:marBottom w:val="0"/>
      <w:divBdr>
        <w:top w:val="none" w:sz="0" w:space="0" w:color="auto"/>
        <w:left w:val="none" w:sz="0" w:space="0" w:color="auto"/>
        <w:bottom w:val="none" w:sz="0" w:space="0" w:color="auto"/>
        <w:right w:val="none" w:sz="0" w:space="0" w:color="auto"/>
      </w:divBdr>
    </w:div>
    <w:div w:id="273945894">
      <w:bodyDiv w:val="1"/>
      <w:marLeft w:val="0"/>
      <w:marRight w:val="0"/>
      <w:marTop w:val="0"/>
      <w:marBottom w:val="0"/>
      <w:divBdr>
        <w:top w:val="none" w:sz="0" w:space="0" w:color="auto"/>
        <w:left w:val="none" w:sz="0" w:space="0" w:color="auto"/>
        <w:bottom w:val="none" w:sz="0" w:space="0" w:color="auto"/>
        <w:right w:val="none" w:sz="0" w:space="0" w:color="auto"/>
      </w:divBdr>
    </w:div>
    <w:div w:id="286353688">
      <w:bodyDiv w:val="1"/>
      <w:marLeft w:val="0"/>
      <w:marRight w:val="0"/>
      <w:marTop w:val="0"/>
      <w:marBottom w:val="0"/>
      <w:divBdr>
        <w:top w:val="none" w:sz="0" w:space="0" w:color="auto"/>
        <w:left w:val="none" w:sz="0" w:space="0" w:color="auto"/>
        <w:bottom w:val="none" w:sz="0" w:space="0" w:color="auto"/>
        <w:right w:val="none" w:sz="0" w:space="0" w:color="auto"/>
      </w:divBdr>
    </w:div>
    <w:div w:id="321008862">
      <w:bodyDiv w:val="1"/>
      <w:marLeft w:val="0"/>
      <w:marRight w:val="0"/>
      <w:marTop w:val="0"/>
      <w:marBottom w:val="0"/>
      <w:divBdr>
        <w:top w:val="none" w:sz="0" w:space="0" w:color="auto"/>
        <w:left w:val="none" w:sz="0" w:space="0" w:color="auto"/>
        <w:bottom w:val="none" w:sz="0" w:space="0" w:color="auto"/>
        <w:right w:val="none" w:sz="0" w:space="0" w:color="auto"/>
      </w:divBdr>
    </w:div>
    <w:div w:id="376005161">
      <w:bodyDiv w:val="1"/>
      <w:marLeft w:val="0"/>
      <w:marRight w:val="0"/>
      <w:marTop w:val="0"/>
      <w:marBottom w:val="0"/>
      <w:divBdr>
        <w:top w:val="none" w:sz="0" w:space="0" w:color="auto"/>
        <w:left w:val="none" w:sz="0" w:space="0" w:color="auto"/>
        <w:bottom w:val="none" w:sz="0" w:space="0" w:color="auto"/>
        <w:right w:val="none" w:sz="0" w:space="0" w:color="auto"/>
      </w:divBdr>
    </w:div>
    <w:div w:id="425618412">
      <w:bodyDiv w:val="1"/>
      <w:marLeft w:val="0"/>
      <w:marRight w:val="0"/>
      <w:marTop w:val="0"/>
      <w:marBottom w:val="0"/>
      <w:divBdr>
        <w:top w:val="none" w:sz="0" w:space="0" w:color="auto"/>
        <w:left w:val="none" w:sz="0" w:space="0" w:color="auto"/>
        <w:bottom w:val="none" w:sz="0" w:space="0" w:color="auto"/>
        <w:right w:val="none" w:sz="0" w:space="0" w:color="auto"/>
      </w:divBdr>
    </w:div>
    <w:div w:id="433281365">
      <w:bodyDiv w:val="1"/>
      <w:marLeft w:val="0"/>
      <w:marRight w:val="0"/>
      <w:marTop w:val="0"/>
      <w:marBottom w:val="0"/>
      <w:divBdr>
        <w:top w:val="none" w:sz="0" w:space="0" w:color="auto"/>
        <w:left w:val="none" w:sz="0" w:space="0" w:color="auto"/>
        <w:bottom w:val="none" w:sz="0" w:space="0" w:color="auto"/>
        <w:right w:val="none" w:sz="0" w:space="0" w:color="auto"/>
      </w:divBdr>
    </w:div>
    <w:div w:id="511339362">
      <w:bodyDiv w:val="1"/>
      <w:marLeft w:val="0"/>
      <w:marRight w:val="0"/>
      <w:marTop w:val="0"/>
      <w:marBottom w:val="0"/>
      <w:divBdr>
        <w:top w:val="none" w:sz="0" w:space="0" w:color="auto"/>
        <w:left w:val="none" w:sz="0" w:space="0" w:color="auto"/>
        <w:bottom w:val="none" w:sz="0" w:space="0" w:color="auto"/>
        <w:right w:val="none" w:sz="0" w:space="0" w:color="auto"/>
      </w:divBdr>
    </w:div>
    <w:div w:id="557018179">
      <w:bodyDiv w:val="1"/>
      <w:marLeft w:val="0"/>
      <w:marRight w:val="0"/>
      <w:marTop w:val="0"/>
      <w:marBottom w:val="0"/>
      <w:divBdr>
        <w:top w:val="none" w:sz="0" w:space="0" w:color="auto"/>
        <w:left w:val="none" w:sz="0" w:space="0" w:color="auto"/>
        <w:bottom w:val="none" w:sz="0" w:space="0" w:color="auto"/>
        <w:right w:val="none" w:sz="0" w:space="0" w:color="auto"/>
      </w:divBdr>
    </w:div>
    <w:div w:id="594871091">
      <w:bodyDiv w:val="1"/>
      <w:marLeft w:val="0"/>
      <w:marRight w:val="0"/>
      <w:marTop w:val="0"/>
      <w:marBottom w:val="0"/>
      <w:divBdr>
        <w:top w:val="none" w:sz="0" w:space="0" w:color="auto"/>
        <w:left w:val="none" w:sz="0" w:space="0" w:color="auto"/>
        <w:bottom w:val="none" w:sz="0" w:space="0" w:color="auto"/>
        <w:right w:val="none" w:sz="0" w:space="0" w:color="auto"/>
      </w:divBdr>
    </w:div>
    <w:div w:id="605306259">
      <w:bodyDiv w:val="1"/>
      <w:marLeft w:val="0"/>
      <w:marRight w:val="0"/>
      <w:marTop w:val="0"/>
      <w:marBottom w:val="0"/>
      <w:divBdr>
        <w:top w:val="none" w:sz="0" w:space="0" w:color="auto"/>
        <w:left w:val="none" w:sz="0" w:space="0" w:color="auto"/>
        <w:bottom w:val="none" w:sz="0" w:space="0" w:color="auto"/>
        <w:right w:val="none" w:sz="0" w:space="0" w:color="auto"/>
      </w:divBdr>
    </w:div>
    <w:div w:id="655912002">
      <w:bodyDiv w:val="1"/>
      <w:marLeft w:val="0"/>
      <w:marRight w:val="0"/>
      <w:marTop w:val="0"/>
      <w:marBottom w:val="0"/>
      <w:divBdr>
        <w:top w:val="none" w:sz="0" w:space="0" w:color="auto"/>
        <w:left w:val="none" w:sz="0" w:space="0" w:color="auto"/>
        <w:bottom w:val="none" w:sz="0" w:space="0" w:color="auto"/>
        <w:right w:val="none" w:sz="0" w:space="0" w:color="auto"/>
      </w:divBdr>
    </w:div>
    <w:div w:id="695228206">
      <w:bodyDiv w:val="1"/>
      <w:marLeft w:val="0"/>
      <w:marRight w:val="0"/>
      <w:marTop w:val="0"/>
      <w:marBottom w:val="0"/>
      <w:divBdr>
        <w:top w:val="none" w:sz="0" w:space="0" w:color="auto"/>
        <w:left w:val="none" w:sz="0" w:space="0" w:color="auto"/>
        <w:bottom w:val="none" w:sz="0" w:space="0" w:color="auto"/>
        <w:right w:val="none" w:sz="0" w:space="0" w:color="auto"/>
      </w:divBdr>
    </w:div>
    <w:div w:id="738020790">
      <w:bodyDiv w:val="1"/>
      <w:marLeft w:val="0"/>
      <w:marRight w:val="0"/>
      <w:marTop w:val="0"/>
      <w:marBottom w:val="0"/>
      <w:divBdr>
        <w:top w:val="none" w:sz="0" w:space="0" w:color="auto"/>
        <w:left w:val="none" w:sz="0" w:space="0" w:color="auto"/>
        <w:bottom w:val="none" w:sz="0" w:space="0" w:color="auto"/>
        <w:right w:val="none" w:sz="0" w:space="0" w:color="auto"/>
      </w:divBdr>
    </w:div>
    <w:div w:id="827745247">
      <w:bodyDiv w:val="1"/>
      <w:marLeft w:val="0"/>
      <w:marRight w:val="0"/>
      <w:marTop w:val="0"/>
      <w:marBottom w:val="0"/>
      <w:divBdr>
        <w:top w:val="none" w:sz="0" w:space="0" w:color="auto"/>
        <w:left w:val="none" w:sz="0" w:space="0" w:color="auto"/>
        <w:bottom w:val="none" w:sz="0" w:space="0" w:color="auto"/>
        <w:right w:val="none" w:sz="0" w:space="0" w:color="auto"/>
      </w:divBdr>
    </w:div>
    <w:div w:id="874775279">
      <w:bodyDiv w:val="1"/>
      <w:marLeft w:val="0"/>
      <w:marRight w:val="0"/>
      <w:marTop w:val="0"/>
      <w:marBottom w:val="0"/>
      <w:divBdr>
        <w:top w:val="none" w:sz="0" w:space="0" w:color="auto"/>
        <w:left w:val="none" w:sz="0" w:space="0" w:color="auto"/>
        <w:bottom w:val="none" w:sz="0" w:space="0" w:color="auto"/>
        <w:right w:val="none" w:sz="0" w:space="0" w:color="auto"/>
      </w:divBdr>
    </w:div>
    <w:div w:id="1008021869">
      <w:bodyDiv w:val="1"/>
      <w:marLeft w:val="0"/>
      <w:marRight w:val="0"/>
      <w:marTop w:val="0"/>
      <w:marBottom w:val="0"/>
      <w:divBdr>
        <w:top w:val="none" w:sz="0" w:space="0" w:color="auto"/>
        <w:left w:val="none" w:sz="0" w:space="0" w:color="auto"/>
        <w:bottom w:val="none" w:sz="0" w:space="0" w:color="auto"/>
        <w:right w:val="none" w:sz="0" w:space="0" w:color="auto"/>
      </w:divBdr>
    </w:div>
    <w:div w:id="1021081907">
      <w:bodyDiv w:val="1"/>
      <w:marLeft w:val="0"/>
      <w:marRight w:val="0"/>
      <w:marTop w:val="0"/>
      <w:marBottom w:val="0"/>
      <w:divBdr>
        <w:top w:val="none" w:sz="0" w:space="0" w:color="auto"/>
        <w:left w:val="none" w:sz="0" w:space="0" w:color="auto"/>
        <w:bottom w:val="none" w:sz="0" w:space="0" w:color="auto"/>
        <w:right w:val="none" w:sz="0" w:space="0" w:color="auto"/>
      </w:divBdr>
    </w:div>
    <w:div w:id="1052996401">
      <w:bodyDiv w:val="1"/>
      <w:marLeft w:val="0"/>
      <w:marRight w:val="0"/>
      <w:marTop w:val="0"/>
      <w:marBottom w:val="0"/>
      <w:divBdr>
        <w:top w:val="none" w:sz="0" w:space="0" w:color="auto"/>
        <w:left w:val="none" w:sz="0" w:space="0" w:color="auto"/>
        <w:bottom w:val="none" w:sz="0" w:space="0" w:color="auto"/>
        <w:right w:val="none" w:sz="0" w:space="0" w:color="auto"/>
      </w:divBdr>
    </w:div>
    <w:div w:id="1063482221">
      <w:bodyDiv w:val="1"/>
      <w:marLeft w:val="0"/>
      <w:marRight w:val="0"/>
      <w:marTop w:val="0"/>
      <w:marBottom w:val="0"/>
      <w:divBdr>
        <w:top w:val="none" w:sz="0" w:space="0" w:color="auto"/>
        <w:left w:val="none" w:sz="0" w:space="0" w:color="auto"/>
        <w:bottom w:val="none" w:sz="0" w:space="0" w:color="auto"/>
        <w:right w:val="none" w:sz="0" w:space="0" w:color="auto"/>
      </w:divBdr>
    </w:div>
    <w:div w:id="1089429882">
      <w:bodyDiv w:val="1"/>
      <w:marLeft w:val="0"/>
      <w:marRight w:val="0"/>
      <w:marTop w:val="0"/>
      <w:marBottom w:val="0"/>
      <w:divBdr>
        <w:top w:val="none" w:sz="0" w:space="0" w:color="auto"/>
        <w:left w:val="none" w:sz="0" w:space="0" w:color="auto"/>
        <w:bottom w:val="none" w:sz="0" w:space="0" w:color="auto"/>
        <w:right w:val="none" w:sz="0" w:space="0" w:color="auto"/>
      </w:divBdr>
    </w:div>
    <w:div w:id="1129862976">
      <w:bodyDiv w:val="1"/>
      <w:marLeft w:val="0"/>
      <w:marRight w:val="0"/>
      <w:marTop w:val="0"/>
      <w:marBottom w:val="0"/>
      <w:divBdr>
        <w:top w:val="none" w:sz="0" w:space="0" w:color="auto"/>
        <w:left w:val="none" w:sz="0" w:space="0" w:color="auto"/>
        <w:bottom w:val="none" w:sz="0" w:space="0" w:color="auto"/>
        <w:right w:val="none" w:sz="0" w:space="0" w:color="auto"/>
      </w:divBdr>
    </w:div>
    <w:div w:id="1130320805">
      <w:bodyDiv w:val="1"/>
      <w:marLeft w:val="0"/>
      <w:marRight w:val="0"/>
      <w:marTop w:val="0"/>
      <w:marBottom w:val="0"/>
      <w:divBdr>
        <w:top w:val="none" w:sz="0" w:space="0" w:color="auto"/>
        <w:left w:val="none" w:sz="0" w:space="0" w:color="auto"/>
        <w:bottom w:val="none" w:sz="0" w:space="0" w:color="auto"/>
        <w:right w:val="none" w:sz="0" w:space="0" w:color="auto"/>
      </w:divBdr>
    </w:div>
    <w:div w:id="1136531861">
      <w:bodyDiv w:val="1"/>
      <w:marLeft w:val="0"/>
      <w:marRight w:val="0"/>
      <w:marTop w:val="0"/>
      <w:marBottom w:val="0"/>
      <w:divBdr>
        <w:top w:val="none" w:sz="0" w:space="0" w:color="auto"/>
        <w:left w:val="none" w:sz="0" w:space="0" w:color="auto"/>
        <w:bottom w:val="none" w:sz="0" w:space="0" w:color="auto"/>
        <w:right w:val="none" w:sz="0" w:space="0" w:color="auto"/>
      </w:divBdr>
    </w:div>
    <w:div w:id="1143154053">
      <w:bodyDiv w:val="1"/>
      <w:marLeft w:val="0"/>
      <w:marRight w:val="0"/>
      <w:marTop w:val="0"/>
      <w:marBottom w:val="0"/>
      <w:divBdr>
        <w:top w:val="none" w:sz="0" w:space="0" w:color="auto"/>
        <w:left w:val="none" w:sz="0" w:space="0" w:color="auto"/>
        <w:bottom w:val="none" w:sz="0" w:space="0" w:color="auto"/>
        <w:right w:val="none" w:sz="0" w:space="0" w:color="auto"/>
      </w:divBdr>
    </w:div>
    <w:div w:id="1177965511">
      <w:bodyDiv w:val="1"/>
      <w:marLeft w:val="0"/>
      <w:marRight w:val="0"/>
      <w:marTop w:val="0"/>
      <w:marBottom w:val="0"/>
      <w:divBdr>
        <w:top w:val="none" w:sz="0" w:space="0" w:color="auto"/>
        <w:left w:val="none" w:sz="0" w:space="0" w:color="auto"/>
        <w:bottom w:val="none" w:sz="0" w:space="0" w:color="auto"/>
        <w:right w:val="none" w:sz="0" w:space="0" w:color="auto"/>
      </w:divBdr>
    </w:div>
    <w:div w:id="1179075400">
      <w:bodyDiv w:val="1"/>
      <w:marLeft w:val="0"/>
      <w:marRight w:val="0"/>
      <w:marTop w:val="0"/>
      <w:marBottom w:val="0"/>
      <w:divBdr>
        <w:top w:val="none" w:sz="0" w:space="0" w:color="auto"/>
        <w:left w:val="none" w:sz="0" w:space="0" w:color="auto"/>
        <w:bottom w:val="none" w:sz="0" w:space="0" w:color="auto"/>
        <w:right w:val="none" w:sz="0" w:space="0" w:color="auto"/>
      </w:divBdr>
    </w:div>
    <w:div w:id="1188450688">
      <w:bodyDiv w:val="1"/>
      <w:marLeft w:val="0"/>
      <w:marRight w:val="0"/>
      <w:marTop w:val="0"/>
      <w:marBottom w:val="0"/>
      <w:divBdr>
        <w:top w:val="none" w:sz="0" w:space="0" w:color="auto"/>
        <w:left w:val="none" w:sz="0" w:space="0" w:color="auto"/>
        <w:bottom w:val="none" w:sz="0" w:space="0" w:color="auto"/>
        <w:right w:val="none" w:sz="0" w:space="0" w:color="auto"/>
      </w:divBdr>
    </w:div>
    <w:div w:id="1201209908">
      <w:bodyDiv w:val="1"/>
      <w:marLeft w:val="0"/>
      <w:marRight w:val="0"/>
      <w:marTop w:val="0"/>
      <w:marBottom w:val="0"/>
      <w:divBdr>
        <w:top w:val="none" w:sz="0" w:space="0" w:color="auto"/>
        <w:left w:val="none" w:sz="0" w:space="0" w:color="auto"/>
        <w:bottom w:val="none" w:sz="0" w:space="0" w:color="auto"/>
        <w:right w:val="none" w:sz="0" w:space="0" w:color="auto"/>
      </w:divBdr>
    </w:div>
    <w:div w:id="1202668936">
      <w:bodyDiv w:val="1"/>
      <w:marLeft w:val="0"/>
      <w:marRight w:val="0"/>
      <w:marTop w:val="0"/>
      <w:marBottom w:val="0"/>
      <w:divBdr>
        <w:top w:val="none" w:sz="0" w:space="0" w:color="auto"/>
        <w:left w:val="none" w:sz="0" w:space="0" w:color="auto"/>
        <w:bottom w:val="none" w:sz="0" w:space="0" w:color="auto"/>
        <w:right w:val="none" w:sz="0" w:space="0" w:color="auto"/>
      </w:divBdr>
      <w:divsChild>
        <w:div w:id="2084598727">
          <w:marLeft w:val="0"/>
          <w:marRight w:val="0"/>
          <w:marTop w:val="0"/>
          <w:marBottom w:val="0"/>
          <w:divBdr>
            <w:top w:val="none" w:sz="0" w:space="0" w:color="auto"/>
            <w:left w:val="none" w:sz="0" w:space="0" w:color="auto"/>
            <w:bottom w:val="none" w:sz="0" w:space="0" w:color="auto"/>
            <w:right w:val="none" w:sz="0" w:space="0" w:color="auto"/>
          </w:divBdr>
          <w:divsChild>
            <w:div w:id="1289512593">
              <w:marLeft w:val="0"/>
              <w:marRight w:val="0"/>
              <w:marTop w:val="0"/>
              <w:marBottom w:val="0"/>
              <w:divBdr>
                <w:top w:val="none" w:sz="0" w:space="0" w:color="auto"/>
                <w:left w:val="none" w:sz="0" w:space="0" w:color="auto"/>
                <w:bottom w:val="none" w:sz="0" w:space="0" w:color="auto"/>
                <w:right w:val="none" w:sz="0" w:space="0" w:color="auto"/>
              </w:divBdr>
            </w:div>
          </w:divsChild>
        </w:div>
        <w:div w:id="1288660994">
          <w:marLeft w:val="0"/>
          <w:marRight w:val="0"/>
          <w:marTop w:val="0"/>
          <w:marBottom w:val="0"/>
          <w:divBdr>
            <w:top w:val="none" w:sz="0" w:space="0" w:color="auto"/>
            <w:left w:val="none" w:sz="0" w:space="0" w:color="auto"/>
            <w:bottom w:val="none" w:sz="0" w:space="0" w:color="auto"/>
            <w:right w:val="none" w:sz="0" w:space="0" w:color="auto"/>
          </w:divBdr>
          <w:divsChild>
            <w:div w:id="1789086227">
              <w:marLeft w:val="0"/>
              <w:marRight w:val="0"/>
              <w:marTop w:val="0"/>
              <w:marBottom w:val="0"/>
              <w:divBdr>
                <w:top w:val="none" w:sz="0" w:space="0" w:color="auto"/>
                <w:left w:val="none" w:sz="0" w:space="0" w:color="auto"/>
                <w:bottom w:val="none" w:sz="0" w:space="0" w:color="auto"/>
                <w:right w:val="none" w:sz="0" w:space="0" w:color="auto"/>
              </w:divBdr>
            </w:div>
          </w:divsChild>
        </w:div>
        <w:div w:id="1493132794">
          <w:marLeft w:val="0"/>
          <w:marRight w:val="0"/>
          <w:marTop w:val="0"/>
          <w:marBottom w:val="0"/>
          <w:divBdr>
            <w:top w:val="none" w:sz="0" w:space="0" w:color="auto"/>
            <w:left w:val="none" w:sz="0" w:space="0" w:color="auto"/>
            <w:bottom w:val="none" w:sz="0" w:space="0" w:color="auto"/>
            <w:right w:val="none" w:sz="0" w:space="0" w:color="auto"/>
          </w:divBdr>
          <w:divsChild>
            <w:div w:id="1643581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7848">
      <w:bodyDiv w:val="1"/>
      <w:marLeft w:val="0"/>
      <w:marRight w:val="0"/>
      <w:marTop w:val="0"/>
      <w:marBottom w:val="0"/>
      <w:divBdr>
        <w:top w:val="none" w:sz="0" w:space="0" w:color="auto"/>
        <w:left w:val="none" w:sz="0" w:space="0" w:color="auto"/>
        <w:bottom w:val="none" w:sz="0" w:space="0" w:color="auto"/>
        <w:right w:val="none" w:sz="0" w:space="0" w:color="auto"/>
      </w:divBdr>
    </w:div>
    <w:div w:id="1275357007">
      <w:bodyDiv w:val="1"/>
      <w:marLeft w:val="0"/>
      <w:marRight w:val="0"/>
      <w:marTop w:val="0"/>
      <w:marBottom w:val="0"/>
      <w:divBdr>
        <w:top w:val="none" w:sz="0" w:space="0" w:color="auto"/>
        <w:left w:val="none" w:sz="0" w:space="0" w:color="auto"/>
        <w:bottom w:val="none" w:sz="0" w:space="0" w:color="auto"/>
        <w:right w:val="none" w:sz="0" w:space="0" w:color="auto"/>
      </w:divBdr>
    </w:div>
    <w:div w:id="1347975916">
      <w:bodyDiv w:val="1"/>
      <w:marLeft w:val="0"/>
      <w:marRight w:val="0"/>
      <w:marTop w:val="0"/>
      <w:marBottom w:val="0"/>
      <w:divBdr>
        <w:top w:val="none" w:sz="0" w:space="0" w:color="auto"/>
        <w:left w:val="none" w:sz="0" w:space="0" w:color="auto"/>
        <w:bottom w:val="none" w:sz="0" w:space="0" w:color="auto"/>
        <w:right w:val="none" w:sz="0" w:space="0" w:color="auto"/>
      </w:divBdr>
    </w:div>
    <w:div w:id="1348214093">
      <w:bodyDiv w:val="1"/>
      <w:marLeft w:val="0"/>
      <w:marRight w:val="0"/>
      <w:marTop w:val="0"/>
      <w:marBottom w:val="0"/>
      <w:divBdr>
        <w:top w:val="none" w:sz="0" w:space="0" w:color="auto"/>
        <w:left w:val="none" w:sz="0" w:space="0" w:color="auto"/>
        <w:bottom w:val="none" w:sz="0" w:space="0" w:color="auto"/>
        <w:right w:val="none" w:sz="0" w:space="0" w:color="auto"/>
      </w:divBdr>
    </w:div>
    <w:div w:id="1427192524">
      <w:bodyDiv w:val="1"/>
      <w:marLeft w:val="0"/>
      <w:marRight w:val="0"/>
      <w:marTop w:val="0"/>
      <w:marBottom w:val="0"/>
      <w:divBdr>
        <w:top w:val="none" w:sz="0" w:space="0" w:color="auto"/>
        <w:left w:val="none" w:sz="0" w:space="0" w:color="auto"/>
        <w:bottom w:val="none" w:sz="0" w:space="0" w:color="auto"/>
        <w:right w:val="none" w:sz="0" w:space="0" w:color="auto"/>
      </w:divBdr>
    </w:div>
    <w:div w:id="1516769108">
      <w:bodyDiv w:val="1"/>
      <w:marLeft w:val="0"/>
      <w:marRight w:val="0"/>
      <w:marTop w:val="0"/>
      <w:marBottom w:val="0"/>
      <w:divBdr>
        <w:top w:val="none" w:sz="0" w:space="0" w:color="auto"/>
        <w:left w:val="none" w:sz="0" w:space="0" w:color="auto"/>
        <w:bottom w:val="none" w:sz="0" w:space="0" w:color="auto"/>
        <w:right w:val="none" w:sz="0" w:space="0" w:color="auto"/>
      </w:divBdr>
    </w:div>
    <w:div w:id="1562055414">
      <w:bodyDiv w:val="1"/>
      <w:marLeft w:val="0"/>
      <w:marRight w:val="0"/>
      <w:marTop w:val="0"/>
      <w:marBottom w:val="0"/>
      <w:divBdr>
        <w:top w:val="none" w:sz="0" w:space="0" w:color="auto"/>
        <w:left w:val="none" w:sz="0" w:space="0" w:color="auto"/>
        <w:bottom w:val="none" w:sz="0" w:space="0" w:color="auto"/>
        <w:right w:val="none" w:sz="0" w:space="0" w:color="auto"/>
      </w:divBdr>
    </w:div>
    <w:div w:id="1659306783">
      <w:bodyDiv w:val="1"/>
      <w:marLeft w:val="0"/>
      <w:marRight w:val="0"/>
      <w:marTop w:val="0"/>
      <w:marBottom w:val="0"/>
      <w:divBdr>
        <w:top w:val="none" w:sz="0" w:space="0" w:color="auto"/>
        <w:left w:val="none" w:sz="0" w:space="0" w:color="auto"/>
        <w:bottom w:val="none" w:sz="0" w:space="0" w:color="auto"/>
        <w:right w:val="none" w:sz="0" w:space="0" w:color="auto"/>
      </w:divBdr>
    </w:div>
    <w:div w:id="1701122051">
      <w:bodyDiv w:val="1"/>
      <w:marLeft w:val="0"/>
      <w:marRight w:val="0"/>
      <w:marTop w:val="0"/>
      <w:marBottom w:val="0"/>
      <w:divBdr>
        <w:top w:val="none" w:sz="0" w:space="0" w:color="auto"/>
        <w:left w:val="none" w:sz="0" w:space="0" w:color="auto"/>
        <w:bottom w:val="none" w:sz="0" w:space="0" w:color="auto"/>
        <w:right w:val="none" w:sz="0" w:space="0" w:color="auto"/>
      </w:divBdr>
    </w:div>
    <w:div w:id="1728798651">
      <w:bodyDiv w:val="1"/>
      <w:marLeft w:val="0"/>
      <w:marRight w:val="0"/>
      <w:marTop w:val="0"/>
      <w:marBottom w:val="0"/>
      <w:divBdr>
        <w:top w:val="none" w:sz="0" w:space="0" w:color="auto"/>
        <w:left w:val="none" w:sz="0" w:space="0" w:color="auto"/>
        <w:bottom w:val="none" w:sz="0" w:space="0" w:color="auto"/>
        <w:right w:val="none" w:sz="0" w:space="0" w:color="auto"/>
      </w:divBdr>
    </w:div>
    <w:div w:id="1759331881">
      <w:bodyDiv w:val="1"/>
      <w:marLeft w:val="0"/>
      <w:marRight w:val="0"/>
      <w:marTop w:val="0"/>
      <w:marBottom w:val="0"/>
      <w:divBdr>
        <w:top w:val="none" w:sz="0" w:space="0" w:color="auto"/>
        <w:left w:val="none" w:sz="0" w:space="0" w:color="auto"/>
        <w:bottom w:val="none" w:sz="0" w:space="0" w:color="auto"/>
        <w:right w:val="none" w:sz="0" w:space="0" w:color="auto"/>
      </w:divBdr>
    </w:div>
    <w:div w:id="1805929223">
      <w:bodyDiv w:val="1"/>
      <w:marLeft w:val="0"/>
      <w:marRight w:val="0"/>
      <w:marTop w:val="0"/>
      <w:marBottom w:val="0"/>
      <w:divBdr>
        <w:top w:val="none" w:sz="0" w:space="0" w:color="auto"/>
        <w:left w:val="none" w:sz="0" w:space="0" w:color="auto"/>
        <w:bottom w:val="none" w:sz="0" w:space="0" w:color="auto"/>
        <w:right w:val="none" w:sz="0" w:space="0" w:color="auto"/>
      </w:divBdr>
    </w:div>
    <w:div w:id="1806240143">
      <w:bodyDiv w:val="1"/>
      <w:marLeft w:val="0"/>
      <w:marRight w:val="0"/>
      <w:marTop w:val="0"/>
      <w:marBottom w:val="0"/>
      <w:divBdr>
        <w:top w:val="none" w:sz="0" w:space="0" w:color="auto"/>
        <w:left w:val="none" w:sz="0" w:space="0" w:color="auto"/>
        <w:bottom w:val="none" w:sz="0" w:space="0" w:color="auto"/>
        <w:right w:val="none" w:sz="0" w:space="0" w:color="auto"/>
      </w:divBdr>
    </w:div>
    <w:div w:id="1864054337">
      <w:bodyDiv w:val="1"/>
      <w:marLeft w:val="0"/>
      <w:marRight w:val="0"/>
      <w:marTop w:val="0"/>
      <w:marBottom w:val="0"/>
      <w:divBdr>
        <w:top w:val="none" w:sz="0" w:space="0" w:color="auto"/>
        <w:left w:val="none" w:sz="0" w:space="0" w:color="auto"/>
        <w:bottom w:val="none" w:sz="0" w:space="0" w:color="auto"/>
        <w:right w:val="none" w:sz="0" w:space="0" w:color="auto"/>
      </w:divBdr>
    </w:div>
    <w:div w:id="1886747446">
      <w:bodyDiv w:val="1"/>
      <w:marLeft w:val="0"/>
      <w:marRight w:val="0"/>
      <w:marTop w:val="0"/>
      <w:marBottom w:val="0"/>
      <w:divBdr>
        <w:top w:val="none" w:sz="0" w:space="0" w:color="auto"/>
        <w:left w:val="none" w:sz="0" w:space="0" w:color="auto"/>
        <w:bottom w:val="none" w:sz="0" w:space="0" w:color="auto"/>
        <w:right w:val="none" w:sz="0" w:space="0" w:color="auto"/>
      </w:divBdr>
    </w:div>
    <w:div w:id="1896963300">
      <w:bodyDiv w:val="1"/>
      <w:marLeft w:val="0"/>
      <w:marRight w:val="0"/>
      <w:marTop w:val="0"/>
      <w:marBottom w:val="0"/>
      <w:divBdr>
        <w:top w:val="none" w:sz="0" w:space="0" w:color="auto"/>
        <w:left w:val="none" w:sz="0" w:space="0" w:color="auto"/>
        <w:bottom w:val="none" w:sz="0" w:space="0" w:color="auto"/>
        <w:right w:val="none" w:sz="0" w:space="0" w:color="auto"/>
      </w:divBdr>
    </w:div>
    <w:div w:id="2010789930">
      <w:bodyDiv w:val="1"/>
      <w:marLeft w:val="0"/>
      <w:marRight w:val="0"/>
      <w:marTop w:val="0"/>
      <w:marBottom w:val="0"/>
      <w:divBdr>
        <w:top w:val="none" w:sz="0" w:space="0" w:color="auto"/>
        <w:left w:val="none" w:sz="0" w:space="0" w:color="auto"/>
        <w:bottom w:val="none" w:sz="0" w:space="0" w:color="auto"/>
        <w:right w:val="none" w:sz="0" w:space="0" w:color="auto"/>
      </w:divBdr>
    </w:div>
    <w:div w:id="2022123939">
      <w:bodyDiv w:val="1"/>
      <w:marLeft w:val="0"/>
      <w:marRight w:val="0"/>
      <w:marTop w:val="0"/>
      <w:marBottom w:val="0"/>
      <w:divBdr>
        <w:top w:val="none" w:sz="0" w:space="0" w:color="auto"/>
        <w:left w:val="none" w:sz="0" w:space="0" w:color="auto"/>
        <w:bottom w:val="none" w:sz="0" w:space="0" w:color="auto"/>
        <w:right w:val="none" w:sz="0" w:space="0" w:color="auto"/>
      </w:divBdr>
    </w:div>
    <w:div w:id="2117406204">
      <w:bodyDiv w:val="1"/>
      <w:marLeft w:val="0"/>
      <w:marRight w:val="0"/>
      <w:marTop w:val="0"/>
      <w:marBottom w:val="0"/>
      <w:divBdr>
        <w:top w:val="none" w:sz="0" w:space="0" w:color="auto"/>
        <w:left w:val="none" w:sz="0" w:space="0" w:color="auto"/>
        <w:bottom w:val="none" w:sz="0" w:space="0" w:color="auto"/>
        <w:right w:val="none" w:sz="0" w:space="0" w:color="auto"/>
      </w:divBdr>
    </w:div>
    <w:div w:id="2128355065">
      <w:bodyDiv w:val="1"/>
      <w:marLeft w:val="0"/>
      <w:marRight w:val="0"/>
      <w:marTop w:val="0"/>
      <w:marBottom w:val="0"/>
      <w:divBdr>
        <w:top w:val="none" w:sz="0" w:space="0" w:color="auto"/>
        <w:left w:val="none" w:sz="0" w:space="0" w:color="auto"/>
        <w:bottom w:val="none" w:sz="0" w:space="0" w:color="auto"/>
        <w:right w:val="none" w:sz="0" w:space="0" w:color="auto"/>
      </w:divBdr>
    </w:div>
    <w:div w:id="2133085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HSE25</b:Tag>
    <b:SourceType>InternetSite</b:SourceType>
    <b:Guid>{537D0EBF-A73F-438C-AAD7-80490AAB877B}</b:Guid>
    <b:Author>
      <b:Author>
        <b:NameList>
          <b:Person>
            <b:Last>HSE</b:Last>
          </b:Person>
        </b:NameList>
      </b:Author>
    </b:Author>
    <b:Title>HSE - Flixborough (Nypro UK) explosion 1st June 1974</b:Title>
    <b:ProductionCompany>HSE</b:ProductionCompany>
    <b:YearAccessed>2025</b:YearAccessed>
    <b:MonthAccessed>06</b:MonthAccessed>
    <b:DayAccessed>29</b:DayAccessed>
    <b:URL>https://www.hse.gov.uk/comah/sragtech/caseflixboroug74.htm</b:URL>
    <b:RefOrder>1</b:RefOrder>
  </b:Source>
  <b:Source>
    <b:Tag>Ann24</b:Tag>
    <b:SourceType>InternetSite</b:SourceType>
    <b:Guid>{74227D87-AB66-4C03-8A64-B61C85DD0D3A}</b:Guid>
    <b:Author>
      <b:Author>
        <b:NameList>
          <b:Person>
            <b:Last>Girolami</b:Last>
            <b:First>Anna</b:First>
          </b:Person>
        </b:NameList>
      </b:Author>
    </b:Author>
    <b:Title>Central bylines</b:Title>
    <b:Year>2024</b:Year>
    <b:Month>09</b:Month>
    <b:Day>04</b:Day>
    <b:YearAccessed>2025</b:YearAccessed>
    <b:MonthAccessed>07</b:MonthAccessed>
    <b:DayAccessed>17</b:DayAccessed>
    <b:URL>https://centralbylines.co.uk/society/the-flixborough-disaster-and-its-legacy-for-workplace-safety/</b:URL>
    <b:RefOrder>2</b:RefOrder>
  </b:Source>
  <b:Source>
    <b:Tag>Mat19</b:Tag>
    <b:SourceType>Report</b:SourceType>
    <b:Guid>{9B22885A-4259-414B-89D5-6B000214BE66}</b:Guid>
    <b:Title>Safety under scrutiny — Flixborough 1974</b:Title>
    <b:Year>2019</b:Year>
    <b:Author>
      <b:Author>
        <b:NameList>
          <b:Person>
            <b:Last>Matthew Jenson</b:Last>
            <b:First>Callum</b:First>
            <b:Middle>Lawford, Alex Norman, Elizabeth Ogden</b:Middle>
          </b:Person>
        </b:NameList>
      </b:Author>
    </b:Author>
    <b:Publisher>Institute of Chemical Engineers</b:Publisher>
    <b:City>Manchester</b:City>
    <b:RefOrder>3</b:RefOrder>
  </b:Source>
  <b:Source>
    <b:Tag>Rob24</b:Tag>
    <b:SourceType>InternetSite</b:SourceType>
    <b:Guid>{C56BFFCA-A368-4313-AA1D-B13E5C53344F}</b:Guid>
    <b:Title>The Chemical Engineer</b:Title>
    <b:Year>2024</b:Year>
    <b:Author>
      <b:Author>
        <b:NameList>
          <b:Person>
            <b:Last>Turney</b:Last>
            <b:First>Robin</b:First>
          </b:Person>
        </b:NameList>
      </b:Author>
    </b:Author>
    <b:Month>05</b:Month>
    <b:Day>30</b:Day>
    <b:YearAccessed>17</b:YearAccessed>
    <b:MonthAccessed>07</b:MonthAccessed>
    <b:DayAccessed>17</b:DayAccessed>
    <b:URL>https://www.thechemicalengineer.com/features/flixborough-50-years-on-lessons-for-managers-and-engineers-today/</b:URL>
    <b:RefOrder>5</b:RefOrder>
  </b:Source>
  <b:Source>
    <b:Tag>Nic25</b:Tag>
    <b:SourceType>InternetSite</b:SourceType>
    <b:Guid>{AA4DCF8C-7A88-4A0D-BA8E-FBE2BD67A8D9}</b:Guid>
    <b:Author>
      <b:Author>
        <b:NameList>
          <b:Person>
            <b:Last>Nick Freer</b:Last>
            <b:First>Tristan</b:First>
            <b:Middle>Pulford</b:Middle>
          </b:Person>
        </b:NameList>
      </b:Author>
    </b:Author>
    <b:Title>Finch Consulting</b:Title>
    <b:Year>2025</b:Year>
    <b:Month>06</b:Month>
    <b:Day>02</b:Day>
    <b:YearAccessed>2025</b:YearAccessed>
    <b:MonthAccessed>07</b:MonthAccessed>
    <b:DayAccessed>17</b:DayAccessed>
    <b:URL>https://www.finch-consulting.com/51-years-on-from-the-flixborough-disaster-what-happened-and-what-have-we-learnt/</b:URL>
    <b:RefOrder>4</b:RefOrder>
  </b:Source>
  <b:Source>
    <b:Tag>Pet23</b:Tag>
    <b:SourceType>Report</b:SourceType>
    <b:Guid>{F344C3B7-6201-436E-A3CF-AF73469AF2C8}</b:Guid>
    <b:Title>Temporary Reactor Bypass Line Rupture</b:Title>
    <b:Year>2023</b:Year>
    <b:Author>
      <b:Author>
        <b:NameList>
          <b:Person>
            <b:Last>Marsh</b:Last>
            <b:First>Peter</b:First>
          </b:Person>
        </b:NameList>
      </b:Author>
    </b:Author>
    <b:Publisher>Institute of Chemical Engineers</b:Publisher>
    <b:RefOrder>6</b:RefOrder>
  </b:Source>
  <b:Source>
    <b:Tag>Dag</b:Tag>
    <b:SourceType>Report</b:SourceType>
    <b:Guid>{E97754B5-1999-4E62-86DC-B2E28DEE05B0}</b:Guid>
    <b:Author>
      <b:Author>
        <b:NameList>
          <b:Person>
            <b:Last>Dag Bjerketvedt</b:Last>
            <b:First>Jan</b:First>
            <b:Middle>Roar Bakke, Kees van Wingerden</b:Middle>
          </b:Person>
        </b:NameList>
      </b:Author>
    </b:Author>
    <b:Title>Gas Explosion Handbook</b:Title>
    <b:Publisher>GEXCON</b:Publisher>
    <b:RefOrder>7</b:RefOrder>
  </b:Source>
  <b:Source>
    <b:Tag>Ben14</b:Tag>
    <b:SourceType>InternetSite</b:SourceType>
    <b:Guid>{2B11BA96-F040-4D2D-89E1-FC14A13B914B}</b:Guid>
    <b:Title>Institue of Mechanical Engineers</b:Title>
    <b:Year>2014</b:Year>
    <b:Author>
      <b:Author>
        <b:NameList>
          <b:Person>
            <b:Last>Hargreaves</b:Last>
            <b:First>Ben</b:First>
          </b:Person>
        </b:NameList>
      </b:Author>
    </b:Author>
    <b:Month>07</b:Month>
    <b:Day>02</b:Day>
    <b:YearAccessed>2025</b:YearAccessed>
    <b:MonthAccessed>07</b:MonthAccessed>
    <b:DayAccessed>17</b:DayAccessed>
    <b:URL>https://www.imeche.org/news/news-article/after-the-blast</b:URL>
    <b:RefOrder>8</b:RefOrder>
  </b:Source>
  <b:Source>
    <b:Tag>ECO24</b:Tag>
    <b:SourceType>InternetSite</b:SourceType>
    <b:Guid>{C7F96ABC-AC46-4DCD-910A-9426E3F53EB3}</b:Guid>
    <b:Title>ECOVAPOR</b:Title>
    <b:Year>2024</b:Year>
    <b:Month>08</b:Month>
    <b:Day>23</b:Day>
    <b:YearAccessed>2025</b:YearAccessed>
    <b:MonthAccessed>07</b:MonthAccessed>
    <b:DayAccessed>17</b:DayAccessed>
    <b:URL>https://ecovaporrs.com/reducing-explosion-risk-at-oil-and-gas-facilities/</b:URL>
    <b:RefOrder>9</b:RefOrder>
  </b:Source>
  <b:Source>
    <b:Tag>HSE251</b:Tag>
    <b:SourceType>InternetSite</b:SourceType>
    <b:Guid>{46A9941C-869C-4F91-9756-22392FB69CFF}</b:Guid>
    <b:Author>
      <b:Author>
        <b:NameList>
          <b:Person>
            <b:Last>HSE</b:Last>
          </b:Person>
        </b:NameList>
      </b:Author>
    </b:Author>
    <b:Title>HSE</b:Title>
    <b:YearAccessed>2025</b:YearAccessed>
    <b:MonthAccessed>07</b:MonthAccessed>
    <b:DayAccessed>17</b:DayAccessed>
    <b:URL>https://www.hse.gov.uk/humanfactors/topics/humanfail.htm</b:URL>
    <b:RefOrder>10</b:RefOrder>
  </b:Source>
</b:Sources>
</file>

<file path=customXml/itemProps1.xml><?xml version="1.0" encoding="utf-8"?>
<ds:datastoreItem xmlns:ds="http://schemas.openxmlformats.org/officeDocument/2006/customXml" ds:itemID="{19E1D6B7-75F5-4049-B8BA-1C4A218D67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14</Pages>
  <Words>2721</Words>
  <Characters>16518</Characters>
  <Application>Microsoft Office Word</Application>
  <DocSecurity>0</DocSecurity>
  <Lines>500</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Lane (2313851)</dc:creator>
  <cp:keywords/>
  <dc:description/>
  <cp:lastModifiedBy>Emma Lane (2313851)</cp:lastModifiedBy>
  <cp:revision>4</cp:revision>
  <dcterms:created xsi:type="dcterms:W3CDTF">2025-07-17T10:19:00Z</dcterms:created>
  <dcterms:modified xsi:type="dcterms:W3CDTF">2025-07-17T12:32:00Z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9d489415-5e41-4156-9558-8e060e3d9618</vt:lpwstr>
  </property>
</Properties>
</file>