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4178799"/>
        <w:docPartObj>
          <w:docPartGallery w:val="Cover Pages"/>
          <w:docPartUnique/>
        </w:docPartObj>
      </w:sdtPr>
      <w:sdtEndPr/>
      <w:sdtContent>
        <w:p w14:paraId="5E524413" w14:textId="77777777" w:rsidR="00353B51" w:rsidRDefault="00353B51"/>
        <w:p w14:paraId="4F10CAC9" w14:textId="77777777" w:rsidR="00353B51" w:rsidRDefault="00353B51"/>
        <w:p w14:paraId="0912E54C" w14:textId="77777777" w:rsidR="00353B51" w:rsidRDefault="00353B51"/>
        <w:p w14:paraId="746362B0" w14:textId="77777777" w:rsidR="00353B51" w:rsidRDefault="00353B51"/>
        <w:p w14:paraId="2D3C08B2" w14:textId="77777777" w:rsidR="00353B51" w:rsidRDefault="00353B51"/>
        <w:p w14:paraId="21A9DC39" w14:textId="77777777" w:rsidR="00353B51" w:rsidRDefault="00353B51"/>
        <w:p w14:paraId="148F4A51" w14:textId="77777777" w:rsidR="00353B51" w:rsidRDefault="00353B51"/>
        <w:p w14:paraId="4733468E" w14:textId="77777777" w:rsidR="00353B51" w:rsidRDefault="00353B51"/>
        <w:p w14:paraId="0416D1BD" w14:textId="77777777" w:rsidR="00353B51" w:rsidRDefault="00353B51"/>
        <w:p w14:paraId="0C7EDE1D" w14:textId="77777777" w:rsidR="00353B51" w:rsidRDefault="00353B51"/>
        <w:p w14:paraId="16DBC87C" w14:textId="77777777" w:rsidR="00353B51" w:rsidRDefault="00353B51"/>
        <w:p w14:paraId="0885896C" w14:textId="77777777" w:rsidR="00353B51" w:rsidRDefault="00353B51" w:rsidP="00353B51">
          <w:pPr>
            <w:jc w:val="center"/>
          </w:pPr>
        </w:p>
        <w:p w14:paraId="62133847" w14:textId="77777777" w:rsidR="00C62DCB" w:rsidRDefault="0048425A" w:rsidP="00C62DCB">
          <w:pPr>
            <w:jc w:val="center"/>
          </w:pPr>
          <w:r w:rsidRPr="0048425A">
            <w:t>CRITICAL REVIEW OF A BOOK</w:t>
          </w:r>
        </w:p>
        <w:p w14:paraId="4D60731B" w14:textId="6C443341" w:rsidR="00C62DCB" w:rsidRDefault="00C62DCB" w:rsidP="00C62DCB">
          <w:pPr>
            <w:jc w:val="center"/>
          </w:pPr>
          <w:r>
            <w:t>THE POWER OF TECHNOLOGY IN THE BRONZE AGE EASTERN MEDITERRANEAN</w:t>
          </w:r>
        </w:p>
        <w:p w14:paraId="082CC35B" w14:textId="397965A4" w:rsidR="00C62DCB" w:rsidRDefault="00C62DCB" w:rsidP="00C62DCB">
          <w:pPr>
            <w:jc w:val="center"/>
          </w:pPr>
          <w:r>
            <w:t>THE CASE OF THE PAINTED PLASTER</w:t>
          </w:r>
        </w:p>
        <w:p w14:paraId="284954A4" w14:textId="1F746FAD" w:rsidR="0048425A" w:rsidRDefault="00C62DCB" w:rsidP="00C62DCB">
          <w:pPr>
            <w:jc w:val="center"/>
          </w:pPr>
          <w:r>
            <w:t>ANN BRYSBAERT</w:t>
          </w:r>
        </w:p>
        <w:p w14:paraId="6C148689" w14:textId="518CF96B" w:rsidR="00353B51" w:rsidRDefault="00353B51" w:rsidP="00353B51">
          <w:pPr>
            <w:jc w:val="center"/>
          </w:pPr>
          <w:r>
            <w:t>By Jack Glascott</w:t>
          </w:r>
        </w:p>
        <w:p w14:paraId="6B087F23" w14:textId="77777777" w:rsidR="00353B51" w:rsidRDefault="00353B51" w:rsidP="00353B51">
          <w:pPr>
            <w:jc w:val="center"/>
          </w:pPr>
        </w:p>
        <w:p w14:paraId="32D88FB5" w14:textId="77777777" w:rsidR="00353B51" w:rsidRDefault="00353B51" w:rsidP="00353B51">
          <w:pPr>
            <w:jc w:val="center"/>
          </w:pPr>
        </w:p>
        <w:p w14:paraId="6545FFE2" w14:textId="77777777" w:rsidR="00353B51" w:rsidRDefault="00353B51" w:rsidP="00353B51">
          <w:pPr>
            <w:jc w:val="center"/>
          </w:pPr>
        </w:p>
        <w:p w14:paraId="5D3AF955" w14:textId="77777777" w:rsidR="00353B51" w:rsidRDefault="00353B51" w:rsidP="00353B51">
          <w:pPr>
            <w:jc w:val="center"/>
          </w:pPr>
        </w:p>
        <w:p w14:paraId="45B09762" w14:textId="026422B9" w:rsidR="00353B51" w:rsidRDefault="00353B51" w:rsidP="00353B51">
          <w:pPr>
            <w:jc w:val="center"/>
          </w:pPr>
          <w:r>
            <w:t>Wordcount:</w:t>
          </w:r>
          <w:r w:rsidR="00663D42">
            <w:t xml:space="preserve"> </w:t>
          </w:r>
          <w:r w:rsidR="0048425A">
            <w:t>10</w:t>
          </w:r>
          <w:r w:rsidR="001D5A0D">
            <w:t>79</w:t>
          </w:r>
        </w:p>
        <w:p w14:paraId="4D143803" w14:textId="77777777" w:rsidR="00353B51" w:rsidRDefault="00353B51" w:rsidP="00353B51">
          <w:pPr>
            <w:jc w:val="center"/>
          </w:pPr>
        </w:p>
        <w:p w14:paraId="2131937E" w14:textId="77777777" w:rsidR="00353B51" w:rsidRDefault="00353B51" w:rsidP="00353B51">
          <w:pPr>
            <w:jc w:val="center"/>
          </w:pPr>
          <w:r>
            <w:t>Candidate number: 191783</w:t>
          </w:r>
        </w:p>
        <w:p w14:paraId="7F00D3D0" w14:textId="078CE8C7" w:rsidR="00353B51" w:rsidRDefault="00874B72" w:rsidP="00353B51">
          <w:pPr>
            <w:jc w:val="center"/>
          </w:pPr>
          <w:r>
            <w:t>Entanglement: exploring interactions between the Aegean and the near east</w:t>
          </w:r>
          <w:r w:rsidR="00FA0DD6">
            <w:t xml:space="preserve"> (HP</w:t>
          </w:r>
          <w:r>
            <w:t>A</w:t>
          </w:r>
          <w:r w:rsidR="00FA0DD6">
            <w:t>E60</w:t>
          </w:r>
          <w:r>
            <w:t>10</w:t>
          </w:r>
          <w:r w:rsidR="00FA0DD6">
            <w:t>)</w:t>
          </w:r>
        </w:p>
        <w:p w14:paraId="08C659D5" w14:textId="52B6C1C0" w:rsidR="00353B51" w:rsidRDefault="00353B51" w:rsidP="00353B51">
          <w:pPr>
            <w:jc w:val="center"/>
          </w:pPr>
          <w:r>
            <w:t xml:space="preserve">University of </w:t>
          </w:r>
          <w:r w:rsidR="00A40D3C">
            <w:t>Wales</w:t>
          </w:r>
          <w:r>
            <w:t xml:space="preserve"> trinity </w:t>
          </w:r>
          <w:r w:rsidR="00A40D3C">
            <w:t>S</w:t>
          </w:r>
          <w:r>
            <w:t xml:space="preserve">t David </w:t>
          </w:r>
        </w:p>
        <w:p w14:paraId="26D06F46" w14:textId="1EE910BE" w:rsidR="00874B72" w:rsidRDefault="00F676EC" w:rsidP="00CE3AC2">
          <w:pPr>
            <w:jc w:val="center"/>
          </w:pPr>
          <w:r>
            <w:t>March</w:t>
          </w:r>
          <w:r w:rsidR="00353B51">
            <w:t xml:space="preserve"> 2021</w:t>
          </w:r>
          <w:r w:rsidR="00353B51">
            <w:br w:type="page"/>
          </w:r>
        </w:p>
      </w:sdtContent>
    </w:sdt>
    <w:p w14:paraId="5A666914" w14:textId="0A46A8A7" w:rsidR="00E827D2" w:rsidRDefault="00E827D2" w:rsidP="00E827D2">
      <w:r>
        <w:lastRenderedPageBreak/>
        <w:t>This book is primarily based on the writer's dissertation but (Glasgow, 2004</w:t>
      </w:r>
      <w:r w:rsidR="001D4650">
        <w:t>) as</w:t>
      </w:r>
      <w:r>
        <w:t xml:space="preserve"> was a compilation on her current papers about the strategies and substances of Bronze Age Mediterranean wall artwork acting to find focuses and, more specifically in this text, determine 'electricity of technology within Bronze Age Mediterranean'. The book's origin itself is a clear focus, as seen from its subtitle 'the case of the painted plaster', where the writer provides first-hand observations and accounts of literature and physical evidence of these pieces of ancient media. The writer also</w:t>
      </w:r>
      <w:r w:rsidR="001D4650">
        <w:t xml:space="preserve"> </w:t>
      </w:r>
      <w:r>
        <w:t xml:space="preserve">aims to present new insights and theories on determining interplay among human and social agencies, technological manufacturing, and the shift of understanding in the eastern Mediterranean via an extensive range of interdisciplinary approaches. Throughout the piece, </w:t>
      </w:r>
      <w:proofErr w:type="spellStart"/>
      <w:r>
        <w:t>Brysbaert</w:t>
      </w:r>
      <w:proofErr w:type="spellEnd"/>
      <w:r>
        <w:t xml:space="preserve"> argues through many different studies such as iconographic research, generational development, and even moving into fashion debates, all offering to breakthrough from conventional and older theories to a more modern varied debate.</w:t>
      </w:r>
    </w:p>
    <w:p w14:paraId="745D3547" w14:textId="5618F4D3" w:rsidR="00D72D99" w:rsidRDefault="00E827D2" w:rsidP="00E827D2">
      <w:r>
        <w:t xml:space="preserve">The first section of this text has a more theoretical and methodological focus determining areas of background for the debate, such as the older theories and preconceptions on wall art both in other cultures and more focused on the Mediterranean, emphasising positions of artisans how varied and ranged. However, only the production and the art itself can be employed by corporations elites and their links to social identity. </w:t>
      </w:r>
      <w:r w:rsidR="00D72D99">
        <w:t>Section 2 however,</w:t>
      </w:r>
      <w:r>
        <w:t xml:space="preserve"> devoted the presentation of experimental ideas and theories on the painting and documentary outcomes that come from plaster samples and scientific research, as well as the possible interpretation that could come from this data such as an advocated switch towards a technological knowledge movement from west to east presenting models of a split of styles, </w:t>
      </w:r>
      <w:r w:rsidR="00CE3AC2">
        <w:t>ideas,</w:t>
      </w:r>
      <w:r>
        <w:t xml:space="preserve"> and iconographic motifs</w:t>
      </w:r>
      <w:r w:rsidR="001D4650" w:rsidRPr="001D4650">
        <w:t xml:space="preserve"> </w:t>
      </w:r>
      <w:r w:rsidR="001D4650">
        <w:t>(</w:t>
      </w:r>
      <w:proofErr w:type="spellStart"/>
      <w:r w:rsidR="001D4650" w:rsidRPr="001D4650">
        <w:t>Maeir</w:t>
      </w:r>
      <w:proofErr w:type="spellEnd"/>
      <w:r w:rsidR="001D4650" w:rsidRPr="001D4650">
        <w:t>, 2000</w:t>
      </w:r>
      <w:r w:rsidR="001D4650">
        <w:t>)</w:t>
      </w:r>
      <w:r>
        <w:t xml:space="preserve">. However, this section does cause some confusion as some of the ideas and aspects that are seen in section two are also partially explained and explored in section 1; this split of explanations and examinations as well as conclusions causes some confusion about how this is also seen across the full text for the reader to jump back and forth between chapters to create an entire picture of both the theories as well as the ideas presented. </w:t>
      </w:r>
    </w:p>
    <w:p w14:paraId="25DA181B" w14:textId="5B057623" w:rsidR="00E827D2" w:rsidRDefault="00D72D99" w:rsidP="00E827D2">
      <w:proofErr w:type="spellStart"/>
      <w:r w:rsidRPr="00D72D99">
        <w:t>Brysbaert</w:t>
      </w:r>
      <w:proofErr w:type="spellEnd"/>
      <w:r w:rsidRPr="00D72D99">
        <w:t xml:space="preserve"> discusses the technique accompanying the scientific examination of the painted plaster and replication work. The writer also describes the instrumental and analytical strategies she relied on to identify the portrayed substances. </w:t>
      </w:r>
      <w:proofErr w:type="spellStart"/>
      <w:r w:rsidRPr="00D72D99">
        <w:t>Brysbaert</w:t>
      </w:r>
      <w:proofErr w:type="spellEnd"/>
      <w:r w:rsidRPr="00D72D99">
        <w:t xml:space="preserve"> acknowledges every website online which provides valuable data about the archaeological contexts and the significance of the examined material. The writer tackles the position of painted plaster within the Eastern Mediterranean, underlining its primary technological and realistic aspects. </w:t>
      </w:r>
      <w:r w:rsidR="00275278">
        <w:t>T</w:t>
      </w:r>
      <w:r w:rsidRPr="00D72D99">
        <w:t>his section, whilst presenting excellent arguments and an excellent analysis of the data, there is a lack of focused analysis of the documentation and evidence for the discussion within the chapter.</w:t>
      </w:r>
      <w:r>
        <w:t xml:space="preserve"> </w:t>
      </w:r>
      <w:r w:rsidR="00E827D2">
        <w:t>There</w:t>
      </w:r>
      <w:r>
        <w:t xml:space="preserve"> </w:t>
      </w:r>
      <w:r w:rsidR="00E827D2">
        <w:t>on the rest of the text</w:t>
      </w:r>
      <w:r w:rsidR="00CE3AC2">
        <w:t xml:space="preserve"> </w:t>
      </w:r>
      <w:r w:rsidR="00E827D2">
        <w:t>explores different ideas and theories around these points of historical and technological development of media such as documentary approaches to technology and materials to considering material culture and social identities</w:t>
      </w:r>
      <w:r w:rsidR="00CE3AC2">
        <w:t xml:space="preserve"> to</w:t>
      </w:r>
      <w:r w:rsidR="00E827D2">
        <w:t xml:space="preserve"> determine their validity and linkage to these forms of ancient media and technology.</w:t>
      </w:r>
    </w:p>
    <w:p w14:paraId="152D8723" w14:textId="303593A7" w:rsidR="00E827D2" w:rsidRDefault="00E827D2" w:rsidP="00E827D2">
      <w:r>
        <w:t xml:space="preserve">While </w:t>
      </w:r>
      <w:proofErr w:type="spellStart"/>
      <w:r>
        <w:t>Brysbaert</w:t>
      </w:r>
      <w:proofErr w:type="spellEnd"/>
      <w:r>
        <w:t xml:space="preserve"> stresses the `strongly interdisciplinary approach` in her paintings, she has finished no evaluation supposed to hit upon natural materials that might offer proof for secco portray strategies. However, the authors' statement and belief that these cultural connections that link to these Mediterranean societies' </w:t>
      </w:r>
      <w:r w:rsidR="001D4650">
        <w:t>(</w:t>
      </w:r>
      <w:r w:rsidR="001D4650">
        <w:t>Newman, 2003</w:t>
      </w:r>
      <w:r w:rsidR="001D4650">
        <w:t xml:space="preserve">) </w:t>
      </w:r>
      <w:r>
        <w:t>media together no longer exist due to the change of cultural conditions and cannot be proved using contemporary medical research strategies together with</w:t>
      </w:r>
      <w:r w:rsidR="001D4650">
        <w:t xml:space="preserve"> </w:t>
      </w:r>
      <w:r>
        <w:t xml:space="preserve">Mass Spectrometry is now no longer the case. Recent courses of wall artwork from Egypt and </w:t>
      </w:r>
      <w:r>
        <w:lastRenderedPageBreak/>
        <w:t>the Greek mainland have securely confirmed that secco portray strategies had been hired at some stage in the Bronze Age, using egg, animal glue and vegetable gums as binders.</w:t>
      </w:r>
    </w:p>
    <w:p w14:paraId="0EA6007E" w14:textId="04CD5A2F" w:rsidR="00E827D2" w:rsidRDefault="00E827D2" w:rsidP="00E827D2">
      <w:r>
        <w:t>She concludes that there is clear evidence for technological transfer, both in terms of materials and the knowledge of how to use them</w:t>
      </w:r>
      <w:r w:rsidR="00CE3AC2">
        <w:t xml:space="preserve">. </w:t>
      </w:r>
      <w:r>
        <w:t xml:space="preserve">However, there appear to be several knowledge directions within the Aegean, suggesting a very mobile group of craftsmen operating within the region. This monograph is essential introspection. First, it provides apparent data for exploring the transmission of style and technologies from the Aegean world to the Near East and Egypt in the mid-2nd millennium B.C., ﬁnally putting to rest Woolley's claim that artisans from the Near East decorated the Minoan palaces. Secondly, </w:t>
      </w:r>
      <w:proofErr w:type="spellStart"/>
      <w:r>
        <w:t>Brysbaert</w:t>
      </w:r>
      <w:proofErr w:type="spellEnd"/>
      <w:r>
        <w:t xml:space="preserve"> successfully manipulates social theory, agency, and social analyses of technology alongside detailed scientiﬁc analyses of primary data to write a critical new narrative of the Aegean Bronze Age. The signiﬁcance of her analysis stretches far beyond the Aegean and will be of use to any archaeologist with an interest in examining the social agents behind ancient technologies.</w:t>
      </w:r>
    </w:p>
    <w:p w14:paraId="116D8CC9" w14:textId="0B0FE302" w:rsidR="00E827D2" w:rsidRDefault="00E827D2" w:rsidP="00E827D2">
      <w:r>
        <w:t>The author's assumption that the grain length of the pigments used as a hallmark for connections among diverse sites and to signify `much less labour` withinside the instances wherein pigments are coarser is not convincing</w:t>
      </w:r>
      <w:r w:rsidR="00D72D99">
        <w:t xml:space="preserve">. </w:t>
      </w:r>
      <w:r>
        <w:t>To date, because the software of pigments is concerned, the writer is satisfied that the fresco approach turned into the only widely used</w:t>
      </w:r>
      <w:r w:rsidR="001D4650">
        <w:t xml:space="preserve"> but became simplified in response to mass production</w:t>
      </w:r>
      <w:r>
        <w:t>. However, such an assumption is unstained through macroscopic observations and a stratigraphic look at cross-sections. Further analytical research on the usage of chromatographic strategies is needed to show the quantity of the fresco approach at the tested wall artwork because the writer is the usage of as her crucial argument the exercise of a fresco in Eastern Mediterranean wall artwork to guide th</w:t>
      </w:r>
      <w:r w:rsidR="00CE3AC2">
        <w:t>e movement of culture</w:t>
      </w:r>
      <w:r>
        <w:t>.</w:t>
      </w:r>
    </w:p>
    <w:p w14:paraId="13DFA438" w14:textId="341945A6" w:rsidR="00874B72" w:rsidRDefault="00E827D2" w:rsidP="00E827D2">
      <w:r>
        <w:t xml:space="preserve">Overall, this book assembles many facts and histories about the artwork and physical culture through its differing physical stages during the second millennium B.C., focusing primarily on the Aegean and Mediterranean with the usage of very clear and high-level illustrations to determine the points and descriptions for better understanding. However, this stated that the theoretical understanding and discursive points of this text have some areas to be desired, with previous sections as stated, whilst there are sections of great interest and points that are very thought-provoking. An evident lack of depth, and whilst there are inclusive sections on, more specifically, wall art itself, there is an apparent lack of physical evidence and contradicting factors are seen in more recent studies leading to the majority of her discursive arguments to issue. However, overall, this piece was not very good as a focus text is incredibly good as a reference text for a more comprehensive study of the subject and an introductory for the study of ancient Mediterranean art and the connections of culture, societal </w:t>
      </w:r>
      <w:r>
        <w:t>development,</w:t>
      </w:r>
      <w:r>
        <w:t xml:space="preserve"> and media.</w:t>
      </w:r>
    </w:p>
    <w:p w14:paraId="4891C825" w14:textId="222F6B2D" w:rsidR="001D4650" w:rsidRDefault="001D4650" w:rsidP="00275278">
      <w:pPr>
        <w:ind w:firstLine="720"/>
      </w:pPr>
    </w:p>
    <w:p w14:paraId="102F6BBA" w14:textId="064471E6" w:rsidR="00275278" w:rsidRDefault="00275278" w:rsidP="00275278">
      <w:pPr>
        <w:ind w:firstLine="720"/>
      </w:pPr>
    </w:p>
    <w:p w14:paraId="0AD2484B" w14:textId="402C2084" w:rsidR="00275278" w:rsidRDefault="00275278" w:rsidP="00275278">
      <w:pPr>
        <w:ind w:firstLine="720"/>
      </w:pPr>
    </w:p>
    <w:p w14:paraId="77E8356D" w14:textId="22568FC2" w:rsidR="00275278" w:rsidRDefault="00275278" w:rsidP="00275278">
      <w:pPr>
        <w:ind w:firstLine="720"/>
      </w:pPr>
    </w:p>
    <w:p w14:paraId="6DD5D460" w14:textId="77777777" w:rsidR="00275278" w:rsidRDefault="00275278" w:rsidP="00275278">
      <w:pPr>
        <w:ind w:firstLine="720"/>
      </w:pPr>
    </w:p>
    <w:p w14:paraId="01E1D24D" w14:textId="77777777" w:rsidR="001D4650" w:rsidRDefault="001D4650" w:rsidP="00E827D2"/>
    <w:sdt>
      <w:sdtPr>
        <w:id w:val="855079562"/>
        <w:docPartObj>
          <w:docPartGallery w:val="Bibliographies"/>
          <w:docPartUnique/>
        </w:docPartObj>
      </w:sdtPr>
      <w:sdtEndPr/>
      <w:sdtContent>
        <w:p w14:paraId="4FAC4907" w14:textId="77777777" w:rsidR="00DE0C45" w:rsidRDefault="00FA0DD6" w:rsidP="00DE0C45">
          <w:r>
            <w:t>Bibliography</w:t>
          </w:r>
        </w:p>
        <w:p w14:paraId="1606856F" w14:textId="77777777" w:rsidR="00E827D2" w:rsidRDefault="00E827D2" w:rsidP="00E827D2">
          <w:proofErr w:type="spellStart"/>
          <w:r>
            <w:t>Bonaduce</w:t>
          </w:r>
          <w:proofErr w:type="spellEnd"/>
          <w:r>
            <w:t xml:space="preserve">, I. </w:t>
          </w:r>
          <w:proofErr w:type="spellStart"/>
          <w:r>
            <w:t>Brecoulaki</w:t>
          </w:r>
          <w:proofErr w:type="spellEnd"/>
          <w:r>
            <w:t xml:space="preserve">, H. </w:t>
          </w:r>
          <w:proofErr w:type="spellStart"/>
          <w:r>
            <w:t>Colombini</w:t>
          </w:r>
          <w:proofErr w:type="spellEnd"/>
          <w:r>
            <w:t xml:space="preserve">, M, P. </w:t>
          </w:r>
          <w:proofErr w:type="spellStart"/>
          <w:proofErr w:type="gramStart"/>
          <w:r>
            <w:t>Luveras,a</w:t>
          </w:r>
          <w:proofErr w:type="spellEnd"/>
          <w:r>
            <w:t>.</w:t>
          </w:r>
          <w:proofErr w:type="gramEnd"/>
          <w:r>
            <w:t xml:space="preserve"> Restivo, V. </w:t>
          </w:r>
          <w:proofErr w:type="spellStart"/>
          <w:r>
            <w:t>Ribechini</w:t>
          </w:r>
          <w:proofErr w:type="spellEnd"/>
          <w:r>
            <w:t>, E .2007. “Gas chromatographic-mass spectrometric characterization of plant gums in samples from painted works of art”, Journal of Chromatography A, 1176, 275-282.</w:t>
          </w:r>
        </w:p>
        <w:p w14:paraId="1339BBEF" w14:textId="77777777" w:rsidR="00E827D2" w:rsidRDefault="00E827D2" w:rsidP="00E827D2">
          <w:proofErr w:type="spellStart"/>
          <w:r>
            <w:t>Brecoulaki</w:t>
          </w:r>
          <w:proofErr w:type="spellEnd"/>
          <w:r>
            <w:t xml:space="preserve">, H. </w:t>
          </w:r>
          <w:proofErr w:type="spellStart"/>
          <w:r>
            <w:t>Zaitoun</w:t>
          </w:r>
          <w:proofErr w:type="spellEnd"/>
          <w:r>
            <w:t xml:space="preserve">, C. Davis, J. Stocker, J. .2008. “An archer from the palace of Nestor. A New Wall-painting Fragment in the </w:t>
          </w:r>
          <w:proofErr w:type="spellStart"/>
          <w:r>
            <w:t>Chora</w:t>
          </w:r>
          <w:proofErr w:type="spellEnd"/>
          <w:r>
            <w:t xml:space="preserve"> Museum”, Hesperia 77 363-397.</w:t>
          </w:r>
        </w:p>
        <w:p w14:paraId="28EB73AD" w14:textId="77777777" w:rsidR="00E827D2" w:rsidRDefault="00E827D2" w:rsidP="00E827D2">
          <w:bookmarkStart w:id="0" w:name="_Hlk98798723"/>
          <w:proofErr w:type="spellStart"/>
          <w:r>
            <w:t>Maeir</w:t>
          </w:r>
          <w:proofErr w:type="spellEnd"/>
          <w:r>
            <w:t>, A. M. 2000</w:t>
          </w:r>
          <w:bookmarkEnd w:id="0"/>
          <w:r>
            <w:t>. The Political and Economic Status of MB II Hazor and MB II Trade: An Inter- and Intraregional view. Palestine Exploration Quarterly 132: 37-58.</w:t>
          </w:r>
        </w:p>
        <w:p w14:paraId="6BC181FF" w14:textId="77777777" w:rsidR="00E827D2" w:rsidRDefault="00E827D2" w:rsidP="00E827D2">
          <w:r>
            <w:t>Mange-</w:t>
          </w:r>
          <w:proofErr w:type="spellStart"/>
          <w:r>
            <w:t>Rajetzky</w:t>
          </w:r>
          <w:proofErr w:type="spellEnd"/>
          <w:r>
            <w:t>, M, A. 1981. “Detrital blue sodic amphibole in Recent sediments, southern coast, Turkey”, Journal of the Geological Society v. 138 no. 1: 83-92.</w:t>
          </w:r>
        </w:p>
        <w:p w14:paraId="79A4FEC8" w14:textId="77777777" w:rsidR="00E827D2" w:rsidRDefault="00E827D2" w:rsidP="00E827D2">
          <w:r>
            <w:t xml:space="preserve">Newman, R. </w:t>
          </w:r>
          <w:proofErr w:type="spellStart"/>
          <w:r>
            <w:t>Halpine</w:t>
          </w:r>
          <w:proofErr w:type="spellEnd"/>
          <w:r>
            <w:t xml:space="preserve">, S, M. 2003. “The binding media of ancient Egyptian painting. In: W. V. Davis (ed.), Colour and Painting in Ancient Egypt, London 2001: 22-32; R. Stacey, “Paint media and varnishes”. In: A. Middleton and K. </w:t>
          </w:r>
          <w:proofErr w:type="spellStart"/>
          <w:r>
            <w:t>Uprichard</w:t>
          </w:r>
          <w:proofErr w:type="spellEnd"/>
          <w:r>
            <w:t xml:space="preserve"> (eds), The </w:t>
          </w:r>
          <w:proofErr w:type="spellStart"/>
          <w:r>
            <w:t>Nebamun</w:t>
          </w:r>
          <w:proofErr w:type="spellEnd"/>
          <w:r>
            <w:t xml:space="preserve"> wall paintings. Conservation, Scientific Analysis and Display at the British Museum, London 2008: 51-60.</w:t>
          </w:r>
        </w:p>
        <w:p w14:paraId="49CF3544" w14:textId="77777777" w:rsidR="00E827D2" w:rsidRDefault="00E827D2" w:rsidP="00E827D2">
          <w:proofErr w:type="spellStart"/>
          <w:r>
            <w:t>Niemeier</w:t>
          </w:r>
          <w:proofErr w:type="spellEnd"/>
          <w:r>
            <w:t xml:space="preserve">, W.-D. and </w:t>
          </w:r>
          <w:proofErr w:type="spellStart"/>
          <w:r>
            <w:t>Niemeier</w:t>
          </w:r>
          <w:proofErr w:type="spellEnd"/>
          <w:r>
            <w:t xml:space="preserve">, B. 1998. Minoan Frescoes in </w:t>
          </w:r>
          <w:proofErr w:type="spellStart"/>
          <w:r>
            <w:t>theEastern</w:t>
          </w:r>
          <w:proofErr w:type="spellEnd"/>
          <w:r>
            <w:t xml:space="preserve"> Mediterranean. Pp. 69–96 in E. H. Cline and D. Harris-Cline (eds), </w:t>
          </w:r>
          <w:proofErr w:type="spellStart"/>
          <w:r>
            <w:t>Aegaeum</w:t>
          </w:r>
          <w:proofErr w:type="spellEnd"/>
          <w:r>
            <w:t xml:space="preserve"> 18. The Aegean and the Orient in the Second Millennium, Proceedings of the 50th Anniversary </w:t>
          </w:r>
          <w:proofErr w:type="spellStart"/>
          <w:proofErr w:type="gramStart"/>
          <w:r>
            <w:t>Symposium,University</w:t>
          </w:r>
          <w:proofErr w:type="spellEnd"/>
          <w:proofErr w:type="gramEnd"/>
          <w:r>
            <w:t xml:space="preserve"> of Cincinnati, 18–20 April 1997. </w:t>
          </w:r>
          <w:proofErr w:type="spellStart"/>
          <w:r>
            <w:t>Lie`ge-</w:t>
          </w:r>
          <w:proofErr w:type="gramStart"/>
          <w:r>
            <w:t>Austin:Universite</w:t>
          </w:r>
          <w:proofErr w:type="spellEnd"/>
          <w:proofErr w:type="gramEnd"/>
          <w:r>
            <w:t xml:space="preserve">´ de </w:t>
          </w:r>
          <w:proofErr w:type="spellStart"/>
          <w:r>
            <w:t>Lie`ge</w:t>
          </w:r>
          <w:proofErr w:type="spellEnd"/>
          <w:r>
            <w:t xml:space="preserve"> -University of Texas.</w:t>
          </w:r>
        </w:p>
        <w:p w14:paraId="64A177C2" w14:textId="2D3B6039" w:rsidR="00F9062A" w:rsidRDefault="00E827D2" w:rsidP="00E827D2">
          <w:r>
            <w:t xml:space="preserve">Woolley, L. 1955. </w:t>
          </w:r>
          <w:proofErr w:type="spellStart"/>
          <w:r>
            <w:t>Alalakh</w:t>
          </w:r>
          <w:proofErr w:type="spellEnd"/>
          <w:r>
            <w:t xml:space="preserve">: An Account of the Excavations at Tell </w:t>
          </w:r>
          <w:proofErr w:type="spellStart"/>
          <w:r>
            <w:t>Atchana</w:t>
          </w:r>
          <w:proofErr w:type="spellEnd"/>
          <w:r>
            <w:t xml:space="preserve"> in the </w:t>
          </w:r>
          <w:proofErr w:type="spellStart"/>
          <w:r>
            <w:t>Hatay</w:t>
          </w:r>
          <w:proofErr w:type="spellEnd"/>
          <w:r>
            <w:t xml:space="preserve">, 1937–1949. Reports of the Research Committee of the Society of Antiquaries, London, 18. </w:t>
          </w:r>
          <w:proofErr w:type="spellStart"/>
          <w:proofErr w:type="gramStart"/>
          <w:r>
            <w:t>Oxford:Oxford</w:t>
          </w:r>
          <w:proofErr w:type="spellEnd"/>
          <w:proofErr w:type="gramEnd"/>
          <w:r>
            <w:t xml:space="preserve"> University Press.</w:t>
          </w:r>
        </w:p>
        <w:p w14:paraId="3077FA9A" w14:textId="1CCB0DDA" w:rsidR="00FA0DD6" w:rsidRPr="00B43320" w:rsidRDefault="00A54D3B">
          <w:pPr>
            <w:rPr>
              <w:rFonts w:cstheme="minorHAnsi"/>
              <w:color w:val="333333"/>
            </w:rPr>
          </w:pPr>
        </w:p>
      </w:sdtContent>
    </w:sdt>
    <w:p w14:paraId="7A97426A" w14:textId="76BB8FC2" w:rsidR="00A40D3C" w:rsidRDefault="00A40D3C">
      <w:r>
        <w:t xml:space="preserve"> </w:t>
      </w:r>
    </w:p>
    <w:p w14:paraId="418CA558" w14:textId="2ACD2585" w:rsidR="00A40D3C" w:rsidRDefault="00A40D3C">
      <w:r>
        <w:t xml:space="preserve"> </w:t>
      </w:r>
    </w:p>
    <w:sectPr w:rsidR="00A40D3C" w:rsidSect="00353B51">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B15EC" w14:textId="77777777" w:rsidR="00A54D3B" w:rsidRDefault="00A54D3B" w:rsidP="00353B51">
      <w:pPr>
        <w:spacing w:after="0" w:line="240" w:lineRule="auto"/>
      </w:pPr>
      <w:r>
        <w:separator/>
      </w:r>
    </w:p>
  </w:endnote>
  <w:endnote w:type="continuationSeparator" w:id="0">
    <w:p w14:paraId="7ED1FAF9" w14:textId="77777777" w:rsidR="00A54D3B" w:rsidRDefault="00A54D3B" w:rsidP="00353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942B6" w14:textId="77777777" w:rsidR="00A54D3B" w:rsidRDefault="00A54D3B" w:rsidP="00353B51">
      <w:pPr>
        <w:spacing w:after="0" w:line="240" w:lineRule="auto"/>
      </w:pPr>
      <w:r>
        <w:separator/>
      </w:r>
    </w:p>
  </w:footnote>
  <w:footnote w:type="continuationSeparator" w:id="0">
    <w:p w14:paraId="08A9E629" w14:textId="77777777" w:rsidR="00A54D3B" w:rsidRDefault="00A54D3B" w:rsidP="00353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7" w:type="pct"/>
      <w:tblCellMar>
        <w:left w:w="0" w:type="dxa"/>
        <w:right w:w="0" w:type="dxa"/>
      </w:tblCellMar>
      <w:tblLook w:val="04A0" w:firstRow="1" w:lastRow="0" w:firstColumn="1" w:lastColumn="0" w:noHBand="0" w:noVBand="1"/>
    </w:tblPr>
    <w:tblGrid>
      <w:gridCol w:w="6238"/>
      <w:gridCol w:w="68"/>
      <w:gridCol w:w="3148"/>
    </w:tblGrid>
    <w:tr w:rsidR="00A40D3C" w14:paraId="50A9FEC0" w14:textId="77777777" w:rsidTr="00A40D3C">
      <w:trPr>
        <w:trHeight w:val="851"/>
      </w:trPr>
      <w:tc>
        <w:tcPr>
          <w:tcW w:w="3299" w:type="pct"/>
        </w:tcPr>
        <w:p w14:paraId="6B1E18D3" w14:textId="01DCCEDB" w:rsidR="00A40D3C" w:rsidRPr="001470EC" w:rsidRDefault="001470EC">
          <w:pPr>
            <w:pStyle w:val="Header"/>
          </w:pPr>
          <w:r w:rsidRPr="001470EC">
            <w:t>CRITICALLY EVALUATE HOW WE MIGHT USE ARCHAEOLOGICAL EVIDENCE FROM THE TOMBS EXCAVATED BY THE BRITISH MUSEUM AT ENKOMI AND HALA SULTAN TEKKE TO DEVELOP A NARRATIVE OF CULTURE CONTACT IN THE BRONZE AGE EAST MEDITERRANEAN</w:t>
          </w:r>
        </w:p>
      </w:tc>
      <w:tc>
        <w:tcPr>
          <w:tcW w:w="36" w:type="pct"/>
        </w:tcPr>
        <w:p w14:paraId="7CAB3549" w14:textId="77777777" w:rsidR="00A40D3C" w:rsidRPr="001470EC" w:rsidRDefault="00A40D3C">
          <w:pPr>
            <w:pStyle w:val="Header"/>
            <w:jc w:val="center"/>
          </w:pPr>
        </w:p>
      </w:tc>
      <w:tc>
        <w:tcPr>
          <w:tcW w:w="1665" w:type="pct"/>
        </w:tcPr>
        <w:p w14:paraId="4F281B3E" w14:textId="77777777" w:rsidR="00A40D3C" w:rsidRPr="001470EC" w:rsidRDefault="00A40D3C">
          <w:pPr>
            <w:pStyle w:val="Header"/>
            <w:jc w:val="right"/>
          </w:pPr>
          <w:r w:rsidRPr="001470EC">
            <w:rPr>
              <w:sz w:val="24"/>
              <w:szCs w:val="24"/>
            </w:rPr>
            <w:fldChar w:fldCharType="begin"/>
          </w:r>
          <w:r w:rsidRPr="001470EC">
            <w:rPr>
              <w:sz w:val="24"/>
              <w:szCs w:val="24"/>
            </w:rPr>
            <w:instrText xml:space="preserve"> PAGE   \* MERGEFORMAT </w:instrText>
          </w:r>
          <w:r w:rsidRPr="001470EC">
            <w:rPr>
              <w:sz w:val="24"/>
              <w:szCs w:val="24"/>
            </w:rPr>
            <w:fldChar w:fldCharType="separate"/>
          </w:r>
          <w:r w:rsidRPr="001470EC">
            <w:rPr>
              <w:noProof/>
              <w:sz w:val="24"/>
              <w:szCs w:val="24"/>
            </w:rPr>
            <w:t>0</w:t>
          </w:r>
          <w:r w:rsidRPr="001470EC">
            <w:rPr>
              <w:sz w:val="24"/>
              <w:szCs w:val="24"/>
            </w:rPr>
            <w:fldChar w:fldCharType="end"/>
          </w:r>
        </w:p>
      </w:tc>
    </w:tr>
  </w:tbl>
  <w:p w14:paraId="6FF40A3A" w14:textId="77777777" w:rsidR="00353B51" w:rsidRDefault="00353B51" w:rsidP="00A40D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yM7Q0NDY1MzcwN7FU0lEKTi0uzszPAykwrAUAutjt+iwAAAA="/>
    <w:docVar w:name="dgnword-docGUID" w:val="{E71813C0-81E1-4B03-AC02-BB3D19584E57}"/>
    <w:docVar w:name="dgnword-eventsink" w:val="1799289310128"/>
  </w:docVars>
  <w:rsids>
    <w:rsidRoot w:val="00353B51"/>
    <w:rsid w:val="00097C0E"/>
    <w:rsid w:val="000E43D0"/>
    <w:rsid w:val="001266B7"/>
    <w:rsid w:val="00132083"/>
    <w:rsid w:val="001470EC"/>
    <w:rsid w:val="001477FE"/>
    <w:rsid w:val="00186F21"/>
    <w:rsid w:val="001D4650"/>
    <w:rsid w:val="001D5A0D"/>
    <w:rsid w:val="0020236D"/>
    <w:rsid w:val="0020666F"/>
    <w:rsid w:val="00262203"/>
    <w:rsid w:val="00275278"/>
    <w:rsid w:val="00286D18"/>
    <w:rsid w:val="002957BC"/>
    <w:rsid w:val="002B65D3"/>
    <w:rsid w:val="002D5115"/>
    <w:rsid w:val="002F483B"/>
    <w:rsid w:val="0030030E"/>
    <w:rsid w:val="00345DA2"/>
    <w:rsid w:val="00353B51"/>
    <w:rsid w:val="003567A5"/>
    <w:rsid w:val="003669CA"/>
    <w:rsid w:val="003A4240"/>
    <w:rsid w:val="003B1251"/>
    <w:rsid w:val="003E34CF"/>
    <w:rsid w:val="004451C9"/>
    <w:rsid w:val="0046620B"/>
    <w:rsid w:val="00476A56"/>
    <w:rsid w:val="0048425A"/>
    <w:rsid w:val="00543AAD"/>
    <w:rsid w:val="00581E71"/>
    <w:rsid w:val="005F34A2"/>
    <w:rsid w:val="00600CE9"/>
    <w:rsid w:val="0060452D"/>
    <w:rsid w:val="006222A5"/>
    <w:rsid w:val="006222FC"/>
    <w:rsid w:val="00630291"/>
    <w:rsid w:val="00663D42"/>
    <w:rsid w:val="006666BB"/>
    <w:rsid w:val="006B1841"/>
    <w:rsid w:val="006C46DD"/>
    <w:rsid w:val="006C644C"/>
    <w:rsid w:val="00735E15"/>
    <w:rsid w:val="007741D1"/>
    <w:rsid w:val="00824335"/>
    <w:rsid w:val="00832D50"/>
    <w:rsid w:val="00860F5B"/>
    <w:rsid w:val="00865E4A"/>
    <w:rsid w:val="00873E86"/>
    <w:rsid w:val="00874B72"/>
    <w:rsid w:val="0088673C"/>
    <w:rsid w:val="008C4B5F"/>
    <w:rsid w:val="008F23D1"/>
    <w:rsid w:val="00936EDE"/>
    <w:rsid w:val="00967EC4"/>
    <w:rsid w:val="00974467"/>
    <w:rsid w:val="00975BCB"/>
    <w:rsid w:val="009876FD"/>
    <w:rsid w:val="009A219F"/>
    <w:rsid w:val="009B3691"/>
    <w:rsid w:val="009B7D1F"/>
    <w:rsid w:val="009C0B34"/>
    <w:rsid w:val="009C7B96"/>
    <w:rsid w:val="009D3BAD"/>
    <w:rsid w:val="00A0055F"/>
    <w:rsid w:val="00A127E6"/>
    <w:rsid w:val="00A40D3C"/>
    <w:rsid w:val="00A54D3B"/>
    <w:rsid w:val="00A552B5"/>
    <w:rsid w:val="00A83183"/>
    <w:rsid w:val="00A96548"/>
    <w:rsid w:val="00AD19F6"/>
    <w:rsid w:val="00AE73E1"/>
    <w:rsid w:val="00B033FB"/>
    <w:rsid w:val="00B11F96"/>
    <w:rsid w:val="00B43320"/>
    <w:rsid w:val="00B45AE2"/>
    <w:rsid w:val="00B712C9"/>
    <w:rsid w:val="00B72256"/>
    <w:rsid w:val="00C62DCB"/>
    <w:rsid w:val="00C644AC"/>
    <w:rsid w:val="00C87171"/>
    <w:rsid w:val="00CB02FF"/>
    <w:rsid w:val="00CB4B6D"/>
    <w:rsid w:val="00CC79FE"/>
    <w:rsid w:val="00CE3AC2"/>
    <w:rsid w:val="00D00682"/>
    <w:rsid w:val="00D01EF6"/>
    <w:rsid w:val="00D04EA5"/>
    <w:rsid w:val="00D148C7"/>
    <w:rsid w:val="00D32012"/>
    <w:rsid w:val="00D5702C"/>
    <w:rsid w:val="00D72D99"/>
    <w:rsid w:val="00D87F3B"/>
    <w:rsid w:val="00DD7391"/>
    <w:rsid w:val="00DE0C45"/>
    <w:rsid w:val="00DE6CD7"/>
    <w:rsid w:val="00DE6FA9"/>
    <w:rsid w:val="00DF6ADB"/>
    <w:rsid w:val="00E2532A"/>
    <w:rsid w:val="00E36B1A"/>
    <w:rsid w:val="00E52D95"/>
    <w:rsid w:val="00E673DF"/>
    <w:rsid w:val="00E827D2"/>
    <w:rsid w:val="00E835E1"/>
    <w:rsid w:val="00E934CA"/>
    <w:rsid w:val="00EA75F6"/>
    <w:rsid w:val="00EC7E72"/>
    <w:rsid w:val="00EF2E2C"/>
    <w:rsid w:val="00F02874"/>
    <w:rsid w:val="00F1002D"/>
    <w:rsid w:val="00F26E36"/>
    <w:rsid w:val="00F506B5"/>
    <w:rsid w:val="00F676EC"/>
    <w:rsid w:val="00F9062A"/>
    <w:rsid w:val="00FA0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DF954"/>
  <w15:chartTrackingRefBased/>
  <w15:docId w15:val="{855ECB46-ADE5-42AF-99AA-0EB8338E9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D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B433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3B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3B51"/>
    <w:rPr>
      <w:rFonts w:eastAsiaTheme="minorEastAsia"/>
      <w:lang w:val="en-US"/>
    </w:rPr>
  </w:style>
  <w:style w:type="paragraph" w:styleId="Header">
    <w:name w:val="header"/>
    <w:basedOn w:val="Normal"/>
    <w:link w:val="HeaderChar"/>
    <w:uiPriority w:val="99"/>
    <w:unhideWhenUsed/>
    <w:rsid w:val="00353B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B51"/>
  </w:style>
  <w:style w:type="paragraph" w:styleId="Footer">
    <w:name w:val="footer"/>
    <w:basedOn w:val="Normal"/>
    <w:link w:val="FooterChar"/>
    <w:uiPriority w:val="99"/>
    <w:unhideWhenUsed/>
    <w:rsid w:val="00353B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B51"/>
  </w:style>
  <w:style w:type="character" w:customStyle="1" w:styleId="Heading1Char">
    <w:name w:val="Heading 1 Char"/>
    <w:basedOn w:val="DefaultParagraphFont"/>
    <w:link w:val="Heading1"/>
    <w:uiPriority w:val="9"/>
    <w:rsid w:val="00FA0DD6"/>
    <w:rPr>
      <w:rFonts w:asciiTheme="majorHAnsi" w:eastAsiaTheme="majorEastAsia" w:hAnsiTheme="majorHAnsi" w:cstheme="majorBidi"/>
      <w:color w:val="2F5496" w:themeColor="accent1" w:themeShade="BF"/>
      <w:sz w:val="32"/>
      <w:szCs w:val="32"/>
      <w:lang w:val="en-US"/>
    </w:rPr>
  </w:style>
  <w:style w:type="character" w:customStyle="1" w:styleId="nlmarticle-title">
    <w:name w:val="nlm_article-title"/>
    <w:basedOn w:val="DefaultParagraphFont"/>
    <w:rsid w:val="00EC7E72"/>
  </w:style>
  <w:style w:type="paragraph" w:styleId="Caption">
    <w:name w:val="caption"/>
    <w:basedOn w:val="Normal"/>
    <w:next w:val="Normal"/>
    <w:uiPriority w:val="35"/>
    <w:unhideWhenUsed/>
    <w:qFormat/>
    <w:rsid w:val="00262203"/>
    <w:pPr>
      <w:spacing w:after="200" w:line="240" w:lineRule="auto"/>
    </w:pPr>
    <w:rPr>
      <w:i/>
      <w:iCs/>
      <w:color w:val="44546A" w:themeColor="text2"/>
      <w:sz w:val="18"/>
      <w:szCs w:val="18"/>
    </w:rPr>
  </w:style>
  <w:style w:type="character" w:styleId="Hyperlink">
    <w:name w:val="Hyperlink"/>
    <w:basedOn w:val="DefaultParagraphFont"/>
    <w:uiPriority w:val="99"/>
    <w:unhideWhenUsed/>
    <w:rsid w:val="00E2532A"/>
    <w:rPr>
      <w:color w:val="0563C1" w:themeColor="hyperlink"/>
      <w:u w:val="single"/>
    </w:rPr>
  </w:style>
  <w:style w:type="character" w:styleId="UnresolvedMention">
    <w:name w:val="Unresolved Mention"/>
    <w:basedOn w:val="DefaultParagraphFont"/>
    <w:uiPriority w:val="99"/>
    <w:semiHidden/>
    <w:unhideWhenUsed/>
    <w:rsid w:val="00E2532A"/>
    <w:rPr>
      <w:color w:val="605E5C"/>
      <w:shd w:val="clear" w:color="auto" w:fill="E1DFDD"/>
    </w:rPr>
  </w:style>
  <w:style w:type="character" w:customStyle="1" w:styleId="Heading2Char">
    <w:name w:val="Heading 2 Char"/>
    <w:basedOn w:val="DefaultParagraphFont"/>
    <w:link w:val="Heading2"/>
    <w:uiPriority w:val="9"/>
    <w:semiHidden/>
    <w:rsid w:val="00B4332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488004">
      <w:bodyDiv w:val="1"/>
      <w:marLeft w:val="0"/>
      <w:marRight w:val="0"/>
      <w:marTop w:val="0"/>
      <w:marBottom w:val="0"/>
      <w:divBdr>
        <w:top w:val="none" w:sz="0" w:space="0" w:color="auto"/>
        <w:left w:val="none" w:sz="0" w:space="0" w:color="auto"/>
        <w:bottom w:val="none" w:sz="0" w:space="0" w:color="auto"/>
        <w:right w:val="none" w:sz="0" w:space="0" w:color="auto"/>
      </w:divBdr>
    </w:div>
    <w:div w:id="446316788">
      <w:bodyDiv w:val="1"/>
      <w:marLeft w:val="0"/>
      <w:marRight w:val="0"/>
      <w:marTop w:val="0"/>
      <w:marBottom w:val="0"/>
      <w:divBdr>
        <w:top w:val="none" w:sz="0" w:space="0" w:color="auto"/>
        <w:left w:val="none" w:sz="0" w:space="0" w:color="auto"/>
        <w:bottom w:val="none" w:sz="0" w:space="0" w:color="auto"/>
        <w:right w:val="none" w:sz="0" w:space="0" w:color="auto"/>
      </w:divBdr>
      <w:divsChild>
        <w:div w:id="1395355065">
          <w:marLeft w:val="0"/>
          <w:marRight w:val="0"/>
          <w:marTop w:val="0"/>
          <w:marBottom w:val="0"/>
          <w:divBdr>
            <w:top w:val="none" w:sz="0" w:space="0" w:color="auto"/>
            <w:left w:val="none" w:sz="0" w:space="0" w:color="auto"/>
            <w:bottom w:val="none" w:sz="0" w:space="0" w:color="auto"/>
            <w:right w:val="none" w:sz="0" w:space="0" w:color="auto"/>
          </w:divBdr>
        </w:div>
        <w:div w:id="1861776749">
          <w:marLeft w:val="0"/>
          <w:marRight w:val="0"/>
          <w:marTop w:val="0"/>
          <w:marBottom w:val="0"/>
          <w:divBdr>
            <w:top w:val="none" w:sz="0" w:space="0" w:color="auto"/>
            <w:left w:val="none" w:sz="0" w:space="0" w:color="auto"/>
            <w:bottom w:val="none" w:sz="0" w:space="0" w:color="auto"/>
            <w:right w:val="none" w:sz="0" w:space="0" w:color="auto"/>
          </w:divBdr>
        </w:div>
        <w:div w:id="164899786">
          <w:marLeft w:val="0"/>
          <w:marRight w:val="0"/>
          <w:marTop w:val="0"/>
          <w:marBottom w:val="0"/>
          <w:divBdr>
            <w:top w:val="none" w:sz="0" w:space="0" w:color="auto"/>
            <w:left w:val="none" w:sz="0" w:space="0" w:color="auto"/>
            <w:bottom w:val="none" w:sz="0" w:space="0" w:color="auto"/>
            <w:right w:val="none" w:sz="0" w:space="0" w:color="auto"/>
          </w:divBdr>
        </w:div>
        <w:div w:id="1751585819">
          <w:marLeft w:val="0"/>
          <w:marRight w:val="0"/>
          <w:marTop w:val="0"/>
          <w:marBottom w:val="0"/>
          <w:divBdr>
            <w:top w:val="none" w:sz="0" w:space="0" w:color="auto"/>
            <w:left w:val="none" w:sz="0" w:space="0" w:color="auto"/>
            <w:bottom w:val="none" w:sz="0" w:space="0" w:color="auto"/>
            <w:right w:val="none" w:sz="0" w:space="0" w:color="auto"/>
          </w:divBdr>
        </w:div>
        <w:div w:id="1312176310">
          <w:marLeft w:val="0"/>
          <w:marRight w:val="0"/>
          <w:marTop w:val="0"/>
          <w:marBottom w:val="0"/>
          <w:divBdr>
            <w:top w:val="none" w:sz="0" w:space="0" w:color="auto"/>
            <w:left w:val="none" w:sz="0" w:space="0" w:color="auto"/>
            <w:bottom w:val="none" w:sz="0" w:space="0" w:color="auto"/>
            <w:right w:val="none" w:sz="0" w:space="0" w:color="auto"/>
          </w:divBdr>
        </w:div>
        <w:div w:id="814954538">
          <w:marLeft w:val="0"/>
          <w:marRight w:val="0"/>
          <w:marTop w:val="0"/>
          <w:marBottom w:val="0"/>
          <w:divBdr>
            <w:top w:val="none" w:sz="0" w:space="0" w:color="auto"/>
            <w:left w:val="none" w:sz="0" w:space="0" w:color="auto"/>
            <w:bottom w:val="none" w:sz="0" w:space="0" w:color="auto"/>
            <w:right w:val="none" w:sz="0" w:space="0" w:color="auto"/>
          </w:divBdr>
        </w:div>
        <w:div w:id="872156822">
          <w:marLeft w:val="0"/>
          <w:marRight w:val="0"/>
          <w:marTop w:val="0"/>
          <w:marBottom w:val="0"/>
          <w:divBdr>
            <w:top w:val="none" w:sz="0" w:space="0" w:color="auto"/>
            <w:left w:val="none" w:sz="0" w:space="0" w:color="auto"/>
            <w:bottom w:val="none" w:sz="0" w:space="0" w:color="auto"/>
            <w:right w:val="none" w:sz="0" w:space="0" w:color="auto"/>
          </w:divBdr>
        </w:div>
        <w:div w:id="697966773">
          <w:marLeft w:val="0"/>
          <w:marRight w:val="0"/>
          <w:marTop w:val="0"/>
          <w:marBottom w:val="0"/>
          <w:divBdr>
            <w:top w:val="none" w:sz="0" w:space="0" w:color="auto"/>
            <w:left w:val="none" w:sz="0" w:space="0" w:color="auto"/>
            <w:bottom w:val="none" w:sz="0" w:space="0" w:color="auto"/>
            <w:right w:val="none" w:sz="0" w:space="0" w:color="auto"/>
          </w:divBdr>
        </w:div>
        <w:div w:id="1514151373">
          <w:marLeft w:val="0"/>
          <w:marRight w:val="0"/>
          <w:marTop w:val="0"/>
          <w:marBottom w:val="0"/>
          <w:divBdr>
            <w:top w:val="none" w:sz="0" w:space="0" w:color="auto"/>
            <w:left w:val="none" w:sz="0" w:space="0" w:color="auto"/>
            <w:bottom w:val="none" w:sz="0" w:space="0" w:color="auto"/>
            <w:right w:val="none" w:sz="0" w:space="0" w:color="auto"/>
          </w:divBdr>
        </w:div>
        <w:div w:id="1547253548">
          <w:marLeft w:val="0"/>
          <w:marRight w:val="0"/>
          <w:marTop w:val="0"/>
          <w:marBottom w:val="0"/>
          <w:divBdr>
            <w:top w:val="none" w:sz="0" w:space="0" w:color="auto"/>
            <w:left w:val="none" w:sz="0" w:space="0" w:color="auto"/>
            <w:bottom w:val="none" w:sz="0" w:space="0" w:color="auto"/>
            <w:right w:val="none" w:sz="0" w:space="0" w:color="auto"/>
          </w:divBdr>
        </w:div>
        <w:div w:id="422382067">
          <w:marLeft w:val="0"/>
          <w:marRight w:val="0"/>
          <w:marTop w:val="0"/>
          <w:marBottom w:val="0"/>
          <w:divBdr>
            <w:top w:val="none" w:sz="0" w:space="0" w:color="auto"/>
            <w:left w:val="none" w:sz="0" w:space="0" w:color="auto"/>
            <w:bottom w:val="none" w:sz="0" w:space="0" w:color="auto"/>
            <w:right w:val="none" w:sz="0" w:space="0" w:color="auto"/>
          </w:divBdr>
        </w:div>
        <w:div w:id="965938684">
          <w:marLeft w:val="0"/>
          <w:marRight w:val="0"/>
          <w:marTop w:val="0"/>
          <w:marBottom w:val="0"/>
          <w:divBdr>
            <w:top w:val="none" w:sz="0" w:space="0" w:color="auto"/>
            <w:left w:val="none" w:sz="0" w:space="0" w:color="auto"/>
            <w:bottom w:val="none" w:sz="0" w:space="0" w:color="auto"/>
            <w:right w:val="none" w:sz="0" w:space="0" w:color="auto"/>
          </w:divBdr>
        </w:div>
      </w:divsChild>
    </w:div>
    <w:div w:id="1067074821">
      <w:bodyDiv w:val="1"/>
      <w:marLeft w:val="0"/>
      <w:marRight w:val="0"/>
      <w:marTop w:val="0"/>
      <w:marBottom w:val="0"/>
      <w:divBdr>
        <w:top w:val="none" w:sz="0" w:space="0" w:color="auto"/>
        <w:left w:val="none" w:sz="0" w:space="0" w:color="auto"/>
        <w:bottom w:val="none" w:sz="0" w:space="0" w:color="auto"/>
        <w:right w:val="none" w:sz="0" w:space="0" w:color="auto"/>
      </w:divBdr>
    </w:div>
    <w:div w:id="1986468065">
      <w:bodyDiv w:val="1"/>
      <w:marLeft w:val="0"/>
      <w:marRight w:val="0"/>
      <w:marTop w:val="0"/>
      <w:marBottom w:val="0"/>
      <w:divBdr>
        <w:top w:val="none" w:sz="0" w:space="0" w:color="auto"/>
        <w:left w:val="none" w:sz="0" w:space="0" w:color="auto"/>
        <w:bottom w:val="none" w:sz="0" w:space="0" w:color="auto"/>
        <w:right w:val="none" w:sz="0" w:space="0" w:color="auto"/>
      </w:divBdr>
      <w:divsChild>
        <w:div w:id="128675394">
          <w:marLeft w:val="0"/>
          <w:marRight w:val="0"/>
          <w:marTop w:val="0"/>
          <w:marBottom w:val="0"/>
          <w:divBdr>
            <w:top w:val="none" w:sz="0" w:space="0" w:color="auto"/>
            <w:left w:val="none" w:sz="0" w:space="0" w:color="auto"/>
            <w:bottom w:val="none" w:sz="0" w:space="0" w:color="auto"/>
            <w:right w:val="none" w:sz="0" w:space="0" w:color="auto"/>
          </w:divBdr>
          <w:divsChild>
            <w:div w:id="1990867639">
              <w:marLeft w:val="0"/>
              <w:marRight w:val="0"/>
              <w:marTop w:val="0"/>
              <w:marBottom w:val="0"/>
              <w:divBdr>
                <w:top w:val="none" w:sz="0" w:space="0" w:color="auto"/>
                <w:left w:val="none" w:sz="0" w:space="0" w:color="auto"/>
                <w:bottom w:val="none" w:sz="0" w:space="0" w:color="auto"/>
                <w:right w:val="none" w:sz="0" w:space="0" w:color="auto"/>
              </w:divBdr>
              <w:divsChild>
                <w:div w:id="1459911569">
                  <w:marLeft w:val="0"/>
                  <w:marRight w:val="0"/>
                  <w:marTop w:val="150"/>
                  <w:marBottom w:val="450"/>
                  <w:divBdr>
                    <w:top w:val="none" w:sz="0" w:space="0" w:color="auto"/>
                    <w:left w:val="none" w:sz="0" w:space="0" w:color="auto"/>
                    <w:bottom w:val="none" w:sz="0" w:space="0" w:color="auto"/>
                    <w:right w:val="none" w:sz="0" w:space="0" w:color="auto"/>
                  </w:divBdr>
                </w:div>
                <w:div w:id="647172493">
                  <w:marLeft w:val="0"/>
                  <w:marRight w:val="0"/>
                  <w:marTop w:val="0"/>
                  <w:marBottom w:val="0"/>
                  <w:divBdr>
                    <w:top w:val="none" w:sz="0" w:space="3" w:color="auto"/>
                    <w:left w:val="none" w:sz="0" w:space="0" w:color="auto"/>
                    <w:bottom w:val="single" w:sz="6" w:space="3" w:color="000000"/>
                    <w:right w:val="none" w:sz="0" w:space="31" w:color="auto"/>
                  </w:divBdr>
                </w:div>
                <w:div w:id="292248028">
                  <w:marLeft w:val="0"/>
                  <w:marRight w:val="0"/>
                  <w:marTop w:val="0"/>
                  <w:marBottom w:val="0"/>
                  <w:divBdr>
                    <w:top w:val="none" w:sz="0" w:space="0" w:color="auto"/>
                    <w:left w:val="none" w:sz="0" w:space="0" w:color="auto"/>
                    <w:bottom w:val="none" w:sz="0" w:space="0" w:color="auto"/>
                    <w:right w:val="none" w:sz="0" w:space="0" w:color="auto"/>
                  </w:divBdr>
                  <w:divsChild>
                    <w:div w:id="1766077457">
                      <w:marLeft w:val="0"/>
                      <w:marRight w:val="0"/>
                      <w:marTop w:val="75"/>
                      <w:marBottom w:val="225"/>
                      <w:divBdr>
                        <w:top w:val="none" w:sz="0" w:space="3" w:color="auto"/>
                        <w:left w:val="none" w:sz="0" w:space="0" w:color="auto"/>
                        <w:bottom w:val="single" w:sz="6" w:space="3" w:color="000000"/>
                        <w:right w:val="none" w:sz="0" w:space="3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761CD-85E6-461D-97D4-65F0BF241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1375</Words>
  <Characters>7843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Glascott (1901783)</dc:creator>
  <cp:keywords/>
  <dc:description/>
  <cp:lastModifiedBy>Jack Glascott</cp:lastModifiedBy>
  <cp:revision>9</cp:revision>
  <dcterms:created xsi:type="dcterms:W3CDTF">2022-02-21T15:32:00Z</dcterms:created>
  <dcterms:modified xsi:type="dcterms:W3CDTF">2022-03-21T23:53:00Z</dcterms:modified>
</cp:coreProperties>
</file>