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color w:val="5A5A5A"/>
          <w:spacing w:val="15"/>
          <w:position w:val="0"/>
          <w:sz w:val="42"/>
          <w:shd w:fill="auto" w:val="clear"/>
        </w:rPr>
      </w:pPr>
      <w:r>
        <w:object w:dxaOrig="12370" w:dyaOrig="2632">
          <v:rect xmlns:o="urn:schemas-microsoft-com:office:office" xmlns:v="urn:schemas-microsoft-com:vml" id="rectole0000000000" style="width:618.500000pt;height:131.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Programme: Cert HE: Skills for Construction, Computing, Engineering &amp; Digital skills</w:t>
      </w:r>
    </w:p>
    <w:p>
      <w:pPr>
        <w:spacing w:before="0" w:after="160" w:line="360"/>
        <w:ind w:right="0" w:left="0" w:firstLine="0"/>
        <w:jc w:val="center"/>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24"/>
          <w:shd w:fill="auto" w:val="clear"/>
        </w:rPr>
        <w:t xml:space="preserve">ACMA4014:</w:t>
      </w:r>
      <w:r>
        <w:rPr>
          <w:rFonts w:ascii="Arial" w:hAnsi="Arial" w:cs="Arial" w:eastAsia="Arial"/>
          <w:b/>
          <w:color w:val="auto"/>
          <w:spacing w:val="0"/>
          <w:position w:val="0"/>
          <w:sz w:val="24"/>
          <w:shd w:fill="auto" w:val="clear"/>
        </w:rPr>
        <w:t xml:space="preserve"> </w:t>
      </w:r>
      <w:r>
        <w:rPr>
          <w:rFonts w:ascii="Arial" w:hAnsi="Arial" w:cs="Arial" w:eastAsia="Arial"/>
          <w:b/>
          <w:color w:val="000000"/>
          <w:spacing w:val="0"/>
          <w:position w:val="0"/>
          <w:sz w:val="24"/>
          <w:shd w:fill="auto" w:val="clear"/>
        </w:rPr>
        <w:t xml:space="preserve">Technical Skills Development</w:t>
      </w:r>
    </w:p>
    <w:p>
      <w:pPr>
        <w:spacing w:before="0" w:after="160" w:line="24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Title: Logbook</w:t>
      </w: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5A5A5A"/>
          <w:spacing w:val="15"/>
          <w:position w:val="0"/>
          <w:sz w:val="42"/>
          <w:shd w:fill="auto" w:val="clear"/>
        </w:rPr>
      </w:pPr>
    </w:p>
    <w:p>
      <w:pPr>
        <w:spacing w:before="0" w:after="160" w:line="360"/>
        <w:ind w:right="0" w:left="0" w:firstLine="0"/>
        <w:jc w:val="both"/>
        <w:rPr>
          <w:rFonts w:ascii="Arial" w:hAnsi="Arial" w:cs="Arial" w:eastAsia="Arial"/>
          <w:b/>
          <w:color w:val="5A5A5A"/>
          <w:spacing w:val="15"/>
          <w:position w:val="0"/>
          <w:sz w:val="28"/>
          <w:shd w:fill="auto" w:val="clear"/>
        </w:rPr>
      </w:pPr>
      <w:r>
        <w:rPr>
          <w:rFonts w:ascii="Arial" w:hAnsi="Arial" w:cs="Arial" w:eastAsia="Arial"/>
          <w:b/>
          <w:color w:val="5A5A5A"/>
          <w:spacing w:val="15"/>
          <w:position w:val="0"/>
          <w:sz w:val="28"/>
          <w:shd w:fill="auto" w:val="clear"/>
        </w:rPr>
        <w:t xml:space="preserve">Student Name</w:t>
        <w:tab/>
        <w:t xml:space="preserve">:Gejza Kandra</w:t>
      </w:r>
    </w:p>
    <w:p>
      <w:pPr>
        <w:spacing w:before="0" w:after="160" w:line="360"/>
        <w:ind w:right="0" w:left="0" w:firstLine="0"/>
        <w:jc w:val="both"/>
        <w:rPr>
          <w:rFonts w:ascii="Arial" w:hAnsi="Arial" w:cs="Arial" w:eastAsia="Arial"/>
          <w:b/>
          <w:color w:val="5A5A5A"/>
          <w:spacing w:val="15"/>
          <w:position w:val="0"/>
          <w:sz w:val="28"/>
          <w:shd w:fill="auto" w:val="clear"/>
        </w:rPr>
      </w:pPr>
      <w:r>
        <w:rPr>
          <w:rFonts w:ascii="Arial" w:hAnsi="Arial" w:cs="Arial" w:eastAsia="Arial"/>
          <w:b/>
          <w:color w:val="5A5A5A"/>
          <w:spacing w:val="15"/>
          <w:position w:val="0"/>
          <w:sz w:val="28"/>
          <w:shd w:fill="auto" w:val="clear"/>
        </w:rPr>
        <w:t xml:space="preserve">Student ID</w:t>
        <w:tab/>
        <w:t xml:space="preserve">:2232661</w:t>
      </w:r>
    </w:p>
    <w:p>
      <w:pPr>
        <w:keepNext w:val="true"/>
        <w:keepLines w:val="true"/>
        <w:spacing w:before="40" w:after="0" w:line="360"/>
        <w:ind w:right="0" w:left="0" w:firstLine="0"/>
        <w:jc w:val="both"/>
        <w:rPr>
          <w:rFonts w:ascii="Arial" w:hAnsi="Arial" w:cs="Arial" w:eastAsia="Arial"/>
          <w:b/>
          <w:i/>
          <w:color w:val="243F60"/>
          <w:spacing w:val="0"/>
          <w:position w:val="0"/>
          <w:sz w:val="28"/>
          <w:shd w:fill="auto" w:val="clear"/>
        </w:rPr>
      </w:pPr>
      <w:r>
        <w:rPr>
          <w:rFonts w:ascii="Cambria" w:hAnsi="Cambria" w:cs="Cambria" w:eastAsia="Cambria"/>
          <w:b/>
          <w:i/>
          <w:color w:val="243F60"/>
          <w:spacing w:val="0"/>
          <w:position w:val="0"/>
          <w:sz w:val="28"/>
          <w:shd w:fill="auto" w:val="clear"/>
        </w:rPr>
        <w:t xml:space="preserve">Lecturer Name</w:t>
        <w:tab/>
        <w:t xml:space="preserve">:Dr Jamiu A. Dauda</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b/>
          <w:color w:val="31849B"/>
          <w:spacing w:val="0"/>
          <w:position w:val="0"/>
          <w:sz w:val="30"/>
          <w:shd w:fill="auto" w:val="clear"/>
        </w:rPr>
      </w:pPr>
      <w:r>
        <w:rPr>
          <w:rFonts w:ascii="Arial" w:hAnsi="Arial" w:cs="Arial" w:eastAsia="Arial"/>
          <w:b/>
          <w:color w:val="31849B"/>
          <w:spacing w:val="0"/>
          <w:position w:val="0"/>
          <w:sz w:val="30"/>
          <w:shd w:fill="auto" w:val="clear"/>
        </w:rPr>
        <w:t xml:space="preserve"> </w:t>
      </w:r>
    </w:p>
    <w:p>
      <w:pPr>
        <w:spacing w:before="0" w:after="200" w:line="360"/>
        <w:ind w:right="0" w:left="0" w:firstLine="0"/>
        <w:jc w:val="both"/>
        <w:rPr>
          <w:rFonts w:ascii="Arial" w:hAnsi="Arial" w:cs="Arial" w:eastAsia="Arial"/>
          <w:b/>
          <w:color w:val="31849B"/>
          <w:spacing w:val="0"/>
          <w:position w:val="0"/>
          <w:sz w:val="30"/>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5F497A"/>
          <w:spacing w:val="0"/>
          <w:position w:val="0"/>
          <w:sz w:val="30"/>
          <w:shd w:fill="auto" w:val="clear"/>
        </w:rPr>
      </w:pPr>
      <w:r>
        <w:rPr>
          <w:rFonts w:ascii="Arial" w:hAnsi="Arial" w:cs="Arial" w:eastAsia="Arial"/>
          <w:b/>
          <w:color w:val="5F497A"/>
          <w:spacing w:val="0"/>
          <w:position w:val="0"/>
          <w:sz w:val="30"/>
          <w:shd w:fill="auto" w:val="clear"/>
        </w:rPr>
        <w:t xml:space="preserve">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Training in health and safety is crucial to the success of any business. A corporation that invests in this training will be better able to respond to crises and keep its employees safe. All staff should get thorough training to ensure that the organization is taking all necessary precautions to ensure the safety of its workers. This report has been developed based on the reflection of health and safety learning module which has been taught during the lecture period. This report has analysed what has been covered during the overall course module and the benefits related with the course. This report can be considered as an integral part of the module as training in health and safety procedures is an integral aspect of a preventative one that maintains the organizational performance. In addition to being required under the Management of Health and Safety at Work Regulations and other laws, employers must also provide health and safety courses.</w:t>
      </w:r>
    </w:p>
    <w:p>
      <w:pPr>
        <w:spacing w:before="0" w:after="20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20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5F497A"/>
          <w:spacing w:val="0"/>
          <w:position w:val="0"/>
          <w:sz w:val="30"/>
          <w:shd w:fill="auto" w:val="clear"/>
        </w:rPr>
      </w:pPr>
      <w:r>
        <w:rPr>
          <w:rFonts w:ascii="Arial" w:hAnsi="Arial" w:cs="Arial" w:eastAsia="Arial"/>
          <w:b/>
          <w:color w:val="5F497A"/>
          <w:spacing w:val="0"/>
          <w:position w:val="0"/>
          <w:sz w:val="30"/>
          <w:shd w:fill="auto" w:val="clear"/>
        </w:rPr>
        <w:t xml:space="preserve">Logbook of the module</w:t>
      </w:r>
    </w:p>
    <w:tbl>
      <w:tblPr/>
      <w:tblGrid>
        <w:gridCol w:w="1912"/>
        <w:gridCol w:w="1912"/>
        <w:gridCol w:w="1912"/>
        <w:gridCol w:w="1912"/>
        <w:gridCol w:w="1912"/>
      </w:tblGrid>
      <w:tr>
        <w:trPr>
          <w:trHeight w:val="1" w:hRule="atLeast"/>
          <w:jc w:val="left"/>
        </w:trPr>
        <w:tc>
          <w:tcPr>
            <w:tcW w:w="1912" w:type="dxa"/>
            <w:tcBorders>
              <w:top w:val="single" w:color="b2a1c7" w:sz="4"/>
              <w:left w:val="single" w:color="b2a1c7" w:sz="4"/>
              <w:bottom w:val="single" w:color="b2a1c7" w:sz="4"/>
              <w:right w:val="single" w:color="b2a1c7" w:sz="4"/>
            </w:tcBorders>
            <w:shd w:color="auto" w:fill="b2a1c7"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Activity WK</w:t>
            </w:r>
          </w:p>
        </w:tc>
        <w:tc>
          <w:tcPr>
            <w:tcW w:w="1912" w:type="dxa"/>
            <w:tcBorders>
              <w:top w:val="single" w:color="b2a1c7" w:sz="4"/>
              <w:left w:val="single" w:color="b2a1c7" w:sz="4"/>
              <w:bottom w:val="single" w:color="b2a1c7" w:sz="4"/>
              <w:right w:val="single" w:color="b2a1c7" w:sz="4"/>
            </w:tcBorders>
            <w:shd w:color="auto" w:fill="b2a1c7"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Activity</w:t>
            </w:r>
          </w:p>
        </w:tc>
        <w:tc>
          <w:tcPr>
            <w:tcW w:w="1912" w:type="dxa"/>
            <w:tcBorders>
              <w:top w:val="single" w:color="b2a1c7" w:sz="4"/>
              <w:left w:val="single" w:color="b2a1c7" w:sz="4"/>
              <w:bottom w:val="single" w:color="b2a1c7" w:sz="4"/>
              <w:right w:val="single" w:color="b2a1c7" w:sz="4"/>
            </w:tcBorders>
            <w:shd w:color="auto" w:fill="b2a1c7"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Key learning points</w:t>
            </w:r>
          </w:p>
        </w:tc>
        <w:tc>
          <w:tcPr>
            <w:tcW w:w="1912" w:type="dxa"/>
            <w:tcBorders>
              <w:top w:val="single" w:color="b2a1c7" w:sz="4"/>
              <w:left w:val="single" w:color="b2a1c7" w:sz="4"/>
              <w:bottom w:val="single" w:color="b2a1c7" w:sz="4"/>
              <w:right w:val="single" w:color="b2a1c7" w:sz="4"/>
            </w:tcBorders>
            <w:shd w:color="auto" w:fill="b2a1c7"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Key benefits/ value added</w:t>
            </w:r>
          </w:p>
        </w:tc>
        <w:tc>
          <w:tcPr>
            <w:tcW w:w="1912" w:type="dxa"/>
            <w:tcBorders>
              <w:top w:val="single" w:color="b2a1c7" w:sz="4"/>
              <w:left w:val="single" w:color="b2a1c7" w:sz="4"/>
              <w:bottom w:val="single" w:color="b2a1c7" w:sz="4"/>
              <w:right w:val="single" w:color="b2a1c7" w:sz="4"/>
            </w:tcBorders>
            <w:shd w:color="auto" w:fill="b2a1c7"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Further comments and how can I improve it in future</w:t>
            </w:r>
          </w:p>
        </w:tc>
      </w:tr>
      <w:tr>
        <w:trPr>
          <w:trHeight w:val="1" w:hRule="atLeast"/>
          <w:jc w:val="left"/>
        </w:trPr>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Week 1 </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Introduction to Health and Safety</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By keeping employees safe, I can cut down on sick days, which will make everyone in the office more productive.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Workers in organizations with a strong focus on health and safety tend to be more productive.</w:t>
            </w:r>
          </w:p>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Protecting employees is an important aspect of being sustainable and socially responsible, which may help I attract investors and collaborations.</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My knowledge of HSE (Health, Safety, Social Services, and Hazard) administration at the workplace increased as a result of my participation in this course.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became knowledgeable about the regulations that control the safety of the workplace.</w:t>
            </w:r>
          </w:p>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During the course of this session, I gained knowledge about the responsibilities that both employees and employers play in maintaining that a workplace is free from hazards.</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Management systems and the owners of businesses are responsible for ensuring a safe working environment for their employees (Loeppke et al., 2015). As an employer, you have the opportunity to encourage workers to adopt safe habits and make use of safety equipment through supporting safety policies and programs.</w:t>
            </w:r>
          </w:p>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The learning theoretical points should be applied in solving different case studies related to the health and safety at different real life based organisation.</w:t>
            </w:r>
          </w:p>
        </w:tc>
      </w:tr>
      <w:tr>
        <w:trPr>
          <w:trHeight w:val="1" w:hRule="atLeast"/>
          <w:jc w:val="left"/>
        </w:trPr>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Week 2</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Importance of health and safety at organisation</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Benefits of having a depth understanding on health and safety hazard. </w:t>
            </w:r>
          </w:p>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Accidents and deaths cost the business money. Both employers and workers may benefit from giving more attention to health and safety in the workplace. Health and safety rules are regarded criminal legislation in several nations, making compliance with them obligatory. If a senior executive breaks the law, they might face criminal charges, a monetary penalties, or even jail time.</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got an awareness for the importance of safety and health in the workplace, in addition to the apparent practical aspects that I could immediately put into practice.</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learned about the potential obstacles in my path as well as strategies for overcoming them. Once a threat has been identified discovered, an organization may decide to take action to reduce the level of danger posed by the issue. A couple of instances of what this might entail are the provision of personal protective equipment (PPE), the maintenance of equipment, and the establishment of safe operating procedures.</w:t>
            </w:r>
          </w:p>
          <w:p>
            <w:pPr>
              <w:spacing w:before="0" w:after="160" w:line="360"/>
              <w:ind w:right="0" w:left="0" w:firstLine="0"/>
              <w:jc w:val="both"/>
              <w:rPr>
                <w:color w:val="auto"/>
                <w:spacing w:val="0"/>
                <w:position w:val="0"/>
              </w:rPr>
            </w:pP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In order to effectively manage threats in the work environment, it is essential to have a solid understanding of the factors that contribute to such risks as well as the preventative actions that may be implemented. The session was really good and beneficial since the work was clearly defined. When I left, I knew precisely what I had to accomplish and turn in to establish where I remained and the areas I could continue working on to make development. The sessions was wonderful and beneficial. The worksheets and the examples that were given allowed me to obtain a better understanding of the dangers that may be found in the workplace.</w:t>
            </w:r>
          </w:p>
        </w:tc>
      </w:tr>
      <w:tr>
        <w:trPr>
          <w:trHeight w:val="1" w:hRule="atLeast"/>
          <w:jc w:val="left"/>
        </w:trPr>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Week 3</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Risk assessment and health and safety policy</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In-depth understanding on risk assessment categories that can add value at workplace for overcoming workplace threats.</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A thorough understanding on how risk management strategies can be applied at workplace for lowering workplace hazards. </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It is my understanding that any company that is concerned with ensuring that its workers have access to a safe and healthy working environment should make it a top priority to educate themselves on risk assessment. The potential dangers are compiled into a list, the likelihood of those dangers occurring is assessed, and any potential fallout from those dangers is taken into consideration (Gul, 2018). Conducting risk evaluations in order to unearth previously unknown threats may help companies and organizations avoid unfortunate occurrences. If a company is aware of the potential hazards in its workplace, it has the ability to take precautions to avoid potential mishaps. According to HOU et al. (2021), organizations might incur significant costs as a result of workplace accidents. By identifying potential hazards and adopting appropriate preventive measures, businesses have the opportunity to cut their accident-related expenses, which in turn results in cost savings. In this section, I will examine some of the more concrete advantages when conducting a risk assessment. One of these benefits is the enhancement of workplace safety, which benefits both companies and employees. If the procedures and laws are followed, one may determine whether or not the work has been finished to their satisfaction.</w:t>
            </w:r>
          </w:p>
        </w:tc>
      </w:tr>
      <w:tr>
        <w:trPr>
          <w:trHeight w:val="1" w:hRule="atLeast"/>
          <w:jc w:val="left"/>
        </w:trPr>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Week 4</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Health and safety within the workplace. Health and safety risk tools for management</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Having an in-depth knowledge on different risk management tools for reducing and eradicating hazards within the organisation culture. </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The practice of risk management is crucial because it equips businesses with the resources they need to effectively recognize and respond to possible threats. It is simple to lessen the impact of a threat once it has been discovered. Moreover, risk management gives a company a foundation on which to make rational choices.</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should engage myself in practical sessions related to health and safety management tools. It will enhance my practical knowledge properly beside theoretical knowledge.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Through this experience, I learned more about the causes of workplace dangers and how they affect workers. This would also serve as a barometer of people's relative risk aversion. The company and its workers may benefit from comparing possible outcomes with the use of safety methods and instruments, as well as any appropriate initiatives (Beck and Lenhardt, 2019).</w:t>
            </w:r>
          </w:p>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 should go for in-depth understanding on plans for the long haul that will help a lot of people maintain tabs on what's happening and why.</w:t>
            </w:r>
          </w:p>
        </w:tc>
      </w:tr>
      <w:tr>
        <w:trPr>
          <w:trHeight w:val="1" w:hRule="atLeast"/>
          <w:jc w:val="left"/>
        </w:trPr>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Week 5</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Identification of organisational workplace risks</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Risk identification at workplace within the right period so that risks </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By anticipating and naming potential threats, organizations may better prepare for them. The goal of this phase is to catalog every threat to corporate operations, from litigation and theft to data breaches and economic downturns. </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To improve matters, I plan to research the organization's preferred consequences for rule violating and use those concepts in forthcoming projects.</w:t>
            </w:r>
          </w:p>
        </w:tc>
      </w:tr>
      <w:tr>
        <w:trPr>
          <w:trHeight w:val="1" w:hRule="atLeast"/>
          <w:jc w:val="left"/>
        </w:trPr>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Week 6</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Water jug puzzle</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A thorough understanding on water jug puzzle process. Such as, one jug can contain 3 gallons of water, while the other can carry 4 gallons of water; this is the "water jug problem" from the field of intelligent machines. There is no other means of measurement, and the jugs themselves are unmarked.</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The target state in these puzzles is often defined in terms of the amount of liquid which needs to be present within a particular jug or jugs, and the number of steps required to attain this goal state is expressed as the number of pours from one container to another.</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 determined the ramifications for the thieves by figuring up the amount of water that would be required to fill all three glasses utilizing this procedure. Gold coins, assuming there is a sufficient amount to go around. Therefore to ensure that I could keep track of what I required to accomplish at all times, I created a circle with a pointed object in the centre to represent all of the details.</w:t>
            </w:r>
          </w:p>
        </w:tc>
      </w:tr>
      <w:tr>
        <w:trPr>
          <w:trHeight w:val="1" w:hRule="atLeast"/>
          <w:jc w:val="left"/>
        </w:trPr>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Week 7</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Velocity &amp; time excel</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A thorough understanding on usage of velocity in excel. Moreover, in-depth velocity and time excel learnings for analysing the workplace activity and assist workplace employees for better project management. </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Under this lecture session, I have been able to find out which velocity and time excel method can be used under which platform. </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By answering this question, we'll be better able to meet the demands of the many experts who will be using the data.</w:t>
            </w:r>
          </w:p>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Due to its importance in determining my score, I provided it a fast go and afterwards offered answers based on my knowledge and the materials supplied in the short. Learning how to calculate velocity and time in Excel may help users become better data analysts. This is useful in many different areas, such as economics, market analysis, and project administration. Project planning may benefit from using velocity and time calculations to estimate how long particular tasks are going to require and how much progress can be made in a certain amount of timeframe. Mastering Excel's time and velocity calculation features might improve resource management by illuminating areas of waste or weakness.</w:t>
            </w:r>
          </w:p>
        </w:tc>
      </w:tr>
      <w:tr>
        <w:trPr>
          <w:trHeight w:val="1" w:hRule="atLeast"/>
          <w:jc w:val="left"/>
        </w:trPr>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Week 8</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Session of libraries</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Thorough conduction related to health and safety at workplace by using different virtual library books, journals and articles.</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Such platform has been beneficial for me as it provides different case study ideas, and other researcher concepts related to health and safety.</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The library's collection presents a wide range of opinions on a variety of topics. I may get a more well-rounded awareness of the world by investigating other points of view. Libraries play an important role in the health and safety lecture for me because of the variety of ideas to which they expose them. I have been able to learn to think critically, weigh evidence, and draw my own judgments.</w:t>
            </w:r>
          </w:p>
        </w:tc>
      </w:tr>
      <w:tr>
        <w:trPr>
          <w:trHeight w:val="1" w:hRule="atLeast"/>
          <w:jc w:val="left"/>
        </w:trPr>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Week 9</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Composites </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The importance of composites for managing the organisation materials.</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Organisations with a focus on growth would do well to educate themselves about composites due to the many advantages they provide. I have been able to find out that organisations may benefit from learning about composite materials by creating new, cutting-edge goods that are more productive, long-lasting, and reasonably priced. This has the potential to increase output and provide firms an advantage in the market.</w:t>
            </w:r>
          </w:p>
        </w:tc>
        <w:tc>
          <w:tcPr>
            <w:tcW w:w="1912" w:type="dxa"/>
            <w:tcBorders>
              <w:top w:val="single" w:color="b2a1c7" w:sz="4"/>
              <w:left w:val="single" w:color="b2a1c7" w:sz="4"/>
              <w:bottom w:val="single" w:color="b2a1c7" w:sz="4"/>
              <w:right w:val="single" w:color="b2a1c7" w:sz="4"/>
            </w:tcBorders>
            <w:shd w:color="000000" w:fill="ffffff" w:val="clear"/>
            <w:tcMar>
              <w:left w:w="108" w:type="dxa"/>
              <w:right w:w="108" w:type="dxa"/>
            </w:tcMar>
            <w:vAlign w:val="top"/>
          </w:tcPr>
          <w:p>
            <w:pPr>
              <w:spacing w:before="0" w:after="160" w:line="36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I have been able to get an in-depth knowledge on managing the workplace materials. It is important for organisation to have a better understanding related to composite benefits and how it could be applied within the workplace. </w:t>
            </w:r>
          </w:p>
        </w:tc>
      </w:tr>
    </w:tbl>
    <w:p>
      <w:pPr>
        <w:keepNext w:val="true"/>
        <w:keepLines w:val="true"/>
        <w:spacing w:before="240" w:after="0" w:line="360"/>
        <w:ind w:right="0" w:left="0" w:firstLine="0"/>
        <w:jc w:val="both"/>
        <w:rPr>
          <w:rFonts w:ascii="Arial" w:hAnsi="Arial" w:cs="Arial" w:eastAsia="Arial"/>
          <w:b/>
          <w:color w:val="5F497A"/>
          <w:spacing w:val="0"/>
          <w:position w:val="0"/>
          <w:sz w:val="30"/>
          <w:shd w:fill="auto" w:val="clear"/>
        </w:rPr>
      </w:pPr>
      <w:r>
        <w:rPr>
          <w:rFonts w:ascii="Arial" w:hAnsi="Arial" w:cs="Arial" w:eastAsia="Arial"/>
          <w:b/>
          <w:color w:val="5F497A"/>
          <w:spacing w:val="0"/>
          <w:position w:val="0"/>
          <w:sz w:val="30"/>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Personal and professional growth may be greatly aided by engaging in reflective learning and analysis. It entails looking back at previous events and assessing myself for lessons that might help guide present and future choices. Assumptions and beliefs are challenged via reflective learning and analysis, which in turn fosters critical thinking. As a result, I may be better able to make decisions based on facts and data that I have learned from the health and safety learning session. Also, I may benefit from a growth mindset via reflective learning and analysis, which encourages them to see setbacks and difficulties as learning experiences.</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5F497A"/>
          <w:spacing w:val="0"/>
          <w:position w:val="0"/>
          <w:sz w:val="30"/>
          <w:shd w:fill="auto" w:val="clear"/>
        </w:rPr>
      </w:pPr>
      <w:r>
        <w:rPr>
          <w:rFonts w:ascii="Arial" w:hAnsi="Arial" w:cs="Arial" w:eastAsia="Arial"/>
          <w:b/>
          <w:color w:val="5F497A"/>
          <w:spacing w:val="0"/>
          <w:position w:val="0"/>
          <w:sz w:val="30"/>
          <w:shd w:fill="auto" w:val="clear"/>
        </w:rPr>
        <w:t xml:space="preserve">Bibliography </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Beck, D. and Lenhardt, U. (2019) Consideration of psychosocial factors in workplace risk assessments: findings from a company survey in Germany. </w:t>
      </w:r>
      <w:r>
        <w:rPr>
          <w:rFonts w:ascii="Arial" w:hAnsi="Arial" w:cs="Arial" w:eastAsia="Arial"/>
          <w:i/>
          <w:color w:val="auto"/>
          <w:spacing w:val="0"/>
          <w:position w:val="0"/>
          <w:sz w:val="24"/>
          <w:shd w:fill="auto" w:val="clear"/>
        </w:rPr>
        <w:t xml:space="preserve">International Archives of Occupational and Environmental Health</w:t>
      </w:r>
      <w:r>
        <w:rPr>
          <w:rFonts w:ascii="Arial" w:hAnsi="Arial" w:cs="Arial" w:eastAsia="Arial"/>
          <w:color w:val="auto"/>
          <w:spacing w:val="0"/>
          <w:position w:val="0"/>
          <w:sz w:val="24"/>
          <w:shd w:fill="auto" w:val="clear"/>
        </w:rPr>
        <w:t xml:space="preserve">, 92(3), pp.435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451. doi:https://doi.org/10.1007/s00420-019-01416-5.</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Gul, M. (2018) A review of occupational health and safety risk assessment approaches based on multi-criteria decision-making methods and their fuzzy versions. </w:t>
      </w:r>
      <w:r>
        <w:rPr>
          <w:rFonts w:ascii="Arial" w:hAnsi="Arial" w:cs="Arial" w:eastAsia="Arial"/>
          <w:i/>
          <w:color w:val="auto"/>
          <w:spacing w:val="0"/>
          <w:position w:val="0"/>
          <w:sz w:val="24"/>
          <w:shd w:fill="auto" w:val="clear"/>
        </w:rPr>
        <w:t xml:space="preserve">Human and Ecological Risk Assessment: An International Journal</w:t>
      </w:r>
      <w:r>
        <w:rPr>
          <w:rFonts w:ascii="Arial" w:hAnsi="Arial" w:cs="Arial" w:eastAsia="Arial"/>
          <w:color w:val="auto"/>
          <w:spacing w:val="0"/>
          <w:position w:val="0"/>
          <w:sz w:val="24"/>
          <w:shd w:fill="auto" w:val="clear"/>
        </w:rPr>
        <w:t xml:space="preserve">, 24(7), pp.1723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1760. doi:https://doi.org/10.1080/10807039.2018.1424531.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Loeppke, R.R., Hohn, T., Baase, C., Bunn, W.B., Burton, W.N., Eisenberg, B.S., Ennis, T., Fabius, R., Hawkins, R.J., Hudson, T.W., Hymel, P.A., Konicki, D., Larson, P., McLellan, R.K., Roberts, M.A., Usrey, C., Wallace, J.A., Yarborough, C.M. and Siuba, J. (2015) Integrating Health and Safety in the Workplace. </w:t>
      </w:r>
      <w:r>
        <w:rPr>
          <w:rFonts w:ascii="Arial" w:hAnsi="Arial" w:cs="Arial" w:eastAsia="Arial"/>
          <w:i/>
          <w:color w:val="auto"/>
          <w:spacing w:val="0"/>
          <w:position w:val="0"/>
          <w:sz w:val="24"/>
          <w:shd w:fill="auto" w:val="clear"/>
        </w:rPr>
        <w:t xml:space="preserve">Journal of Occupational and Environmental Medicine</w:t>
      </w:r>
      <w:r>
        <w:rPr>
          <w:rFonts w:ascii="Arial" w:hAnsi="Arial" w:cs="Arial" w:eastAsia="Arial"/>
          <w:color w:val="auto"/>
          <w:spacing w:val="0"/>
          <w:position w:val="0"/>
          <w:sz w:val="24"/>
          <w:shd w:fill="auto" w:val="clear"/>
        </w:rPr>
        <w:t xml:space="preserve">, [online] 57(5), pp.585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597. doi:https://doi.org/10.1097/jom.0000000000000467.</w:t>
      </w: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