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3B6DE4" w14:textId="2D9D2956" w:rsidR="00C070F2" w:rsidRDefault="00C070F2" w:rsidP="00BC3824">
      <w:pPr>
        <w:spacing w:line="360" w:lineRule="auto"/>
        <w:jc w:val="center"/>
        <w:rPr>
          <w:rFonts w:ascii="Arial" w:hAnsi="Arial" w:cs="Arial"/>
          <w:b/>
          <w:bCs/>
          <w:sz w:val="32"/>
          <w:szCs w:val="32"/>
        </w:rPr>
      </w:pPr>
      <w:r>
        <w:rPr>
          <w:rFonts w:ascii="Arial" w:hAnsi="Arial" w:cs="Arial"/>
          <w:b/>
          <w:bCs/>
          <w:sz w:val="32"/>
          <w:szCs w:val="32"/>
        </w:rPr>
        <w:br/>
      </w:r>
      <w:r>
        <w:rPr>
          <w:rFonts w:ascii="Arial" w:hAnsi="Arial" w:cs="Arial"/>
          <w:b/>
          <w:bCs/>
          <w:sz w:val="32"/>
          <w:szCs w:val="32"/>
        </w:rPr>
        <w:br/>
      </w:r>
      <w:r>
        <w:rPr>
          <w:rFonts w:ascii="Arial" w:hAnsi="Arial" w:cs="Arial"/>
          <w:b/>
          <w:bCs/>
          <w:sz w:val="32"/>
          <w:szCs w:val="32"/>
        </w:rPr>
        <w:br/>
      </w:r>
      <w:r>
        <w:rPr>
          <w:rFonts w:ascii="Arial" w:hAnsi="Arial" w:cs="Arial"/>
          <w:b/>
          <w:bCs/>
          <w:sz w:val="32"/>
          <w:szCs w:val="32"/>
        </w:rPr>
        <w:br/>
      </w:r>
      <w:r>
        <w:rPr>
          <w:rFonts w:ascii="Arial" w:hAnsi="Arial" w:cs="Arial"/>
          <w:b/>
          <w:bCs/>
          <w:sz w:val="32"/>
          <w:szCs w:val="32"/>
        </w:rPr>
        <w:br/>
      </w:r>
      <w:r>
        <w:rPr>
          <w:rFonts w:ascii="Arial" w:hAnsi="Arial" w:cs="Arial"/>
          <w:b/>
          <w:bCs/>
          <w:sz w:val="32"/>
          <w:szCs w:val="32"/>
        </w:rPr>
        <w:br/>
        <w:t>STUDENT NAME: CASIANA ADRIANA DANCI</w:t>
      </w:r>
      <w:r>
        <w:rPr>
          <w:rFonts w:ascii="Arial" w:hAnsi="Arial" w:cs="Arial"/>
          <w:b/>
          <w:bCs/>
          <w:sz w:val="32"/>
          <w:szCs w:val="32"/>
        </w:rPr>
        <w:br/>
        <w:t>STUDENT ID: 2225536</w:t>
      </w:r>
      <w:r>
        <w:rPr>
          <w:rFonts w:ascii="Arial" w:hAnsi="Arial" w:cs="Arial"/>
          <w:b/>
          <w:bCs/>
          <w:sz w:val="32"/>
          <w:szCs w:val="32"/>
        </w:rPr>
        <w:br/>
        <w:t>LECTURER NAME: KHAI LE</w:t>
      </w:r>
      <w:r>
        <w:rPr>
          <w:rFonts w:ascii="Arial" w:hAnsi="Arial" w:cs="Arial"/>
          <w:b/>
          <w:bCs/>
          <w:sz w:val="32"/>
          <w:szCs w:val="32"/>
        </w:rPr>
        <w:br/>
        <w:t>PROGRAME: BA BUSINESS MANAGEMENT</w:t>
      </w:r>
      <w:r>
        <w:rPr>
          <w:rFonts w:ascii="Arial" w:hAnsi="Arial" w:cs="Arial"/>
          <w:b/>
          <w:bCs/>
          <w:sz w:val="32"/>
          <w:szCs w:val="32"/>
        </w:rPr>
        <w:br/>
        <w:t>MODULE: MANAGEMENT ECONOMICS</w:t>
      </w:r>
      <w:r>
        <w:rPr>
          <w:rFonts w:ascii="Arial" w:hAnsi="Arial" w:cs="Arial"/>
          <w:b/>
          <w:bCs/>
          <w:sz w:val="32"/>
          <w:szCs w:val="32"/>
        </w:rPr>
        <w:br/>
        <w:t>MODULE CODE: LCBB5008</w:t>
      </w:r>
    </w:p>
    <w:p w14:paraId="036907CD" w14:textId="77777777" w:rsidR="00C070F2" w:rsidRDefault="00C070F2" w:rsidP="00BC3824">
      <w:pPr>
        <w:spacing w:line="360" w:lineRule="auto"/>
        <w:jc w:val="center"/>
        <w:rPr>
          <w:rFonts w:ascii="Arial" w:hAnsi="Arial" w:cs="Arial"/>
          <w:b/>
          <w:bCs/>
          <w:sz w:val="32"/>
          <w:szCs w:val="32"/>
        </w:rPr>
      </w:pPr>
    </w:p>
    <w:p w14:paraId="277F4E23" w14:textId="758A6F39" w:rsidR="00C070F2" w:rsidRDefault="00C070F2">
      <w:pPr>
        <w:rPr>
          <w:rFonts w:ascii="Arial" w:hAnsi="Arial" w:cs="Arial"/>
          <w:b/>
          <w:bCs/>
          <w:sz w:val="32"/>
          <w:szCs w:val="32"/>
        </w:rPr>
      </w:pPr>
      <w:r>
        <w:rPr>
          <w:rFonts w:ascii="Arial" w:hAnsi="Arial" w:cs="Arial"/>
          <w:b/>
          <w:bCs/>
          <w:sz w:val="32"/>
          <w:szCs w:val="32"/>
        </w:rPr>
        <w:br/>
      </w:r>
    </w:p>
    <w:p w14:paraId="5AD9DB23" w14:textId="77777777" w:rsidR="00C070F2" w:rsidRDefault="00C070F2">
      <w:pPr>
        <w:rPr>
          <w:rFonts w:ascii="Arial" w:hAnsi="Arial" w:cs="Arial"/>
          <w:b/>
          <w:bCs/>
          <w:sz w:val="32"/>
          <w:szCs w:val="32"/>
        </w:rPr>
      </w:pPr>
      <w:r>
        <w:rPr>
          <w:rFonts w:ascii="Arial" w:hAnsi="Arial" w:cs="Arial"/>
          <w:b/>
          <w:bCs/>
          <w:sz w:val="32"/>
          <w:szCs w:val="32"/>
        </w:rPr>
        <w:br w:type="page"/>
      </w:r>
    </w:p>
    <w:p w14:paraId="4CF531F5" w14:textId="075CD595" w:rsidR="00C070F2" w:rsidRDefault="00C070F2">
      <w:pPr>
        <w:rPr>
          <w:rFonts w:ascii="Arial" w:hAnsi="Arial" w:cs="Arial"/>
          <w:b/>
          <w:bCs/>
          <w:sz w:val="32"/>
          <w:szCs w:val="32"/>
        </w:rPr>
      </w:pPr>
    </w:p>
    <w:p w14:paraId="47ABFE1A" w14:textId="739D17FA" w:rsidR="00CD21D5" w:rsidRPr="000D2125" w:rsidRDefault="000D2125" w:rsidP="00262EE1">
      <w:pPr>
        <w:rPr>
          <w:rFonts w:ascii="Arial" w:hAnsi="Arial" w:cs="Arial"/>
          <w:b/>
          <w:bCs/>
          <w:sz w:val="32"/>
          <w:szCs w:val="32"/>
        </w:rPr>
      </w:pPr>
      <w:r>
        <w:rPr>
          <w:rFonts w:ascii="Arial" w:hAnsi="Arial" w:cs="Arial"/>
          <w:b/>
          <w:bCs/>
          <w:sz w:val="32"/>
          <w:szCs w:val="32"/>
        </w:rPr>
        <w:br/>
      </w:r>
      <w:r>
        <w:rPr>
          <w:rFonts w:ascii="Arial" w:hAnsi="Arial" w:cs="Arial"/>
          <w:b/>
          <w:bCs/>
          <w:sz w:val="32"/>
          <w:szCs w:val="32"/>
        </w:rPr>
        <w:br/>
      </w:r>
      <w:r>
        <w:rPr>
          <w:rFonts w:ascii="Arial" w:hAnsi="Arial" w:cs="Arial"/>
          <w:b/>
          <w:bCs/>
          <w:sz w:val="32"/>
          <w:szCs w:val="32"/>
        </w:rPr>
        <w:br/>
      </w:r>
      <w:r>
        <w:rPr>
          <w:rFonts w:ascii="Arial" w:hAnsi="Arial" w:cs="Arial"/>
          <w:b/>
          <w:bCs/>
          <w:sz w:val="32"/>
          <w:szCs w:val="32"/>
        </w:rPr>
        <w:br/>
      </w:r>
      <w:r>
        <w:rPr>
          <w:rFonts w:ascii="Arial" w:hAnsi="Arial" w:cs="Arial"/>
          <w:b/>
          <w:bCs/>
          <w:sz w:val="32"/>
          <w:szCs w:val="32"/>
        </w:rPr>
        <w:br/>
      </w:r>
    </w:p>
    <w:p w14:paraId="0510B1A7" w14:textId="77777777" w:rsidR="00784ECF" w:rsidRDefault="00784ECF">
      <w:pPr>
        <w:pStyle w:val="TOC1"/>
        <w:tabs>
          <w:tab w:val="right" w:leader="dot" w:pos="10456"/>
        </w:tabs>
        <w:rPr>
          <w:rFonts w:eastAsiaTheme="minorEastAsia"/>
          <w:noProof/>
          <w:sz w:val="24"/>
          <w:szCs w:val="24"/>
          <w:lang w:eastAsia="en-GB"/>
        </w:rPr>
      </w:pPr>
      <w:r>
        <w:rPr>
          <w:rFonts w:ascii="Arial" w:hAnsi="Arial" w:cs="Arial"/>
          <w:b/>
          <w:bCs/>
          <w:sz w:val="32"/>
          <w:szCs w:val="32"/>
        </w:rPr>
        <w:fldChar w:fldCharType="begin"/>
      </w:r>
      <w:r>
        <w:rPr>
          <w:rFonts w:ascii="Arial" w:hAnsi="Arial" w:cs="Arial"/>
          <w:b/>
          <w:bCs/>
          <w:sz w:val="32"/>
          <w:szCs w:val="32"/>
        </w:rPr>
        <w:instrText xml:space="preserve"> TOC \o "1-3" \h \z \u </w:instrText>
      </w:r>
      <w:r>
        <w:rPr>
          <w:rFonts w:ascii="Arial" w:hAnsi="Arial" w:cs="Arial"/>
          <w:b/>
          <w:bCs/>
          <w:sz w:val="32"/>
          <w:szCs w:val="32"/>
        </w:rPr>
        <w:fldChar w:fldCharType="separate"/>
      </w:r>
    </w:p>
    <w:p w14:paraId="2A9C392E" w14:textId="2679988C" w:rsidR="00784ECF" w:rsidRPr="00651FE7" w:rsidRDefault="00784ECF" w:rsidP="00651FE7">
      <w:pPr>
        <w:pStyle w:val="TOCHeading"/>
      </w:pPr>
    </w:p>
    <w:p w14:paraId="196B4D62" w14:textId="77777777" w:rsidR="00262EE1" w:rsidRPr="000D2125" w:rsidRDefault="00784ECF" w:rsidP="00BC3824">
      <w:pPr>
        <w:spacing w:line="360" w:lineRule="auto"/>
        <w:jc w:val="center"/>
        <w:rPr>
          <w:rFonts w:ascii="Arial" w:hAnsi="Arial" w:cs="Arial"/>
          <w:b/>
          <w:bCs/>
          <w:sz w:val="32"/>
          <w:szCs w:val="32"/>
        </w:rPr>
      </w:pPr>
      <w:r>
        <w:rPr>
          <w:rFonts w:ascii="Arial" w:hAnsi="Arial" w:cs="Arial"/>
          <w:b/>
          <w:bCs/>
          <w:sz w:val="32"/>
          <w:szCs w:val="32"/>
        </w:rPr>
        <w:fldChar w:fldCharType="end"/>
      </w:r>
    </w:p>
    <w:sdt>
      <w:sdtPr>
        <w:id w:val="1412886762"/>
        <w:docPartObj>
          <w:docPartGallery w:val="Table of Contents"/>
          <w:docPartUnique/>
        </w:docPartObj>
      </w:sdtPr>
      <w:sdtEndPr>
        <w:rPr>
          <w:rFonts w:eastAsiaTheme="minorHAnsi" w:cs="Arial"/>
          <w:bCs/>
          <w:color w:val="auto"/>
          <w:kern w:val="2"/>
          <w:sz w:val="22"/>
          <w:szCs w:val="22"/>
          <w:lang w:eastAsia="en-US"/>
          <w14:ligatures w14:val="standardContextual"/>
        </w:rPr>
      </w:sdtEndPr>
      <w:sdtContent>
        <w:p w14:paraId="44846BE3" w14:textId="6BBD0B03" w:rsidR="00262EE1" w:rsidRDefault="00262EE1">
          <w:pPr>
            <w:pStyle w:val="TOCHeading"/>
          </w:pPr>
          <w:r>
            <w:t>Table of Contents</w:t>
          </w:r>
          <w:r w:rsidR="00E048E7">
            <w:br/>
          </w:r>
        </w:p>
        <w:p w14:paraId="6B3BE8AF" w14:textId="717A135C" w:rsidR="00E048E7" w:rsidRPr="00E048E7" w:rsidRDefault="00262EE1" w:rsidP="00E048E7">
          <w:pPr>
            <w:pStyle w:val="TOC1"/>
            <w:tabs>
              <w:tab w:val="right" w:leader="dot" w:pos="10456"/>
            </w:tabs>
            <w:spacing w:line="360" w:lineRule="auto"/>
            <w:rPr>
              <w:rFonts w:ascii="Arial" w:eastAsiaTheme="minorEastAsia" w:hAnsi="Arial" w:cs="Arial"/>
              <w:noProof/>
              <w:lang w:eastAsia="en-GB"/>
            </w:rPr>
          </w:pPr>
          <w:r w:rsidRPr="00E048E7">
            <w:rPr>
              <w:rFonts w:ascii="Arial" w:hAnsi="Arial" w:cs="Arial"/>
            </w:rPr>
            <w:fldChar w:fldCharType="begin"/>
          </w:r>
          <w:r w:rsidRPr="00E048E7">
            <w:rPr>
              <w:rFonts w:ascii="Arial" w:hAnsi="Arial" w:cs="Arial"/>
            </w:rPr>
            <w:instrText xml:space="preserve"> TOC \o "1-3" \h \z \u </w:instrText>
          </w:r>
          <w:r w:rsidRPr="00E048E7">
            <w:rPr>
              <w:rFonts w:ascii="Arial" w:hAnsi="Arial" w:cs="Arial"/>
            </w:rPr>
            <w:fldChar w:fldCharType="separate"/>
          </w:r>
          <w:hyperlink w:anchor="_Toc180323809" w:history="1">
            <w:r w:rsidR="00E048E7" w:rsidRPr="00E048E7">
              <w:rPr>
                <w:rStyle w:val="Hyperlink"/>
                <w:rFonts w:ascii="Arial" w:hAnsi="Arial" w:cs="Arial"/>
                <w:noProof/>
              </w:rPr>
              <w:t>Introduction</w:t>
            </w:r>
            <w:r w:rsidR="00E048E7" w:rsidRPr="00E048E7">
              <w:rPr>
                <w:rFonts w:ascii="Arial" w:hAnsi="Arial" w:cs="Arial"/>
                <w:noProof/>
                <w:webHidden/>
              </w:rPr>
              <w:tab/>
            </w:r>
            <w:r w:rsidR="00E048E7" w:rsidRPr="00E048E7">
              <w:rPr>
                <w:rFonts w:ascii="Arial" w:hAnsi="Arial" w:cs="Arial"/>
                <w:noProof/>
                <w:webHidden/>
              </w:rPr>
              <w:fldChar w:fldCharType="begin"/>
            </w:r>
            <w:r w:rsidR="00E048E7" w:rsidRPr="00E048E7">
              <w:rPr>
                <w:rFonts w:ascii="Arial" w:hAnsi="Arial" w:cs="Arial"/>
                <w:noProof/>
                <w:webHidden/>
              </w:rPr>
              <w:instrText xml:space="preserve"> PAGEREF _Toc180323809 \h </w:instrText>
            </w:r>
            <w:r w:rsidR="00E048E7" w:rsidRPr="00E048E7">
              <w:rPr>
                <w:rFonts w:ascii="Arial" w:hAnsi="Arial" w:cs="Arial"/>
                <w:noProof/>
                <w:webHidden/>
              </w:rPr>
            </w:r>
            <w:r w:rsidR="00E048E7" w:rsidRPr="00E048E7">
              <w:rPr>
                <w:rFonts w:ascii="Arial" w:hAnsi="Arial" w:cs="Arial"/>
                <w:noProof/>
                <w:webHidden/>
              </w:rPr>
              <w:fldChar w:fldCharType="separate"/>
            </w:r>
            <w:r w:rsidR="00E048E7" w:rsidRPr="00E048E7">
              <w:rPr>
                <w:rFonts w:ascii="Arial" w:hAnsi="Arial" w:cs="Arial"/>
                <w:noProof/>
                <w:webHidden/>
              </w:rPr>
              <w:t>2</w:t>
            </w:r>
            <w:r w:rsidR="00E048E7" w:rsidRPr="00E048E7">
              <w:rPr>
                <w:rFonts w:ascii="Arial" w:hAnsi="Arial" w:cs="Arial"/>
                <w:noProof/>
                <w:webHidden/>
              </w:rPr>
              <w:fldChar w:fldCharType="end"/>
            </w:r>
          </w:hyperlink>
          <w:r w:rsidR="00E048E7" w:rsidRPr="00E048E7">
            <w:rPr>
              <w:rStyle w:val="Hyperlink"/>
              <w:rFonts w:ascii="Arial" w:hAnsi="Arial" w:cs="Arial"/>
              <w:noProof/>
            </w:rPr>
            <w:br/>
          </w:r>
          <w:r w:rsidR="00E048E7" w:rsidRPr="00E048E7">
            <w:rPr>
              <w:rFonts w:ascii="Arial" w:eastAsiaTheme="minorEastAsia" w:hAnsi="Arial" w:cs="Arial"/>
              <w:noProof/>
              <w:lang w:eastAsia="en-GB"/>
            </w:rPr>
            <w:t>Profit Maximisation Theory in the Context of the UK Mobile Network Industry</w:t>
          </w:r>
          <w:r w:rsidR="00E048E7" w:rsidRPr="00E048E7">
            <w:rPr>
              <w:rFonts w:ascii="Arial" w:eastAsiaTheme="minorEastAsia" w:hAnsi="Arial" w:cs="Arial"/>
              <w:noProof/>
              <w:lang w:eastAsia="en-GB"/>
            </w:rPr>
            <w:t xml:space="preserve"> ..………………………………</w:t>
          </w:r>
          <w:r w:rsidR="00E048E7">
            <w:rPr>
              <w:rFonts w:ascii="Arial" w:eastAsiaTheme="minorEastAsia" w:hAnsi="Arial" w:cs="Arial"/>
              <w:noProof/>
              <w:lang w:eastAsia="en-GB"/>
            </w:rPr>
            <w:t xml:space="preserve"> </w:t>
          </w:r>
          <w:r w:rsidR="00E048E7" w:rsidRPr="00E048E7">
            <w:rPr>
              <w:rFonts w:ascii="Arial" w:eastAsiaTheme="minorEastAsia" w:hAnsi="Arial" w:cs="Arial"/>
              <w:noProof/>
              <w:lang w:eastAsia="en-GB"/>
            </w:rPr>
            <w:t>3</w:t>
          </w:r>
          <w:r w:rsidR="00E048E7" w:rsidRPr="00E048E7">
            <w:rPr>
              <w:rFonts w:ascii="Arial" w:eastAsiaTheme="minorEastAsia" w:hAnsi="Arial" w:cs="Arial"/>
              <w:noProof/>
              <w:lang w:eastAsia="en-GB"/>
            </w:rPr>
            <w:br/>
          </w:r>
          <w:r w:rsidR="00E048E7" w:rsidRPr="00E048E7">
            <w:rPr>
              <w:rFonts w:ascii="Arial" w:eastAsiaTheme="minorEastAsia" w:hAnsi="Arial" w:cs="Arial"/>
              <w:noProof/>
              <w:lang w:eastAsia="en-GB"/>
            </w:rPr>
            <w:t>Economic Theories and Concepts in the UK Mobile Network Industry</w:t>
          </w:r>
          <w:r w:rsidR="00E048E7" w:rsidRPr="00E048E7">
            <w:rPr>
              <w:rFonts w:ascii="Arial" w:eastAsiaTheme="minorEastAsia" w:hAnsi="Arial" w:cs="Arial"/>
              <w:noProof/>
              <w:lang w:eastAsia="en-GB"/>
            </w:rPr>
            <w:t xml:space="preserve"> .………………………………………</w:t>
          </w:r>
          <w:r w:rsidR="00E048E7">
            <w:rPr>
              <w:rFonts w:ascii="Arial" w:eastAsiaTheme="minorEastAsia" w:hAnsi="Arial" w:cs="Arial"/>
              <w:noProof/>
              <w:lang w:eastAsia="en-GB"/>
            </w:rPr>
            <w:t xml:space="preserve">.. </w:t>
          </w:r>
          <w:r w:rsidR="00E048E7" w:rsidRPr="00E048E7">
            <w:rPr>
              <w:rFonts w:ascii="Arial" w:eastAsiaTheme="minorEastAsia" w:hAnsi="Arial" w:cs="Arial"/>
              <w:noProof/>
              <w:lang w:eastAsia="en-GB"/>
            </w:rPr>
            <w:t>4</w:t>
          </w:r>
        </w:p>
        <w:p w14:paraId="745A7B7B" w14:textId="3D1C7D4E" w:rsidR="00E048E7" w:rsidRPr="00E048E7" w:rsidRDefault="00E048E7" w:rsidP="00E048E7">
          <w:pPr>
            <w:pStyle w:val="TOC1"/>
            <w:tabs>
              <w:tab w:val="right" w:leader="dot" w:pos="10456"/>
            </w:tabs>
            <w:spacing w:line="360" w:lineRule="auto"/>
            <w:rPr>
              <w:rFonts w:ascii="Arial" w:eastAsiaTheme="minorEastAsia" w:hAnsi="Arial" w:cs="Arial"/>
              <w:noProof/>
              <w:lang w:eastAsia="en-GB"/>
            </w:rPr>
          </w:pPr>
          <w:hyperlink w:anchor="_Toc180323810" w:history="1">
            <w:r w:rsidRPr="00E048E7">
              <w:rPr>
                <w:rStyle w:val="Hyperlink"/>
                <w:rFonts w:ascii="Arial" w:hAnsi="Arial" w:cs="Arial"/>
                <w:noProof/>
              </w:rPr>
              <w:t>Recommendations for Sustainable Growth in the UK Mobile Network Industry</w:t>
            </w:r>
            <w:r w:rsidRPr="00E048E7">
              <w:rPr>
                <w:rFonts w:ascii="Arial" w:hAnsi="Arial" w:cs="Arial"/>
                <w:noProof/>
                <w:webHidden/>
              </w:rPr>
              <w:tab/>
            </w:r>
            <w:r w:rsidRPr="00E048E7">
              <w:rPr>
                <w:rFonts w:ascii="Arial" w:hAnsi="Arial" w:cs="Arial"/>
                <w:noProof/>
                <w:webHidden/>
              </w:rPr>
              <w:fldChar w:fldCharType="begin"/>
            </w:r>
            <w:r w:rsidRPr="00E048E7">
              <w:rPr>
                <w:rFonts w:ascii="Arial" w:hAnsi="Arial" w:cs="Arial"/>
                <w:noProof/>
                <w:webHidden/>
              </w:rPr>
              <w:instrText xml:space="preserve"> PAGEREF _Toc180323810 \h </w:instrText>
            </w:r>
            <w:r w:rsidRPr="00E048E7">
              <w:rPr>
                <w:rFonts w:ascii="Arial" w:hAnsi="Arial" w:cs="Arial"/>
                <w:noProof/>
                <w:webHidden/>
              </w:rPr>
            </w:r>
            <w:r w:rsidRPr="00E048E7">
              <w:rPr>
                <w:rFonts w:ascii="Arial" w:hAnsi="Arial" w:cs="Arial"/>
                <w:noProof/>
                <w:webHidden/>
              </w:rPr>
              <w:fldChar w:fldCharType="separate"/>
            </w:r>
            <w:r w:rsidRPr="00E048E7">
              <w:rPr>
                <w:rFonts w:ascii="Arial" w:hAnsi="Arial" w:cs="Arial"/>
                <w:noProof/>
                <w:webHidden/>
              </w:rPr>
              <w:t>5</w:t>
            </w:r>
            <w:r w:rsidRPr="00E048E7">
              <w:rPr>
                <w:rFonts w:ascii="Arial" w:hAnsi="Arial" w:cs="Arial"/>
                <w:noProof/>
                <w:webHidden/>
              </w:rPr>
              <w:fldChar w:fldCharType="end"/>
            </w:r>
          </w:hyperlink>
        </w:p>
        <w:p w14:paraId="4E400BE7" w14:textId="5B2FB8E7" w:rsidR="00E048E7" w:rsidRPr="00E048E7" w:rsidRDefault="00E048E7" w:rsidP="00E048E7">
          <w:pPr>
            <w:pStyle w:val="TOC1"/>
            <w:tabs>
              <w:tab w:val="right" w:leader="dot" w:pos="10456"/>
            </w:tabs>
            <w:spacing w:line="360" w:lineRule="auto"/>
            <w:rPr>
              <w:rFonts w:ascii="Arial" w:eastAsiaTheme="minorEastAsia" w:hAnsi="Arial" w:cs="Arial"/>
              <w:noProof/>
              <w:lang w:eastAsia="en-GB"/>
            </w:rPr>
          </w:pPr>
          <w:hyperlink w:anchor="_Toc180323811" w:history="1">
            <w:r w:rsidRPr="00E048E7">
              <w:rPr>
                <w:rStyle w:val="Hyperlink"/>
                <w:rFonts w:ascii="Arial" w:hAnsi="Arial" w:cs="Arial"/>
                <w:noProof/>
              </w:rPr>
              <w:t>Conclusion</w:t>
            </w:r>
            <w:r w:rsidRPr="00E048E7">
              <w:rPr>
                <w:rFonts w:ascii="Arial" w:hAnsi="Arial" w:cs="Arial"/>
                <w:noProof/>
                <w:webHidden/>
              </w:rPr>
              <w:tab/>
            </w:r>
            <w:r w:rsidRPr="00E048E7">
              <w:rPr>
                <w:rFonts w:ascii="Arial" w:hAnsi="Arial" w:cs="Arial"/>
                <w:noProof/>
                <w:webHidden/>
              </w:rPr>
              <w:fldChar w:fldCharType="begin"/>
            </w:r>
            <w:r w:rsidRPr="00E048E7">
              <w:rPr>
                <w:rFonts w:ascii="Arial" w:hAnsi="Arial" w:cs="Arial"/>
                <w:noProof/>
                <w:webHidden/>
              </w:rPr>
              <w:instrText xml:space="preserve"> PAGEREF _Toc180323811 \h </w:instrText>
            </w:r>
            <w:r w:rsidRPr="00E048E7">
              <w:rPr>
                <w:rFonts w:ascii="Arial" w:hAnsi="Arial" w:cs="Arial"/>
                <w:noProof/>
                <w:webHidden/>
              </w:rPr>
            </w:r>
            <w:r w:rsidRPr="00E048E7">
              <w:rPr>
                <w:rFonts w:ascii="Arial" w:hAnsi="Arial" w:cs="Arial"/>
                <w:noProof/>
                <w:webHidden/>
              </w:rPr>
              <w:fldChar w:fldCharType="separate"/>
            </w:r>
            <w:r w:rsidRPr="00E048E7">
              <w:rPr>
                <w:rFonts w:ascii="Arial" w:hAnsi="Arial" w:cs="Arial"/>
                <w:noProof/>
                <w:webHidden/>
              </w:rPr>
              <w:t>7</w:t>
            </w:r>
            <w:r w:rsidRPr="00E048E7">
              <w:rPr>
                <w:rFonts w:ascii="Arial" w:hAnsi="Arial" w:cs="Arial"/>
                <w:noProof/>
                <w:webHidden/>
              </w:rPr>
              <w:fldChar w:fldCharType="end"/>
            </w:r>
          </w:hyperlink>
        </w:p>
        <w:p w14:paraId="272BC1A7" w14:textId="7DE046E2" w:rsidR="00262EE1" w:rsidRPr="00E048E7" w:rsidRDefault="00262EE1" w:rsidP="00E048E7">
          <w:pPr>
            <w:spacing w:line="360" w:lineRule="auto"/>
            <w:rPr>
              <w:rFonts w:ascii="Arial" w:hAnsi="Arial" w:cs="Arial"/>
            </w:rPr>
          </w:pPr>
          <w:r w:rsidRPr="00E048E7">
            <w:rPr>
              <w:rFonts w:ascii="Arial" w:hAnsi="Arial" w:cs="Arial"/>
              <w:b/>
              <w:bCs/>
            </w:rPr>
            <w:fldChar w:fldCharType="end"/>
          </w:r>
          <w:r w:rsidR="00E048E7" w:rsidRPr="00E048E7">
            <w:rPr>
              <w:rFonts w:ascii="Arial" w:hAnsi="Arial" w:cs="Arial"/>
            </w:rPr>
            <w:t>References</w:t>
          </w:r>
          <w:r w:rsidR="00E048E7" w:rsidRPr="00E048E7">
            <w:rPr>
              <w:rFonts w:ascii="Arial" w:hAnsi="Arial" w:cs="Arial"/>
            </w:rPr>
            <w:t xml:space="preserve"> ……………………………………………………………………………………………………………</w:t>
          </w:r>
          <w:r w:rsidR="00E048E7">
            <w:rPr>
              <w:rFonts w:ascii="Arial" w:hAnsi="Arial" w:cs="Arial"/>
            </w:rPr>
            <w:t xml:space="preserve"> </w:t>
          </w:r>
          <w:r w:rsidR="00E048E7" w:rsidRPr="00E048E7">
            <w:rPr>
              <w:rFonts w:ascii="Arial" w:hAnsi="Arial" w:cs="Arial"/>
            </w:rPr>
            <w:t>8</w:t>
          </w:r>
        </w:p>
      </w:sdtContent>
    </w:sdt>
    <w:p w14:paraId="37A6E3DF" w14:textId="38D9DFCB" w:rsidR="00651FE7" w:rsidRPr="000D2125" w:rsidRDefault="00651FE7" w:rsidP="00BC3824">
      <w:pPr>
        <w:spacing w:line="360" w:lineRule="auto"/>
        <w:jc w:val="center"/>
        <w:rPr>
          <w:rFonts w:ascii="Arial" w:hAnsi="Arial" w:cs="Arial"/>
          <w:b/>
          <w:bCs/>
          <w:sz w:val="32"/>
          <w:szCs w:val="32"/>
        </w:rPr>
      </w:pPr>
    </w:p>
    <w:p w14:paraId="32D642F2" w14:textId="4D0E462C" w:rsidR="003E51EC" w:rsidRPr="000D2125" w:rsidRDefault="000D2125" w:rsidP="00BC3824">
      <w:pPr>
        <w:spacing w:line="360" w:lineRule="auto"/>
        <w:jc w:val="center"/>
        <w:rPr>
          <w:rFonts w:ascii="Arial" w:hAnsi="Arial" w:cs="Arial"/>
          <w:b/>
          <w:bCs/>
          <w:sz w:val="32"/>
          <w:szCs w:val="32"/>
        </w:rPr>
      </w:pPr>
      <w:r>
        <w:rPr>
          <w:rFonts w:ascii="Arial" w:hAnsi="Arial" w:cs="Arial"/>
          <w:b/>
          <w:bCs/>
          <w:sz w:val="32"/>
          <w:szCs w:val="32"/>
        </w:rPr>
        <w:br/>
      </w:r>
    </w:p>
    <w:p w14:paraId="54C518EC" w14:textId="142FC1D8" w:rsidR="000D2125" w:rsidRDefault="003E51EC" w:rsidP="00BC3824">
      <w:pPr>
        <w:spacing w:line="360" w:lineRule="auto"/>
      </w:pPr>
      <w:r>
        <w:br w:type="page"/>
      </w:r>
    </w:p>
    <w:p w14:paraId="77B05E4F" w14:textId="7FC601AB" w:rsidR="000D2125" w:rsidRPr="00CD21D5" w:rsidRDefault="003E51EC" w:rsidP="00BC3824">
      <w:pPr>
        <w:tabs>
          <w:tab w:val="left" w:pos="6324"/>
        </w:tabs>
        <w:spacing w:line="360" w:lineRule="auto"/>
        <w:rPr>
          <w:rStyle w:val="Heading2Char"/>
        </w:rPr>
      </w:pPr>
      <w:bookmarkStart w:id="0" w:name="_Toc180273760"/>
      <w:bookmarkStart w:id="1" w:name="_Toc180274515"/>
      <w:bookmarkStart w:id="2" w:name="_Toc180274521"/>
      <w:bookmarkStart w:id="3" w:name="_Toc180274861"/>
      <w:bookmarkStart w:id="4" w:name="_Toc180275111"/>
      <w:bookmarkStart w:id="5" w:name="_Toc180323809"/>
      <w:r w:rsidRPr="00262EE1">
        <w:rPr>
          <w:rStyle w:val="Heading1Char"/>
        </w:rPr>
        <w:lastRenderedPageBreak/>
        <w:t>Introduction</w:t>
      </w:r>
      <w:bookmarkEnd w:id="0"/>
      <w:bookmarkEnd w:id="1"/>
      <w:bookmarkEnd w:id="2"/>
      <w:bookmarkEnd w:id="3"/>
      <w:bookmarkEnd w:id="4"/>
      <w:bookmarkEnd w:id="5"/>
      <w:r w:rsidRPr="00262EE1">
        <w:rPr>
          <w:rStyle w:val="Heading1Char"/>
        </w:rPr>
        <w:br/>
      </w:r>
      <w:r w:rsidRPr="003E51EC">
        <w:rPr>
          <w:b/>
          <w:bCs/>
        </w:rPr>
        <w:br/>
      </w:r>
      <w:r w:rsidRPr="003E51EC">
        <w:rPr>
          <w:rFonts w:ascii="Arial" w:hAnsi="Arial" w:cs="Arial"/>
        </w:rPr>
        <w:t>The UK mobile network industry has experienced significant changes over the past few years, shaped by technological advancements, regulatory shifts, and evolving consumer expectations. Key players include major operators like Vodafone, BT (EE), Three, and O2, as well as various MVNOs (Mobile Virtual Network Operators).</w:t>
      </w:r>
      <w:r w:rsidR="00DB2EE4">
        <w:rPr>
          <w:rFonts w:ascii="Arial" w:hAnsi="Arial" w:cs="Arial"/>
        </w:rPr>
        <w:br/>
      </w:r>
      <w:r w:rsidR="0033235B" w:rsidRPr="00651FE7">
        <w:rPr>
          <w:rFonts w:ascii="Arial" w:hAnsi="Arial" w:cs="Arial"/>
          <w:sz w:val="24"/>
          <w:szCs w:val="24"/>
        </w:rPr>
        <w:br/>
      </w:r>
      <w:r w:rsidR="0033235B" w:rsidRPr="00651FE7">
        <w:rPr>
          <w:rFonts w:ascii="Arial" w:hAnsi="Arial" w:cs="Arial"/>
          <w:b/>
          <w:bCs/>
          <w:i/>
          <w:iCs/>
          <w:sz w:val="24"/>
          <w:szCs w:val="24"/>
        </w:rPr>
        <w:t>Challenges</w:t>
      </w:r>
      <w:r w:rsidR="00DB2EE4" w:rsidRPr="00651FE7">
        <w:rPr>
          <w:rFonts w:ascii="Arial" w:hAnsi="Arial" w:cs="Arial"/>
          <w:sz w:val="24"/>
          <w:szCs w:val="24"/>
        </w:rPr>
        <w:br/>
      </w:r>
      <w:r w:rsidR="00DB2EE4" w:rsidRPr="00651FE7">
        <w:rPr>
          <w:rFonts w:ascii="Arial" w:hAnsi="Arial" w:cs="Arial"/>
          <w:b/>
          <w:bCs/>
          <w:sz w:val="24"/>
          <w:szCs w:val="24"/>
        </w:rPr>
        <w:t>Regulatory Pressures</w:t>
      </w:r>
      <w:r w:rsidR="00DB2EE4" w:rsidRPr="00651FE7">
        <w:rPr>
          <w:rFonts w:ascii="Arial" w:hAnsi="Arial" w:cs="Arial"/>
          <w:sz w:val="24"/>
          <w:szCs w:val="24"/>
        </w:rPr>
        <w:t>: The UK government and regulatory bodies, such as Ofcom, have imposed regulations aimed at increasing competition and protecting consumer rights. This includes caps on prices and requirements for improved service coverage, which can limit profit margins.</w:t>
      </w:r>
      <w:r w:rsidR="00DB2EE4" w:rsidRPr="00651FE7">
        <w:rPr>
          <w:rFonts w:ascii="Arial" w:hAnsi="Arial" w:cs="Arial"/>
          <w:sz w:val="24"/>
          <w:szCs w:val="24"/>
        </w:rPr>
        <w:br/>
      </w:r>
      <w:r w:rsidR="00DB2EE4" w:rsidRPr="00651FE7">
        <w:rPr>
          <w:rFonts w:ascii="Arial" w:hAnsi="Arial" w:cs="Arial"/>
          <w:b/>
          <w:bCs/>
          <w:sz w:val="24"/>
          <w:szCs w:val="24"/>
        </w:rPr>
        <w:t>Market Saturation</w:t>
      </w:r>
      <w:r w:rsidR="00DB2EE4" w:rsidRPr="00651FE7">
        <w:rPr>
          <w:rFonts w:ascii="Arial" w:hAnsi="Arial" w:cs="Arial"/>
          <w:sz w:val="24"/>
          <w:szCs w:val="24"/>
        </w:rPr>
        <w:t>: The UK mobile market is nearing saturation, with high penetration rates making it difficult for companies to attract new subscribers. This results in increased competition among existing players, leading to price wars that can erode profits.</w:t>
      </w:r>
      <w:r w:rsidR="00DB2EE4" w:rsidRPr="00651FE7">
        <w:rPr>
          <w:rFonts w:ascii="Arial" w:hAnsi="Arial" w:cs="Arial"/>
          <w:sz w:val="24"/>
          <w:szCs w:val="24"/>
        </w:rPr>
        <w:br/>
      </w:r>
      <w:r w:rsidR="00DB2EE4" w:rsidRPr="00651FE7">
        <w:rPr>
          <w:rFonts w:ascii="Arial" w:hAnsi="Arial" w:cs="Arial"/>
          <w:b/>
          <w:bCs/>
          <w:sz w:val="24"/>
          <w:szCs w:val="24"/>
        </w:rPr>
        <w:t>Technology Upgrades</w:t>
      </w:r>
      <w:r w:rsidR="00DB2EE4" w:rsidRPr="00651FE7">
        <w:rPr>
          <w:rFonts w:ascii="Arial" w:hAnsi="Arial" w:cs="Arial"/>
          <w:sz w:val="24"/>
          <w:szCs w:val="24"/>
        </w:rPr>
        <w:t>: Transitioning to 5G requires substantial investment in infrastructure. Although 5G offers enhanced services, the upfront costs can strain financial resources, especially for smaller operators.</w:t>
      </w:r>
      <w:r w:rsidR="00DB2EE4" w:rsidRPr="00651FE7">
        <w:rPr>
          <w:rFonts w:ascii="Arial" w:hAnsi="Arial" w:cs="Arial"/>
          <w:sz w:val="24"/>
          <w:szCs w:val="24"/>
        </w:rPr>
        <w:br/>
      </w:r>
      <w:r w:rsidR="00DB2EE4" w:rsidRPr="00651FE7">
        <w:rPr>
          <w:rFonts w:ascii="Arial" w:hAnsi="Arial" w:cs="Arial"/>
          <w:b/>
          <w:bCs/>
          <w:sz w:val="24"/>
          <w:szCs w:val="24"/>
        </w:rPr>
        <w:t>Consumer Expectations</w:t>
      </w:r>
      <w:r w:rsidR="00DB2EE4" w:rsidRPr="00651FE7">
        <w:rPr>
          <w:rFonts w:ascii="Arial" w:hAnsi="Arial" w:cs="Arial"/>
          <w:sz w:val="24"/>
          <w:szCs w:val="24"/>
        </w:rPr>
        <w:t>: Increasing demand for better service quality and data allowances places pressure on networks to deliver. Failures in service can lead to customer churn, impacting revenue.</w:t>
      </w:r>
      <w:r w:rsidR="00DB2EE4" w:rsidRPr="00651FE7">
        <w:rPr>
          <w:rFonts w:ascii="Arial" w:hAnsi="Arial" w:cs="Arial"/>
          <w:sz w:val="24"/>
          <w:szCs w:val="24"/>
        </w:rPr>
        <w:br/>
      </w:r>
      <w:r w:rsidR="00DB2EE4" w:rsidRPr="00651FE7">
        <w:rPr>
          <w:rFonts w:ascii="Arial" w:hAnsi="Arial" w:cs="Arial"/>
          <w:b/>
          <w:bCs/>
          <w:sz w:val="24"/>
          <w:szCs w:val="24"/>
        </w:rPr>
        <w:t>Economic Factors</w:t>
      </w:r>
      <w:r w:rsidR="00DB2EE4" w:rsidRPr="00651FE7">
        <w:rPr>
          <w:rFonts w:ascii="Arial" w:hAnsi="Arial" w:cs="Arial"/>
          <w:sz w:val="24"/>
          <w:szCs w:val="24"/>
        </w:rPr>
        <w:t xml:space="preserve">: The </w:t>
      </w:r>
      <w:proofErr w:type="gramStart"/>
      <w:r w:rsidR="00DB2EE4" w:rsidRPr="00651FE7">
        <w:rPr>
          <w:rFonts w:ascii="Arial" w:hAnsi="Arial" w:cs="Arial"/>
          <w:sz w:val="24"/>
          <w:szCs w:val="24"/>
        </w:rPr>
        <w:t>cost of living</w:t>
      </w:r>
      <w:proofErr w:type="gramEnd"/>
      <w:r w:rsidR="00DB2EE4" w:rsidRPr="00651FE7">
        <w:rPr>
          <w:rFonts w:ascii="Arial" w:hAnsi="Arial" w:cs="Arial"/>
          <w:sz w:val="24"/>
          <w:szCs w:val="24"/>
        </w:rPr>
        <w:t xml:space="preserve"> crisis and broader economic uncertainties can affect consumer spending on mobile services, prompting price sensitivity and a shift towards budget providers.</w:t>
      </w:r>
      <w:r w:rsidR="0033235B" w:rsidRPr="00651FE7">
        <w:rPr>
          <w:rFonts w:ascii="Arial" w:hAnsi="Arial" w:cs="Arial"/>
          <w:sz w:val="24"/>
          <w:szCs w:val="24"/>
        </w:rPr>
        <w:br/>
      </w:r>
      <w:r w:rsidR="0033235B" w:rsidRPr="00651FE7">
        <w:rPr>
          <w:rFonts w:ascii="Arial" w:hAnsi="Arial" w:cs="Arial"/>
          <w:sz w:val="24"/>
          <w:szCs w:val="24"/>
        </w:rPr>
        <w:br/>
      </w:r>
      <w:r w:rsidR="0033235B" w:rsidRPr="00651FE7">
        <w:rPr>
          <w:rFonts w:ascii="Arial" w:hAnsi="Arial" w:cs="Arial"/>
          <w:b/>
          <w:bCs/>
          <w:i/>
          <w:iCs/>
          <w:sz w:val="24"/>
          <w:szCs w:val="24"/>
        </w:rPr>
        <w:t>Opportunities</w:t>
      </w:r>
      <w:r w:rsidR="0033235B" w:rsidRPr="00651FE7">
        <w:rPr>
          <w:rStyle w:val="Heading2Char"/>
          <w:rFonts w:ascii="Arial" w:hAnsi="Arial" w:cs="Arial"/>
          <w:b/>
          <w:bCs/>
          <w:i/>
          <w:iCs/>
          <w:sz w:val="24"/>
          <w:szCs w:val="24"/>
        </w:rPr>
        <w:br/>
      </w:r>
      <w:r w:rsidR="0033235B" w:rsidRPr="0033235B">
        <w:rPr>
          <w:rFonts w:ascii="Arial" w:hAnsi="Arial" w:cs="Arial"/>
          <w:b/>
          <w:bCs/>
        </w:rPr>
        <w:t>5G Deployment</w:t>
      </w:r>
      <w:r w:rsidR="0033235B" w:rsidRPr="0033235B">
        <w:rPr>
          <w:rFonts w:ascii="Arial" w:hAnsi="Arial" w:cs="Arial"/>
        </w:rPr>
        <w:t>: The rollout of 5G presents significant opportunities for innovation and the development of new services (e.g., IoT, smart cities). Companies that successfully leverage 5G can create new revenue streams.</w:t>
      </w:r>
      <w:r w:rsidR="0033235B">
        <w:rPr>
          <w:rFonts w:ascii="Arial" w:hAnsi="Arial" w:cs="Arial"/>
        </w:rPr>
        <w:br/>
      </w:r>
      <w:r w:rsidR="0033235B" w:rsidRPr="0033235B">
        <w:rPr>
          <w:rFonts w:ascii="Arial" w:hAnsi="Arial" w:cs="Arial"/>
          <w:b/>
          <w:bCs/>
        </w:rPr>
        <w:t>Digital Transformation</w:t>
      </w:r>
      <w:r w:rsidR="0033235B" w:rsidRPr="0033235B">
        <w:rPr>
          <w:rFonts w:ascii="Arial" w:hAnsi="Arial" w:cs="Arial"/>
        </w:rPr>
        <w:t>: The trend toward digital services, such as mobile banking and e-commerce, provides a chance for mobile networks to partner with tech companies and expand service offerings.</w:t>
      </w:r>
      <w:r w:rsidR="0033235B">
        <w:rPr>
          <w:rFonts w:ascii="Arial" w:hAnsi="Arial" w:cs="Arial"/>
        </w:rPr>
        <w:br/>
      </w:r>
      <w:r w:rsidR="0033235B" w:rsidRPr="0033235B">
        <w:rPr>
          <w:rFonts w:ascii="Arial" w:hAnsi="Arial" w:cs="Arial"/>
          <w:b/>
          <w:bCs/>
        </w:rPr>
        <w:t>Sustainability Initiatives</w:t>
      </w:r>
      <w:r w:rsidR="0033235B" w:rsidRPr="0033235B">
        <w:rPr>
          <w:rFonts w:ascii="Arial" w:hAnsi="Arial" w:cs="Arial"/>
        </w:rPr>
        <w:t>: There’s growing consumer demand for sustainability. Mobile networks that invest in green technologies and practices can enhance their brand image and attract environmentally conscious consumers.</w:t>
      </w:r>
      <w:r w:rsidR="0033235B">
        <w:rPr>
          <w:rFonts w:ascii="Arial" w:hAnsi="Arial" w:cs="Arial"/>
        </w:rPr>
        <w:br/>
      </w:r>
      <w:r w:rsidR="0033235B" w:rsidRPr="0033235B">
        <w:rPr>
          <w:rFonts w:ascii="Arial" w:hAnsi="Arial" w:cs="Arial"/>
          <w:b/>
          <w:bCs/>
        </w:rPr>
        <w:t>Expansion into Adjacent Markets</w:t>
      </w:r>
      <w:r w:rsidR="0033235B" w:rsidRPr="0033235B">
        <w:rPr>
          <w:rFonts w:ascii="Arial" w:hAnsi="Arial" w:cs="Arial"/>
        </w:rPr>
        <w:t>: Operators can explore diversification into areas like content streaming, cloud services, and cybersecurity, which can help in stabilizing revenue streams.</w:t>
      </w:r>
      <w:r w:rsidR="0033235B">
        <w:rPr>
          <w:rFonts w:ascii="Arial" w:hAnsi="Arial" w:cs="Arial"/>
        </w:rPr>
        <w:br/>
      </w:r>
      <w:r w:rsidR="00262EE1">
        <w:rPr>
          <w:rFonts w:ascii="Arial" w:hAnsi="Arial" w:cs="Arial"/>
          <w:b/>
          <w:bCs/>
        </w:rPr>
        <w:br/>
      </w:r>
      <w:r w:rsidR="0033235B" w:rsidRPr="0033235B">
        <w:rPr>
          <w:rFonts w:ascii="Arial" w:hAnsi="Arial" w:cs="Arial"/>
          <w:b/>
          <w:bCs/>
        </w:rPr>
        <w:lastRenderedPageBreak/>
        <w:t>Strategic Partnerships</w:t>
      </w:r>
      <w:r w:rsidR="0033235B" w:rsidRPr="0033235B">
        <w:rPr>
          <w:rFonts w:ascii="Arial" w:hAnsi="Arial" w:cs="Arial"/>
        </w:rPr>
        <w:t>: Collaborating with tech firms and other industries can enhance service offerings and improve customer engagement.</w:t>
      </w:r>
      <w:r w:rsidR="0033235B">
        <w:rPr>
          <w:rFonts w:ascii="Arial" w:hAnsi="Arial" w:cs="Arial"/>
        </w:rPr>
        <w:br/>
      </w:r>
      <w:r w:rsidR="0033235B">
        <w:rPr>
          <w:rFonts w:ascii="Arial" w:hAnsi="Arial" w:cs="Arial"/>
        </w:rPr>
        <w:br/>
      </w:r>
      <w:r w:rsidR="0033235B" w:rsidRPr="00651FE7">
        <w:rPr>
          <w:rStyle w:val="Heading1Char"/>
        </w:rPr>
        <w:br/>
      </w:r>
      <w:bookmarkStart w:id="6" w:name="_Hlk180323843"/>
      <w:r w:rsidR="0033235B" w:rsidRPr="00E048E7">
        <w:rPr>
          <w:rStyle w:val="Heading1Char"/>
        </w:rPr>
        <w:t>Profit Maximisation Theory in the Context of the UK Mobile Network Industry</w:t>
      </w:r>
      <w:bookmarkEnd w:id="6"/>
      <w:r w:rsidR="0033235B" w:rsidRPr="00E048E7">
        <w:rPr>
          <w:rStyle w:val="Heading1Char"/>
        </w:rPr>
        <w:br/>
      </w:r>
      <w:r w:rsidR="0033235B" w:rsidRPr="00E048E7">
        <w:rPr>
          <w:rStyle w:val="Heading1Char"/>
        </w:rPr>
        <w:br/>
      </w:r>
      <w:r w:rsidR="0033235B" w:rsidRPr="0033235B">
        <w:rPr>
          <w:rFonts w:ascii="Arial" w:hAnsi="Arial" w:cs="Arial"/>
        </w:rPr>
        <w:t>Profit maximisation theory posits that firms aim to achieve the highest possible profit by optimally adjusting their levels of production and pricing. In the context of the UK mobile network industry, this theory manifests in several ways:</w:t>
      </w:r>
      <w:r w:rsidR="0033235B">
        <w:rPr>
          <w:rFonts w:ascii="Arial" w:hAnsi="Arial" w:cs="Arial"/>
        </w:rPr>
        <w:br/>
      </w:r>
      <w:r w:rsidR="0033235B" w:rsidRPr="0033235B">
        <w:rPr>
          <w:rFonts w:ascii="Arial" w:hAnsi="Arial" w:cs="Arial"/>
          <w:b/>
          <w:bCs/>
        </w:rPr>
        <w:t>Pricing Strategies</w:t>
      </w:r>
      <w:r w:rsidR="0033235B" w:rsidRPr="0033235B">
        <w:rPr>
          <w:rFonts w:ascii="Arial" w:hAnsi="Arial" w:cs="Arial"/>
        </w:rPr>
        <w:t>: Mobile operators often engage in competitive pricing strategies to attract and retain customers, balancing between affordability and profitability. This includes tiered pricing, bundles, and promotional offers to maximize market share while maintaining margins.</w:t>
      </w:r>
      <w:r w:rsidR="0033235B">
        <w:rPr>
          <w:rFonts w:ascii="Arial" w:hAnsi="Arial" w:cs="Arial"/>
        </w:rPr>
        <w:br/>
      </w:r>
      <w:r w:rsidR="0033235B" w:rsidRPr="0033235B">
        <w:rPr>
          <w:rFonts w:ascii="Arial" w:hAnsi="Arial" w:cs="Arial"/>
          <w:b/>
          <w:bCs/>
        </w:rPr>
        <w:t>Cost Management</w:t>
      </w:r>
      <w:r w:rsidR="0033235B" w:rsidRPr="0033235B">
        <w:rPr>
          <w:rFonts w:ascii="Arial" w:hAnsi="Arial" w:cs="Arial"/>
        </w:rPr>
        <w:t>: Operators seek to minimize operational costs through efficient network management and technological innovations. This includes outsourcing non-core functions and investing in automation to streamline processes.</w:t>
      </w:r>
      <w:r w:rsidR="0033235B" w:rsidRPr="0033235B">
        <w:rPr>
          <w:b/>
          <w:bCs/>
        </w:rPr>
        <w:t xml:space="preserve"> </w:t>
      </w:r>
      <w:r w:rsidR="0033235B">
        <w:rPr>
          <w:b/>
          <w:bCs/>
        </w:rPr>
        <w:br/>
      </w:r>
      <w:r w:rsidR="0033235B" w:rsidRPr="0033235B">
        <w:rPr>
          <w:rFonts w:ascii="Arial" w:hAnsi="Arial" w:cs="Arial"/>
          <w:b/>
          <w:bCs/>
        </w:rPr>
        <w:t>Market Segmentation</w:t>
      </w:r>
      <w:r w:rsidR="0033235B" w:rsidRPr="0033235B">
        <w:rPr>
          <w:rFonts w:ascii="Arial" w:hAnsi="Arial" w:cs="Arial"/>
        </w:rPr>
        <w:t>: By understanding diverse consumer needs, operators can target different market segments (e.g., budget vs. premium users) with tailored offerings that maximize revenue from each group.</w:t>
      </w:r>
      <w:r w:rsidR="000D2125">
        <w:rPr>
          <w:rFonts w:ascii="Arial" w:hAnsi="Arial" w:cs="Arial"/>
        </w:rPr>
        <w:br/>
      </w:r>
      <w:r w:rsidR="000D2125" w:rsidRPr="000D2125">
        <w:rPr>
          <w:rFonts w:ascii="Arial" w:hAnsi="Arial" w:cs="Arial"/>
          <w:b/>
          <w:bCs/>
        </w:rPr>
        <w:t>Innovation and Differentiation</w:t>
      </w:r>
      <w:r w:rsidR="000D2125" w:rsidRPr="000D2125">
        <w:rPr>
          <w:rFonts w:ascii="Arial" w:hAnsi="Arial" w:cs="Arial"/>
        </w:rPr>
        <w:t>: Developing unique services (like enhanced customer service or exclusive content) allows firms to differentiate themselves in a crowded market, justifying premium pricing and fostering customer loyalty.</w:t>
      </w:r>
      <w:r w:rsidR="000D2125">
        <w:rPr>
          <w:rFonts w:ascii="Arial" w:hAnsi="Arial" w:cs="Arial"/>
        </w:rPr>
        <w:br/>
      </w:r>
      <w:r w:rsidR="000D2125" w:rsidRPr="000D2125">
        <w:rPr>
          <w:rFonts w:ascii="Arial" w:hAnsi="Arial" w:cs="Arial"/>
          <w:b/>
          <w:bCs/>
        </w:rPr>
        <w:t>Investing in Infrastructure</w:t>
      </w:r>
      <w:r w:rsidR="000D2125" w:rsidRPr="000D2125">
        <w:rPr>
          <w:rFonts w:ascii="Arial" w:hAnsi="Arial" w:cs="Arial"/>
        </w:rPr>
        <w:t>: Continuous investment in network infrastructure is crucial for maintaining service quality and reliability. This is essential not only for customer retention but also for attracting new subscribers, which ultimately supports profit maximisation.</w:t>
      </w:r>
      <w:r w:rsidR="000D2125">
        <w:rPr>
          <w:rFonts w:ascii="Arial" w:hAnsi="Arial" w:cs="Arial"/>
        </w:rPr>
        <w:br/>
      </w:r>
      <w:r w:rsidR="000D2125" w:rsidRPr="000D2125">
        <w:rPr>
          <w:rFonts w:ascii="Arial" w:hAnsi="Arial" w:cs="Arial"/>
        </w:rPr>
        <w:t>Other Issues for Sustainable Growth</w:t>
      </w:r>
      <w:r w:rsidR="000D2125">
        <w:rPr>
          <w:rFonts w:ascii="Arial" w:hAnsi="Arial" w:cs="Arial"/>
        </w:rPr>
        <w:t>:</w:t>
      </w:r>
      <w:r w:rsidR="000D2125">
        <w:rPr>
          <w:rFonts w:ascii="Arial" w:hAnsi="Arial" w:cs="Arial"/>
        </w:rPr>
        <w:br/>
      </w:r>
      <w:r w:rsidR="000D2125">
        <w:rPr>
          <w:rFonts w:ascii="Arial" w:hAnsi="Arial" w:cs="Arial"/>
          <w:b/>
          <w:bCs/>
        </w:rPr>
        <w:t>C</w:t>
      </w:r>
      <w:r w:rsidR="000D2125" w:rsidRPr="000D2125">
        <w:rPr>
          <w:rFonts w:ascii="Arial" w:hAnsi="Arial" w:cs="Arial"/>
          <w:b/>
          <w:bCs/>
        </w:rPr>
        <w:t>onsumer Trust and Data Privacy</w:t>
      </w:r>
      <w:r w:rsidR="000D2125" w:rsidRPr="000D2125">
        <w:rPr>
          <w:rFonts w:ascii="Arial" w:hAnsi="Arial" w:cs="Arial"/>
        </w:rPr>
        <w:t>: With increasing concerns over data privacy, maintaining consumer trust is vital. Operators must invest in robust security measures and transparent policies to ensure compliance with regulations like GDPR.</w:t>
      </w:r>
      <w:r w:rsidR="000D2125">
        <w:rPr>
          <w:rFonts w:ascii="Arial" w:hAnsi="Arial" w:cs="Arial"/>
        </w:rPr>
        <w:br/>
      </w:r>
      <w:r w:rsidR="000D2125" w:rsidRPr="000D2125">
        <w:rPr>
          <w:rFonts w:ascii="Arial" w:hAnsi="Arial" w:cs="Arial"/>
          <w:b/>
          <w:bCs/>
        </w:rPr>
        <w:t>Technological Advancements</w:t>
      </w:r>
      <w:r w:rsidR="000D2125" w:rsidRPr="000D2125">
        <w:rPr>
          <w:rFonts w:ascii="Arial" w:hAnsi="Arial" w:cs="Arial"/>
        </w:rPr>
        <w:t>: Staying ahead of technological trends, including AI and machine learning, can improve service delivery and operational efficiency, supporting sustainable growth.</w:t>
      </w:r>
      <w:r w:rsidR="000D2125">
        <w:rPr>
          <w:rFonts w:ascii="Arial" w:hAnsi="Arial" w:cs="Arial"/>
        </w:rPr>
        <w:br/>
      </w:r>
      <w:r w:rsidR="000D2125" w:rsidRPr="000D2125">
        <w:rPr>
          <w:rFonts w:ascii="Arial" w:hAnsi="Arial" w:cs="Arial"/>
          <w:b/>
          <w:bCs/>
        </w:rPr>
        <w:t>Customer Experience</w:t>
      </w:r>
      <w:r w:rsidR="000D2125" w:rsidRPr="000D2125">
        <w:rPr>
          <w:rFonts w:ascii="Arial" w:hAnsi="Arial" w:cs="Arial"/>
        </w:rPr>
        <w:t>: Enhancing customer experience through personalized services, efficient customer support, and reliable connectivity is essential for retention and reducing churn.</w:t>
      </w:r>
      <w:r w:rsidR="000D2125">
        <w:rPr>
          <w:rFonts w:ascii="Arial" w:hAnsi="Arial" w:cs="Arial"/>
        </w:rPr>
        <w:br/>
      </w:r>
      <w:r w:rsidR="000D2125" w:rsidRPr="000D2125">
        <w:rPr>
          <w:rFonts w:ascii="Arial" w:hAnsi="Arial" w:cs="Arial"/>
          <w:b/>
          <w:bCs/>
        </w:rPr>
        <w:t>Social Responsibility</w:t>
      </w:r>
      <w:r w:rsidR="000D2125" w:rsidRPr="000D2125">
        <w:rPr>
          <w:rFonts w:ascii="Arial" w:hAnsi="Arial" w:cs="Arial"/>
        </w:rPr>
        <w:t>: Engaging in corporate social responsibility initiatives can improve brand loyalty and attract consumers who prioritize ethical practices.</w:t>
      </w:r>
      <w:r w:rsidR="000D2125">
        <w:rPr>
          <w:rFonts w:ascii="Arial" w:hAnsi="Arial" w:cs="Arial"/>
        </w:rPr>
        <w:br/>
      </w:r>
      <w:r w:rsidR="000D2125" w:rsidRPr="000D2125">
        <w:rPr>
          <w:rFonts w:ascii="Arial" w:hAnsi="Arial" w:cs="Arial"/>
          <w:b/>
          <w:bCs/>
        </w:rPr>
        <w:t>Adaptation to Market Changes</w:t>
      </w:r>
      <w:r w:rsidR="000D2125" w:rsidRPr="000D2125">
        <w:rPr>
          <w:rFonts w:ascii="Arial" w:hAnsi="Arial" w:cs="Arial"/>
        </w:rPr>
        <w:t xml:space="preserve">: The ability to quickly adapt to market changes, such as shifts in consumer </w:t>
      </w:r>
      <w:proofErr w:type="spellStart"/>
      <w:r w:rsidR="000D2125" w:rsidRPr="000D2125">
        <w:rPr>
          <w:rFonts w:ascii="Arial" w:hAnsi="Arial" w:cs="Arial"/>
        </w:rPr>
        <w:t>behavior</w:t>
      </w:r>
      <w:proofErr w:type="spellEnd"/>
      <w:r w:rsidR="000D2125" w:rsidRPr="000D2125">
        <w:rPr>
          <w:rFonts w:ascii="Arial" w:hAnsi="Arial" w:cs="Arial"/>
        </w:rPr>
        <w:t xml:space="preserve"> or new regulatory landscapes, will be critical for sustaining competitive advantage.</w:t>
      </w:r>
      <w:r w:rsidR="000D2125">
        <w:rPr>
          <w:rFonts w:ascii="Arial" w:hAnsi="Arial" w:cs="Arial"/>
        </w:rPr>
        <w:br/>
      </w:r>
      <w:r w:rsidR="000D2125">
        <w:rPr>
          <w:rFonts w:ascii="Arial" w:hAnsi="Arial" w:cs="Arial"/>
        </w:rPr>
        <w:br/>
      </w:r>
      <w:r w:rsidR="000D2125">
        <w:rPr>
          <w:rFonts w:ascii="Arial" w:hAnsi="Arial" w:cs="Arial"/>
        </w:rPr>
        <w:br/>
      </w:r>
      <w:r w:rsidR="000D2125">
        <w:rPr>
          <w:rFonts w:ascii="Arial" w:hAnsi="Arial" w:cs="Arial"/>
        </w:rPr>
        <w:br/>
      </w:r>
      <w:r w:rsidR="00BC3824">
        <w:rPr>
          <w:rFonts w:ascii="Arial" w:hAnsi="Arial" w:cs="Arial"/>
          <w:b/>
          <w:bCs/>
        </w:rPr>
        <w:lastRenderedPageBreak/>
        <w:br/>
      </w:r>
      <w:r w:rsidR="00BC3824">
        <w:rPr>
          <w:rFonts w:ascii="Arial" w:hAnsi="Arial" w:cs="Arial"/>
          <w:b/>
          <w:bCs/>
        </w:rPr>
        <w:br/>
      </w:r>
      <w:r w:rsidR="00BC3824">
        <w:rPr>
          <w:rFonts w:ascii="Arial" w:hAnsi="Arial" w:cs="Arial"/>
          <w:b/>
          <w:bCs/>
        </w:rPr>
        <w:br/>
      </w:r>
      <w:r w:rsidR="00BC3824">
        <w:rPr>
          <w:rFonts w:ascii="Arial" w:hAnsi="Arial" w:cs="Arial"/>
          <w:b/>
          <w:bCs/>
        </w:rPr>
        <w:br/>
      </w:r>
      <w:bookmarkStart w:id="7" w:name="_Hlk180323867"/>
      <w:r w:rsidR="000D2125" w:rsidRPr="00E048E7">
        <w:rPr>
          <w:rStyle w:val="Heading1Char"/>
        </w:rPr>
        <w:t>Economic Theories and Concepts in the UK Mobile Network Industry</w:t>
      </w:r>
      <w:bookmarkEnd w:id="7"/>
      <w:r w:rsidR="000D2125" w:rsidRPr="00E048E7">
        <w:rPr>
          <w:rStyle w:val="Heading1Char"/>
        </w:rPr>
        <w:br/>
      </w:r>
      <w:r w:rsidR="000D2125">
        <w:rPr>
          <w:rFonts w:ascii="Arial" w:hAnsi="Arial" w:cs="Arial"/>
        </w:rPr>
        <w:br/>
      </w:r>
      <w:r w:rsidR="000D2125" w:rsidRPr="00651FE7">
        <w:rPr>
          <w:rFonts w:ascii="Arial" w:hAnsi="Arial" w:cs="Arial"/>
          <w:b/>
          <w:bCs/>
          <w:i/>
          <w:iCs/>
          <w:sz w:val="24"/>
          <w:szCs w:val="24"/>
        </w:rPr>
        <w:t>1. Demand and Supply</w:t>
      </w:r>
    </w:p>
    <w:p w14:paraId="441EEAB2" w14:textId="77777777" w:rsidR="000D2125" w:rsidRPr="000D2125" w:rsidRDefault="000D2125" w:rsidP="00BC3824">
      <w:pPr>
        <w:spacing w:line="360" w:lineRule="auto"/>
        <w:rPr>
          <w:rFonts w:ascii="Arial" w:hAnsi="Arial" w:cs="Arial"/>
        </w:rPr>
      </w:pPr>
      <w:r w:rsidRPr="000D2125">
        <w:rPr>
          <w:rFonts w:ascii="Arial" w:hAnsi="Arial" w:cs="Arial"/>
          <w:b/>
          <w:bCs/>
        </w:rPr>
        <w:t>Demand</w:t>
      </w:r>
      <w:r w:rsidRPr="000D2125">
        <w:rPr>
          <w:rFonts w:ascii="Arial" w:hAnsi="Arial" w:cs="Arial"/>
        </w:rPr>
        <w:t>: The demand for mobile services is influenced by factors such as pricing, consumer preferences, and income levels. With high penetration rates, demand has shifted towards value-added services (like data plans and bundled offerings) rather than basic voice and text services.</w:t>
      </w:r>
    </w:p>
    <w:p w14:paraId="711E7B03" w14:textId="77777777" w:rsidR="000D2125" w:rsidRPr="000D2125" w:rsidRDefault="000D2125" w:rsidP="00BC3824">
      <w:pPr>
        <w:spacing w:line="360" w:lineRule="auto"/>
        <w:rPr>
          <w:rFonts w:ascii="Arial" w:hAnsi="Arial" w:cs="Arial"/>
        </w:rPr>
      </w:pPr>
      <w:r w:rsidRPr="000D2125">
        <w:rPr>
          <w:rFonts w:ascii="Arial" w:hAnsi="Arial" w:cs="Arial"/>
          <w:b/>
          <w:bCs/>
        </w:rPr>
        <w:t>Supply</w:t>
      </w:r>
      <w:r w:rsidRPr="000D2125">
        <w:rPr>
          <w:rFonts w:ascii="Arial" w:hAnsi="Arial" w:cs="Arial"/>
        </w:rPr>
        <w:t>: The supply side is characterized by the network infrastructure investments made by operators. The deployment of 5G and improvements in existing networks are essential to meet the growing demand for data and connectivity. The supply of services is also affected by regulatory constraints and market competition.</w:t>
      </w:r>
    </w:p>
    <w:p w14:paraId="56E9E04A" w14:textId="7FF382DB" w:rsidR="000D2125" w:rsidRPr="00CD21D5" w:rsidRDefault="000D2125" w:rsidP="00BC3824">
      <w:pPr>
        <w:spacing w:line="360" w:lineRule="auto"/>
        <w:rPr>
          <w:rStyle w:val="Heading2Char"/>
        </w:rPr>
      </w:pPr>
      <w:r w:rsidRPr="000D2125">
        <w:rPr>
          <w:rFonts w:ascii="Arial" w:hAnsi="Arial" w:cs="Arial"/>
          <w:b/>
          <w:bCs/>
        </w:rPr>
        <w:t>Application</w:t>
      </w:r>
      <w:r w:rsidRPr="000D2125">
        <w:rPr>
          <w:rFonts w:ascii="Arial" w:hAnsi="Arial" w:cs="Arial"/>
        </w:rPr>
        <w:t xml:space="preserve">: Operators must </w:t>
      </w:r>
      <w:proofErr w:type="spellStart"/>
      <w:r w:rsidRPr="000D2125">
        <w:rPr>
          <w:rFonts w:ascii="Arial" w:hAnsi="Arial" w:cs="Arial"/>
        </w:rPr>
        <w:t>analyze</w:t>
      </w:r>
      <w:proofErr w:type="spellEnd"/>
      <w:r w:rsidRPr="000D2125">
        <w:rPr>
          <w:rFonts w:ascii="Arial" w:hAnsi="Arial" w:cs="Arial"/>
        </w:rPr>
        <w:t xml:space="preserve"> demand elasticity to optimize pricing strategies. In a saturated market, even small changes in price can significantly affect demand, necessitating careful pricing strategies to avoid losing customers to competitors.</w:t>
      </w:r>
      <w:r>
        <w:rPr>
          <w:rFonts w:ascii="Arial" w:hAnsi="Arial" w:cs="Arial"/>
        </w:rPr>
        <w:br/>
      </w:r>
      <w:r w:rsidRPr="000D2125">
        <w:rPr>
          <w:rFonts w:ascii="Arial" w:hAnsi="Arial" w:cs="Arial"/>
          <w:i/>
          <w:iCs/>
        </w:rPr>
        <w:br/>
      </w:r>
      <w:r w:rsidRPr="00651FE7">
        <w:rPr>
          <w:rFonts w:ascii="Arial" w:hAnsi="Arial" w:cs="Arial"/>
          <w:b/>
          <w:bCs/>
          <w:i/>
          <w:iCs/>
          <w:sz w:val="24"/>
          <w:szCs w:val="24"/>
        </w:rPr>
        <w:t>2. Business Environment</w:t>
      </w:r>
    </w:p>
    <w:p w14:paraId="654E50A5" w14:textId="77777777" w:rsidR="000D2125" w:rsidRPr="000D2125" w:rsidRDefault="000D2125" w:rsidP="00BC3824">
      <w:pPr>
        <w:spacing w:line="360" w:lineRule="auto"/>
        <w:rPr>
          <w:rFonts w:ascii="Arial" w:hAnsi="Arial" w:cs="Arial"/>
        </w:rPr>
      </w:pPr>
      <w:r w:rsidRPr="000D2125">
        <w:rPr>
          <w:rFonts w:ascii="Arial" w:hAnsi="Arial" w:cs="Arial"/>
        </w:rPr>
        <w:t>The business environment for UK mobile networks is shaped by:</w:t>
      </w:r>
    </w:p>
    <w:p w14:paraId="0878BB03" w14:textId="77777777" w:rsidR="000D2125" w:rsidRPr="000D2125" w:rsidRDefault="000D2125" w:rsidP="00BC3824">
      <w:pPr>
        <w:spacing w:line="360" w:lineRule="auto"/>
        <w:rPr>
          <w:rFonts w:ascii="Arial" w:hAnsi="Arial" w:cs="Arial"/>
        </w:rPr>
      </w:pPr>
      <w:r w:rsidRPr="000D2125">
        <w:rPr>
          <w:rFonts w:ascii="Arial" w:hAnsi="Arial" w:cs="Arial"/>
          <w:b/>
          <w:bCs/>
        </w:rPr>
        <w:t>Regulatory Factors</w:t>
      </w:r>
      <w:r w:rsidRPr="000D2125">
        <w:rPr>
          <w:rFonts w:ascii="Arial" w:hAnsi="Arial" w:cs="Arial"/>
        </w:rPr>
        <w:t>: Policies by Ofcom and the UK government can affect pricing, service quality requirements, and competition levels. Compliance with regulations is crucial for avoiding fines and maintaining operational licenses.</w:t>
      </w:r>
    </w:p>
    <w:p w14:paraId="1AAB193D" w14:textId="77777777" w:rsidR="000D2125" w:rsidRPr="000D2125" w:rsidRDefault="000D2125" w:rsidP="00BC3824">
      <w:pPr>
        <w:spacing w:line="360" w:lineRule="auto"/>
        <w:rPr>
          <w:rFonts w:ascii="Arial" w:hAnsi="Arial" w:cs="Arial"/>
        </w:rPr>
      </w:pPr>
      <w:r w:rsidRPr="000D2125">
        <w:rPr>
          <w:rFonts w:ascii="Arial" w:hAnsi="Arial" w:cs="Arial"/>
          <w:b/>
          <w:bCs/>
        </w:rPr>
        <w:t>Technological Advancements</w:t>
      </w:r>
      <w:r w:rsidRPr="000D2125">
        <w:rPr>
          <w:rFonts w:ascii="Arial" w:hAnsi="Arial" w:cs="Arial"/>
        </w:rPr>
        <w:t>: Rapid changes in technology create both challenges (e.g., the need for constant investment) and opportunities (e.g., the potential for new service offerings).</w:t>
      </w:r>
    </w:p>
    <w:p w14:paraId="50D3DF5D" w14:textId="6640C485" w:rsidR="000D2125" w:rsidRPr="00784ECF" w:rsidRDefault="000D2125" w:rsidP="00BC3824">
      <w:pPr>
        <w:spacing w:line="360" w:lineRule="auto"/>
        <w:rPr>
          <w:rStyle w:val="Heading2Char"/>
        </w:rPr>
      </w:pPr>
      <w:r w:rsidRPr="000D2125">
        <w:rPr>
          <w:rFonts w:ascii="Arial" w:hAnsi="Arial" w:cs="Arial"/>
          <w:b/>
          <w:bCs/>
        </w:rPr>
        <w:t>Economic Conditions</w:t>
      </w:r>
      <w:r w:rsidRPr="000D2125">
        <w:rPr>
          <w:rFonts w:ascii="Arial" w:hAnsi="Arial" w:cs="Arial"/>
        </w:rPr>
        <w:t xml:space="preserve">: Economic fluctuations, such as the </w:t>
      </w:r>
      <w:proofErr w:type="gramStart"/>
      <w:r w:rsidRPr="000D2125">
        <w:rPr>
          <w:rFonts w:ascii="Arial" w:hAnsi="Arial" w:cs="Arial"/>
        </w:rPr>
        <w:t>cost of living</w:t>
      </w:r>
      <w:proofErr w:type="gramEnd"/>
      <w:r w:rsidRPr="000D2125">
        <w:rPr>
          <w:rFonts w:ascii="Arial" w:hAnsi="Arial" w:cs="Arial"/>
        </w:rPr>
        <w:t xml:space="preserve"> crisis, affect consumer </w:t>
      </w:r>
      <w:r>
        <w:rPr>
          <w:rFonts w:ascii="Arial" w:hAnsi="Arial" w:cs="Arial"/>
        </w:rPr>
        <w:br/>
      </w:r>
      <w:r w:rsidRPr="000D2125">
        <w:rPr>
          <w:rFonts w:ascii="Arial" w:hAnsi="Arial" w:cs="Arial"/>
        </w:rPr>
        <w:t>spending patterns, which in turn influences demand for mobile services.</w:t>
      </w:r>
      <w:r>
        <w:rPr>
          <w:rFonts w:ascii="Arial" w:hAnsi="Arial" w:cs="Arial"/>
        </w:rPr>
        <w:br/>
      </w:r>
      <w:r w:rsidRPr="00651FE7">
        <w:br/>
      </w:r>
      <w:r w:rsidRPr="00651FE7">
        <w:rPr>
          <w:rFonts w:ascii="Arial" w:hAnsi="Arial" w:cs="Arial"/>
          <w:b/>
          <w:bCs/>
          <w:i/>
          <w:iCs/>
          <w:sz w:val="24"/>
          <w:szCs w:val="24"/>
        </w:rPr>
        <w:t>3. Business Objectives</w:t>
      </w:r>
    </w:p>
    <w:p w14:paraId="6B2CDC35" w14:textId="77777777" w:rsidR="000D2125" w:rsidRPr="000D2125" w:rsidRDefault="000D2125" w:rsidP="00BC3824">
      <w:pPr>
        <w:spacing w:line="360" w:lineRule="auto"/>
        <w:rPr>
          <w:rFonts w:ascii="Arial" w:hAnsi="Arial" w:cs="Arial"/>
        </w:rPr>
      </w:pPr>
      <w:r w:rsidRPr="000D2125">
        <w:rPr>
          <w:rFonts w:ascii="Arial" w:hAnsi="Arial" w:cs="Arial"/>
          <w:b/>
          <w:bCs/>
        </w:rPr>
        <w:t>Profit Maximisation</w:t>
      </w:r>
      <w:r w:rsidRPr="000D2125">
        <w:rPr>
          <w:rFonts w:ascii="Arial" w:hAnsi="Arial" w:cs="Arial"/>
        </w:rPr>
        <w:t>: While profit maximization remains a key objective, operators must balance this with customer satisfaction and retention strategies. Competitive pricing and value-added services are ways to achieve this.</w:t>
      </w:r>
    </w:p>
    <w:p w14:paraId="3308CCE6" w14:textId="77777777" w:rsidR="000D2125" w:rsidRPr="000D2125" w:rsidRDefault="000D2125" w:rsidP="00BC3824">
      <w:pPr>
        <w:spacing w:line="360" w:lineRule="auto"/>
        <w:rPr>
          <w:rFonts w:ascii="Arial" w:hAnsi="Arial" w:cs="Arial"/>
        </w:rPr>
      </w:pPr>
      <w:r w:rsidRPr="000D2125">
        <w:rPr>
          <w:rFonts w:ascii="Arial" w:hAnsi="Arial" w:cs="Arial"/>
          <w:b/>
          <w:bCs/>
        </w:rPr>
        <w:t>Market Share Expansion</w:t>
      </w:r>
      <w:r w:rsidRPr="000D2125">
        <w:rPr>
          <w:rFonts w:ascii="Arial" w:hAnsi="Arial" w:cs="Arial"/>
        </w:rPr>
        <w:t>: Gaining a larger market share through strategic marketing, partnerships, and innovative service offerings is essential for long-term sustainability.</w:t>
      </w:r>
    </w:p>
    <w:p w14:paraId="73A95FE7" w14:textId="77777777" w:rsidR="000D2125" w:rsidRPr="000D2125" w:rsidRDefault="000D2125" w:rsidP="00BC3824">
      <w:pPr>
        <w:spacing w:line="360" w:lineRule="auto"/>
        <w:rPr>
          <w:rFonts w:ascii="Arial" w:hAnsi="Arial" w:cs="Arial"/>
        </w:rPr>
      </w:pPr>
      <w:r w:rsidRPr="000D2125">
        <w:rPr>
          <w:rFonts w:ascii="Arial" w:hAnsi="Arial" w:cs="Arial"/>
          <w:b/>
          <w:bCs/>
        </w:rPr>
        <w:lastRenderedPageBreak/>
        <w:t>Sustainability Goals</w:t>
      </w:r>
      <w:r w:rsidRPr="000D2125">
        <w:rPr>
          <w:rFonts w:ascii="Arial" w:hAnsi="Arial" w:cs="Arial"/>
        </w:rPr>
        <w:t>: Increasingly, operators are setting objectives related to corporate social responsibility, including reducing carbon footprints and improving customer data security.</w:t>
      </w:r>
    </w:p>
    <w:p w14:paraId="2169D451" w14:textId="3605B37C" w:rsidR="000D2125" w:rsidRPr="00651FE7" w:rsidRDefault="00BC3824" w:rsidP="00651FE7">
      <w:pPr>
        <w:rPr>
          <w:rFonts w:ascii="Arial" w:hAnsi="Arial" w:cs="Arial"/>
          <w:b/>
          <w:bCs/>
          <w:i/>
          <w:iCs/>
          <w:sz w:val="24"/>
          <w:szCs w:val="24"/>
        </w:rPr>
      </w:pPr>
      <w:r>
        <w:br/>
      </w:r>
      <w:r>
        <w:br/>
      </w:r>
      <w:bookmarkStart w:id="8" w:name="_Toc180273761"/>
      <w:bookmarkStart w:id="9" w:name="_Toc180274516"/>
      <w:bookmarkStart w:id="10" w:name="_Toc180274522"/>
      <w:r w:rsidR="000D2125" w:rsidRPr="00651FE7">
        <w:rPr>
          <w:rFonts w:ascii="Arial" w:hAnsi="Arial" w:cs="Arial"/>
          <w:b/>
          <w:bCs/>
          <w:i/>
          <w:iCs/>
          <w:sz w:val="24"/>
          <w:szCs w:val="24"/>
        </w:rPr>
        <w:t>4. Market Structure</w:t>
      </w:r>
      <w:bookmarkEnd w:id="8"/>
      <w:bookmarkEnd w:id="9"/>
      <w:bookmarkEnd w:id="10"/>
    </w:p>
    <w:p w14:paraId="7402EC6F" w14:textId="77777777" w:rsidR="000D2125" w:rsidRPr="000D2125" w:rsidRDefault="000D2125" w:rsidP="00BC3824">
      <w:pPr>
        <w:spacing w:line="360" w:lineRule="auto"/>
        <w:rPr>
          <w:rFonts w:ascii="Arial" w:hAnsi="Arial" w:cs="Arial"/>
        </w:rPr>
      </w:pPr>
      <w:r w:rsidRPr="000D2125">
        <w:rPr>
          <w:rFonts w:ascii="Arial" w:hAnsi="Arial" w:cs="Arial"/>
        </w:rPr>
        <w:t xml:space="preserve">The UK mobile network industry is characterized by an </w:t>
      </w:r>
      <w:r w:rsidRPr="000D2125">
        <w:rPr>
          <w:rFonts w:ascii="Arial" w:hAnsi="Arial" w:cs="Arial"/>
          <w:b/>
          <w:bCs/>
        </w:rPr>
        <w:t>oligopolistic market structure</w:t>
      </w:r>
      <w:r w:rsidRPr="000D2125">
        <w:rPr>
          <w:rFonts w:ascii="Arial" w:hAnsi="Arial" w:cs="Arial"/>
        </w:rPr>
        <w:t>, where a few large firms dominate. Key features include:</w:t>
      </w:r>
    </w:p>
    <w:p w14:paraId="2F354354" w14:textId="77777777" w:rsidR="000D2125" w:rsidRPr="000D2125" w:rsidRDefault="000D2125" w:rsidP="00BC3824">
      <w:pPr>
        <w:spacing w:line="360" w:lineRule="auto"/>
        <w:rPr>
          <w:rFonts w:ascii="Arial" w:hAnsi="Arial" w:cs="Arial"/>
        </w:rPr>
      </w:pPr>
      <w:r w:rsidRPr="000D2125">
        <w:rPr>
          <w:rFonts w:ascii="Arial" w:hAnsi="Arial" w:cs="Arial"/>
          <w:b/>
          <w:bCs/>
        </w:rPr>
        <w:t>Interdependence</w:t>
      </w:r>
      <w:r w:rsidRPr="000D2125">
        <w:rPr>
          <w:rFonts w:ascii="Arial" w:hAnsi="Arial" w:cs="Arial"/>
        </w:rPr>
        <w:t>: Firms in this market are highly interdependent; decisions made by one operator can significantly affect others, leading to competitive responses (e.g., price cuts or promotional offers).</w:t>
      </w:r>
    </w:p>
    <w:p w14:paraId="2964C1A9" w14:textId="77777777" w:rsidR="000D2125" w:rsidRPr="000D2125" w:rsidRDefault="000D2125" w:rsidP="00BC3824">
      <w:pPr>
        <w:spacing w:line="360" w:lineRule="auto"/>
        <w:rPr>
          <w:rFonts w:ascii="Arial" w:hAnsi="Arial" w:cs="Arial"/>
        </w:rPr>
      </w:pPr>
      <w:r w:rsidRPr="000D2125">
        <w:rPr>
          <w:rFonts w:ascii="Arial" w:hAnsi="Arial" w:cs="Arial"/>
          <w:b/>
          <w:bCs/>
        </w:rPr>
        <w:t>Barriers to Entry</w:t>
      </w:r>
      <w:r w:rsidRPr="000D2125">
        <w:rPr>
          <w:rFonts w:ascii="Arial" w:hAnsi="Arial" w:cs="Arial"/>
        </w:rPr>
        <w:t>: High capital requirements for infrastructure and regulatory hurdles create barriers for new entrants, reinforcing the market power of existing operators.</w:t>
      </w:r>
    </w:p>
    <w:p w14:paraId="19664990" w14:textId="77777777" w:rsidR="000D2125" w:rsidRPr="000D2125" w:rsidRDefault="000D2125" w:rsidP="00BC3824">
      <w:pPr>
        <w:spacing w:line="360" w:lineRule="auto"/>
        <w:rPr>
          <w:rFonts w:ascii="Arial" w:hAnsi="Arial" w:cs="Arial"/>
        </w:rPr>
      </w:pPr>
      <w:r w:rsidRPr="000D2125">
        <w:rPr>
          <w:rFonts w:ascii="Arial" w:hAnsi="Arial" w:cs="Arial"/>
          <w:b/>
          <w:bCs/>
        </w:rPr>
        <w:t>Product Differentiation</w:t>
      </w:r>
      <w:r w:rsidRPr="000D2125">
        <w:rPr>
          <w:rFonts w:ascii="Arial" w:hAnsi="Arial" w:cs="Arial"/>
        </w:rPr>
        <w:t>: Operators differentiate their services through pricing, network quality, customer service, and bundled offerings, allowing them to compete effectively despite being in an oligopoly.</w:t>
      </w:r>
    </w:p>
    <w:p w14:paraId="0420D2A3" w14:textId="77777777" w:rsidR="000D2125" w:rsidRPr="00651FE7" w:rsidRDefault="000D2125" w:rsidP="00651FE7">
      <w:pPr>
        <w:rPr>
          <w:rFonts w:ascii="Arial" w:hAnsi="Arial" w:cs="Arial"/>
          <w:b/>
          <w:bCs/>
          <w:i/>
          <w:iCs/>
          <w:sz w:val="24"/>
          <w:szCs w:val="24"/>
        </w:rPr>
      </w:pPr>
      <w:bookmarkStart w:id="11" w:name="_Toc180273762"/>
      <w:bookmarkStart w:id="12" w:name="_Toc180274517"/>
      <w:bookmarkStart w:id="13" w:name="_Toc180274523"/>
      <w:r w:rsidRPr="00651FE7">
        <w:rPr>
          <w:rFonts w:ascii="Arial" w:hAnsi="Arial" w:cs="Arial"/>
          <w:b/>
          <w:bCs/>
          <w:i/>
          <w:iCs/>
          <w:sz w:val="24"/>
          <w:szCs w:val="24"/>
        </w:rPr>
        <w:t>5. Stakeholder Issues</w:t>
      </w:r>
      <w:bookmarkEnd w:id="11"/>
      <w:bookmarkEnd w:id="12"/>
      <w:bookmarkEnd w:id="13"/>
    </w:p>
    <w:p w14:paraId="7A3D68F7" w14:textId="77777777" w:rsidR="000D2125" w:rsidRPr="000D2125" w:rsidRDefault="000D2125" w:rsidP="00BC3824">
      <w:pPr>
        <w:spacing w:line="360" w:lineRule="auto"/>
        <w:rPr>
          <w:rFonts w:ascii="Arial" w:hAnsi="Arial" w:cs="Arial"/>
        </w:rPr>
      </w:pPr>
      <w:r w:rsidRPr="000D2125">
        <w:rPr>
          <w:rFonts w:ascii="Arial" w:hAnsi="Arial" w:cs="Arial"/>
          <w:b/>
          <w:bCs/>
        </w:rPr>
        <w:t>Consumers</w:t>
      </w:r>
      <w:r w:rsidRPr="000D2125">
        <w:rPr>
          <w:rFonts w:ascii="Arial" w:hAnsi="Arial" w:cs="Arial"/>
        </w:rPr>
        <w:t>: Customer satisfaction and trust are paramount. Operators must focus on service quality, transparency in pricing, and data protection to build loyalty.</w:t>
      </w:r>
    </w:p>
    <w:p w14:paraId="20F0BCF3" w14:textId="77777777" w:rsidR="000D2125" w:rsidRPr="000D2125" w:rsidRDefault="000D2125" w:rsidP="00BC3824">
      <w:pPr>
        <w:spacing w:line="360" w:lineRule="auto"/>
        <w:rPr>
          <w:rFonts w:ascii="Arial" w:hAnsi="Arial" w:cs="Arial"/>
        </w:rPr>
      </w:pPr>
      <w:r w:rsidRPr="000D2125">
        <w:rPr>
          <w:rFonts w:ascii="Arial" w:hAnsi="Arial" w:cs="Arial"/>
          <w:b/>
          <w:bCs/>
        </w:rPr>
        <w:t>Employees</w:t>
      </w:r>
      <w:r w:rsidRPr="000D2125">
        <w:rPr>
          <w:rFonts w:ascii="Arial" w:hAnsi="Arial" w:cs="Arial"/>
        </w:rPr>
        <w:t>: Employee satisfaction and retention are important for operational efficiency. Investments in training and development can enhance service delivery.</w:t>
      </w:r>
    </w:p>
    <w:p w14:paraId="4E8D7B70" w14:textId="77777777" w:rsidR="000D2125" w:rsidRPr="000D2125" w:rsidRDefault="000D2125" w:rsidP="00BC3824">
      <w:pPr>
        <w:spacing w:line="360" w:lineRule="auto"/>
        <w:rPr>
          <w:rFonts w:ascii="Arial" w:hAnsi="Arial" w:cs="Arial"/>
        </w:rPr>
      </w:pPr>
      <w:r w:rsidRPr="000D2125">
        <w:rPr>
          <w:rFonts w:ascii="Arial" w:hAnsi="Arial" w:cs="Arial"/>
          <w:b/>
          <w:bCs/>
        </w:rPr>
        <w:t>Shareholders</w:t>
      </w:r>
      <w:r w:rsidRPr="000D2125">
        <w:rPr>
          <w:rFonts w:ascii="Arial" w:hAnsi="Arial" w:cs="Arial"/>
        </w:rPr>
        <w:t>: Operators must balance shareholder expectations for profits with long-term investments in technology and sustainability. Transparent communication about financial health and strategic direction is essential.</w:t>
      </w:r>
    </w:p>
    <w:p w14:paraId="24C54444" w14:textId="77777777" w:rsidR="000D2125" w:rsidRPr="000D2125" w:rsidRDefault="000D2125" w:rsidP="00BC3824">
      <w:pPr>
        <w:spacing w:line="360" w:lineRule="auto"/>
        <w:rPr>
          <w:rFonts w:ascii="Arial" w:hAnsi="Arial" w:cs="Arial"/>
        </w:rPr>
      </w:pPr>
      <w:r w:rsidRPr="000D2125">
        <w:rPr>
          <w:rFonts w:ascii="Arial" w:hAnsi="Arial" w:cs="Arial"/>
          <w:b/>
          <w:bCs/>
        </w:rPr>
        <w:t>Regulatory Bodies</w:t>
      </w:r>
      <w:r w:rsidRPr="000D2125">
        <w:rPr>
          <w:rFonts w:ascii="Arial" w:hAnsi="Arial" w:cs="Arial"/>
        </w:rPr>
        <w:t>: Compliance with regulations is necessary to avoid penalties. Engaging with regulators to influence policy can also be beneficial.</w:t>
      </w:r>
    </w:p>
    <w:p w14:paraId="3ED8B09B" w14:textId="77777777" w:rsidR="000D2125" w:rsidRPr="000D2125" w:rsidRDefault="000D2125" w:rsidP="00BC3824">
      <w:pPr>
        <w:spacing w:line="360" w:lineRule="auto"/>
        <w:rPr>
          <w:rFonts w:ascii="Arial" w:hAnsi="Arial" w:cs="Arial"/>
        </w:rPr>
      </w:pPr>
      <w:r w:rsidRPr="000D2125">
        <w:rPr>
          <w:rFonts w:ascii="Arial" w:hAnsi="Arial" w:cs="Arial"/>
          <w:b/>
          <w:bCs/>
        </w:rPr>
        <w:t>Community and Environment</w:t>
      </w:r>
      <w:r w:rsidRPr="000D2125">
        <w:rPr>
          <w:rFonts w:ascii="Arial" w:hAnsi="Arial" w:cs="Arial"/>
        </w:rPr>
        <w:t>: Increasing emphasis on corporate social responsibility means that mobile operators need to consider their impact on communities and the environment. Sustainable practices can enhance brand reputation and customer loyalty.</w:t>
      </w:r>
    </w:p>
    <w:p w14:paraId="5D39F6F5" w14:textId="77777777" w:rsidR="00E048E7" w:rsidRDefault="00CD21D5" w:rsidP="00BC3824">
      <w:pPr>
        <w:spacing w:line="360" w:lineRule="auto"/>
        <w:rPr>
          <w:rFonts w:ascii="Arial" w:hAnsi="Arial" w:cs="Arial"/>
          <w:b/>
          <w:bCs/>
        </w:rPr>
      </w:pPr>
      <w:r>
        <w:rPr>
          <w:rFonts w:ascii="Arial" w:hAnsi="Arial" w:cs="Arial"/>
          <w:b/>
          <w:bCs/>
        </w:rPr>
        <w:br/>
      </w:r>
      <w:r>
        <w:rPr>
          <w:rFonts w:ascii="Arial" w:hAnsi="Arial" w:cs="Arial"/>
          <w:b/>
          <w:bCs/>
        </w:rPr>
        <w:br/>
      </w:r>
      <w:bookmarkStart w:id="14" w:name="_Toc180273763"/>
      <w:bookmarkStart w:id="15" w:name="_Toc180274518"/>
      <w:bookmarkStart w:id="16" w:name="_Toc180274524"/>
      <w:bookmarkStart w:id="17" w:name="_Toc180274862"/>
      <w:bookmarkStart w:id="18" w:name="_Toc180275112"/>
      <w:bookmarkStart w:id="19" w:name="_Toc180323810"/>
      <w:r w:rsidR="000D2125" w:rsidRPr="00651FE7">
        <w:rPr>
          <w:rStyle w:val="Heading1Char"/>
        </w:rPr>
        <w:t>Recommendations for Sustainable Growth in the UK Mobile Network Industry</w:t>
      </w:r>
      <w:bookmarkEnd w:id="14"/>
      <w:bookmarkEnd w:id="15"/>
      <w:bookmarkEnd w:id="16"/>
      <w:bookmarkEnd w:id="17"/>
      <w:bookmarkEnd w:id="18"/>
      <w:bookmarkEnd w:id="19"/>
      <w:r w:rsidR="000D2125" w:rsidRPr="00784ECF">
        <w:rPr>
          <w:rStyle w:val="Heading1Char"/>
        </w:rPr>
        <w:br/>
      </w:r>
      <w:r w:rsidR="000D2125" w:rsidRPr="00CD21D5">
        <w:rPr>
          <w:rStyle w:val="Heading1Char"/>
        </w:rPr>
        <w:br/>
      </w:r>
      <w:r w:rsidR="000D2125">
        <w:rPr>
          <w:rFonts w:ascii="Arial" w:hAnsi="Arial" w:cs="Arial"/>
          <w:b/>
          <w:bCs/>
        </w:rPr>
        <w:t>I</w:t>
      </w:r>
      <w:r w:rsidR="000D2125" w:rsidRPr="000D2125">
        <w:rPr>
          <w:rFonts w:ascii="Arial" w:hAnsi="Arial" w:cs="Arial"/>
          <w:b/>
          <w:bCs/>
        </w:rPr>
        <w:t xml:space="preserve">nvest in Infrastructure: </w:t>
      </w:r>
      <w:r w:rsidR="000D2125" w:rsidRPr="000D2125">
        <w:rPr>
          <w:rFonts w:ascii="Arial" w:hAnsi="Arial" w:cs="Arial"/>
        </w:rPr>
        <w:t xml:space="preserve">Continuous investment in network infrastructure, particularly in 5G and </w:t>
      </w:r>
      <w:proofErr w:type="spellStart"/>
      <w:r w:rsidR="000D2125" w:rsidRPr="000D2125">
        <w:rPr>
          <w:rFonts w:ascii="Arial" w:hAnsi="Arial" w:cs="Arial"/>
        </w:rPr>
        <w:t>fiber</w:t>
      </w:r>
      <w:proofErr w:type="spellEnd"/>
      <w:r w:rsidR="000D2125" w:rsidRPr="000D2125">
        <w:rPr>
          <w:rFonts w:ascii="Arial" w:hAnsi="Arial" w:cs="Arial"/>
        </w:rPr>
        <w:t xml:space="preserve"> optics, is essential. This will not only improve service quality but also allow for the expansion of new services, such as IoT applications, which can drive revenue growth.</w:t>
      </w:r>
      <w:r w:rsidR="000D2125">
        <w:rPr>
          <w:rFonts w:ascii="Arial" w:hAnsi="Arial" w:cs="Arial"/>
          <w:b/>
          <w:bCs/>
        </w:rPr>
        <w:br/>
      </w:r>
      <w:r w:rsidR="000D2125" w:rsidRPr="000D2125">
        <w:rPr>
          <w:rFonts w:ascii="Arial" w:hAnsi="Arial" w:cs="Arial"/>
          <w:b/>
          <w:bCs/>
        </w:rPr>
        <w:t xml:space="preserve"> </w:t>
      </w:r>
    </w:p>
    <w:p w14:paraId="0FD74947" w14:textId="4CA7D241" w:rsidR="000D2125" w:rsidRPr="000D2125" w:rsidRDefault="000D2125" w:rsidP="00BC3824">
      <w:pPr>
        <w:spacing w:line="360" w:lineRule="auto"/>
        <w:rPr>
          <w:rFonts w:ascii="Arial" w:hAnsi="Arial" w:cs="Arial"/>
        </w:rPr>
      </w:pPr>
      <w:r w:rsidRPr="000D2125">
        <w:rPr>
          <w:rFonts w:ascii="Arial" w:hAnsi="Arial" w:cs="Arial"/>
          <w:b/>
          <w:bCs/>
        </w:rPr>
        <w:lastRenderedPageBreak/>
        <w:t xml:space="preserve">Enhance Customer Experience: </w:t>
      </w:r>
      <w:r w:rsidRPr="000D2125">
        <w:rPr>
          <w:rFonts w:ascii="Arial" w:hAnsi="Arial" w:cs="Arial"/>
        </w:rPr>
        <w:t>Focus on delivering exceptional customer service through personalized offerings and efficient support channels. Implementing AI-driven solutions can help in understanding customer needs and improving engagement.</w:t>
      </w:r>
      <w:r>
        <w:rPr>
          <w:rFonts w:ascii="Arial" w:hAnsi="Arial" w:cs="Arial"/>
          <w:b/>
          <w:bCs/>
        </w:rPr>
        <w:br/>
      </w:r>
      <w:r w:rsidR="00BC3824">
        <w:rPr>
          <w:rFonts w:ascii="Arial" w:hAnsi="Arial" w:cs="Arial"/>
          <w:b/>
          <w:bCs/>
        </w:rPr>
        <w:br/>
      </w:r>
      <w:r w:rsidR="00BC3824">
        <w:rPr>
          <w:rFonts w:ascii="Arial" w:hAnsi="Arial" w:cs="Arial"/>
          <w:b/>
          <w:bCs/>
        </w:rPr>
        <w:br/>
      </w:r>
      <w:r w:rsidRPr="000D2125">
        <w:rPr>
          <w:rFonts w:ascii="Arial" w:hAnsi="Arial" w:cs="Arial"/>
          <w:b/>
          <w:bCs/>
        </w:rPr>
        <w:t xml:space="preserve">Diversify Service Offerings: </w:t>
      </w:r>
      <w:r w:rsidRPr="000D2125">
        <w:rPr>
          <w:rFonts w:ascii="Arial" w:hAnsi="Arial" w:cs="Arial"/>
        </w:rPr>
        <w:t>Explore adjacent markets by offering value-added services, such as content streaming, cloud storage, and cybersecurity. Bundling these services can create a competitive advantage and enhance customer loyalty.</w:t>
      </w:r>
      <w:r>
        <w:rPr>
          <w:rFonts w:ascii="Arial" w:hAnsi="Arial" w:cs="Arial"/>
        </w:rPr>
        <w:br/>
      </w:r>
      <w:r w:rsidR="00BC3824">
        <w:rPr>
          <w:rFonts w:ascii="Arial" w:hAnsi="Arial" w:cs="Arial"/>
          <w:b/>
          <w:bCs/>
        </w:rPr>
        <w:br/>
      </w:r>
      <w:r w:rsidR="00BC3824">
        <w:rPr>
          <w:rFonts w:ascii="Arial" w:hAnsi="Arial" w:cs="Arial"/>
          <w:b/>
          <w:bCs/>
        </w:rPr>
        <w:br/>
      </w:r>
      <w:r w:rsidRPr="000D2125">
        <w:rPr>
          <w:rFonts w:ascii="Arial" w:hAnsi="Arial" w:cs="Arial"/>
          <w:b/>
          <w:bCs/>
        </w:rPr>
        <w:t>Adopt Sustainable Practices</w:t>
      </w:r>
      <w:r w:rsidRPr="000D2125">
        <w:rPr>
          <w:rFonts w:ascii="Arial" w:hAnsi="Arial" w:cs="Arial"/>
        </w:rPr>
        <w:t>: Invest in green technologies and initiatives to reduce environmental impact. This could include energy-efficient network solutions and responsible e-waste management. Highlighting sustainability efforts can enhance brand reputation and attract environmentally conscious consumers.</w:t>
      </w:r>
      <w:r>
        <w:rPr>
          <w:rFonts w:ascii="Arial" w:hAnsi="Arial" w:cs="Arial"/>
        </w:rPr>
        <w:br/>
      </w:r>
      <w:r w:rsidRPr="000D2125">
        <w:rPr>
          <w:rFonts w:ascii="Arial" w:hAnsi="Arial" w:cs="Arial"/>
          <w:b/>
          <w:bCs/>
        </w:rPr>
        <w:t xml:space="preserve">Leverage Data Analytics: </w:t>
      </w:r>
      <w:r w:rsidRPr="000D2125">
        <w:rPr>
          <w:rFonts w:ascii="Arial" w:hAnsi="Arial" w:cs="Arial"/>
        </w:rPr>
        <w:t xml:space="preserve">Utilize data analytics to understand consumer </w:t>
      </w:r>
      <w:proofErr w:type="spellStart"/>
      <w:r w:rsidRPr="000D2125">
        <w:rPr>
          <w:rFonts w:ascii="Arial" w:hAnsi="Arial" w:cs="Arial"/>
        </w:rPr>
        <w:t>behavior</w:t>
      </w:r>
      <w:proofErr w:type="spellEnd"/>
      <w:r w:rsidRPr="000D2125">
        <w:rPr>
          <w:rFonts w:ascii="Arial" w:hAnsi="Arial" w:cs="Arial"/>
        </w:rPr>
        <w:t xml:space="preserve"> and preferences better. This can inform targeted marketing strategies, optimize pricing, and improve service delivery, ultimately driving customer retention.</w:t>
      </w:r>
      <w:r>
        <w:rPr>
          <w:rFonts w:ascii="Arial" w:hAnsi="Arial" w:cs="Arial"/>
        </w:rPr>
        <w:br/>
      </w:r>
      <w:r w:rsidRPr="000D2125">
        <w:rPr>
          <w:rFonts w:ascii="Arial" w:hAnsi="Arial" w:cs="Arial"/>
          <w:b/>
          <w:bCs/>
        </w:rPr>
        <w:t>Foster Strategic Partnerships</w:t>
      </w:r>
      <w:r w:rsidRPr="000D2125">
        <w:rPr>
          <w:rFonts w:ascii="Arial" w:hAnsi="Arial" w:cs="Arial"/>
        </w:rPr>
        <w:t>: Collaborate with tech firms, content providers, and other industries to create innovative offerings and enhance service capabilities. Partnerships can provide access to new technologies and markets while sharing risks.</w:t>
      </w:r>
      <w:r>
        <w:rPr>
          <w:rFonts w:ascii="Arial" w:hAnsi="Arial" w:cs="Arial"/>
        </w:rPr>
        <w:br/>
      </w:r>
      <w:r w:rsidRPr="000D2125">
        <w:rPr>
          <w:rFonts w:ascii="Arial" w:hAnsi="Arial" w:cs="Arial"/>
        </w:rPr>
        <w:t xml:space="preserve"> </w:t>
      </w:r>
      <w:r w:rsidRPr="000D2125">
        <w:rPr>
          <w:rFonts w:ascii="Arial" w:hAnsi="Arial" w:cs="Arial"/>
          <w:b/>
          <w:bCs/>
        </w:rPr>
        <w:t>Focus on Digital Transformation</w:t>
      </w:r>
      <w:r w:rsidRPr="000D2125">
        <w:rPr>
          <w:rFonts w:ascii="Arial" w:hAnsi="Arial" w:cs="Arial"/>
        </w:rPr>
        <w:t>: Embrace digital transformation across all operations. Automating processes, enhancing online customer interactions, and utilizing digital marketing strategies can improve efficiency and customer satisfaction.</w:t>
      </w:r>
      <w:r>
        <w:rPr>
          <w:rFonts w:ascii="Arial" w:hAnsi="Arial" w:cs="Arial"/>
        </w:rPr>
        <w:br/>
      </w:r>
      <w:r w:rsidRPr="000D2125">
        <w:rPr>
          <w:rFonts w:ascii="Arial" w:hAnsi="Arial" w:cs="Arial"/>
          <w:b/>
          <w:bCs/>
        </w:rPr>
        <w:t>Strengthen Cybersecurity Measures</w:t>
      </w:r>
      <w:r w:rsidRPr="000D2125">
        <w:rPr>
          <w:rFonts w:ascii="Arial" w:hAnsi="Arial" w:cs="Arial"/>
        </w:rPr>
        <w:t>: As data privacy concerns rise, investing in robust cybersecurity protocols is crucial. Ensuring data protection will build trust with consumers and comply with regulatory standards.</w:t>
      </w:r>
      <w:r>
        <w:rPr>
          <w:rFonts w:ascii="Arial" w:hAnsi="Arial" w:cs="Arial"/>
        </w:rPr>
        <w:br/>
      </w:r>
      <w:r w:rsidRPr="000D2125">
        <w:rPr>
          <w:rFonts w:ascii="Arial" w:hAnsi="Arial" w:cs="Arial"/>
          <w:b/>
          <w:bCs/>
        </w:rPr>
        <w:t>Engage with Stakeholders</w:t>
      </w:r>
      <w:r w:rsidRPr="000D2125">
        <w:rPr>
          <w:rFonts w:ascii="Arial" w:hAnsi="Arial" w:cs="Arial"/>
        </w:rPr>
        <w:t>: Maintain open communication with all stakeholders, including consumers, employees, regulators, and the community. Actively seeking feedback and involving them in decision-making can foster loyalty and support.</w:t>
      </w:r>
      <w:r>
        <w:rPr>
          <w:rFonts w:ascii="Arial" w:hAnsi="Arial" w:cs="Arial"/>
        </w:rPr>
        <w:br/>
      </w:r>
      <w:r w:rsidRPr="000D2125">
        <w:rPr>
          <w:rFonts w:ascii="Arial" w:hAnsi="Arial" w:cs="Arial"/>
          <w:b/>
          <w:bCs/>
        </w:rPr>
        <w:t>Monitor Regulatory Changes</w:t>
      </w:r>
      <w:r w:rsidRPr="000D2125">
        <w:rPr>
          <w:rFonts w:ascii="Arial" w:hAnsi="Arial" w:cs="Arial"/>
        </w:rPr>
        <w:t>: Stay ahead of regulatory developments and engage proactively with regulatory bodies. Understanding and adapting to policy changes will mitigate risks and ensure compliance.</w:t>
      </w:r>
    </w:p>
    <w:p w14:paraId="10A14341" w14:textId="77777777" w:rsidR="00E048E7" w:rsidRDefault="00E048E7" w:rsidP="00651FE7">
      <w:pPr>
        <w:pStyle w:val="Heading1"/>
      </w:pPr>
      <w:bookmarkStart w:id="20" w:name="_Toc180273764"/>
      <w:bookmarkStart w:id="21" w:name="_Toc180274519"/>
      <w:bookmarkStart w:id="22" w:name="_Toc180274525"/>
      <w:bookmarkStart w:id="23" w:name="_Toc180274863"/>
      <w:bookmarkStart w:id="24" w:name="_Toc180275113"/>
      <w:bookmarkStart w:id="25" w:name="_Toc180323811"/>
      <w:r>
        <w:lastRenderedPageBreak/>
        <w:br/>
      </w:r>
      <w:r>
        <w:br/>
      </w:r>
      <w:r>
        <w:br/>
      </w:r>
    </w:p>
    <w:p w14:paraId="5F76DE85" w14:textId="77777777" w:rsidR="00E048E7" w:rsidRDefault="00E048E7" w:rsidP="00651FE7">
      <w:pPr>
        <w:pStyle w:val="Heading1"/>
      </w:pPr>
    </w:p>
    <w:p w14:paraId="7AFFC04C" w14:textId="159DBD61" w:rsidR="000D2125" w:rsidRPr="00784ECF" w:rsidRDefault="000D2125" w:rsidP="00651FE7">
      <w:pPr>
        <w:pStyle w:val="Heading1"/>
      </w:pPr>
      <w:r w:rsidRPr="00784ECF">
        <w:t>Conclusion</w:t>
      </w:r>
      <w:bookmarkEnd w:id="20"/>
      <w:bookmarkEnd w:id="21"/>
      <w:bookmarkEnd w:id="22"/>
      <w:bookmarkEnd w:id="23"/>
      <w:bookmarkEnd w:id="24"/>
      <w:bookmarkEnd w:id="25"/>
    </w:p>
    <w:p w14:paraId="40812383" w14:textId="33990822" w:rsidR="000D2125" w:rsidRPr="000D2125" w:rsidRDefault="000D2125" w:rsidP="00BC3824">
      <w:pPr>
        <w:spacing w:line="360" w:lineRule="auto"/>
        <w:rPr>
          <w:rFonts w:ascii="Arial" w:hAnsi="Arial" w:cs="Arial"/>
        </w:rPr>
      </w:pPr>
      <w:r w:rsidRPr="000D2125">
        <w:rPr>
          <w:rFonts w:ascii="Arial" w:hAnsi="Arial" w:cs="Arial"/>
        </w:rPr>
        <w:t>The UK mobile network industry faces a mix of challenges and opportunities that will shape its future. While profit maximisation remains a key focus, operators must also consider broader issues of sustainability, consumer trust, and technological innovation to thrive in a competitive landscape. The balance between profitability and social responsibility will be pivotal in ensuring long-term success.</w:t>
      </w:r>
      <w:r w:rsidRPr="000D2125">
        <w:t xml:space="preserve"> </w:t>
      </w:r>
      <w:r>
        <w:br/>
      </w:r>
      <w:r w:rsidRPr="000D2125">
        <w:rPr>
          <w:rFonts w:ascii="Arial" w:hAnsi="Arial" w:cs="Arial"/>
        </w:rPr>
        <w:t>The UK mobile network industry operates within a complex framework of economic theories, market dynamics, and stakeholder relationships. Understanding demand and supply, the competitive environment, business objectives, market structure, and stakeholder issues is crucial for operators aiming to thrive. By strategically navigating these elements, mobile network operators can enhance their competitive edge while ensuring sustainable growth.</w:t>
      </w:r>
      <w:r>
        <w:rPr>
          <w:rFonts w:ascii="Arial" w:hAnsi="Arial" w:cs="Arial"/>
        </w:rPr>
        <w:br/>
      </w:r>
      <w:r w:rsidRPr="000D2125">
        <w:rPr>
          <w:rFonts w:ascii="Arial" w:hAnsi="Arial" w:cs="Arial"/>
        </w:rPr>
        <w:t>Balancing innovation with customer-centric practices and social responsibility will be key to thriving in the future.</w:t>
      </w:r>
    </w:p>
    <w:p w14:paraId="127DD4DF" w14:textId="77777777" w:rsidR="00651FE7" w:rsidRDefault="00B3459D" w:rsidP="00651FE7">
      <w:pPr>
        <w:rPr>
          <w:rFonts w:ascii="Arial" w:hAnsi="Arial" w:cs="Arial"/>
          <w:i/>
          <w:iCs/>
          <w:sz w:val="24"/>
          <w:szCs w:val="24"/>
        </w:rPr>
      </w:pPr>
      <w:r>
        <w:br/>
      </w:r>
      <w:r>
        <w:br/>
      </w:r>
      <w:r>
        <w:br/>
      </w:r>
      <w:r>
        <w:br/>
      </w:r>
      <w:r>
        <w:br/>
      </w:r>
      <w:r>
        <w:br/>
      </w:r>
      <w:r>
        <w:br/>
      </w:r>
      <w:r>
        <w:br/>
      </w:r>
      <w:r>
        <w:br/>
      </w:r>
      <w:r>
        <w:br/>
      </w:r>
      <w:bookmarkStart w:id="26" w:name="_Toc180273765"/>
      <w:bookmarkStart w:id="27" w:name="_Toc180274520"/>
      <w:bookmarkStart w:id="28" w:name="_Toc180274526"/>
      <w:bookmarkStart w:id="29" w:name="_Toc180274864"/>
      <w:r w:rsidR="00651FE7">
        <w:br/>
      </w:r>
      <w:r w:rsidR="00651FE7">
        <w:br/>
      </w:r>
    </w:p>
    <w:p w14:paraId="6D1C1F1E" w14:textId="77777777" w:rsidR="00651FE7" w:rsidRDefault="00651FE7" w:rsidP="00651FE7">
      <w:pPr>
        <w:rPr>
          <w:rFonts w:ascii="Arial" w:hAnsi="Arial" w:cs="Arial"/>
          <w:i/>
          <w:iCs/>
          <w:sz w:val="24"/>
          <w:szCs w:val="24"/>
        </w:rPr>
      </w:pPr>
    </w:p>
    <w:p w14:paraId="170F6D16" w14:textId="77777777" w:rsidR="00651FE7" w:rsidRDefault="00651FE7" w:rsidP="00651FE7">
      <w:pPr>
        <w:rPr>
          <w:rFonts w:ascii="Arial" w:hAnsi="Arial" w:cs="Arial"/>
          <w:i/>
          <w:iCs/>
          <w:sz w:val="24"/>
          <w:szCs w:val="24"/>
        </w:rPr>
      </w:pPr>
    </w:p>
    <w:p w14:paraId="2232BBB3" w14:textId="77777777" w:rsidR="00651FE7" w:rsidRDefault="00651FE7" w:rsidP="00651FE7">
      <w:pPr>
        <w:rPr>
          <w:rFonts w:ascii="Arial" w:hAnsi="Arial" w:cs="Arial"/>
          <w:i/>
          <w:iCs/>
          <w:sz w:val="24"/>
          <w:szCs w:val="24"/>
        </w:rPr>
      </w:pPr>
    </w:p>
    <w:p w14:paraId="297D24F3" w14:textId="77777777" w:rsidR="00651FE7" w:rsidRDefault="00651FE7" w:rsidP="00651FE7">
      <w:pPr>
        <w:rPr>
          <w:rFonts w:ascii="Arial" w:hAnsi="Arial" w:cs="Arial"/>
          <w:i/>
          <w:iCs/>
          <w:sz w:val="24"/>
          <w:szCs w:val="24"/>
        </w:rPr>
      </w:pPr>
    </w:p>
    <w:p w14:paraId="1DF8932D" w14:textId="77777777" w:rsidR="00651FE7" w:rsidRDefault="00651FE7" w:rsidP="00651FE7">
      <w:pPr>
        <w:rPr>
          <w:rFonts w:ascii="Arial" w:hAnsi="Arial" w:cs="Arial"/>
          <w:i/>
          <w:iCs/>
          <w:sz w:val="24"/>
          <w:szCs w:val="24"/>
        </w:rPr>
      </w:pPr>
    </w:p>
    <w:p w14:paraId="1249B390" w14:textId="77777777" w:rsidR="00651FE7" w:rsidRDefault="00651FE7" w:rsidP="00651FE7">
      <w:pPr>
        <w:rPr>
          <w:rFonts w:ascii="Arial" w:hAnsi="Arial" w:cs="Arial"/>
          <w:i/>
          <w:iCs/>
          <w:sz w:val="24"/>
          <w:szCs w:val="24"/>
        </w:rPr>
      </w:pPr>
    </w:p>
    <w:p w14:paraId="60192273" w14:textId="77777777" w:rsidR="00651FE7" w:rsidRDefault="00651FE7" w:rsidP="00651FE7">
      <w:pPr>
        <w:rPr>
          <w:rFonts w:ascii="Arial" w:hAnsi="Arial" w:cs="Arial"/>
          <w:i/>
          <w:iCs/>
          <w:sz w:val="24"/>
          <w:szCs w:val="24"/>
        </w:rPr>
      </w:pPr>
    </w:p>
    <w:p w14:paraId="26A0796C" w14:textId="3F4B7683" w:rsidR="00E6732C" w:rsidRPr="00651FE7" w:rsidRDefault="00B3459D" w:rsidP="00E048E7">
      <w:pPr>
        <w:spacing w:line="360" w:lineRule="auto"/>
        <w:rPr>
          <w:rFonts w:ascii="Arial" w:hAnsi="Arial" w:cs="Arial"/>
          <w:i/>
          <w:iCs/>
          <w:sz w:val="24"/>
          <w:szCs w:val="24"/>
        </w:rPr>
      </w:pPr>
      <w:bookmarkStart w:id="30" w:name="_Hlk180324107"/>
      <w:r w:rsidRPr="00651FE7">
        <w:rPr>
          <w:rFonts w:ascii="Arial" w:hAnsi="Arial" w:cs="Arial"/>
          <w:b/>
          <w:bCs/>
          <w:i/>
          <w:iCs/>
          <w:sz w:val="24"/>
          <w:szCs w:val="24"/>
        </w:rPr>
        <w:lastRenderedPageBreak/>
        <w:t>Reference</w:t>
      </w:r>
      <w:bookmarkEnd w:id="26"/>
      <w:bookmarkEnd w:id="27"/>
      <w:bookmarkEnd w:id="28"/>
      <w:bookmarkEnd w:id="29"/>
      <w:r w:rsidR="00651FE7" w:rsidRPr="00651FE7">
        <w:rPr>
          <w:rFonts w:ascii="Arial" w:hAnsi="Arial" w:cs="Arial"/>
          <w:b/>
          <w:bCs/>
          <w:i/>
          <w:iCs/>
          <w:sz w:val="24"/>
          <w:szCs w:val="24"/>
        </w:rPr>
        <w:t>s</w:t>
      </w:r>
      <w:r w:rsidR="00651FE7">
        <w:rPr>
          <w:rFonts w:ascii="Arial" w:hAnsi="Arial" w:cs="Arial"/>
          <w:i/>
          <w:iCs/>
          <w:sz w:val="24"/>
          <w:szCs w:val="24"/>
        </w:rPr>
        <w:br/>
      </w:r>
      <w:bookmarkEnd w:id="30"/>
      <w:r w:rsidRPr="00651FE7">
        <w:rPr>
          <w:rFonts w:ascii="Arial" w:hAnsi="Arial" w:cs="Arial"/>
          <w:i/>
          <w:iCs/>
          <w:sz w:val="24"/>
          <w:szCs w:val="24"/>
        </w:rPr>
        <w:br/>
      </w:r>
      <w:r w:rsidRPr="00B3459D">
        <w:rPr>
          <w:rFonts w:ascii="Arial" w:hAnsi="Arial" w:cs="Arial"/>
          <w:b/>
          <w:bCs/>
        </w:rPr>
        <w:t>Ofcom. (2022).</w:t>
      </w:r>
      <w:r w:rsidRPr="00B3459D">
        <w:rPr>
          <w:rFonts w:ascii="Arial" w:hAnsi="Arial" w:cs="Arial"/>
        </w:rPr>
        <w:t xml:space="preserve"> </w:t>
      </w:r>
      <w:r w:rsidRPr="00B3459D">
        <w:rPr>
          <w:rFonts w:ascii="Arial" w:hAnsi="Arial" w:cs="Arial"/>
          <w:i/>
          <w:iCs/>
        </w:rPr>
        <w:t>Mobile sector report 2022.</w:t>
      </w:r>
      <w:r>
        <w:rPr>
          <w:rFonts w:ascii="Arial" w:hAnsi="Arial" w:cs="Arial"/>
          <w:i/>
          <w:iCs/>
        </w:rPr>
        <w:br/>
      </w:r>
      <w:r w:rsidRPr="00B3459D">
        <w:rPr>
          <w:rFonts w:ascii="Arial" w:hAnsi="Arial" w:cs="Arial"/>
          <w:b/>
          <w:bCs/>
        </w:rPr>
        <w:t>Vodafone Group. (2023).</w:t>
      </w:r>
      <w:r w:rsidRPr="00B3459D">
        <w:rPr>
          <w:rFonts w:ascii="Arial" w:hAnsi="Arial" w:cs="Arial"/>
        </w:rPr>
        <w:t xml:space="preserve"> </w:t>
      </w:r>
      <w:r w:rsidRPr="00B3459D">
        <w:rPr>
          <w:rFonts w:ascii="Arial" w:hAnsi="Arial" w:cs="Arial"/>
          <w:i/>
          <w:iCs/>
        </w:rPr>
        <w:t>Annual report 2023.</w:t>
      </w:r>
      <w:r>
        <w:rPr>
          <w:rFonts w:ascii="Arial" w:hAnsi="Arial" w:cs="Arial"/>
          <w:i/>
          <w:iCs/>
        </w:rPr>
        <w:br/>
      </w:r>
      <w:r w:rsidRPr="00B3459D">
        <w:rPr>
          <w:rFonts w:ascii="Arial" w:hAnsi="Arial" w:cs="Arial"/>
          <w:b/>
          <w:bCs/>
        </w:rPr>
        <w:t>PwC. (2023).</w:t>
      </w:r>
      <w:r w:rsidRPr="00B3459D">
        <w:rPr>
          <w:rFonts w:ascii="Arial" w:hAnsi="Arial" w:cs="Arial"/>
        </w:rPr>
        <w:t xml:space="preserve"> </w:t>
      </w:r>
      <w:r w:rsidRPr="00B3459D">
        <w:rPr>
          <w:rFonts w:ascii="Arial" w:hAnsi="Arial" w:cs="Arial"/>
          <w:i/>
          <w:iCs/>
        </w:rPr>
        <w:t>The future of telecoms: Navigating the next wave of innovation.</w:t>
      </w:r>
      <w:r w:rsidRPr="00B3459D">
        <w:rPr>
          <w:rFonts w:ascii="Arial" w:hAnsi="Arial" w:cs="Arial"/>
        </w:rPr>
        <w:br/>
        <w:t>Retrieved from PwC</w:t>
      </w:r>
      <w:r>
        <w:rPr>
          <w:rFonts w:ascii="Arial" w:hAnsi="Arial" w:cs="Arial"/>
        </w:rPr>
        <w:br/>
      </w:r>
      <w:r w:rsidRPr="00B3459D">
        <w:rPr>
          <w:rFonts w:ascii="Arial" w:hAnsi="Arial" w:cs="Arial"/>
          <w:b/>
          <w:bCs/>
        </w:rPr>
        <w:t>Deloitte. (2022).</w:t>
      </w:r>
      <w:r w:rsidRPr="00B3459D">
        <w:rPr>
          <w:rFonts w:ascii="Arial" w:hAnsi="Arial" w:cs="Arial"/>
        </w:rPr>
        <w:t xml:space="preserve"> </w:t>
      </w:r>
      <w:r w:rsidRPr="00B3459D">
        <w:rPr>
          <w:rFonts w:ascii="Arial" w:hAnsi="Arial" w:cs="Arial"/>
          <w:i/>
          <w:iCs/>
        </w:rPr>
        <w:t>Global telecom trends 2022.</w:t>
      </w:r>
      <w:r>
        <w:rPr>
          <w:rFonts w:ascii="Arial" w:hAnsi="Arial" w:cs="Arial"/>
          <w:i/>
          <w:iCs/>
        </w:rPr>
        <w:br/>
      </w:r>
      <w:r w:rsidRPr="00B3459D">
        <w:rPr>
          <w:rFonts w:ascii="Arial" w:hAnsi="Arial" w:cs="Arial"/>
          <w:b/>
          <w:bCs/>
        </w:rPr>
        <w:t>GSM Association (GSMA). (2023).</w:t>
      </w:r>
      <w:r w:rsidRPr="00B3459D">
        <w:rPr>
          <w:rFonts w:ascii="Arial" w:hAnsi="Arial" w:cs="Arial"/>
        </w:rPr>
        <w:t xml:space="preserve"> </w:t>
      </w:r>
      <w:r w:rsidRPr="00B3459D">
        <w:rPr>
          <w:rFonts w:ascii="Arial" w:hAnsi="Arial" w:cs="Arial"/>
          <w:i/>
          <w:iCs/>
        </w:rPr>
        <w:t>Mobile Economy 2023.</w:t>
      </w:r>
      <w:r>
        <w:rPr>
          <w:rFonts w:ascii="Arial" w:hAnsi="Arial" w:cs="Arial"/>
          <w:i/>
          <w:iCs/>
        </w:rPr>
        <w:br/>
      </w:r>
      <w:r w:rsidRPr="00B3459D">
        <w:rPr>
          <w:rFonts w:ascii="Arial" w:hAnsi="Arial" w:cs="Arial"/>
          <w:b/>
          <w:bCs/>
        </w:rPr>
        <w:t>McKinsey &amp; Company. (2023).</w:t>
      </w:r>
      <w:r w:rsidRPr="00B3459D">
        <w:rPr>
          <w:rFonts w:ascii="Arial" w:hAnsi="Arial" w:cs="Arial"/>
        </w:rPr>
        <w:t xml:space="preserve"> </w:t>
      </w:r>
      <w:r w:rsidRPr="00B3459D">
        <w:rPr>
          <w:rFonts w:ascii="Arial" w:hAnsi="Arial" w:cs="Arial"/>
          <w:i/>
          <w:iCs/>
        </w:rPr>
        <w:t>Telecommunications: A new era of growth.</w:t>
      </w:r>
      <w:r>
        <w:rPr>
          <w:rFonts w:ascii="Arial" w:hAnsi="Arial" w:cs="Arial"/>
          <w:i/>
          <w:iCs/>
        </w:rPr>
        <w:br/>
      </w:r>
      <w:r>
        <w:rPr>
          <w:rFonts w:ascii="Arial" w:hAnsi="Arial" w:cs="Arial"/>
          <w:b/>
          <w:bCs/>
        </w:rPr>
        <w:t>E</w:t>
      </w:r>
      <w:r w:rsidRPr="00B3459D">
        <w:rPr>
          <w:rFonts w:ascii="Arial" w:hAnsi="Arial" w:cs="Arial"/>
          <w:b/>
          <w:bCs/>
        </w:rPr>
        <w:t>uropean Commission. (2023).</w:t>
      </w:r>
      <w:r w:rsidRPr="00B3459D">
        <w:rPr>
          <w:rFonts w:ascii="Arial" w:hAnsi="Arial" w:cs="Arial"/>
        </w:rPr>
        <w:t xml:space="preserve"> </w:t>
      </w:r>
      <w:r w:rsidRPr="00B3459D">
        <w:rPr>
          <w:rFonts w:ascii="Arial" w:hAnsi="Arial" w:cs="Arial"/>
          <w:i/>
          <w:iCs/>
        </w:rPr>
        <w:t>Digital Economy and Society Index (DESI) 2023.</w:t>
      </w:r>
      <w:r>
        <w:rPr>
          <w:rFonts w:ascii="Arial" w:hAnsi="Arial" w:cs="Arial"/>
          <w:i/>
          <w:iCs/>
        </w:rPr>
        <w:br/>
      </w:r>
      <w:r w:rsidRPr="00B3459D">
        <w:rPr>
          <w:rFonts w:ascii="Arial" w:hAnsi="Arial" w:cs="Arial"/>
          <w:b/>
          <w:bCs/>
        </w:rPr>
        <w:t>Statista. (2023).</w:t>
      </w:r>
      <w:r w:rsidRPr="00B3459D">
        <w:rPr>
          <w:rFonts w:ascii="Arial" w:hAnsi="Arial" w:cs="Arial"/>
        </w:rPr>
        <w:t xml:space="preserve"> </w:t>
      </w:r>
      <w:r w:rsidRPr="00B3459D">
        <w:rPr>
          <w:rFonts w:ascii="Arial" w:hAnsi="Arial" w:cs="Arial"/>
          <w:i/>
          <w:iCs/>
        </w:rPr>
        <w:t>Mobile phone market in the United Kingdom - statistics &amp; facts.</w:t>
      </w:r>
      <w:r w:rsidR="00651FE7">
        <w:rPr>
          <w:rFonts w:ascii="Arial" w:hAnsi="Arial" w:cs="Arial"/>
          <w:i/>
          <w:iCs/>
        </w:rPr>
        <w:br/>
      </w:r>
      <w:r w:rsidRPr="00B3459D">
        <w:rPr>
          <w:rFonts w:ascii="Arial" w:hAnsi="Arial" w:cs="Arial"/>
          <w:b/>
          <w:bCs/>
        </w:rPr>
        <w:t>Mobile UK. (2022).</w:t>
      </w:r>
      <w:r w:rsidRPr="00B3459D">
        <w:rPr>
          <w:rFonts w:ascii="Arial" w:hAnsi="Arial" w:cs="Arial"/>
        </w:rPr>
        <w:t xml:space="preserve"> </w:t>
      </w:r>
      <w:r w:rsidRPr="00B3459D">
        <w:rPr>
          <w:rFonts w:ascii="Arial" w:hAnsi="Arial" w:cs="Arial"/>
          <w:i/>
          <w:iCs/>
        </w:rPr>
        <w:t>State of the mobile sector in the UK 2022.</w:t>
      </w:r>
      <w:r>
        <w:rPr>
          <w:rFonts w:ascii="Arial" w:hAnsi="Arial" w:cs="Arial"/>
        </w:rPr>
        <w:br/>
      </w:r>
      <w:r w:rsidRPr="00B3459D">
        <w:rPr>
          <w:rFonts w:ascii="Arial" w:hAnsi="Arial" w:cs="Arial"/>
        </w:rPr>
        <w:t>Ernst &amp; Young (EY). (2023). Telecommunications outlook: Unlocking growth in a challenging environment.</w:t>
      </w:r>
    </w:p>
    <w:sectPr w:rsidR="00E6732C" w:rsidRPr="00651FE7" w:rsidSect="00BC3824">
      <w:footerReference w:type="default" r:id="rId8"/>
      <w:pgSz w:w="11906" w:h="16838"/>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C25141" w14:textId="77777777" w:rsidR="007723E1" w:rsidRDefault="007723E1" w:rsidP="00BC3824">
      <w:pPr>
        <w:spacing w:after="0" w:line="240" w:lineRule="auto"/>
      </w:pPr>
      <w:r>
        <w:separator/>
      </w:r>
    </w:p>
  </w:endnote>
  <w:endnote w:type="continuationSeparator" w:id="0">
    <w:p w14:paraId="65F10C48" w14:textId="77777777" w:rsidR="007723E1" w:rsidRDefault="007723E1" w:rsidP="00BC38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5575945"/>
      <w:docPartObj>
        <w:docPartGallery w:val="Page Numbers (Bottom of Page)"/>
        <w:docPartUnique/>
      </w:docPartObj>
    </w:sdtPr>
    <w:sdtContent>
      <w:p w14:paraId="49F79DE0" w14:textId="5AC526D6" w:rsidR="00BC3824" w:rsidRDefault="00BC3824">
        <w:pPr>
          <w:pStyle w:val="Footer"/>
          <w:jc w:val="center"/>
        </w:pPr>
        <w:r>
          <w:fldChar w:fldCharType="begin"/>
        </w:r>
        <w:r>
          <w:instrText>PAGE   \* MERGEFORMAT</w:instrText>
        </w:r>
        <w:r>
          <w:fldChar w:fldCharType="separate"/>
        </w:r>
        <w:r>
          <w:t>2</w:t>
        </w:r>
        <w:r>
          <w:fldChar w:fldCharType="end"/>
        </w:r>
      </w:p>
    </w:sdtContent>
  </w:sdt>
  <w:p w14:paraId="2CDE91CE" w14:textId="77777777" w:rsidR="00BC3824" w:rsidRDefault="00BC3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D64A4C" w14:textId="77777777" w:rsidR="007723E1" w:rsidRDefault="007723E1" w:rsidP="00BC3824">
      <w:pPr>
        <w:spacing w:after="0" w:line="240" w:lineRule="auto"/>
      </w:pPr>
      <w:r>
        <w:separator/>
      </w:r>
    </w:p>
  </w:footnote>
  <w:footnote w:type="continuationSeparator" w:id="0">
    <w:p w14:paraId="29E21031" w14:textId="77777777" w:rsidR="007723E1" w:rsidRDefault="007723E1" w:rsidP="00BC38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5675A"/>
    <w:multiLevelType w:val="multilevel"/>
    <w:tmpl w:val="46967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8374A1"/>
    <w:multiLevelType w:val="multilevel"/>
    <w:tmpl w:val="0D40A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301F8B"/>
    <w:multiLevelType w:val="multilevel"/>
    <w:tmpl w:val="A9B07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BD745B"/>
    <w:multiLevelType w:val="multilevel"/>
    <w:tmpl w:val="29A29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9F00C8"/>
    <w:multiLevelType w:val="multilevel"/>
    <w:tmpl w:val="59769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7403692">
    <w:abstractNumId w:val="2"/>
  </w:num>
  <w:num w:numId="2" w16cid:durableId="1473713938">
    <w:abstractNumId w:val="3"/>
  </w:num>
  <w:num w:numId="3" w16cid:durableId="1956518364">
    <w:abstractNumId w:val="0"/>
  </w:num>
  <w:num w:numId="4" w16cid:durableId="466822745">
    <w:abstractNumId w:val="1"/>
  </w:num>
  <w:num w:numId="5" w16cid:durableId="14895886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1EC"/>
    <w:rsid w:val="000D2125"/>
    <w:rsid w:val="00262EE1"/>
    <w:rsid w:val="0033235B"/>
    <w:rsid w:val="003E51EC"/>
    <w:rsid w:val="00651FE7"/>
    <w:rsid w:val="00702EEC"/>
    <w:rsid w:val="007723E1"/>
    <w:rsid w:val="00784ECF"/>
    <w:rsid w:val="00944723"/>
    <w:rsid w:val="00AB5D14"/>
    <w:rsid w:val="00B3459D"/>
    <w:rsid w:val="00B45213"/>
    <w:rsid w:val="00BC3824"/>
    <w:rsid w:val="00C070F2"/>
    <w:rsid w:val="00CD21D5"/>
    <w:rsid w:val="00DB2EE4"/>
    <w:rsid w:val="00E048E7"/>
    <w:rsid w:val="00E6732C"/>
    <w:rsid w:val="00F06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82AA4"/>
  <w15:chartTrackingRefBased/>
  <w15:docId w15:val="{7F40A80D-1869-4831-A5C0-EA08017EF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2EE1"/>
    <w:pPr>
      <w:keepNext/>
      <w:keepLines/>
      <w:spacing w:before="360" w:after="80"/>
      <w:outlineLvl w:val="0"/>
    </w:pPr>
    <w:rPr>
      <w:rFonts w:ascii="Arial" w:eastAsiaTheme="majorEastAsia" w:hAnsi="Arial"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3E51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51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51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51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51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51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51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51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EE1"/>
    <w:rPr>
      <w:rFonts w:ascii="Arial" w:eastAsiaTheme="majorEastAsia" w:hAnsi="Arial" w:cstheme="majorBidi"/>
      <w:b/>
      <w:color w:val="0F4761" w:themeColor="accent1" w:themeShade="BF"/>
      <w:sz w:val="28"/>
      <w:szCs w:val="40"/>
    </w:rPr>
  </w:style>
  <w:style w:type="character" w:customStyle="1" w:styleId="Heading2Char">
    <w:name w:val="Heading 2 Char"/>
    <w:basedOn w:val="DefaultParagraphFont"/>
    <w:link w:val="Heading2"/>
    <w:uiPriority w:val="9"/>
    <w:rsid w:val="003E51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E51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51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51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51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51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51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51EC"/>
    <w:rPr>
      <w:rFonts w:eastAsiaTheme="majorEastAsia" w:cstheme="majorBidi"/>
      <w:color w:val="272727" w:themeColor="text1" w:themeTint="D8"/>
    </w:rPr>
  </w:style>
  <w:style w:type="paragraph" w:styleId="Title">
    <w:name w:val="Title"/>
    <w:basedOn w:val="Normal"/>
    <w:next w:val="Normal"/>
    <w:link w:val="TitleChar"/>
    <w:uiPriority w:val="10"/>
    <w:qFormat/>
    <w:rsid w:val="003E51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51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51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51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51EC"/>
    <w:pPr>
      <w:spacing w:before="160"/>
      <w:jc w:val="center"/>
    </w:pPr>
    <w:rPr>
      <w:i/>
      <w:iCs/>
      <w:color w:val="404040" w:themeColor="text1" w:themeTint="BF"/>
    </w:rPr>
  </w:style>
  <w:style w:type="character" w:customStyle="1" w:styleId="QuoteChar">
    <w:name w:val="Quote Char"/>
    <w:basedOn w:val="DefaultParagraphFont"/>
    <w:link w:val="Quote"/>
    <w:uiPriority w:val="29"/>
    <w:rsid w:val="003E51EC"/>
    <w:rPr>
      <w:i/>
      <w:iCs/>
      <w:color w:val="404040" w:themeColor="text1" w:themeTint="BF"/>
    </w:rPr>
  </w:style>
  <w:style w:type="paragraph" w:styleId="ListParagraph">
    <w:name w:val="List Paragraph"/>
    <w:basedOn w:val="Normal"/>
    <w:uiPriority w:val="34"/>
    <w:qFormat/>
    <w:rsid w:val="003E51EC"/>
    <w:pPr>
      <w:ind w:left="720"/>
      <w:contextualSpacing/>
    </w:pPr>
  </w:style>
  <w:style w:type="character" w:styleId="IntenseEmphasis">
    <w:name w:val="Intense Emphasis"/>
    <w:basedOn w:val="DefaultParagraphFont"/>
    <w:uiPriority w:val="21"/>
    <w:qFormat/>
    <w:rsid w:val="003E51EC"/>
    <w:rPr>
      <w:i/>
      <w:iCs/>
      <w:color w:val="0F4761" w:themeColor="accent1" w:themeShade="BF"/>
    </w:rPr>
  </w:style>
  <w:style w:type="paragraph" w:styleId="IntenseQuote">
    <w:name w:val="Intense Quote"/>
    <w:basedOn w:val="Normal"/>
    <w:next w:val="Normal"/>
    <w:link w:val="IntenseQuoteChar"/>
    <w:uiPriority w:val="30"/>
    <w:qFormat/>
    <w:rsid w:val="003E51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51EC"/>
    <w:rPr>
      <w:i/>
      <w:iCs/>
      <w:color w:val="0F4761" w:themeColor="accent1" w:themeShade="BF"/>
    </w:rPr>
  </w:style>
  <w:style w:type="character" w:styleId="IntenseReference">
    <w:name w:val="Intense Reference"/>
    <w:basedOn w:val="DefaultParagraphFont"/>
    <w:uiPriority w:val="32"/>
    <w:qFormat/>
    <w:rsid w:val="003E51EC"/>
    <w:rPr>
      <w:b/>
      <w:bCs/>
      <w:smallCaps/>
      <w:color w:val="0F4761" w:themeColor="accent1" w:themeShade="BF"/>
      <w:spacing w:val="5"/>
    </w:rPr>
  </w:style>
  <w:style w:type="paragraph" w:styleId="NormalWeb">
    <w:name w:val="Normal (Web)"/>
    <w:basedOn w:val="Normal"/>
    <w:uiPriority w:val="99"/>
    <w:semiHidden/>
    <w:unhideWhenUsed/>
    <w:rsid w:val="000D2125"/>
    <w:rPr>
      <w:rFonts w:ascii="Times New Roman" w:hAnsi="Times New Roman" w:cs="Times New Roman"/>
      <w:sz w:val="24"/>
      <w:szCs w:val="24"/>
    </w:rPr>
  </w:style>
  <w:style w:type="paragraph" w:styleId="Header">
    <w:name w:val="header"/>
    <w:basedOn w:val="Normal"/>
    <w:link w:val="HeaderChar"/>
    <w:uiPriority w:val="99"/>
    <w:unhideWhenUsed/>
    <w:rsid w:val="00BC38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3824"/>
  </w:style>
  <w:style w:type="paragraph" w:styleId="Footer">
    <w:name w:val="footer"/>
    <w:basedOn w:val="Normal"/>
    <w:link w:val="FooterChar"/>
    <w:uiPriority w:val="99"/>
    <w:unhideWhenUsed/>
    <w:rsid w:val="00BC38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824"/>
  </w:style>
  <w:style w:type="paragraph" w:styleId="TOCHeading">
    <w:name w:val="TOC Heading"/>
    <w:basedOn w:val="Heading1"/>
    <w:next w:val="Normal"/>
    <w:uiPriority w:val="39"/>
    <w:unhideWhenUsed/>
    <w:qFormat/>
    <w:rsid w:val="00CD21D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D21D5"/>
    <w:pPr>
      <w:spacing w:after="100"/>
    </w:pPr>
  </w:style>
  <w:style w:type="paragraph" w:styleId="TOC2">
    <w:name w:val="toc 2"/>
    <w:basedOn w:val="Normal"/>
    <w:next w:val="Normal"/>
    <w:autoRedefine/>
    <w:uiPriority w:val="39"/>
    <w:unhideWhenUsed/>
    <w:rsid w:val="00CD21D5"/>
    <w:pPr>
      <w:spacing w:after="100"/>
      <w:ind w:left="220"/>
    </w:pPr>
  </w:style>
  <w:style w:type="character" w:styleId="Hyperlink">
    <w:name w:val="Hyperlink"/>
    <w:basedOn w:val="DefaultParagraphFont"/>
    <w:uiPriority w:val="99"/>
    <w:unhideWhenUsed/>
    <w:rsid w:val="00CD21D5"/>
    <w:rPr>
      <w:color w:val="467886" w:themeColor="hyperlink"/>
      <w:u w:val="single"/>
    </w:rPr>
  </w:style>
  <w:style w:type="paragraph" w:styleId="TOC3">
    <w:name w:val="toc 3"/>
    <w:basedOn w:val="Normal"/>
    <w:next w:val="Normal"/>
    <w:autoRedefine/>
    <w:uiPriority w:val="39"/>
    <w:unhideWhenUsed/>
    <w:rsid w:val="00CD21D5"/>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9414923">
      <w:bodyDiv w:val="1"/>
      <w:marLeft w:val="0"/>
      <w:marRight w:val="0"/>
      <w:marTop w:val="0"/>
      <w:marBottom w:val="0"/>
      <w:divBdr>
        <w:top w:val="none" w:sz="0" w:space="0" w:color="auto"/>
        <w:left w:val="none" w:sz="0" w:space="0" w:color="auto"/>
        <w:bottom w:val="none" w:sz="0" w:space="0" w:color="auto"/>
        <w:right w:val="none" w:sz="0" w:space="0" w:color="auto"/>
      </w:divBdr>
    </w:div>
    <w:div w:id="531960246">
      <w:bodyDiv w:val="1"/>
      <w:marLeft w:val="0"/>
      <w:marRight w:val="0"/>
      <w:marTop w:val="0"/>
      <w:marBottom w:val="0"/>
      <w:divBdr>
        <w:top w:val="none" w:sz="0" w:space="0" w:color="auto"/>
        <w:left w:val="none" w:sz="0" w:space="0" w:color="auto"/>
        <w:bottom w:val="none" w:sz="0" w:space="0" w:color="auto"/>
        <w:right w:val="none" w:sz="0" w:space="0" w:color="auto"/>
      </w:divBdr>
    </w:div>
    <w:div w:id="558441754">
      <w:bodyDiv w:val="1"/>
      <w:marLeft w:val="0"/>
      <w:marRight w:val="0"/>
      <w:marTop w:val="0"/>
      <w:marBottom w:val="0"/>
      <w:divBdr>
        <w:top w:val="none" w:sz="0" w:space="0" w:color="auto"/>
        <w:left w:val="none" w:sz="0" w:space="0" w:color="auto"/>
        <w:bottom w:val="none" w:sz="0" w:space="0" w:color="auto"/>
        <w:right w:val="none" w:sz="0" w:space="0" w:color="auto"/>
      </w:divBdr>
    </w:div>
    <w:div w:id="569585259">
      <w:bodyDiv w:val="1"/>
      <w:marLeft w:val="0"/>
      <w:marRight w:val="0"/>
      <w:marTop w:val="0"/>
      <w:marBottom w:val="0"/>
      <w:divBdr>
        <w:top w:val="none" w:sz="0" w:space="0" w:color="auto"/>
        <w:left w:val="none" w:sz="0" w:space="0" w:color="auto"/>
        <w:bottom w:val="none" w:sz="0" w:space="0" w:color="auto"/>
        <w:right w:val="none" w:sz="0" w:space="0" w:color="auto"/>
      </w:divBdr>
    </w:div>
    <w:div w:id="620036197">
      <w:bodyDiv w:val="1"/>
      <w:marLeft w:val="0"/>
      <w:marRight w:val="0"/>
      <w:marTop w:val="0"/>
      <w:marBottom w:val="0"/>
      <w:divBdr>
        <w:top w:val="none" w:sz="0" w:space="0" w:color="auto"/>
        <w:left w:val="none" w:sz="0" w:space="0" w:color="auto"/>
        <w:bottom w:val="none" w:sz="0" w:space="0" w:color="auto"/>
        <w:right w:val="none" w:sz="0" w:space="0" w:color="auto"/>
      </w:divBdr>
    </w:div>
    <w:div w:id="739327910">
      <w:bodyDiv w:val="1"/>
      <w:marLeft w:val="0"/>
      <w:marRight w:val="0"/>
      <w:marTop w:val="0"/>
      <w:marBottom w:val="0"/>
      <w:divBdr>
        <w:top w:val="none" w:sz="0" w:space="0" w:color="auto"/>
        <w:left w:val="none" w:sz="0" w:space="0" w:color="auto"/>
        <w:bottom w:val="none" w:sz="0" w:space="0" w:color="auto"/>
        <w:right w:val="none" w:sz="0" w:space="0" w:color="auto"/>
      </w:divBdr>
    </w:div>
    <w:div w:id="881939945">
      <w:bodyDiv w:val="1"/>
      <w:marLeft w:val="0"/>
      <w:marRight w:val="0"/>
      <w:marTop w:val="0"/>
      <w:marBottom w:val="0"/>
      <w:divBdr>
        <w:top w:val="none" w:sz="0" w:space="0" w:color="auto"/>
        <w:left w:val="none" w:sz="0" w:space="0" w:color="auto"/>
        <w:bottom w:val="none" w:sz="0" w:space="0" w:color="auto"/>
        <w:right w:val="none" w:sz="0" w:space="0" w:color="auto"/>
      </w:divBdr>
    </w:div>
    <w:div w:id="987126365">
      <w:bodyDiv w:val="1"/>
      <w:marLeft w:val="0"/>
      <w:marRight w:val="0"/>
      <w:marTop w:val="0"/>
      <w:marBottom w:val="0"/>
      <w:divBdr>
        <w:top w:val="none" w:sz="0" w:space="0" w:color="auto"/>
        <w:left w:val="none" w:sz="0" w:space="0" w:color="auto"/>
        <w:bottom w:val="none" w:sz="0" w:space="0" w:color="auto"/>
        <w:right w:val="none" w:sz="0" w:space="0" w:color="auto"/>
      </w:divBdr>
    </w:div>
    <w:div w:id="1032925769">
      <w:bodyDiv w:val="1"/>
      <w:marLeft w:val="0"/>
      <w:marRight w:val="0"/>
      <w:marTop w:val="0"/>
      <w:marBottom w:val="0"/>
      <w:divBdr>
        <w:top w:val="none" w:sz="0" w:space="0" w:color="auto"/>
        <w:left w:val="none" w:sz="0" w:space="0" w:color="auto"/>
        <w:bottom w:val="none" w:sz="0" w:space="0" w:color="auto"/>
        <w:right w:val="none" w:sz="0" w:space="0" w:color="auto"/>
      </w:divBdr>
    </w:div>
    <w:div w:id="1058819474">
      <w:bodyDiv w:val="1"/>
      <w:marLeft w:val="0"/>
      <w:marRight w:val="0"/>
      <w:marTop w:val="0"/>
      <w:marBottom w:val="0"/>
      <w:divBdr>
        <w:top w:val="none" w:sz="0" w:space="0" w:color="auto"/>
        <w:left w:val="none" w:sz="0" w:space="0" w:color="auto"/>
        <w:bottom w:val="none" w:sz="0" w:space="0" w:color="auto"/>
        <w:right w:val="none" w:sz="0" w:space="0" w:color="auto"/>
      </w:divBdr>
    </w:div>
    <w:div w:id="1182355021">
      <w:bodyDiv w:val="1"/>
      <w:marLeft w:val="0"/>
      <w:marRight w:val="0"/>
      <w:marTop w:val="0"/>
      <w:marBottom w:val="0"/>
      <w:divBdr>
        <w:top w:val="none" w:sz="0" w:space="0" w:color="auto"/>
        <w:left w:val="none" w:sz="0" w:space="0" w:color="auto"/>
        <w:bottom w:val="none" w:sz="0" w:space="0" w:color="auto"/>
        <w:right w:val="none" w:sz="0" w:space="0" w:color="auto"/>
      </w:divBdr>
    </w:div>
    <w:div w:id="1191989226">
      <w:bodyDiv w:val="1"/>
      <w:marLeft w:val="0"/>
      <w:marRight w:val="0"/>
      <w:marTop w:val="0"/>
      <w:marBottom w:val="0"/>
      <w:divBdr>
        <w:top w:val="none" w:sz="0" w:space="0" w:color="auto"/>
        <w:left w:val="none" w:sz="0" w:space="0" w:color="auto"/>
        <w:bottom w:val="none" w:sz="0" w:space="0" w:color="auto"/>
        <w:right w:val="none" w:sz="0" w:space="0" w:color="auto"/>
      </w:divBdr>
    </w:div>
    <w:div w:id="1652638074">
      <w:bodyDiv w:val="1"/>
      <w:marLeft w:val="0"/>
      <w:marRight w:val="0"/>
      <w:marTop w:val="0"/>
      <w:marBottom w:val="0"/>
      <w:divBdr>
        <w:top w:val="none" w:sz="0" w:space="0" w:color="auto"/>
        <w:left w:val="none" w:sz="0" w:space="0" w:color="auto"/>
        <w:bottom w:val="none" w:sz="0" w:space="0" w:color="auto"/>
        <w:right w:val="none" w:sz="0" w:space="0" w:color="auto"/>
      </w:divBdr>
    </w:div>
    <w:div w:id="1653754438">
      <w:bodyDiv w:val="1"/>
      <w:marLeft w:val="0"/>
      <w:marRight w:val="0"/>
      <w:marTop w:val="0"/>
      <w:marBottom w:val="0"/>
      <w:divBdr>
        <w:top w:val="none" w:sz="0" w:space="0" w:color="auto"/>
        <w:left w:val="none" w:sz="0" w:space="0" w:color="auto"/>
        <w:bottom w:val="none" w:sz="0" w:space="0" w:color="auto"/>
        <w:right w:val="none" w:sz="0" w:space="0" w:color="auto"/>
      </w:divBdr>
    </w:div>
    <w:div w:id="1718236908">
      <w:bodyDiv w:val="1"/>
      <w:marLeft w:val="0"/>
      <w:marRight w:val="0"/>
      <w:marTop w:val="0"/>
      <w:marBottom w:val="0"/>
      <w:divBdr>
        <w:top w:val="none" w:sz="0" w:space="0" w:color="auto"/>
        <w:left w:val="none" w:sz="0" w:space="0" w:color="auto"/>
        <w:bottom w:val="none" w:sz="0" w:space="0" w:color="auto"/>
        <w:right w:val="none" w:sz="0" w:space="0" w:color="auto"/>
      </w:divBdr>
    </w:div>
    <w:div w:id="2076052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795C40-8623-4B14-AD71-50DC3565BA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9</Pages>
  <Words>2084</Words>
  <Characters>11885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Casiana Danci</dc:creator>
  <cp:keywords/>
  <dc:description/>
  <cp:lastModifiedBy>Casiana Danci</cp:lastModifiedBy>
  <cp:revision>3</cp:revision>
  <dcterms:created xsi:type="dcterms:W3CDTF">2024-10-18T19:59:00Z</dcterms:created>
  <dcterms:modified xsi:type="dcterms:W3CDTF">2024-10-20T12:43:00Z</dcterms:modified>
</cp:coreProperties>
</file>