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rPr>
          <w:b w:val="1"/>
          <w:bCs w:val="1"/>
          <w:sz w:val="28"/>
          <w:szCs w:val="28"/>
        </w:rPr>
      </w:pPr>
      <w:r>
        <w:rPr>
          <w:b w:val="1"/>
          <w:bCs w:val="1"/>
          <w:sz w:val="28"/>
          <w:szCs w:val="28"/>
          <w:rtl w:val="0"/>
          <w:lang w:val="en-US"/>
        </w:rPr>
        <w:t>HPHI6029 GLOBAL GENOCIDES</w:t>
      </w:r>
    </w:p>
    <w:p>
      <w:pPr>
        <w:pStyle w:val="Body"/>
        <w:rPr>
          <w:b w:val="1"/>
          <w:bCs w:val="1"/>
          <w:sz w:val="28"/>
          <w:szCs w:val="28"/>
        </w:rPr>
      </w:pPr>
    </w:p>
    <w:p>
      <w:pPr>
        <w:pStyle w:val="Body"/>
        <w:rPr>
          <w:b w:val="1"/>
          <w:bCs w:val="1"/>
          <w:sz w:val="28"/>
          <w:szCs w:val="28"/>
        </w:rPr>
      </w:pPr>
      <w:r>
        <w:rPr>
          <w:b w:val="1"/>
          <w:bCs w:val="1"/>
          <w:sz w:val="28"/>
          <w:szCs w:val="28"/>
          <w:rtl w:val="0"/>
          <w:lang w:val="en-US"/>
        </w:rPr>
        <w:t>Assignment 2</w:t>
      </w:r>
    </w:p>
    <w:p>
      <w:pPr>
        <w:pStyle w:val="Body"/>
        <w:rPr>
          <w:b w:val="1"/>
          <w:bCs w:val="1"/>
          <w:sz w:val="28"/>
          <w:szCs w:val="28"/>
        </w:rPr>
      </w:pPr>
    </w:p>
    <w:p>
      <w:pPr>
        <w:pStyle w:val="Body"/>
        <w:rPr>
          <w:b w:val="1"/>
          <w:bCs w:val="1"/>
          <w:sz w:val="28"/>
          <w:szCs w:val="28"/>
        </w:rPr>
      </w:pPr>
      <w:r>
        <w:rPr>
          <w:b w:val="1"/>
          <w:bCs w:val="1"/>
          <w:sz w:val="28"/>
          <w:szCs w:val="28"/>
          <w:rtl w:val="0"/>
          <w:lang w:val="en-US"/>
        </w:rPr>
        <w:t xml:space="preserve">Was the violence following the fall of the former Yugoslavia </w:t>
      </w:r>
      <w:r>
        <w:rPr>
          <w:b w:val="1"/>
          <w:bCs w:val="1"/>
          <w:sz w:val="28"/>
          <w:szCs w:val="28"/>
          <w:rtl w:val="0"/>
          <w:lang w:val="en-US"/>
        </w:rPr>
        <w:t>“</w:t>
      </w:r>
      <w:r>
        <w:rPr>
          <w:b w:val="1"/>
          <w:bCs w:val="1"/>
          <w:sz w:val="28"/>
          <w:szCs w:val="28"/>
          <w:rtl w:val="0"/>
          <w:lang w:val="en-US"/>
        </w:rPr>
        <w:t>ethnic cleansing</w:t>
      </w:r>
      <w:r>
        <w:rPr>
          <w:b w:val="1"/>
          <w:bCs w:val="1"/>
          <w:sz w:val="28"/>
          <w:szCs w:val="28"/>
          <w:rtl w:val="0"/>
          <w:lang w:val="en-US"/>
        </w:rPr>
        <w:t xml:space="preserve">” </w:t>
      </w:r>
      <w:r>
        <w:rPr>
          <w:b w:val="1"/>
          <w:bCs w:val="1"/>
          <w:sz w:val="28"/>
          <w:szCs w:val="28"/>
          <w:rtl w:val="0"/>
          <w:lang w:val="en-US"/>
        </w:rPr>
        <w:t xml:space="preserve">or </w:t>
      </w:r>
      <w:r>
        <w:rPr>
          <w:b w:val="1"/>
          <w:bCs w:val="1"/>
          <w:sz w:val="28"/>
          <w:szCs w:val="28"/>
          <w:rtl w:val="0"/>
          <w:lang w:val="en-US"/>
        </w:rPr>
        <w:t xml:space="preserve">“ </w:t>
      </w:r>
      <w:r>
        <w:rPr>
          <w:b w:val="1"/>
          <w:bCs w:val="1"/>
          <w:sz w:val="28"/>
          <w:szCs w:val="28"/>
          <w:rtl w:val="0"/>
          <w:lang w:val="en-US"/>
        </w:rPr>
        <w:t>genocide</w:t>
      </w:r>
      <w:r>
        <w:rPr>
          <w:b w:val="1"/>
          <w:bCs w:val="1"/>
          <w:sz w:val="28"/>
          <w:szCs w:val="28"/>
          <w:rtl w:val="0"/>
          <w:lang w:val="en-US"/>
        </w:rPr>
        <w:t xml:space="preserve">” </w:t>
      </w:r>
      <w:r>
        <w:rPr>
          <w:b w:val="1"/>
          <w:bCs w:val="1"/>
          <w:sz w:val="28"/>
          <w:szCs w:val="28"/>
          <w:rtl w:val="0"/>
          <w:lang w:val="en-US"/>
        </w:rPr>
        <w:t>?.</w:t>
      </w:r>
    </w:p>
    <w:p>
      <w:pPr>
        <w:pStyle w:val="Body"/>
        <w:rPr>
          <w:b w:val="1"/>
          <w:bCs w:val="1"/>
          <w:sz w:val="28"/>
          <w:szCs w:val="28"/>
        </w:rPr>
      </w:pPr>
    </w:p>
    <w:p>
      <w:pPr>
        <w:pStyle w:val="Body"/>
        <w:rPr>
          <w:b w:val="1"/>
          <w:bCs w:val="1"/>
          <w:sz w:val="28"/>
          <w:szCs w:val="28"/>
        </w:rPr>
      </w:pPr>
    </w:p>
    <w:p>
      <w:pPr>
        <w:pStyle w:val="Body"/>
        <w:rPr>
          <w:b w:val="1"/>
          <w:bCs w:val="1"/>
          <w:sz w:val="28"/>
          <w:szCs w:val="28"/>
        </w:rPr>
      </w:pPr>
    </w:p>
    <w:p>
      <w:pPr>
        <w:pStyle w:val="Body"/>
        <w:rPr>
          <w:b w:val="1"/>
          <w:bCs w:val="1"/>
          <w:sz w:val="28"/>
          <w:szCs w:val="28"/>
        </w:rPr>
      </w:pPr>
    </w:p>
    <w:p>
      <w:pPr>
        <w:pStyle w:val="Body"/>
        <w:rPr>
          <w:sz w:val="24"/>
          <w:szCs w:val="24"/>
        </w:rPr>
      </w:pPr>
      <w:r>
        <w:rPr>
          <w:sz w:val="24"/>
          <w:szCs w:val="24"/>
          <w:rtl w:val="0"/>
          <w:lang w:val="en-US"/>
        </w:rPr>
        <w:t>The collapse of the former Yugoslavia in the early 1990</w:t>
      </w:r>
      <w:r>
        <w:rPr>
          <w:sz w:val="24"/>
          <w:szCs w:val="24"/>
          <w:rtl w:val="0"/>
          <w:lang w:val="en-US"/>
        </w:rPr>
        <w:t>’</w:t>
      </w:r>
      <w:r>
        <w:rPr>
          <w:sz w:val="24"/>
          <w:szCs w:val="24"/>
          <w:rtl w:val="0"/>
          <w:lang w:val="en-US"/>
        </w:rPr>
        <w:t xml:space="preserve">s ,went on to become the catalyst for one of the most brutal conflicts that we have seen in history in modern time Europe. The collapse caused widespread violence, especially in Bosnia and Herzegovina, it involved mass killings, forced displacement and the systematic destruction of communities. These violent conflicts reshaped the region.Yet there is still the ongoing debate as to whether the atrocities that took place are in fact </w:t>
      </w:r>
      <w:r>
        <w:rPr>
          <w:sz w:val="24"/>
          <w:szCs w:val="24"/>
          <w:rtl w:val="0"/>
          <w:lang w:val="en-US"/>
        </w:rPr>
        <w:t xml:space="preserve">“ </w:t>
      </w:r>
      <w:r>
        <w:rPr>
          <w:sz w:val="24"/>
          <w:szCs w:val="24"/>
          <w:rtl w:val="0"/>
          <w:lang w:val="en-US"/>
        </w:rPr>
        <w:t>ethnic cleansing</w:t>
      </w:r>
      <w:r>
        <w:rPr>
          <w:sz w:val="24"/>
          <w:szCs w:val="24"/>
          <w:rtl w:val="0"/>
          <w:lang w:val="en-US"/>
        </w:rPr>
        <w:t xml:space="preserve">” </w:t>
      </w:r>
      <w:r>
        <w:rPr>
          <w:sz w:val="24"/>
          <w:szCs w:val="24"/>
          <w:rtl w:val="0"/>
          <w:lang w:val="en-US"/>
        </w:rPr>
        <w:t xml:space="preserve">or </w:t>
      </w:r>
      <w:r>
        <w:rPr>
          <w:sz w:val="24"/>
          <w:szCs w:val="24"/>
          <w:rtl w:val="0"/>
          <w:lang w:val="en-US"/>
        </w:rPr>
        <w:t xml:space="preserve">“ </w:t>
      </w:r>
      <w:r>
        <w:rPr>
          <w:sz w:val="24"/>
          <w:szCs w:val="24"/>
          <w:rtl w:val="0"/>
          <w:lang w:val="en-US"/>
        </w:rPr>
        <w:t>genocide, with many deniers</w:t>
      </w:r>
      <w:r>
        <w:rPr>
          <w:sz w:val="24"/>
          <w:szCs w:val="24"/>
          <w:rtl w:val="0"/>
          <w:lang w:val="en-US"/>
        </w:rPr>
        <w:t>”</w:t>
      </w:r>
      <w:r>
        <w:rPr>
          <w:sz w:val="24"/>
          <w:szCs w:val="24"/>
          <w:rtl w:val="0"/>
          <w:lang w:val="en-US"/>
        </w:rPr>
        <w:t>. Whilst ethnic cleansing refers to the forced removal of a specific group of people , from an area, genocide is the deliberate attempt to destroy an entire group of people, based on their ethnicity, religion or nationality. In this essay I will try and explore the definitions of these two terms, the historical context behind the Yugoslav wars, the nature of the atrocious crimes which were committed , looking and using sources such as the International Criminal Tribunal for the Former Yugoslavia ( known as the ICTY), the United Nations ( UN) and also expert genocide scholars like Raphael Lemkin, William Schabas and Eric Weitz.</w:t>
      </w:r>
    </w:p>
    <w:p>
      <w:pPr>
        <w:pStyle w:val="Body"/>
        <w:rPr>
          <w:sz w:val="24"/>
          <w:szCs w:val="24"/>
        </w:rPr>
      </w:pPr>
    </w:p>
    <w:p>
      <w:pPr>
        <w:pStyle w:val="Body"/>
        <w:rPr>
          <w:sz w:val="24"/>
          <w:szCs w:val="24"/>
        </w:rPr>
      </w:pPr>
      <w:r>
        <w:rPr>
          <w:sz w:val="24"/>
          <w:szCs w:val="24"/>
          <w:rtl w:val="0"/>
          <w:lang w:val="en-US"/>
        </w:rPr>
        <w:t xml:space="preserve">The term </w:t>
      </w:r>
      <w:r>
        <w:rPr>
          <w:sz w:val="24"/>
          <w:szCs w:val="24"/>
          <w:rtl w:val="0"/>
          <w:lang w:val="en-US"/>
        </w:rPr>
        <w:t xml:space="preserve">“ </w:t>
      </w:r>
      <w:r>
        <w:rPr>
          <w:sz w:val="24"/>
          <w:szCs w:val="24"/>
          <w:rtl w:val="0"/>
          <w:lang w:val="en-US"/>
        </w:rPr>
        <w:t>ethnic cleansing</w:t>
      </w:r>
      <w:r>
        <w:rPr>
          <w:sz w:val="24"/>
          <w:szCs w:val="24"/>
          <w:rtl w:val="0"/>
          <w:lang w:val="en-US"/>
        </w:rPr>
        <w:t xml:space="preserve">” </w:t>
      </w:r>
      <w:r>
        <w:rPr>
          <w:sz w:val="24"/>
          <w:szCs w:val="24"/>
          <w:rtl w:val="0"/>
          <w:lang w:val="en-US"/>
        </w:rPr>
        <w:t>emerged prominently in the 1990</w:t>
      </w:r>
      <w:r>
        <w:rPr>
          <w:sz w:val="24"/>
          <w:szCs w:val="24"/>
          <w:rtl w:val="0"/>
          <w:lang w:val="en-US"/>
        </w:rPr>
        <w:t>’</w:t>
      </w:r>
      <w:r>
        <w:rPr>
          <w:sz w:val="24"/>
          <w:szCs w:val="24"/>
          <w:rtl w:val="0"/>
          <w:lang w:val="en-US"/>
        </w:rPr>
        <w:t xml:space="preserve">s, it describes violent campaigns which were aimed at forcibly removing ethnic groups from specific territories. However unlike genocide, which is codified under the 1948 Genocide Convention, ethnic cleansing has no formal definition. The United Nations defines genocide as acts </w:t>
      </w:r>
      <w:r>
        <w:rPr>
          <w:sz w:val="24"/>
          <w:szCs w:val="24"/>
          <w:rtl w:val="0"/>
          <w:lang w:val="en-US"/>
        </w:rPr>
        <w:t xml:space="preserve">“ </w:t>
      </w:r>
      <w:r>
        <w:rPr>
          <w:sz w:val="24"/>
          <w:szCs w:val="24"/>
          <w:rtl w:val="0"/>
          <w:lang w:val="en-US"/>
        </w:rPr>
        <w:t>committed with intent to destroy, in whole or in part, a national, ethical, racial, or religious groups</w:t>
      </w:r>
      <w:r>
        <w:rPr>
          <w:sz w:val="24"/>
          <w:szCs w:val="24"/>
          <w:rtl w:val="0"/>
          <w:lang w:val="en-US"/>
        </w:rPr>
        <w:t xml:space="preserve">” </w:t>
      </w:r>
      <w:r>
        <w:rPr>
          <w:sz w:val="24"/>
          <w:szCs w:val="24"/>
          <w:rtl w:val="0"/>
          <w:lang w:val="en-US"/>
        </w:rPr>
        <w:t xml:space="preserve">(UN,2025). This includes killing members of the group, causing serious harm and creating conditions with the intent to bring about their destruction. Polish Jewish lawyer Raphael Lemkin, first introduced the term </w:t>
      </w:r>
      <w:r>
        <w:rPr>
          <w:sz w:val="24"/>
          <w:szCs w:val="24"/>
          <w:rtl w:val="0"/>
          <w:lang w:val="en-US"/>
        </w:rPr>
        <w:t>“</w:t>
      </w:r>
      <w:r>
        <w:rPr>
          <w:sz w:val="24"/>
          <w:szCs w:val="24"/>
          <w:rtl w:val="0"/>
          <w:lang w:val="en-US"/>
        </w:rPr>
        <w:t>genocide</w:t>
      </w:r>
      <w:r>
        <w:rPr>
          <w:sz w:val="24"/>
          <w:szCs w:val="24"/>
          <w:rtl w:val="0"/>
          <w:lang w:val="en-US"/>
        </w:rPr>
        <w:t xml:space="preserve">” </w:t>
      </w:r>
      <w:r>
        <w:rPr>
          <w:sz w:val="24"/>
          <w:szCs w:val="24"/>
          <w:rtl w:val="0"/>
          <w:lang w:val="en-US"/>
        </w:rPr>
        <w:t>in 1944, to describe the deliberate extermination of a group based on ethnicity, nationality, race or religion. ( Lemkin, 1944). He used the term in the first instance in response to the Holocaust, but his work was also influenced by earlier mass killings, such as the Armenian genocide. Lemkins efforts led to the codification of genocide, as an international crime in the 1948  United Nations Genocide Convention. ( unorg.2025). As we will see Lemkins definition of Genocide would later become central to the prosecution of war crimes in the former Yugoslavia and particularly in that of the case in Srebrenica.  It has been argued that genocide is in fact not just mass killing, but also included the systematic efforts to erase a group</w:t>
      </w:r>
      <w:r>
        <w:rPr>
          <w:sz w:val="24"/>
          <w:szCs w:val="24"/>
          <w:rtl w:val="0"/>
          <w:lang w:val="en-US"/>
        </w:rPr>
        <w:t>’</w:t>
      </w:r>
      <w:r>
        <w:rPr>
          <w:sz w:val="24"/>
          <w:szCs w:val="24"/>
          <w:rtl w:val="0"/>
          <w:lang w:val="en-US"/>
        </w:rPr>
        <w:t xml:space="preserve">s cultural and social existence. ( facinghistory.org,2025).  We see Helen Fein go on to expand this view in her work , where she notes that genocide is characterised by the sustained efforts to totally exterminate a groups identity through physical and psychological destruction. ( Fein, 1993). William Schabas  in his work </w:t>
      </w:r>
      <w:r>
        <w:rPr>
          <w:sz w:val="24"/>
          <w:szCs w:val="24"/>
          <w:rtl w:val="0"/>
          <w:lang w:val="en-US"/>
        </w:rPr>
        <w:t>“</w:t>
      </w:r>
      <w:r>
        <w:rPr>
          <w:sz w:val="24"/>
          <w:szCs w:val="24"/>
          <w:rtl w:val="0"/>
          <w:lang w:val="en-US"/>
        </w:rPr>
        <w:t>Unimaginable Atrocities : Justice, Politics and Rights at the War Crime Tribunals</w:t>
      </w:r>
      <w:r>
        <w:rPr>
          <w:sz w:val="24"/>
          <w:szCs w:val="24"/>
          <w:rtl w:val="0"/>
          <w:lang w:val="en-US"/>
        </w:rPr>
        <w:t>”</w:t>
      </w:r>
      <w:r>
        <w:rPr>
          <w:sz w:val="24"/>
          <w:szCs w:val="24"/>
          <w:rtl w:val="0"/>
          <w:lang w:val="en-US"/>
        </w:rPr>
        <w:t xml:space="preserve">, explores the legal complexities of trying to define genocide. He </w:t>
      </w:r>
      <w:r>
        <w:rPr>
          <w:sz w:val="24"/>
          <w:szCs w:val="24"/>
          <w:rtl w:val="0"/>
        </w:rPr>
        <w:t>hi</w:t>
      </w:r>
      <w:r>
        <w:rPr>
          <w:sz w:val="24"/>
          <w:szCs w:val="24"/>
          <w:rtl w:val="0"/>
          <w:lang w:val="en-US"/>
        </w:rPr>
        <w:t>-</w:t>
      </w:r>
      <w:r>
        <w:rPr>
          <w:sz w:val="24"/>
          <w:szCs w:val="24"/>
          <w:rtl w:val="0"/>
          <w:lang w:val="en-US"/>
        </w:rPr>
        <w:t>lights</w:t>
      </w:r>
      <w:r>
        <w:rPr>
          <w:sz w:val="24"/>
          <w:szCs w:val="24"/>
          <w:rtl w:val="0"/>
          <w:lang w:val="en-US"/>
        </w:rPr>
        <w:t xml:space="preserve"> how </w:t>
      </w:r>
      <w:r>
        <w:rPr>
          <w:sz w:val="24"/>
          <w:szCs w:val="24"/>
          <w:rtl w:val="0"/>
          <w:lang w:val="en-US"/>
        </w:rPr>
        <w:t>“</w:t>
      </w:r>
      <w:r>
        <w:rPr>
          <w:sz w:val="24"/>
          <w:szCs w:val="24"/>
          <w:rtl w:val="0"/>
          <w:lang w:val="en-US"/>
        </w:rPr>
        <w:t>intent</w:t>
      </w:r>
      <w:r>
        <w:rPr>
          <w:sz w:val="24"/>
          <w:szCs w:val="24"/>
          <w:rtl w:val="0"/>
          <w:lang w:val="en-US"/>
        </w:rPr>
        <w:t xml:space="preserve">” </w:t>
      </w:r>
      <w:r>
        <w:rPr>
          <w:sz w:val="24"/>
          <w:szCs w:val="24"/>
          <w:rtl w:val="0"/>
          <w:lang w:val="en-US"/>
        </w:rPr>
        <w:t>is the key factor in distinguishing genocide from that of ethnic cleansing.( Schabas, 2012).</w:t>
      </w:r>
    </w:p>
    <w:p>
      <w:pPr>
        <w:pStyle w:val="Body"/>
        <w:rPr>
          <w:sz w:val="24"/>
          <w:szCs w:val="24"/>
        </w:rPr>
      </w:pPr>
    </w:p>
    <w:p>
      <w:pPr>
        <w:pStyle w:val="Body"/>
        <w:rPr>
          <w:sz w:val="24"/>
          <w:szCs w:val="24"/>
        </w:rPr>
      </w:pPr>
      <w:r>
        <w:rPr>
          <w:sz w:val="24"/>
          <w:szCs w:val="24"/>
          <w:rtl w:val="0"/>
          <w:lang w:val="en-US"/>
        </w:rPr>
        <w:t>The Yugoslav Wars began in 1991 following the breakup of the multi ethnic state of Yugoslavia.Following the death of Josip Broz Tito in 1980, ethnic tensions and economic instability grew within the multi ethnic state. Under Tito</w:t>
      </w:r>
      <w:r>
        <w:rPr>
          <w:sz w:val="24"/>
          <w:szCs w:val="24"/>
          <w:rtl w:val="0"/>
          <w:lang w:val="en-US"/>
        </w:rPr>
        <w:t>’</w:t>
      </w:r>
      <w:r>
        <w:rPr>
          <w:sz w:val="24"/>
          <w:szCs w:val="24"/>
          <w:rtl w:val="0"/>
          <w:lang w:val="en-US"/>
        </w:rPr>
        <w:t>s rule, nationalism was suppressed in favour of a unified Yugoslav identity, however after his death, the once suppressed ethnic grievances began to resurface, which fuelled nationalist sentiments. (Denich,1994).   . By the early 1990</w:t>
      </w:r>
      <w:r>
        <w:rPr>
          <w:sz w:val="24"/>
          <w:szCs w:val="24"/>
          <w:rtl w:val="0"/>
          <w:lang w:val="en-US"/>
        </w:rPr>
        <w:t>’</w:t>
      </w:r>
      <w:r>
        <w:rPr>
          <w:sz w:val="24"/>
          <w:szCs w:val="24"/>
          <w:rtl w:val="0"/>
          <w:lang w:val="en-US"/>
        </w:rPr>
        <w:t xml:space="preserve">s, nationalist movements in Slovenia, Croatia, and Bosnia and Herzegovina pushed for independence. </w:t>
      </w:r>
      <w:r>
        <w:rPr>
          <w:sz w:val="24"/>
          <w:szCs w:val="24"/>
          <w:rtl w:val="0"/>
          <w:lang w:val="en-US"/>
        </w:rPr>
        <w:t>The economic decline, growing unemployment and political uncertainty contributed to the rise of nationalist leaders</w:t>
      </w:r>
      <w:r>
        <w:rPr>
          <w:sz w:val="24"/>
          <w:szCs w:val="24"/>
          <w:rtl w:val="0"/>
          <w:lang w:val="en-US"/>
        </w:rPr>
        <w:t xml:space="preserve"> such as Slobodan Milosevic, Franjo Tudman and Radovan Karadzic, whose policies just continued to fuel the divisions and violence. These nationalist leaders exacerbated and exploited the ethnic tensions to advance their political agendas, by promoting nationalist rhetoric and manipulating historical grievances. ( Miller,2006). Milosevic appealed to the Serbian nationalism, portraying Serbs as victims , thus justifying aggressive military actions in Croatia and Bosnia. Tudman pursued his vision of an ethnically homogenous Croatia, marginalising Serbs within the country. They would go on to lead to violent conflicts between the Serbs, Croats, Bosniaks, along with other ethnic groups.  Bosnia and Herzegovina, was particularly vulnerable to ethnic conflict as it was home to a very diverse demographic makeup and they were to become the epicentre of the ethnic violence.It should be understood that prior to the war, Bosnia was home to three major ethnic groups, these were Bosniaks( Bosnian Muslims), Serbs, and Croats. According to the 1991 census, Bosniaks made up for around 44% of the population, Serbs 31% and Croats 17%. ( Weitz,2003). Unlike their neighbours Croatia and Serbia, where ethnic majorities were dominant, Bosnia lacked a clear ethnic majority, this made it a focal point for competing nationalist ambitions. Serbian leaders , particularly Radovan Karadzic, sought to carve out a Greater Serbia by removing Bosniaks from Serb controlled areas , whilst the Croatian nationalists aim was to annexe parts of Bosnia in Croatia. ( Miller,2006). Weitsman states that, </w:t>
      </w:r>
      <w:r>
        <w:rPr>
          <w:sz w:val="24"/>
          <w:szCs w:val="24"/>
          <w:rtl w:val="0"/>
          <w:lang w:val="en-US"/>
        </w:rPr>
        <w:t>“</w:t>
      </w:r>
      <w:r>
        <w:rPr>
          <w:sz w:val="24"/>
          <w:szCs w:val="24"/>
          <w:rtl w:val="0"/>
          <w:lang w:val="en-US"/>
        </w:rPr>
        <w:t>this struggle over territorial control and ethnic dominance made Bosnia the epicentre of ethnic cleansing and genocide</w:t>
      </w:r>
      <w:r>
        <w:rPr>
          <w:sz w:val="24"/>
          <w:szCs w:val="24"/>
          <w:rtl w:val="0"/>
          <w:lang w:val="en-US"/>
        </w:rPr>
        <w:t>”</w:t>
      </w:r>
      <w:r>
        <w:rPr>
          <w:sz w:val="24"/>
          <w:szCs w:val="24"/>
          <w:rtl w:val="0"/>
          <w:lang w:val="en-US"/>
        </w:rPr>
        <w:t>. ( Weitsman, 2008). The Bosnian Serb Army of Repiblika Srpska ( VRS), under the leadership of Radovan Karadzic and Ratko Mladic, launched a campaign, with the aim to establish an ethnically homogenous Serb territory. The most notorious atrocity of their campaign was the Sebrenica massacre which took place in July 1995.  We should note that the town of Srebrenica had been declared a UN safe zone, but it was overrun with VRS forces. ( icty,2025). This campaign saw the brutal execution of over 8,000 Bosniak men and boys, carried out by the Bosnian Serb forces.  After capturing Srebrenica on July 11th 1995, the Serb forces ( VRS) separated the the Bosniak men and boys from the women,, children and the elderly The men and boys were then transported to remote locations where they were systematically executed in mass shootings and buried in mass graves. ( Weitsman,2008) In an attempt to conceal evidence, the Bosnian Serb forces would later dig up many of these graves and then rebury the bodies in secondary sites. ( Weitz,2003). The systematic nature of these executions, along with the targeting of Bosniak men and boys specifically, was the key to the ICTY</w:t>
      </w:r>
      <w:r>
        <w:rPr>
          <w:sz w:val="24"/>
          <w:szCs w:val="24"/>
          <w:rtl w:val="0"/>
          <w:lang w:val="en-US"/>
        </w:rPr>
        <w:t>’</w:t>
      </w:r>
      <w:r>
        <w:rPr>
          <w:sz w:val="24"/>
          <w:szCs w:val="24"/>
          <w:rtl w:val="0"/>
          <w:lang w:val="en-US"/>
        </w:rPr>
        <w:t>s determination that the massacre constituted genocide. ( icty.org,2025). The ICTY went on to rule that this was an act of genocide in the case against Radislav Karadzic and established that the killings were carried out with the intent to destroy the Bosniak population in Srebrenica. (icty.org,2025).</w:t>
      </w:r>
    </w:p>
    <w:p>
      <w:pPr>
        <w:pStyle w:val="Body"/>
        <w:rPr>
          <w:sz w:val="24"/>
          <w:szCs w:val="24"/>
        </w:rPr>
      </w:pPr>
      <w:r>
        <w:rPr>
          <w:sz w:val="24"/>
          <w:szCs w:val="24"/>
          <w:rtl w:val="0"/>
          <w:lang w:val="en-US"/>
        </w:rPr>
        <w:t xml:space="preserve"> The women and children were not spared .This campaign also saw thousands of women and children forcibly displaced. (icty.org,2025). Sexual violence was systematically used as a weapon of war during the Bosnian conflict, particularly against the Bosniak women. Rape was not only used as a means to terrorise and humiliate its victims, but it was also a deliberate statergy to destabilise communities and also alter the the ethnic composition of the region. ( Weitsman,2008). We now know that the use of sexual violence was particularly evident in rape camps, where women were repeatedly subjected to assaults and forced pregnancies. ( Weitz,2003). In later years this has led to many survivors still being ostracised from their communities and continuing to suffer from the long term effects of the psychological and physical trauma. (un.org,2025). The ICTY later recognised rape as a crime against humanity, with several perpetrators being prosecuted for their roles in orchestrating sexual violence. (icty,2025). Sadly however justice for many of the victims has been extremely slow and many of the perpetrators have never been held accountable. ( Cushman Mestrovic,1996).                  </w:t>
      </w:r>
    </w:p>
    <w:p>
      <w:pPr>
        <w:pStyle w:val="Body"/>
        <w:rPr>
          <w:sz w:val="24"/>
          <w:szCs w:val="24"/>
        </w:rPr>
      </w:pPr>
    </w:p>
    <w:p>
      <w:pPr>
        <w:pStyle w:val="Body"/>
        <w:rPr>
          <w:sz w:val="24"/>
          <w:szCs w:val="24"/>
        </w:rPr>
      </w:pPr>
    </w:p>
    <w:p>
      <w:pPr>
        <w:pStyle w:val="Body"/>
        <w:rPr>
          <w:sz w:val="24"/>
          <w:szCs w:val="24"/>
        </w:rPr>
      </w:pPr>
    </w:p>
    <w:p>
      <w:pPr>
        <w:pStyle w:val="Body"/>
        <w:rPr>
          <w:sz w:val="24"/>
          <w:szCs w:val="24"/>
        </w:rPr>
      </w:pPr>
      <w:r>
        <w:rPr>
          <w:sz w:val="24"/>
          <w:szCs w:val="24"/>
          <w:rtl w:val="0"/>
          <w:lang w:val="en-US"/>
        </w:rPr>
        <w:t>It was not just in Srebrenica that these atrocities occurred , there were numerous other instances of mass violence, that had the hallmarks of genocide. One example is Prijedor, where Bosnian Serb forces established concentration camps, such as Omarska and Trnopolje, where thousands of Bosniaks and Croats were imprisoned, tortured and killed. ( humanrightswatch,2025). The harrowing reports from the survivors would detail the systematic beatings, sexual violence and execution of the detainees, which revealed a deliberate campaign of destruction. ( Weitsman, 2008). The presence of numerous mass graves across Bosnia, many of which were uncovered years later, only went on to further demonstrate the extent of the violence which took place.(holocaustmemorialtrust,2025).</w:t>
      </w:r>
    </w:p>
    <w:p>
      <w:pPr>
        <w:pStyle w:val="Body"/>
        <w:rPr>
          <w:sz w:val="24"/>
          <w:szCs w:val="24"/>
        </w:rPr>
      </w:pPr>
    </w:p>
    <w:p>
      <w:pPr>
        <w:pStyle w:val="Body"/>
        <w:rPr>
          <w:sz w:val="24"/>
          <w:szCs w:val="24"/>
        </w:rPr>
      </w:pPr>
      <w:r>
        <w:rPr>
          <w:sz w:val="24"/>
          <w:szCs w:val="24"/>
          <w:rtl w:val="0"/>
          <w:lang w:val="en-US"/>
        </w:rPr>
        <w:t>The criteria by the UN for genocide provides a crucial framework for understanding the atrocities in Bosnia. The 1948 Genocide Convention outlines five key acts that constitute genocide, they are mass killings, causing serious bodily or mental harm, inflicting conditions that lead to the destruction of a group, preventing births within the group and forcibly transferring children. (un.org,2025). We see that each and every one of these elements were present in Bosnia. These mass executions, concentration camps, the systematic use of rape as a tool of war and the destruction of important cultural sites, all clearly point to a concerted effort to annihilate the Bosniak population. (holocaustmuseumhouston,2025). The ICTY</w:t>
      </w:r>
      <w:r>
        <w:rPr>
          <w:sz w:val="24"/>
          <w:szCs w:val="24"/>
          <w:rtl w:val="0"/>
          <w:lang w:val="en-US"/>
        </w:rPr>
        <w:t>’</w:t>
      </w:r>
      <w:r>
        <w:rPr>
          <w:sz w:val="24"/>
          <w:szCs w:val="24"/>
          <w:rtl w:val="0"/>
          <w:lang w:val="en-US"/>
        </w:rPr>
        <w:t xml:space="preserve">s recognition of genocide in Srebrenica was based on these criteria and reinforces the argument that the violence was not merely ethnic cleansing, but also an act of deliberate and systematic destruction. </w:t>
      </w:r>
    </w:p>
    <w:p>
      <w:pPr>
        <w:pStyle w:val="Body"/>
        <w:rPr>
          <w:sz w:val="24"/>
          <w:szCs w:val="24"/>
        </w:rPr>
      </w:pPr>
    </w:p>
    <w:p>
      <w:pPr>
        <w:pStyle w:val="Body"/>
        <w:rPr>
          <w:sz w:val="24"/>
          <w:szCs w:val="24"/>
        </w:rPr>
      </w:pPr>
      <w:r>
        <w:rPr>
          <w:sz w:val="24"/>
          <w:szCs w:val="24"/>
          <w:rtl w:val="0"/>
          <w:lang w:val="en-US"/>
        </w:rPr>
        <w:t xml:space="preserve">Whilst we may often see and link ethnic cleansing and genocide together, it is important for us to distinguish between the two. Ethnic cleansing involves the forced removal of a group from a particular area, which is often accompanied by violence and intimidation. Genocide however, is the intentional destruction of that group, whether it be through direct killings or other means that ensures their eradication. (Schabas, 2012). In Bosnia, the systematic targeting of Bosniak men for execution, the use of rape as a weapon of war to destroy the community from within and then the calculated destruction of their cultural and religious symbols would suggest that this was a genocidal intent, rather than just an attempt to remove an ethnic group from a given territory. (Weitsman, 2008). We see that the Bosnian War exhibited both elements, while many Bosniaks were forcibly expelled, the massacres and concentration camps demonstrated an intent to destroy the group in whole or in part. </w:t>
      </w:r>
    </w:p>
    <w:p>
      <w:pPr>
        <w:pStyle w:val="Body"/>
        <w:rPr>
          <w:sz w:val="24"/>
          <w:szCs w:val="24"/>
        </w:rPr>
      </w:pPr>
    </w:p>
    <w:p>
      <w:pPr>
        <w:pStyle w:val="Body"/>
        <w:rPr>
          <w:sz w:val="24"/>
          <w:szCs w:val="24"/>
        </w:rPr>
      </w:pPr>
      <w:r>
        <w:rPr>
          <w:sz w:val="24"/>
          <w:szCs w:val="24"/>
          <w:rtl w:val="0"/>
          <w:lang w:val="en-US"/>
        </w:rPr>
        <w:t xml:space="preserve">Undoubtably one of the most striking failures of the international community was the lack of intervention of the UN peacekeeping forces. The United Nations had established </w:t>
      </w:r>
      <w:r>
        <w:rPr>
          <w:sz w:val="24"/>
          <w:szCs w:val="24"/>
          <w:rtl w:val="0"/>
          <w:lang w:val="en-US"/>
        </w:rPr>
        <w:t xml:space="preserve">“ </w:t>
      </w:r>
      <w:r>
        <w:rPr>
          <w:sz w:val="24"/>
          <w:szCs w:val="24"/>
          <w:rtl w:val="0"/>
          <w:lang w:val="en-US"/>
        </w:rPr>
        <w:t>safe zones</w:t>
      </w:r>
      <w:r>
        <w:rPr>
          <w:sz w:val="24"/>
          <w:szCs w:val="24"/>
          <w:rtl w:val="0"/>
          <w:lang w:val="en-US"/>
        </w:rPr>
        <w:t xml:space="preserve">” </w:t>
      </w:r>
      <w:r>
        <w:rPr>
          <w:sz w:val="24"/>
          <w:szCs w:val="24"/>
          <w:rtl w:val="0"/>
          <w:lang w:val="en-US"/>
        </w:rPr>
        <w:t>in Bosnia, including in Srebrenica, where Bosniaks sough refuge from the ever advancing Serb forces. However the Dutch  peacekeeping force that were stationed there, were not only ill equipped, but they were unable to prevent the massacre that was to occur in July 1995. Reports were to indicate that the UN troops, who were heavily outnumbered and were also without clear orders to engage, effectively just abandoned the Bosniak population their awful fate. (unpeacekeeping.2025). This total lack of decisive action by the Western powers of the UN , only further demonstrated the unwillingness of the international community to actually take the necessary steps to stop mass atrocities, which in turn lead to the further devastation of Bosnia.</w:t>
      </w:r>
    </w:p>
    <w:p>
      <w:pPr>
        <w:pStyle w:val="Body"/>
        <w:rPr>
          <w:sz w:val="24"/>
          <w:szCs w:val="24"/>
        </w:rPr>
      </w:pPr>
      <w:r>
        <w:rPr>
          <w:sz w:val="24"/>
          <w:szCs w:val="24"/>
          <w:rtl w:val="0"/>
          <w:lang w:val="en-US"/>
        </w:rPr>
        <w:t>The prosecution of war criminals was just another area in which justice was delayed and in many cases actually denied. The ICTY, which was established in 1993, was given the responsibility to try those, who had been responsible for war crimes in the former Yugoslavia. While individuals such as Radovan Karadzic and Ratko Mladic were eventually convicted of genocide and crimes against humanity, we went on to see many, many more either escape justice completely or go on to receive comparatively lenient sentences for their crimes. (icty.2025).  Radovan Karadzic, the former president of Republika Srpska, was convicted by the ICTY in 2016 of genocide, war crimes and crimes against humanity. He was initially sentenced to 40 years in prison, but upon appeal his sentence was increased to life  imprisonment  in 2019, he is still alive today. (unorg,2025).  Franjo Tudman the former president of Croatia was never identified by the ICTY. He died in 1999 whilst still in office. (icty, 2025).  Slobodan Milosevic, the former President of Serbia and later the Federal Republic of Yugoslavia, was charged with 66 counts, including genocide, crimes against humanity and war crimes by the International Criminal Tribunal for the Former Yugoslavia (ICTY). He died in 2006 before a verdict could and was reached. (icty,2025). These outcomes have been subject to extensive analysis and debate regarding the effectiveness and limitations of the International justice systems.The difficulty in proving genocidal intent, the political resistance from the Serbian nationalist fractions and the logistical challenges, would all go on to contribute to the slow and incomplete process of justice. (Schabas,2012). We were to see that even after years of investigations and trials, many of those responsible still remained free, leading to the continued resentment and divisions in Bosnia. ( Miller,2006). The International community</w:t>
      </w:r>
      <w:r>
        <w:rPr>
          <w:sz w:val="24"/>
          <w:szCs w:val="24"/>
          <w:rtl w:val="0"/>
          <w:lang w:val="en-US"/>
        </w:rPr>
        <w:t>’</w:t>
      </w:r>
      <w:r>
        <w:rPr>
          <w:sz w:val="24"/>
          <w:szCs w:val="24"/>
          <w:rtl w:val="0"/>
          <w:lang w:val="en-US"/>
        </w:rPr>
        <w:t>s failure to prevent and adequately punish these crimes clearly shows that both political inaction and structure weaknesses have played a role. Despite clear warning signs and intelligence reports indicating the likelihood of mass atrocities, international actors failed to take decisive actions to prevent the worst of the violence even. (Cushman Mestrovic,1996). The United Nations, NATO and Western governments, up to the present day, hesitate to intervene, often citing concerns about national sovereignty, logistical difficulties or political risks. (unorg,2025). The lack of swift and decisive action in the 1990</w:t>
      </w:r>
      <w:r>
        <w:rPr>
          <w:sz w:val="24"/>
          <w:szCs w:val="24"/>
          <w:rtl w:val="0"/>
          <w:lang w:val="en-US"/>
        </w:rPr>
        <w:t>’</w:t>
      </w:r>
      <w:r>
        <w:rPr>
          <w:sz w:val="24"/>
          <w:szCs w:val="24"/>
          <w:rtl w:val="0"/>
          <w:lang w:val="en-US"/>
        </w:rPr>
        <w:t>s set a troubling president for any future conflicts. The genocide in Rwanda, which occurred  concurrently with the  Bosnian War, similarly saw an inadequate international response, raising concerns about the effectiveness of global institutions in preventing mass atrocities. (Weitz,2003). The reluctance to intervene in Bosnia and the slow pace of the prosecutions demonstrates that despite the lessons of the Holocaust and the establishment of the Genocide Convention, the international community still struggles to uphold its commitments to prevent and punish genocide. (unorg,2025). Meanwhile the total lack of inaction has arguably contributed to continued human rights violations in other parts of the world , as perpetrators may believe they can act with impunity if international responses remain weak and inconsistent. (Weitz,2003).</w:t>
      </w:r>
    </w:p>
    <w:p>
      <w:pPr>
        <w:pStyle w:val="Body"/>
        <w:rPr>
          <w:sz w:val="24"/>
          <w:szCs w:val="24"/>
        </w:rPr>
      </w:pPr>
    </w:p>
    <w:p>
      <w:pPr>
        <w:pStyle w:val="Body"/>
        <w:rPr>
          <w:sz w:val="24"/>
          <w:szCs w:val="24"/>
        </w:rPr>
      </w:pPr>
      <w:r>
        <w:rPr>
          <w:sz w:val="24"/>
          <w:szCs w:val="24"/>
          <w:rtl w:val="0"/>
          <w:lang w:val="en-US"/>
        </w:rPr>
        <w:t xml:space="preserve">Up until the present day many questions remain about whether Bosnian Muslims are real and truly safe now. Although Bosnia has remained largely peaceful since the end of the war, ethnic tensions and unrest still persist. Nationalist rhetoric, denial of genocide by some Serb political leaders and the glorification of war criminals have all contributed to a atmosphere of one of uncertainty and fear. ( miller,2006). In Republika Srpska which is the Serb majority entity within Bosnia, political leaders continue to downplay the atrocities committed against the Bosniaks and there are ongoing attempts to rewrite the history. (Weitsman,2008). Admittedly while international oversight and economic integration with Europe has provided some stability, concerns remain about the potential and real resurgence of nationalist violence. We can see that the failure to fully and properly address the root causes of the conflict has left very deep scars indeed and the risk of renewed tensions, cannot and must definitely not be ignored. </w:t>
      </w:r>
    </w:p>
    <w:p>
      <w:pPr>
        <w:pStyle w:val="Body"/>
        <w:rPr>
          <w:sz w:val="24"/>
          <w:szCs w:val="24"/>
        </w:rPr>
      </w:pPr>
    </w:p>
    <w:p>
      <w:pPr>
        <w:pStyle w:val="Body"/>
        <w:rPr>
          <w:sz w:val="24"/>
          <w:szCs w:val="24"/>
        </w:rPr>
      </w:pPr>
      <w:r>
        <w:rPr>
          <w:sz w:val="24"/>
          <w:szCs w:val="24"/>
          <w:rtl w:val="0"/>
          <w:lang w:val="en-US"/>
        </w:rPr>
        <w:t>So, in conclusion, I feel and believe that the violence in Bosnia met the criteria for  both ethnic cleansing and genocide. We see that the targeted nature of the killings, particularly those that took place in Srebrenica, totally align with the UN criteria for genocide and was indeed rules as genocide. (icty,2025). The deliberate targeting of the Bosniak population for removal , forced displacement and mass killings aligns with the UN Genocide Conventions definition of genocide, which includes acts committed with intent to destroy a national, ethical, racial or religious group. (unorg,2025). At the same time the ethnic cleansing was a key strategy used throughout the war, as Serb and Croat forces sought to create ethnically homogenous territory by forcibly expelling Bosniak populations. (Weitsman,2008).  The lack of effective intervention from UN peacekeepers despite clear warnings, contributed to the scale of the atrocities. (unorg,2025). The Srebrenica genocide clearly highlighted the international community</w:t>
      </w:r>
      <w:r>
        <w:rPr>
          <w:sz w:val="24"/>
          <w:szCs w:val="24"/>
          <w:rtl w:val="0"/>
          <w:lang w:val="en-US"/>
        </w:rPr>
        <w:t>’</w:t>
      </w:r>
      <w:r>
        <w:rPr>
          <w:sz w:val="24"/>
          <w:szCs w:val="24"/>
          <w:rtl w:val="0"/>
          <w:lang w:val="en-US"/>
        </w:rPr>
        <w:t xml:space="preserve">s failure to prevent mass atrocities despite extremely clear warning signs. Reports from human rights organisations and intelligence agencies had warned of the impending violence, yet the response from the United Nations and Western governments remained inadequate. (Cushman Mestrovic, 1996). The total lack of decisive military intervention allowed the Serb forces to carry out killings. The massacre also exposed the weakness of the UN peacekeeping operations , as the Dutch UN battalion stationed in Srebrenica was ill equipped and completely unable to prevent the towns fall. ( under,2025).  The failure of the international peacekeeping forces and the particularly slow pursuit of justice , just hi-lights again , the significant flaws in the global responses to mass atrocities. The continued presence of national rhetoric and genocide denial fuels and raises concerns for the long term stability of Bosnia. Still many Serb political leaders refuse to acknowledge the Srebrenica massacre as genocide, despite rulings by the International Courts. (Weitz,2003). This denial in turn has fuelled ethnic divisions, preventing any meaningful dialogue between communities and continues to obstruct efforts to build a unified national identity. ( Miller,2006). Nationalist Rhetoric often propagated by the political elites, reinforces existing grievances and keeps tensions alive , making long term peace difficult to achieve. (Cushman Mestrovic,1996). The persistence of genocide denial also undermines trust in international justice institutions and weakens the credibility of efforts aimed at transitional justice. (Weitsman,2008). It can be now seen as a result of that, Bosnia remains deeply polarised, with ethnic based political parties dominating governance and further entrenching divisions. (unorg,2025).  For us to move forward the continued vigilance is vital to ensure that history does not repeat itself again and that the Bosnian Muslim community remains safe from any further persecution. In fact, globally , we al need to be vigilant to halt any persecutions to any community. Far right, some nationalists organisations and other </w:t>
      </w:r>
      <w:r>
        <w:rPr>
          <w:sz w:val="24"/>
          <w:szCs w:val="24"/>
          <w:rtl w:val="0"/>
          <w:lang w:val="en-US"/>
        </w:rPr>
        <w:t>“</w:t>
      </w:r>
      <w:r>
        <w:rPr>
          <w:sz w:val="24"/>
          <w:szCs w:val="24"/>
          <w:rtl w:val="0"/>
          <w:lang w:val="en-US"/>
        </w:rPr>
        <w:t>hate</w:t>
      </w:r>
      <w:r>
        <w:rPr>
          <w:sz w:val="24"/>
          <w:szCs w:val="24"/>
          <w:rtl w:val="0"/>
          <w:lang w:val="en-US"/>
        </w:rPr>
        <w:t xml:space="preserve">” </w:t>
      </w:r>
      <w:r>
        <w:rPr>
          <w:sz w:val="24"/>
          <w:szCs w:val="24"/>
          <w:rtl w:val="0"/>
          <w:lang w:val="en-US"/>
        </w:rPr>
        <w:t xml:space="preserve">groups , in this we can include some governments, we can see just how much hate and blame is being stirred up by the new Trump government in the USA, must not be allowed to cause persecution to any group in society. </w:t>
      </w:r>
    </w:p>
    <w:p>
      <w:pPr>
        <w:pStyle w:val="Body"/>
        <w:rPr>
          <w:sz w:val="24"/>
          <w:szCs w:val="24"/>
        </w:rPr>
      </w:pPr>
    </w:p>
    <w:p>
      <w:pPr>
        <w:pStyle w:val="Body"/>
        <w:rPr>
          <w:sz w:val="24"/>
          <w:szCs w:val="24"/>
        </w:rPr>
      </w:pPr>
      <w:r>
        <w:rPr>
          <w:sz w:val="24"/>
          <w:szCs w:val="24"/>
          <w:rtl w:val="0"/>
          <w:lang w:val="en-US"/>
        </w:rPr>
        <w:t xml:space="preserve">The complexity of this conflict is hi-lighted in the above findings, along with the ongoing challenges of justice and remembrance. We must also remember the suffering that the survivors still live with from day to day,  not just from the suffering they experienced and witnessed, but many also have guilt that they even survived and were unable to help the less fortunate ones. </w:t>
      </w: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b w:val="1"/>
          <w:bCs w:val="1"/>
          <w:sz w:val="28"/>
          <w:szCs w:val="28"/>
        </w:rPr>
      </w:pPr>
      <w:r>
        <w:rPr>
          <w:b w:val="1"/>
          <w:bCs w:val="1"/>
          <w:sz w:val="28"/>
          <w:szCs w:val="28"/>
          <w:rtl w:val="0"/>
          <w:lang w:val="en-US"/>
        </w:rPr>
        <w:t>Bibliography</w:t>
      </w:r>
    </w:p>
    <w:p>
      <w:pPr>
        <w:pStyle w:val="Body"/>
        <w:rPr>
          <w:b w:val="1"/>
          <w:bCs w:val="1"/>
          <w:sz w:val="28"/>
          <w:szCs w:val="28"/>
        </w:rPr>
      </w:pPr>
    </w:p>
    <w:p>
      <w:pPr>
        <w:pStyle w:val="Body"/>
        <w:rPr>
          <w:b w:val="1"/>
          <w:bCs w:val="1"/>
          <w:sz w:val="28"/>
          <w:szCs w:val="28"/>
        </w:rPr>
      </w:pPr>
    </w:p>
    <w:p>
      <w:pPr>
        <w:pStyle w:val="Default"/>
        <w:suppressAutoHyphens w:val="1"/>
        <w:spacing w:before="0" w:line="240" w:lineRule="auto"/>
        <w:rPr>
          <w:rFonts w:ascii="Times Roman" w:cs="Times Roman" w:hAnsi="Times Roman" w:eastAsia="Times Roman"/>
        </w:rPr>
      </w:pPr>
      <w:r>
        <w:rPr>
          <w:rFonts w:ascii="Times Roman" w:hAnsi="Times Roman"/>
          <w:i w:val="1"/>
          <w:iCs w:val="1"/>
          <w:rtl w:val="0"/>
          <w:lang w:val="en-US"/>
        </w:rPr>
        <w:t>Bosnia-Hercegovina: The Fall of Srebrenica and the Failure of U.N. Peacekeeping</w:t>
      </w:r>
      <w:r>
        <w:rPr>
          <w:rFonts w:ascii="Times Roman" w:hAnsi="Times Roman"/>
          <w:rtl w:val="0"/>
          <w:lang w:val="en-US"/>
        </w:rPr>
        <w:t xml:space="preserve"> ([no date]). Available at: </w:t>
      </w:r>
      <w:r>
        <w:rPr>
          <w:rStyle w:val="Hyperlink.0"/>
          <w:rFonts w:ascii="Times Roman" w:cs="Times Roman" w:hAnsi="Times Roman" w:eastAsia="Times Roman"/>
        </w:rPr>
        <w:fldChar w:fldCharType="begin" w:fldLock="0"/>
      </w:r>
      <w:r>
        <w:rPr>
          <w:rStyle w:val="Hyperlink.0"/>
          <w:rFonts w:ascii="Times Roman" w:cs="Times Roman" w:hAnsi="Times Roman" w:eastAsia="Times Roman"/>
        </w:rPr>
        <w:instrText xml:space="preserve"> HYPERLINK "https://www.hrw.org/legacy/summaries/s.bosnia9510.html"</w:instrText>
      </w:r>
      <w:r>
        <w:rPr>
          <w:rStyle w:val="Hyperlink.0"/>
          <w:rFonts w:ascii="Times Roman" w:cs="Times Roman" w:hAnsi="Times Roman" w:eastAsia="Times Roman"/>
        </w:rPr>
        <w:fldChar w:fldCharType="separate" w:fldLock="0"/>
      </w:r>
      <w:r>
        <w:rPr>
          <w:rStyle w:val="Hyperlink.0"/>
          <w:rFonts w:ascii="Times Roman" w:hAnsi="Times Roman"/>
          <w:rtl w:val="0"/>
        </w:rPr>
        <w:t>https://www.hrw.org/legacy/summaries/s.bosnia9510.html</w:t>
      </w:r>
      <w:r>
        <w:rPr>
          <w:rFonts w:ascii="Times Roman" w:cs="Times Roman" w:hAnsi="Times Roman" w:eastAsia="Times Roman"/>
        </w:rPr>
        <w:fldChar w:fldCharType="end" w:fldLock="0"/>
      </w:r>
      <w:r>
        <w:rPr>
          <w:rFonts w:ascii="Times Roman" w:hAnsi="Times Roman"/>
          <w:rtl w:val="0"/>
          <w:lang w:val="en-US"/>
        </w:rPr>
        <w:t xml:space="preserve"> (Accessed: 7 February 2025).</w:t>
      </w:r>
    </w:p>
    <w:p>
      <w:pPr>
        <w:pStyle w:val="Default"/>
        <w:suppressAutoHyphens w:val="1"/>
        <w:spacing w:before="0" w:line="240" w:lineRule="auto"/>
        <w:rPr>
          <w:rFonts w:ascii="Times Roman" w:cs="Times Roman" w:hAnsi="Times Roman" w:eastAsia="Times Roman"/>
        </w:rPr>
      </w:pPr>
      <w:r>
        <w:rPr>
          <w:rFonts w:ascii="Times Roman" w:hAnsi="Times Roman"/>
          <w:rtl w:val="0"/>
        </w:rPr>
        <w:t xml:space="preserve">Cushman, T. (2004) </w:t>
      </w:r>
      <w:r>
        <w:rPr>
          <w:rFonts w:ascii="Times Roman" w:hAnsi="Times Roman" w:hint="default"/>
          <w:rtl w:val="1"/>
        </w:rPr>
        <w:t>‘</w:t>
      </w:r>
      <w:r>
        <w:rPr>
          <w:rFonts w:ascii="Times Roman" w:hAnsi="Times Roman"/>
          <w:rtl w:val="0"/>
          <w:lang w:val="en-US"/>
        </w:rPr>
        <w:t>Anthropology and Genocide in the Balkans: An Analysis of Conceptual Practices of Power</w:t>
      </w:r>
      <w:r>
        <w:rPr>
          <w:rFonts w:ascii="Times Roman" w:hAnsi="Times Roman" w:hint="default"/>
          <w:rtl w:val="1"/>
        </w:rPr>
        <w:t>’</w:t>
      </w:r>
      <w:r>
        <w:rPr>
          <w:rFonts w:ascii="Times Roman" w:hAnsi="Times Roman"/>
          <w:rtl w:val="0"/>
        </w:rPr>
        <w:t xml:space="preserve">. </w:t>
      </w:r>
      <w:r>
        <w:rPr>
          <w:rStyle w:val="None"/>
          <w:rFonts w:ascii="Times Roman" w:hAnsi="Times Roman"/>
          <w:i w:val="1"/>
          <w:iCs w:val="1"/>
          <w:rtl w:val="0"/>
          <w:lang w:val="en-US"/>
        </w:rPr>
        <w:t>Anthropological Theory</w:t>
      </w:r>
      <w:r>
        <w:rPr>
          <w:rFonts w:ascii="Times Roman" w:hAnsi="Times Roman"/>
          <w:rtl w:val="0"/>
        </w:rPr>
        <w:t xml:space="preserve"> 4(1), pp. 5</w:t>
      </w:r>
      <w:r>
        <w:rPr>
          <w:rFonts w:ascii="Times Roman" w:hAnsi="Times Roman" w:hint="default"/>
          <w:rtl w:val="0"/>
        </w:rPr>
        <w:t>–</w:t>
      </w:r>
      <w:r>
        <w:rPr>
          <w:rFonts w:ascii="Times Roman" w:hAnsi="Times Roman"/>
          <w:rtl w:val="0"/>
          <w:lang w:val="en-US"/>
        </w:rPr>
        <w:t>28. Available at: doi:</w:t>
      </w:r>
      <w:r>
        <w:rPr>
          <w:rStyle w:val="Hyperlink.0"/>
          <w:rFonts w:ascii="Times Roman" w:cs="Times Roman" w:hAnsi="Times Roman" w:eastAsia="Times Roman"/>
        </w:rPr>
        <w:fldChar w:fldCharType="begin" w:fldLock="0"/>
      </w:r>
      <w:r>
        <w:rPr>
          <w:rStyle w:val="Hyperlink.0"/>
          <w:rFonts w:ascii="Times Roman" w:cs="Times Roman" w:hAnsi="Times Roman" w:eastAsia="Times Roman"/>
        </w:rPr>
        <w:instrText xml:space="preserve"> HYPERLINK "https://doi.org/10.1177/1463499604040845"</w:instrText>
      </w:r>
      <w:r>
        <w:rPr>
          <w:rStyle w:val="Hyperlink.0"/>
          <w:rFonts w:ascii="Times Roman" w:cs="Times Roman" w:hAnsi="Times Roman" w:eastAsia="Times Roman"/>
        </w:rPr>
        <w:fldChar w:fldCharType="separate" w:fldLock="0"/>
      </w:r>
      <w:r>
        <w:rPr>
          <w:rStyle w:val="Hyperlink.0"/>
          <w:rFonts w:ascii="Times Roman" w:hAnsi="Times Roman"/>
          <w:rtl w:val="0"/>
        </w:rPr>
        <w:t>10.1177/1463499604040845</w:t>
      </w:r>
      <w:r>
        <w:rPr>
          <w:rFonts w:ascii="Times Roman" w:cs="Times Roman" w:hAnsi="Times Roman" w:eastAsia="Times Roman"/>
        </w:rPr>
        <w:fldChar w:fldCharType="end" w:fldLock="0"/>
      </w:r>
      <w:r>
        <w:rPr>
          <w:rFonts w:ascii="Times Roman" w:hAnsi="Times Roman"/>
          <w:rtl w:val="0"/>
        </w:rPr>
        <w:t>.</w:t>
      </w:r>
    </w:p>
    <w:p>
      <w:pPr>
        <w:pStyle w:val="Default"/>
        <w:suppressAutoHyphens w:val="1"/>
        <w:spacing w:before="0" w:line="240" w:lineRule="auto"/>
        <w:rPr>
          <w:rFonts w:ascii="Times Roman" w:cs="Times Roman" w:hAnsi="Times Roman" w:eastAsia="Times Roman"/>
        </w:rPr>
      </w:pPr>
      <w:r>
        <w:rPr>
          <w:rFonts w:ascii="Times Roman" w:hAnsi="Times Roman"/>
          <w:rtl w:val="0"/>
          <w:lang w:val="de-DE"/>
        </w:rPr>
        <w:t xml:space="preserve">Denich, B. (1994) </w:t>
      </w:r>
      <w:r>
        <w:rPr>
          <w:rFonts w:ascii="Times Roman" w:hAnsi="Times Roman" w:hint="default"/>
          <w:rtl w:val="1"/>
        </w:rPr>
        <w:t>‘</w:t>
      </w:r>
      <w:r>
        <w:rPr>
          <w:rFonts w:ascii="Times Roman" w:hAnsi="Times Roman"/>
          <w:rtl w:val="0"/>
          <w:lang w:val="en-US"/>
        </w:rPr>
        <w:t>dismembering Yugoslavia: nationalist ideologies and the symbolic revival of genocide</w:t>
      </w:r>
      <w:r>
        <w:rPr>
          <w:rFonts w:ascii="Times Roman" w:hAnsi="Times Roman" w:hint="default"/>
          <w:rtl w:val="1"/>
        </w:rPr>
        <w:t>’</w:t>
      </w:r>
      <w:r>
        <w:rPr>
          <w:rFonts w:ascii="Times Roman" w:hAnsi="Times Roman"/>
          <w:rtl w:val="0"/>
        </w:rPr>
        <w:t xml:space="preserve">. </w:t>
      </w:r>
      <w:r>
        <w:rPr>
          <w:rStyle w:val="None"/>
          <w:rFonts w:ascii="Times Roman" w:hAnsi="Times Roman"/>
          <w:i w:val="1"/>
          <w:iCs w:val="1"/>
          <w:rtl w:val="0"/>
          <w:lang w:val="en-US"/>
        </w:rPr>
        <w:t>American Ethnologist</w:t>
      </w:r>
      <w:r>
        <w:rPr>
          <w:rFonts w:ascii="Times Roman" w:hAnsi="Times Roman"/>
          <w:rtl w:val="0"/>
        </w:rPr>
        <w:t xml:space="preserve"> 21(2), pp. 367</w:t>
      </w:r>
      <w:r>
        <w:rPr>
          <w:rFonts w:ascii="Times Roman" w:hAnsi="Times Roman" w:hint="default"/>
          <w:rtl w:val="0"/>
        </w:rPr>
        <w:t>–</w:t>
      </w:r>
      <w:r>
        <w:rPr>
          <w:rFonts w:ascii="Times Roman" w:hAnsi="Times Roman"/>
          <w:rtl w:val="0"/>
          <w:lang w:val="en-US"/>
        </w:rPr>
        <w:t>390. Available at: doi:</w:t>
      </w:r>
      <w:r>
        <w:rPr>
          <w:rStyle w:val="Hyperlink.0"/>
          <w:rFonts w:ascii="Times Roman" w:cs="Times Roman" w:hAnsi="Times Roman" w:eastAsia="Times Roman"/>
        </w:rPr>
        <w:fldChar w:fldCharType="begin" w:fldLock="0"/>
      </w:r>
      <w:r>
        <w:rPr>
          <w:rStyle w:val="Hyperlink.0"/>
          <w:rFonts w:ascii="Times Roman" w:cs="Times Roman" w:hAnsi="Times Roman" w:eastAsia="Times Roman"/>
        </w:rPr>
        <w:instrText xml:space="preserve"> HYPERLINK "https://doi.org/10.1525/ae.1994.21.2.02a00080"</w:instrText>
      </w:r>
      <w:r>
        <w:rPr>
          <w:rStyle w:val="Hyperlink.0"/>
          <w:rFonts w:ascii="Times Roman" w:cs="Times Roman" w:hAnsi="Times Roman" w:eastAsia="Times Roman"/>
        </w:rPr>
        <w:fldChar w:fldCharType="separate" w:fldLock="0"/>
      </w:r>
      <w:r>
        <w:rPr>
          <w:rStyle w:val="Hyperlink.0"/>
          <w:rFonts w:ascii="Times Roman" w:hAnsi="Times Roman"/>
          <w:rtl w:val="0"/>
        </w:rPr>
        <w:t>10.1525/ae.1994.21.2.02a00080</w:t>
      </w:r>
      <w:r>
        <w:rPr>
          <w:rFonts w:ascii="Times Roman" w:cs="Times Roman" w:hAnsi="Times Roman" w:eastAsia="Times Roman"/>
        </w:rPr>
        <w:fldChar w:fldCharType="end" w:fldLock="0"/>
      </w:r>
      <w:r>
        <w:rPr>
          <w:rFonts w:ascii="Times Roman" w:hAnsi="Times Roman"/>
          <w:rtl w:val="0"/>
        </w:rPr>
        <w:t>.</w:t>
      </w:r>
    </w:p>
    <w:p>
      <w:pPr>
        <w:pStyle w:val="Default"/>
        <w:suppressAutoHyphens w:val="1"/>
        <w:spacing w:before="0" w:line="240" w:lineRule="auto"/>
        <w:rPr>
          <w:rStyle w:val="None"/>
          <w:rFonts w:ascii="Times Roman" w:cs="Times Roman" w:hAnsi="Times Roman" w:eastAsia="Times Roman"/>
          <w:i w:val="0"/>
          <w:iCs w:val="0"/>
        </w:rPr>
      </w:pPr>
      <w:r>
        <w:rPr>
          <w:rStyle w:val="None"/>
          <w:rFonts w:ascii="Times Roman" w:hAnsi="Times Roman"/>
          <w:i w:val="0"/>
          <w:iCs w:val="0"/>
          <w:rtl w:val="0"/>
        </w:rPr>
        <w:t xml:space="preserve">Fein, H. (1993) </w:t>
      </w:r>
      <w:r>
        <w:rPr>
          <w:rFonts w:ascii="Times Roman" w:hAnsi="Times Roman"/>
          <w:i w:val="1"/>
          <w:iCs w:val="1"/>
          <w:rtl w:val="0"/>
          <w:lang w:val="es-ES_tradnl"/>
        </w:rPr>
        <w:t>Genocide: A Sociological Perspective</w:t>
      </w:r>
      <w:r>
        <w:rPr>
          <w:rStyle w:val="None"/>
          <w:rFonts w:ascii="Times Roman" w:hAnsi="Times Roman"/>
          <w:i w:val="0"/>
          <w:iCs w:val="0"/>
          <w:rtl w:val="0"/>
          <w:lang w:val="en-US"/>
        </w:rPr>
        <w:t>. SAGE Publications.</w:t>
      </w:r>
    </w:p>
    <w:p>
      <w:pPr>
        <w:pStyle w:val="Default"/>
        <w:suppressAutoHyphens w:val="1"/>
        <w:spacing w:before="0" w:line="240" w:lineRule="auto"/>
        <w:rPr>
          <w:rFonts w:ascii="Times Roman" w:cs="Times Roman" w:hAnsi="Times Roman" w:eastAsia="Times Roman"/>
        </w:rPr>
      </w:pPr>
      <w:r>
        <w:rPr>
          <w:rStyle w:val="None"/>
          <w:rFonts w:ascii="Times Roman" w:hAnsi="Times Roman"/>
          <w:i w:val="1"/>
          <w:iCs w:val="1"/>
          <w:rtl w:val="0"/>
          <w:lang w:val="nl-NL"/>
        </w:rPr>
        <w:t>Genocide In Bosnia - Holocaust Museum Houston</w:t>
      </w:r>
      <w:r>
        <w:rPr>
          <w:rFonts w:ascii="Times Roman" w:hAnsi="Times Roman"/>
          <w:rtl w:val="0"/>
          <w:lang w:val="en-US"/>
        </w:rPr>
        <w:t xml:space="preserve"> (2023). Available at: </w:t>
      </w:r>
      <w:r>
        <w:rPr>
          <w:rStyle w:val="Hyperlink.0"/>
          <w:rFonts w:ascii="Times Roman" w:cs="Times Roman" w:hAnsi="Times Roman" w:eastAsia="Times Roman"/>
        </w:rPr>
        <w:fldChar w:fldCharType="begin" w:fldLock="0"/>
      </w:r>
      <w:r>
        <w:rPr>
          <w:rStyle w:val="Hyperlink.0"/>
          <w:rFonts w:ascii="Times Roman" w:cs="Times Roman" w:hAnsi="Times Roman" w:eastAsia="Times Roman"/>
        </w:rPr>
        <w:instrText xml:space="preserve"> HYPERLINK "https://hmh.org/library/research/genocide-in-bosnia-guide/"</w:instrText>
      </w:r>
      <w:r>
        <w:rPr>
          <w:rStyle w:val="Hyperlink.0"/>
          <w:rFonts w:ascii="Times Roman" w:cs="Times Roman" w:hAnsi="Times Roman" w:eastAsia="Times Roman"/>
        </w:rPr>
        <w:fldChar w:fldCharType="separate" w:fldLock="0"/>
      </w:r>
      <w:r>
        <w:rPr>
          <w:rStyle w:val="Hyperlink.0"/>
          <w:rFonts w:ascii="Times Roman" w:hAnsi="Times Roman"/>
          <w:rtl w:val="0"/>
          <w:lang w:val="en-US"/>
        </w:rPr>
        <w:t>https://hmh.org/library/research/genocide-in-bosnia-guide/</w:t>
      </w:r>
      <w:r>
        <w:rPr>
          <w:rFonts w:ascii="Times Roman" w:cs="Times Roman" w:hAnsi="Times Roman" w:eastAsia="Times Roman"/>
        </w:rPr>
        <w:fldChar w:fldCharType="end" w:fldLock="0"/>
      </w:r>
      <w:r>
        <w:rPr>
          <w:rFonts w:ascii="Times Roman" w:hAnsi="Times Roman"/>
          <w:rtl w:val="0"/>
          <w:lang w:val="en-US"/>
        </w:rPr>
        <w:t xml:space="preserve"> (Accessed: 7 February 2025).</w:t>
      </w:r>
    </w:p>
    <w:p>
      <w:pPr>
        <w:pStyle w:val="Default"/>
        <w:suppressAutoHyphens w:val="1"/>
        <w:spacing w:before="0" w:line="240" w:lineRule="auto"/>
        <w:rPr>
          <w:rStyle w:val="None"/>
          <w:rFonts w:ascii="Times Roman" w:cs="Times Roman" w:hAnsi="Times Roman" w:eastAsia="Times Roman"/>
          <w:outline w:val="0"/>
          <w:color w:val="000000"/>
          <w:u w:val="none"/>
          <w14:textFill>
            <w14:solidFill>
              <w14:srgbClr w14:val="000000"/>
            </w14:solidFill>
          </w14:textFill>
        </w:rPr>
      </w:pPr>
      <w:r>
        <w:rPr>
          <w:rStyle w:val="None"/>
          <w:rFonts w:ascii="Times Roman" w:hAnsi="Times Roman"/>
          <w:i w:val="1"/>
          <w:iCs w:val="1"/>
          <w:outline w:val="0"/>
          <w:color w:val="000000"/>
          <w:u w:val="none"/>
          <w:rtl w:val="0"/>
          <w:lang w:val="en-US"/>
          <w14:textFill>
            <w14:solidFill>
              <w14:srgbClr w14:val="000000"/>
            </w14:solidFill>
          </w14:textFill>
        </w:rPr>
        <w:t>Holocaust Memorial Day Trust | The ten stages of genocide</w:t>
      </w:r>
      <w:r>
        <w:rPr>
          <w:rStyle w:val="None"/>
          <w:rFonts w:ascii="Times Roman" w:hAnsi="Times Roman"/>
          <w:outline w:val="0"/>
          <w:color w:val="000000"/>
          <w:u w:val="none"/>
          <w:rtl w:val="0"/>
          <w:lang w:val="en-US"/>
          <w14:textFill>
            <w14:solidFill>
              <w14:srgbClr w14:val="000000"/>
            </w14:solidFill>
          </w14:textFill>
        </w:rPr>
        <w:t xml:space="preserve"> ([no date]). Available at: </w:t>
      </w:r>
      <w:r>
        <w:rPr>
          <w:rStyle w:val="Hyperlink.1"/>
          <w:rFonts w:ascii="Times Roman" w:cs="Times Roman" w:hAnsi="Times Roman" w:eastAsia="Times Roman"/>
          <w:outline w:val="0"/>
          <w:color w:val="0000ee"/>
          <w:u w:val="single"/>
          <w14:textFill>
            <w14:solidFill>
              <w14:srgbClr w14:val="0000EE"/>
            </w14:solidFill>
          </w14:textFill>
        </w:rPr>
        <w:fldChar w:fldCharType="begin" w:fldLock="0"/>
      </w:r>
      <w:r>
        <w:rPr>
          <w:rStyle w:val="Hyperlink.1"/>
          <w:rFonts w:ascii="Times Roman" w:cs="Times Roman" w:hAnsi="Times Roman" w:eastAsia="Times Roman"/>
          <w:outline w:val="0"/>
          <w:color w:val="0000ee"/>
          <w:u w:val="single"/>
          <w14:textFill>
            <w14:solidFill>
              <w14:srgbClr w14:val="0000EE"/>
            </w14:solidFill>
          </w14:textFill>
        </w:rPr>
        <w:instrText xml:space="preserve"> HYPERLINK "https://hmd.org.uk/learn-about-the-holocaust-and-genocides/what-is-genocide/the-ten-stages-of-genocide/"</w:instrText>
      </w:r>
      <w:r>
        <w:rPr>
          <w:rStyle w:val="Hyperlink.1"/>
          <w:rFonts w:ascii="Times Roman" w:cs="Times Roman" w:hAnsi="Times Roman" w:eastAsia="Times Roman"/>
          <w:outline w:val="0"/>
          <w:color w:val="0000ee"/>
          <w:u w:val="single"/>
          <w14:textFill>
            <w14:solidFill>
              <w14:srgbClr w14:val="0000EE"/>
            </w14:solidFill>
          </w14:textFill>
        </w:rPr>
        <w:fldChar w:fldCharType="separate" w:fldLock="0"/>
      </w:r>
      <w:r>
        <w:rPr>
          <w:rStyle w:val="Hyperlink.1"/>
          <w:rFonts w:ascii="Times Roman" w:hAnsi="Times Roman"/>
          <w:outline w:val="0"/>
          <w:color w:val="0000ee"/>
          <w:u w:val="single"/>
          <w:rtl w:val="0"/>
          <w:lang w:val="en-US"/>
          <w14:textFill>
            <w14:solidFill>
              <w14:srgbClr w14:val="0000EE"/>
            </w14:solidFill>
          </w14:textFill>
        </w:rPr>
        <w:t>https://hmd.org.uk/learn-about-the-holocaust-and-genocides/what-is-genocide/the-ten-stages-of-genocide/</w:t>
      </w:r>
      <w:r>
        <w:rPr>
          <w:rFonts w:ascii="Times Roman" w:cs="Times Roman" w:hAnsi="Times Roman" w:eastAsia="Times Roman"/>
          <w:outline w:val="0"/>
          <w:color w:val="0000ee"/>
          <w:u w:val="single"/>
          <w14:textFill>
            <w14:solidFill>
              <w14:srgbClr w14:val="0000EE"/>
            </w14:solidFill>
          </w14:textFill>
        </w:rPr>
        <w:fldChar w:fldCharType="end" w:fldLock="0"/>
      </w:r>
      <w:r>
        <w:rPr>
          <w:rStyle w:val="None"/>
          <w:rFonts w:ascii="Times Roman" w:hAnsi="Times Roman"/>
          <w:outline w:val="0"/>
          <w:color w:val="000000"/>
          <w:u w:val="none"/>
          <w:rtl w:val="0"/>
          <w:lang w:val="en-US"/>
          <w14:textFill>
            <w14:solidFill>
              <w14:srgbClr w14:val="000000"/>
            </w14:solidFill>
          </w14:textFill>
        </w:rPr>
        <w:t xml:space="preserve"> (Accessed: 7 February 2025).</w:t>
      </w:r>
    </w:p>
    <w:p>
      <w:pPr>
        <w:pStyle w:val="Default"/>
        <w:suppressAutoHyphens w:val="1"/>
        <w:spacing w:before="0" w:line="240" w:lineRule="auto"/>
        <w:rPr>
          <w:rFonts w:ascii="Times Roman" w:cs="Times Roman" w:hAnsi="Times Roman" w:eastAsia="Times Roman"/>
        </w:rPr>
      </w:pPr>
      <w:r>
        <w:rPr>
          <w:rStyle w:val="None"/>
          <w:rFonts w:ascii="Times Roman" w:hAnsi="Times Roman"/>
          <w:i w:val="1"/>
          <w:iCs w:val="1"/>
          <w:rtl w:val="0"/>
          <w:lang w:val="en-US"/>
        </w:rPr>
        <w:t>Holocaust Museum Houston | Human Rights Exhibits &amp; Education</w:t>
      </w:r>
      <w:r>
        <w:rPr>
          <w:rFonts w:ascii="Times Roman" w:hAnsi="Times Roman"/>
          <w:rtl w:val="0"/>
          <w:lang w:val="en-US"/>
        </w:rPr>
        <w:t xml:space="preserve"> ([no date]). Available at: </w:t>
      </w:r>
      <w:r>
        <w:rPr>
          <w:rStyle w:val="Hyperlink.0"/>
          <w:rFonts w:ascii="Times Roman" w:cs="Times Roman" w:hAnsi="Times Roman" w:eastAsia="Times Roman"/>
        </w:rPr>
        <w:fldChar w:fldCharType="begin" w:fldLock="0"/>
      </w:r>
      <w:r>
        <w:rPr>
          <w:rStyle w:val="Hyperlink.0"/>
          <w:rFonts w:ascii="Times Roman" w:cs="Times Roman" w:hAnsi="Times Roman" w:eastAsia="Times Roman"/>
        </w:rPr>
        <w:instrText xml:space="preserve"> HYPERLINK "https://hmh.org/"</w:instrText>
      </w:r>
      <w:r>
        <w:rPr>
          <w:rStyle w:val="Hyperlink.0"/>
          <w:rFonts w:ascii="Times Roman" w:cs="Times Roman" w:hAnsi="Times Roman" w:eastAsia="Times Roman"/>
        </w:rPr>
        <w:fldChar w:fldCharType="separate" w:fldLock="0"/>
      </w:r>
      <w:r>
        <w:rPr>
          <w:rStyle w:val="Hyperlink.0"/>
          <w:rFonts w:ascii="Times Roman" w:hAnsi="Times Roman"/>
          <w:rtl w:val="0"/>
          <w:lang w:val="de-DE"/>
        </w:rPr>
        <w:t>https://hmh.org/</w:t>
      </w:r>
      <w:r>
        <w:rPr>
          <w:rFonts w:ascii="Times Roman" w:cs="Times Roman" w:hAnsi="Times Roman" w:eastAsia="Times Roman"/>
        </w:rPr>
        <w:fldChar w:fldCharType="end" w:fldLock="0"/>
      </w:r>
      <w:r>
        <w:rPr>
          <w:rFonts w:ascii="Times Roman" w:hAnsi="Times Roman"/>
          <w:rtl w:val="0"/>
          <w:lang w:val="en-US"/>
        </w:rPr>
        <w:t xml:space="preserve"> (Accessed: 16 February 2025).</w:t>
      </w:r>
    </w:p>
    <w:p>
      <w:pPr>
        <w:pStyle w:val="Default"/>
        <w:suppressAutoHyphens w:val="1"/>
        <w:spacing w:before="0" w:line="240" w:lineRule="auto"/>
        <w:rPr>
          <w:rStyle w:val="None"/>
          <w:rFonts w:ascii="Times Roman" w:cs="Times Roman" w:hAnsi="Times Roman" w:eastAsia="Times Roman"/>
          <w:i w:val="0"/>
          <w:iCs w:val="0"/>
        </w:rPr>
      </w:pPr>
      <w:r>
        <w:rPr>
          <w:rFonts w:ascii="Times Roman" w:hAnsi="Times Roman"/>
          <w:i w:val="1"/>
          <w:iCs w:val="1"/>
          <w:rtl w:val="0"/>
          <w:lang w:val="en-US"/>
        </w:rPr>
        <w:t>International Criminal Tribunal for the former Yugoslavia | United Nations&lt;br /&gt; International Criminal Tribunal for the former Yugoslavia</w:t>
      </w:r>
      <w:r>
        <w:rPr>
          <w:rStyle w:val="None"/>
          <w:rFonts w:ascii="Times Roman" w:hAnsi="Times Roman"/>
          <w:i w:val="0"/>
          <w:iCs w:val="0"/>
          <w:rtl w:val="0"/>
          <w:lang w:val="en-US"/>
        </w:rPr>
        <w:t xml:space="preserve"> ([no date][a]). Available at: </w:t>
      </w:r>
      <w:r>
        <w:rPr>
          <w:rStyle w:val="Hyperlink.2"/>
          <w:rFonts w:ascii="Times Roman" w:cs="Times Roman" w:hAnsi="Times Roman" w:eastAsia="Times Roman"/>
          <w:i w:val="0"/>
          <w:iCs w:val="0"/>
          <w:outline w:val="0"/>
          <w:color w:val="0000ee"/>
          <w:u w:val="single"/>
          <w14:textFill>
            <w14:solidFill>
              <w14:srgbClr w14:val="0000EE"/>
            </w14:solidFill>
          </w14:textFill>
        </w:rPr>
        <w:fldChar w:fldCharType="begin" w:fldLock="0"/>
      </w:r>
      <w:r>
        <w:rPr>
          <w:rStyle w:val="Hyperlink.2"/>
          <w:rFonts w:ascii="Times Roman" w:cs="Times Roman" w:hAnsi="Times Roman" w:eastAsia="Times Roman"/>
          <w:i w:val="0"/>
          <w:iCs w:val="0"/>
          <w:outline w:val="0"/>
          <w:color w:val="0000ee"/>
          <w:u w:val="single"/>
          <w14:textFill>
            <w14:solidFill>
              <w14:srgbClr w14:val="0000EE"/>
            </w14:solidFill>
          </w14:textFill>
        </w:rPr>
        <w:instrText xml:space="preserve"> HYPERLINK "https://www.icty.org/"</w:instrText>
      </w:r>
      <w:r>
        <w:rPr>
          <w:rStyle w:val="Hyperlink.2"/>
          <w:rFonts w:ascii="Times Roman" w:cs="Times Roman" w:hAnsi="Times Roman" w:eastAsia="Times Roman"/>
          <w:i w:val="0"/>
          <w:iCs w:val="0"/>
          <w:outline w:val="0"/>
          <w:color w:val="0000ee"/>
          <w:u w:val="single"/>
          <w14:textFill>
            <w14:solidFill>
              <w14:srgbClr w14:val="0000EE"/>
            </w14:solidFill>
          </w14:textFill>
        </w:rPr>
        <w:fldChar w:fldCharType="separate" w:fldLock="0"/>
      </w:r>
      <w:r>
        <w:rPr>
          <w:rStyle w:val="Hyperlink.2"/>
          <w:rFonts w:ascii="Times Roman" w:hAnsi="Times Roman"/>
          <w:i w:val="0"/>
          <w:iCs w:val="0"/>
          <w:outline w:val="0"/>
          <w:color w:val="0000ee"/>
          <w:u w:val="single"/>
          <w:rtl w:val="0"/>
          <w14:textFill>
            <w14:solidFill>
              <w14:srgbClr w14:val="0000EE"/>
            </w14:solidFill>
          </w14:textFill>
        </w:rPr>
        <w:t>https://www.icty.org/</w:t>
      </w:r>
      <w:r>
        <w:rPr>
          <w:rFonts w:ascii="Times Roman" w:cs="Times Roman" w:hAnsi="Times Roman" w:eastAsia="Times Roman"/>
          <w:i w:val="1"/>
          <w:iCs w:val="1"/>
        </w:rPr>
        <w:fldChar w:fldCharType="end" w:fldLock="0"/>
      </w:r>
      <w:r>
        <w:rPr>
          <w:rStyle w:val="None"/>
          <w:rFonts w:ascii="Times Roman" w:hAnsi="Times Roman"/>
          <w:i w:val="0"/>
          <w:iCs w:val="0"/>
          <w:rtl w:val="0"/>
          <w:lang w:val="en-US"/>
        </w:rPr>
        <w:t xml:space="preserve"> (Accessed: 16 February 2025).</w:t>
      </w:r>
    </w:p>
    <w:p>
      <w:pPr>
        <w:pStyle w:val="Default"/>
        <w:suppressAutoHyphens w:val="1"/>
        <w:spacing w:before="0" w:line="240" w:lineRule="auto"/>
        <w:rPr>
          <w:rStyle w:val="None"/>
          <w:rFonts w:ascii="Times Roman" w:cs="Times Roman" w:hAnsi="Times Roman" w:eastAsia="Times Roman"/>
          <w:i w:val="0"/>
          <w:iCs w:val="0"/>
        </w:rPr>
      </w:pPr>
      <w:r>
        <w:rPr>
          <w:rFonts w:ascii="Times Roman" w:hAnsi="Times Roman"/>
          <w:i w:val="1"/>
          <w:iCs w:val="1"/>
          <w:rtl w:val="0"/>
          <w:lang w:val="en-US"/>
        </w:rPr>
        <w:t>International Criminal Tribunal for the former Yugoslavia | United Nations&lt;br /&gt; International Criminal Tribunal for the former Yugoslavia</w:t>
      </w:r>
      <w:r>
        <w:rPr>
          <w:rStyle w:val="None"/>
          <w:rFonts w:ascii="Times Roman" w:hAnsi="Times Roman"/>
          <w:i w:val="0"/>
          <w:iCs w:val="0"/>
          <w:rtl w:val="0"/>
          <w:lang w:val="en-US"/>
        </w:rPr>
        <w:t xml:space="preserve"> ([no date][b]). Available at: </w:t>
      </w:r>
      <w:r>
        <w:rPr>
          <w:rStyle w:val="Hyperlink.2"/>
          <w:rFonts w:ascii="Times Roman" w:cs="Times Roman" w:hAnsi="Times Roman" w:eastAsia="Times Roman"/>
          <w:i w:val="0"/>
          <w:iCs w:val="0"/>
          <w:outline w:val="0"/>
          <w:color w:val="0000ee"/>
          <w:u w:val="single"/>
          <w14:textFill>
            <w14:solidFill>
              <w14:srgbClr w14:val="0000EE"/>
            </w14:solidFill>
          </w14:textFill>
        </w:rPr>
        <w:fldChar w:fldCharType="begin" w:fldLock="0"/>
      </w:r>
      <w:r>
        <w:rPr>
          <w:rStyle w:val="Hyperlink.2"/>
          <w:rFonts w:ascii="Times Roman" w:cs="Times Roman" w:hAnsi="Times Roman" w:eastAsia="Times Roman"/>
          <w:i w:val="0"/>
          <w:iCs w:val="0"/>
          <w:outline w:val="0"/>
          <w:color w:val="0000ee"/>
          <w:u w:val="single"/>
          <w14:textFill>
            <w14:solidFill>
              <w14:srgbClr w14:val="0000EE"/>
            </w14:solidFill>
          </w14:textFill>
        </w:rPr>
        <w:instrText xml:space="preserve"> HYPERLINK "https://www.icty.org/"</w:instrText>
      </w:r>
      <w:r>
        <w:rPr>
          <w:rStyle w:val="Hyperlink.2"/>
          <w:rFonts w:ascii="Times Roman" w:cs="Times Roman" w:hAnsi="Times Roman" w:eastAsia="Times Roman"/>
          <w:i w:val="0"/>
          <w:iCs w:val="0"/>
          <w:outline w:val="0"/>
          <w:color w:val="0000ee"/>
          <w:u w:val="single"/>
          <w14:textFill>
            <w14:solidFill>
              <w14:srgbClr w14:val="0000EE"/>
            </w14:solidFill>
          </w14:textFill>
        </w:rPr>
        <w:fldChar w:fldCharType="separate" w:fldLock="0"/>
      </w:r>
      <w:r>
        <w:rPr>
          <w:rStyle w:val="Hyperlink.2"/>
          <w:rFonts w:ascii="Times Roman" w:hAnsi="Times Roman"/>
          <w:i w:val="0"/>
          <w:iCs w:val="0"/>
          <w:outline w:val="0"/>
          <w:color w:val="0000ee"/>
          <w:u w:val="single"/>
          <w:rtl w:val="0"/>
          <w14:textFill>
            <w14:solidFill>
              <w14:srgbClr w14:val="0000EE"/>
            </w14:solidFill>
          </w14:textFill>
        </w:rPr>
        <w:t>https://www.icty.org/</w:t>
      </w:r>
      <w:r>
        <w:rPr>
          <w:rFonts w:ascii="Times Roman" w:cs="Times Roman" w:hAnsi="Times Roman" w:eastAsia="Times Roman"/>
          <w:i w:val="1"/>
          <w:iCs w:val="1"/>
        </w:rPr>
        <w:fldChar w:fldCharType="end" w:fldLock="0"/>
      </w:r>
      <w:r>
        <w:rPr>
          <w:rStyle w:val="None"/>
          <w:rFonts w:ascii="Times Roman" w:hAnsi="Times Roman"/>
          <w:i w:val="0"/>
          <w:iCs w:val="0"/>
          <w:rtl w:val="0"/>
          <w:lang w:val="en-US"/>
        </w:rPr>
        <w:t xml:space="preserve"> (Accessed: 7 February 2025).</w:t>
      </w:r>
    </w:p>
    <w:p>
      <w:pPr>
        <w:pStyle w:val="Default"/>
        <w:suppressAutoHyphens w:val="1"/>
        <w:spacing w:before="0" w:line="240" w:lineRule="auto"/>
        <w:rPr>
          <w:rStyle w:val="None"/>
          <w:rFonts w:ascii="Times Roman" w:cs="Times Roman" w:hAnsi="Times Roman" w:eastAsia="Times Roman"/>
          <w:i w:val="0"/>
          <w:iCs w:val="0"/>
        </w:rPr>
      </w:pPr>
      <w:r>
        <w:rPr>
          <w:rFonts w:ascii="Times Roman" w:hAnsi="Times Roman"/>
          <w:i w:val="1"/>
          <w:iCs w:val="1"/>
          <w:rtl w:val="0"/>
          <w:lang w:val="en-US"/>
        </w:rPr>
        <w:t>International Criminal Tribunal for the former Yugoslavia | United Nations&lt;br /&gt; International Criminal Tribunal for the former Yugoslavia</w:t>
      </w:r>
      <w:r>
        <w:rPr>
          <w:rStyle w:val="None"/>
          <w:rFonts w:ascii="Times Roman" w:hAnsi="Times Roman"/>
          <w:i w:val="0"/>
          <w:iCs w:val="0"/>
          <w:rtl w:val="0"/>
          <w:lang w:val="en-US"/>
        </w:rPr>
        <w:t xml:space="preserve"> ([no date][c]). Available at: </w:t>
      </w:r>
      <w:r>
        <w:rPr>
          <w:rStyle w:val="Hyperlink.2"/>
          <w:rFonts w:ascii="Times Roman" w:cs="Times Roman" w:hAnsi="Times Roman" w:eastAsia="Times Roman"/>
          <w:i w:val="0"/>
          <w:iCs w:val="0"/>
          <w:outline w:val="0"/>
          <w:color w:val="0000ee"/>
          <w:u w:val="single"/>
          <w14:textFill>
            <w14:solidFill>
              <w14:srgbClr w14:val="0000EE"/>
            </w14:solidFill>
          </w14:textFill>
        </w:rPr>
        <w:fldChar w:fldCharType="begin" w:fldLock="0"/>
      </w:r>
      <w:r>
        <w:rPr>
          <w:rStyle w:val="Hyperlink.2"/>
          <w:rFonts w:ascii="Times Roman" w:cs="Times Roman" w:hAnsi="Times Roman" w:eastAsia="Times Roman"/>
          <w:i w:val="0"/>
          <w:iCs w:val="0"/>
          <w:outline w:val="0"/>
          <w:color w:val="0000ee"/>
          <w:u w:val="single"/>
          <w14:textFill>
            <w14:solidFill>
              <w14:srgbClr w14:val="0000EE"/>
            </w14:solidFill>
          </w14:textFill>
        </w:rPr>
        <w:instrText xml:space="preserve"> HYPERLINK "https://www.icty.org/"</w:instrText>
      </w:r>
      <w:r>
        <w:rPr>
          <w:rStyle w:val="Hyperlink.2"/>
          <w:rFonts w:ascii="Times Roman" w:cs="Times Roman" w:hAnsi="Times Roman" w:eastAsia="Times Roman"/>
          <w:i w:val="0"/>
          <w:iCs w:val="0"/>
          <w:outline w:val="0"/>
          <w:color w:val="0000ee"/>
          <w:u w:val="single"/>
          <w14:textFill>
            <w14:solidFill>
              <w14:srgbClr w14:val="0000EE"/>
            </w14:solidFill>
          </w14:textFill>
        </w:rPr>
        <w:fldChar w:fldCharType="separate" w:fldLock="0"/>
      </w:r>
      <w:r>
        <w:rPr>
          <w:rStyle w:val="Hyperlink.2"/>
          <w:rFonts w:ascii="Times Roman" w:hAnsi="Times Roman"/>
          <w:i w:val="0"/>
          <w:iCs w:val="0"/>
          <w:outline w:val="0"/>
          <w:color w:val="0000ee"/>
          <w:u w:val="single"/>
          <w:rtl w:val="0"/>
          <w14:textFill>
            <w14:solidFill>
              <w14:srgbClr w14:val="0000EE"/>
            </w14:solidFill>
          </w14:textFill>
        </w:rPr>
        <w:t>https://www.icty.org/</w:t>
      </w:r>
      <w:r>
        <w:rPr>
          <w:rFonts w:ascii="Times Roman" w:cs="Times Roman" w:hAnsi="Times Roman" w:eastAsia="Times Roman"/>
          <w:i w:val="1"/>
          <w:iCs w:val="1"/>
        </w:rPr>
        <w:fldChar w:fldCharType="end" w:fldLock="0"/>
      </w:r>
      <w:r>
        <w:rPr>
          <w:rStyle w:val="None"/>
          <w:rFonts w:ascii="Times Roman" w:hAnsi="Times Roman"/>
          <w:i w:val="0"/>
          <w:iCs w:val="0"/>
          <w:rtl w:val="0"/>
          <w:lang w:val="en-US"/>
        </w:rPr>
        <w:t xml:space="preserve"> (Accessed: 4 February 2025).</w:t>
      </w:r>
    </w:p>
    <w:p>
      <w:pPr>
        <w:pStyle w:val="Default"/>
        <w:suppressAutoHyphens w:val="1"/>
        <w:spacing w:before="0" w:line="240" w:lineRule="auto"/>
        <w:rPr>
          <w:rStyle w:val="None"/>
          <w:rFonts w:ascii="Times Roman" w:cs="Times Roman" w:hAnsi="Times Roman" w:eastAsia="Times Roman"/>
          <w:outline w:val="0"/>
          <w:color w:val="000000"/>
          <w:u w:val="none"/>
          <w14:textFill>
            <w14:solidFill>
              <w14:srgbClr w14:val="000000"/>
            </w14:solidFill>
          </w14:textFill>
        </w:rPr>
      </w:pPr>
      <w:r>
        <w:rPr>
          <w:rStyle w:val="None"/>
          <w:rFonts w:ascii="Times Roman" w:hAnsi="Times Roman"/>
          <w:outline w:val="0"/>
          <w:color w:val="000000"/>
          <w:u w:val="none"/>
          <w:rtl w:val="0"/>
          <w14:textFill>
            <w14:solidFill>
              <w14:srgbClr w14:val="000000"/>
            </w14:solidFill>
          </w14:textFill>
        </w:rPr>
        <w:t xml:space="preserve">Jazeera, A. (2020) </w:t>
      </w:r>
      <w:r>
        <w:rPr>
          <w:rStyle w:val="None"/>
          <w:rFonts w:ascii="Times Roman" w:hAnsi="Times Roman"/>
          <w:i w:val="1"/>
          <w:iCs w:val="1"/>
          <w:outline w:val="0"/>
          <w:color w:val="000000"/>
          <w:u w:val="none"/>
          <w:rtl w:val="0"/>
          <w:lang w:val="en-US"/>
          <w14:textFill>
            <w14:solidFill>
              <w14:srgbClr w14:val="000000"/>
            </w14:solidFill>
          </w14:textFill>
        </w:rPr>
        <w:t>What are the 10 stages of genocide?</w:t>
      </w:r>
      <w:r>
        <w:rPr>
          <w:rStyle w:val="None"/>
          <w:rFonts w:ascii="Times Roman" w:hAnsi="Times Roman"/>
          <w:outline w:val="0"/>
          <w:color w:val="000000"/>
          <w:u w:val="none"/>
          <w:rtl w:val="0"/>
          <w:lang w:val="en-US"/>
          <w14:textFill>
            <w14:solidFill>
              <w14:srgbClr w14:val="000000"/>
            </w14:solidFill>
          </w14:textFill>
        </w:rPr>
        <w:t xml:space="preserve"> Available at: </w:t>
      </w:r>
      <w:r>
        <w:rPr>
          <w:rStyle w:val="Hyperlink.1"/>
          <w:rFonts w:ascii="Times Roman" w:cs="Times Roman" w:hAnsi="Times Roman" w:eastAsia="Times Roman"/>
          <w:outline w:val="0"/>
          <w:color w:val="0000ee"/>
          <w:u w:val="single"/>
          <w14:textFill>
            <w14:solidFill>
              <w14:srgbClr w14:val="0000EE"/>
            </w14:solidFill>
          </w14:textFill>
        </w:rPr>
        <w:fldChar w:fldCharType="begin" w:fldLock="0"/>
      </w:r>
      <w:r>
        <w:rPr>
          <w:rStyle w:val="Hyperlink.1"/>
          <w:rFonts w:ascii="Times Roman" w:cs="Times Roman" w:hAnsi="Times Roman" w:eastAsia="Times Roman"/>
          <w:outline w:val="0"/>
          <w:color w:val="0000ee"/>
          <w:u w:val="single"/>
          <w14:textFill>
            <w14:solidFill>
              <w14:srgbClr w14:val="0000EE"/>
            </w14:solidFill>
          </w14:textFill>
        </w:rPr>
        <w:instrText xml:space="preserve"> HYPERLINK "https://www.genocidewatch.com/single-post/2020/07/10/what-are-the-10-stages-of-genocide"</w:instrText>
      </w:r>
      <w:r>
        <w:rPr>
          <w:rStyle w:val="Hyperlink.1"/>
          <w:rFonts w:ascii="Times Roman" w:cs="Times Roman" w:hAnsi="Times Roman" w:eastAsia="Times Roman"/>
          <w:outline w:val="0"/>
          <w:color w:val="0000ee"/>
          <w:u w:val="single"/>
          <w14:textFill>
            <w14:solidFill>
              <w14:srgbClr w14:val="0000EE"/>
            </w14:solidFill>
          </w14:textFill>
        </w:rPr>
        <w:fldChar w:fldCharType="separate" w:fldLock="0"/>
      </w:r>
      <w:r>
        <w:rPr>
          <w:rStyle w:val="Hyperlink.1"/>
          <w:rFonts w:ascii="Times Roman" w:hAnsi="Times Roman"/>
          <w:outline w:val="0"/>
          <w:color w:val="0000ee"/>
          <w:u w:val="single"/>
          <w:rtl w:val="0"/>
          <w:lang w:val="en-US"/>
          <w14:textFill>
            <w14:solidFill>
              <w14:srgbClr w14:val="0000EE"/>
            </w14:solidFill>
          </w14:textFill>
        </w:rPr>
        <w:t>https://www.genocidewatch.com/single-post/2020/07/10/what-are-the-10-stages-of-genocide</w:t>
      </w:r>
      <w:r>
        <w:rPr>
          <w:rFonts w:ascii="Times Roman" w:cs="Times Roman" w:hAnsi="Times Roman" w:eastAsia="Times Roman"/>
          <w:outline w:val="0"/>
          <w:color w:val="0000ee"/>
          <w:u w:val="single"/>
          <w14:textFill>
            <w14:solidFill>
              <w14:srgbClr w14:val="0000EE"/>
            </w14:solidFill>
          </w14:textFill>
        </w:rPr>
        <w:fldChar w:fldCharType="end" w:fldLock="0"/>
      </w:r>
      <w:r>
        <w:rPr>
          <w:rStyle w:val="None"/>
          <w:rFonts w:ascii="Times Roman" w:hAnsi="Times Roman"/>
          <w:outline w:val="0"/>
          <w:color w:val="000000"/>
          <w:u w:val="none"/>
          <w:rtl w:val="0"/>
          <w:lang w:val="en-US"/>
          <w14:textFill>
            <w14:solidFill>
              <w14:srgbClr w14:val="000000"/>
            </w14:solidFill>
          </w14:textFill>
        </w:rPr>
        <w:t xml:space="preserve"> (Accessed: 7 February 2025).</w:t>
      </w:r>
    </w:p>
    <w:p>
      <w:pPr>
        <w:pStyle w:val="Default"/>
        <w:suppressAutoHyphens w:val="1"/>
        <w:spacing w:before="0" w:line="240" w:lineRule="auto"/>
        <w:rPr>
          <w:rFonts w:ascii="Times Roman" w:cs="Times Roman" w:hAnsi="Times Roman" w:eastAsia="Times Roman"/>
        </w:rPr>
      </w:pPr>
      <w:r>
        <w:rPr>
          <w:rFonts w:ascii="Times Roman" w:hAnsi="Times Roman"/>
          <w:rtl w:val="0"/>
        </w:rPr>
        <w:t xml:space="preserve">Miller, P.B. (2006) </w:t>
      </w:r>
      <w:r>
        <w:rPr>
          <w:rFonts w:ascii="Times Roman" w:hAnsi="Times Roman" w:hint="default"/>
          <w:rtl w:val="1"/>
        </w:rPr>
        <w:t>‘</w:t>
      </w:r>
      <w:r>
        <w:rPr>
          <w:rFonts w:ascii="Times Roman" w:hAnsi="Times Roman"/>
          <w:rtl w:val="0"/>
          <w:lang w:val="en-US"/>
        </w:rPr>
        <w:t>Contested memories: the Bosnian genocide in Serb and Muslim minds</w:t>
      </w:r>
      <w:r>
        <w:rPr>
          <w:rFonts w:ascii="Times Roman" w:hAnsi="Times Roman" w:hint="default"/>
          <w:rtl w:val="1"/>
        </w:rPr>
        <w:t>’</w:t>
      </w:r>
      <w:r>
        <w:rPr>
          <w:rFonts w:ascii="Times Roman" w:hAnsi="Times Roman"/>
          <w:rtl w:val="0"/>
        </w:rPr>
        <w:t xml:space="preserve">. </w:t>
      </w:r>
      <w:r>
        <w:rPr>
          <w:rStyle w:val="None"/>
          <w:rFonts w:ascii="Times Roman" w:hAnsi="Times Roman"/>
          <w:i w:val="1"/>
          <w:iCs w:val="1"/>
          <w:rtl w:val="0"/>
          <w:lang w:val="en-US"/>
        </w:rPr>
        <w:t>Journal of Genocide Research</w:t>
      </w:r>
      <w:r>
        <w:rPr>
          <w:rFonts w:ascii="Times Roman" w:hAnsi="Times Roman"/>
          <w:rtl w:val="0"/>
        </w:rPr>
        <w:t xml:space="preserve"> 8(3), pp. 311</w:t>
      </w:r>
      <w:r>
        <w:rPr>
          <w:rFonts w:ascii="Times Roman" w:hAnsi="Times Roman" w:hint="default"/>
          <w:rtl w:val="0"/>
        </w:rPr>
        <w:t>–</w:t>
      </w:r>
      <w:r>
        <w:rPr>
          <w:rFonts w:ascii="Times Roman" w:hAnsi="Times Roman"/>
          <w:rtl w:val="0"/>
          <w:lang w:val="en-US"/>
        </w:rPr>
        <w:t>324. Available at: doi:</w:t>
      </w:r>
      <w:r>
        <w:rPr>
          <w:rStyle w:val="Hyperlink.0"/>
          <w:rFonts w:ascii="Times Roman" w:cs="Times Roman" w:hAnsi="Times Roman" w:eastAsia="Times Roman"/>
        </w:rPr>
        <w:fldChar w:fldCharType="begin" w:fldLock="0"/>
      </w:r>
      <w:r>
        <w:rPr>
          <w:rStyle w:val="Hyperlink.0"/>
          <w:rFonts w:ascii="Times Roman" w:cs="Times Roman" w:hAnsi="Times Roman" w:eastAsia="Times Roman"/>
        </w:rPr>
        <w:instrText xml:space="preserve"> HYPERLINK "https://doi.org/10.1080/14623520600950054"</w:instrText>
      </w:r>
      <w:r>
        <w:rPr>
          <w:rStyle w:val="Hyperlink.0"/>
          <w:rFonts w:ascii="Times Roman" w:cs="Times Roman" w:hAnsi="Times Roman" w:eastAsia="Times Roman"/>
        </w:rPr>
        <w:fldChar w:fldCharType="separate" w:fldLock="0"/>
      </w:r>
      <w:r>
        <w:rPr>
          <w:rStyle w:val="Hyperlink.0"/>
          <w:rFonts w:ascii="Times Roman" w:hAnsi="Times Roman"/>
          <w:rtl w:val="0"/>
        </w:rPr>
        <w:t>10.1080/14623520600950054</w:t>
      </w:r>
      <w:r>
        <w:rPr>
          <w:rFonts w:ascii="Times Roman" w:cs="Times Roman" w:hAnsi="Times Roman" w:eastAsia="Times Roman"/>
        </w:rPr>
        <w:fldChar w:fldCharType="end" w:fldLock="0"/>
      </w:r>
      <w:r>
        <w:rPr>
          <w:rFonts w:ascii="Times Roman" w:hAnsi="Times Roman"/>
          <w:rtl w:val="0"/>
        </w:rPr>
        <w:t>.</w:t>
      </w:r>
    </w:p>
    <w:p>
      <w:pPr>
        <w:pStyle w:val="Default"/>
        <w:suppressAutoHyphens w:val="1"/>
        <w:spacing w:before="0" w:line="240" w:lineRule="auto"/>
        <w:rPr>
          <w:rFonts w:ascii="Times Roman" w:cs="Times Roman" w:hAnsi="Times Roman" w:eastAsia="Times Roman"/>
        </w:rPr>
      </w:pPr>
      <w:r>
        <w:rPr>
          <w:rFonts w:ascii="Times Roman" w:hAnsi="Times Roman"/>
          <w:rtl w:val="0"/>
        </w:rPr>
        <w:t xml:space="preserve">Miller, R.A. (2009) </w:t>
      </w:r>
      <w:r>
        <w:rPr>
          <w:rFonts w:ascii="Times Roman" w:hAnsi="Times Roman" w:hint="default"/>
          <w:rtl w:val="1"/>
        </w:rPr>
        <w:t>‘</w:t>
      </w:r>
      <w:r>
        <w:rPr>
          <w:rFonts w:ascii="Times Roman" w:hAnsi="Times Roman"/>
          <w:rtl w:val="0"/>
          <w:lang w:val="en-US"/>
        </w:rPr>
        <w:t>Genocidal rights</w:t>
      </w:r>
      <w:r>
        <w:rPr>
          <w:rFonts w:ascii="Times Roman" w:hAnsi="Times Roman" w:hint="default"/>
          <w:rtl w:val="1"/>
        </w:rPr>
        <w:t>’</w:t>
      </w:r>
      <w:r>
        <w:rPr>
          <w:rFonts w:ascii="Times Roman" w:hAnsi="Times Roman"/>
          <w:rtl w:val="0"/>
          <w:lang w:val="en-US"/>
        </w:rPr>
        <w:t xml:space="preserve">. in </w:t>
      </w:r>
      <w:r>
        <w:rPr>
          <w:rStyle w:val="None"/>
          <w:rFonts w:ascii="Times Roman" w:hAnsi="Times Roman"/>
          <w:i w:val="1"/>
          <w:iCs w:val="1"/>
          <w:rtl w:val="0"/>
          <w:lang w:val="en-US"/>
        </w:rPr>
        <w:t>Special Issue Revisiting Rights</w:t>
      </w:r>
      <w:r>
        <w:rPr>
          <w:rFonts w:ascii="Times Roman" w:hAnsi="Times Roman"/>
          <w:rtl w:val="0"/>
          <w:lang w:val="en-US"/>
        </w:rPr>
        <w:t>. Emerald Group Publishing Limited, pp. 147</w:t>
      </w:r>
      <w:r>
        <w:rPr>
          <w:rFonts w:ascii="Times Roman" w:hAnsi="Times Roman" w:hint="default"/>
          <w:rtl w:val="0"/>
        </w:rPr>
        <w:t>–</w:t>
      </w:r>
      <w:r>
        <w:rPr>
          <w:rFonts w:ascii="Times Roman" w:hAnsi="Times Roman"/>
          <w:rtl w:val="0"/>
          <w:lang w:val="en-US"/>
        </w:rPr>
        <w:t>175. Available at: doi:</w:t>
      </w:r>
      <w:r>
        <w:rPr>
          <w:rStyle w:val="Hyperlink.0"/>
          <w:rFonts w:ascii="Times Roman" w:cs="Times Roman" w:hAnsi="Times Roman" w:eastAsia="Times Roman"/>
        </w:rPr>
        <w:fldChar w:fldCharType="begin" w:fldLock="0"/>
      </w:r>
      <w:r>
        <w:rPr>
          <w:rStyle w:val="Hyperlink.0"/>
          <w:rFonts w:ascii="Times Roman" w:cs="Times Roman" w:hAnsi="Times Roman" w:eastAsia="Times Roman"/>
        </w:rPr>
        <w:instrText xml:space="preserve"> HYPERLINK "https://doi.org/10.1108/S1059-4337(2009)0000048009"</w:instrText>
      </w:r>
      <w:r>
        <w:rPr>
          <w:rStyle w:val="Hyperlink.0"/>
          <w:rFonts w:ascii="Times Roman" w:cs="Times Roman" w:hAnsi="Times Roman" w:eastAsia="Times Roman"/>
        </w:rPr>
        <w:fldChar w:fldCharType="separate" w:fldLock="0"/>
      </w:r>
      <w:r>
        <w:rPr>
          <w:rStyle w:val="Hyperlink.0"/>
          <w:rFonts w:ascii="Times Roman" w:hAnsi="Times Roman"/>
          <w:rtl w:val="0"/>
        </w:rPr>
        <w:t>10.1108/S1059-4337(2009)0000048009</w:t>
      </w:r>
      <w:r>
        <w:rPr>
          <w:rFonts w:ascii="Times Roman" w:cs="Times Roman" w:hAnsi="Times Roman" w:eastAsia="Times Roman"/>
        </w:rPr>
        <w:fldChar w:fldCharType="end" w:fldLock="0"/>
      </w:r>
      <w:r>
        <w:rPr>
          <w:rFonts w:ascii="Times Roman" w:hAnsi="Times Roman"/>
          <w:rtl w:val="0"/>
          <w:lang w:val="en-US"/>
        </w:rPr>
        <w:t xml:space="preserve"> (Accessed: 16 February 2025).</w:t>
      </w:r>
    </w:p>
    <w:p>
      <w:pPr>
        <w:pStyle w:val="Default"/>
        <w:suppressAutoHyphens w:val="1"/>
        <w:spacing w:before="0" w:line="240" w:lineRule="auto"/>
        <w:rPr>
          <w:rFonts w:ascii="Times Roman" w:cs="Times Roman" w:hAnsi="Times Roman" w:eastAsia="Times Roman"/>
        </w:rPr>
      </w:pPr>
      <w:r>
        <w:rPr>
          <w:rFonts w:ascii="Times Roman" w:hAnsi="Times Roman"/>
          <w:rtl w:val="0"/>
          <w:lang w:val="en-US"/>
        </w:rPr>
        <w:t xml:space="preserve">Nations, U. ([no date]) </w:t>
      </w:r>
      <w:r>
        <w:rPr>
          <w:rStyle w:val="None"/>
          <w:rFonts w:ascii="Times Roman" w:hAnsi="Times Roman"/>
          <w:i w:val="1"/>
          <w:iCs w:val="1"/>
          <w:rtl w:val="0"/>
          <w:lang w:val="en-US"/>
        </w:rPr>
        <w:t>Definitions of Genocide and Related Crimes</w:t>
      </w:r>
      <w:r>
        <w:rPr>
          <w:rFonts w:ascii="Times Roman" w:hAnsi="Times Roman"/>
          <w:rtl w:val="0"/>
          <w:lang w:val="en-US"/>
        </w:rPr>
        <w:t xml:space="preserve">. Available at: </w:t>
      </w:r>
      <w:r>
        <w:rPr>
          <w:rStyle w:val="Hyperlink.0"/>
          <w:rFonts w:ascii="Times Roman" w:cs="Times Roman" w:hAnsi="Times Roman" w:eastAsia="Times Roman"/>
        </w:rPr>
        <w:fldChar w:fldCharType="begin" w:fldLock="0"/>
      </w:r>
      <w:r>
        <w:rPr>
          <w:rStyle w:val="Hyperlink.0"/>
          <w:rFonts w:ascii="Times Roman" w:cs="Times Roman" w:hAnsi="Times Roman" w:eastAsia="Times Roman"/>
        </w:rPr>
        <w:instrText xml:space="preserve"> HYPERLINK "https://www.un.org/en/genocide-prevention/definition"</w:instrText>
      </w:r>
      <w:r>
        <w:rPr>
          <w:rStyle w:val="Hyperlink.0"/>
          <w:rFonts w:ascii="Times Roman" w:cs="Times Roman" w:hAnsi="Times Roman" w:eastAsia="Times Roman"/>
        </w:rPr>
        <w:fldChar w:fldCharType="separate" w:fldLock="0"/>
      </w:r>
      <w:r>
        <w:rPr>
          <w:rStyle w:val="Hyperlink.0"/>
          <w:rFonts w:ascii="Times Roman" w:hAnsi="Times Roman"/>
          <w:rtl w:val="0"/>
          <w:lang w:val="en-US"/>
        </w:rPr>
        <w:t>https://www.un.org/en/genocide-prevention/definition</w:t>
      </w:r>
      <w:r>
        <w:rPr>
          <w:rFonts w:ascii="Times Roman" w:cs="Times Roman" w:hAnsi="Times Roman" w:eastAsia="Times Roman"/>
        </w:rPr>
        <w:fldChar w:fldCharType="end" w:fldLock="0"/>
      </w:r>
      <w:r>
        <w:rPr>
          <w:rFonts w:ascii="Times Roman" w:hAnsi="Times Roman"/>
          <w:rtl w:val="0"/>
          <w:lang w:val="en-US"/>
        </w:rPr>
        <w:t xml:space="preserve"> (Accessed: 7 February 2025).</w:t>
      </w:r>
    </w:p>
    <w:p>
      <w:pPr>
        <w:pStyle w:val="Default"/>
        <w:suppressAutoHyphens w:val="1"/>
        <w:spacing w:before="0" w:line="240" w:lineRule="auto"/>
        <w:rPr>
          <w:rFonts w:ascii="Times Roman" w:cs="Times Roman" w:hAnsi="Times Roman" w:eastAsia="Times Roman"/>
        </w:rPr>
      </w:pPr>
      <w:r>
        <w:rPr>
          <w:rStyle w:val="None"/>
          <w:rFonts w:ascii="Times Roman" w:hAnsi="Times Roman"/>
          <w:i w:val="1"/>
          <w:iCs w:val="1"/>
          <w:rtl w:val="0"/>
          <w:lang w:val="en-US"/>
        </w:rPr>
        <w:t>Raphael Lemkin and the Genocide Convention | Facing History &amp; Ourselves</w:t>
      </w:r>
      <w:r>
        <w:rPr>
          <w:rFonts w:ascii="Times Roman" w:hAnsi="Times Roman"/>
          <w:rtl w:val="0"/>
          <w:lang w:val="en-US"/>
        </w:rPr>
        <w:t xml:space="preserve"> (2016). Available at: </w:t>
      </w:r>
      <w:r>
        <w:rPr>
          <w:rStyle w:val="Hyperlink.0"/>
          <w:rFonts w:ascii="Times Roman" w:cs="Times Roman" w:hAnsi="Times Roman" w:eastAsia="Times Roman"/>
        </w:rPr>
        <w:fldChar w:fldCharType="begin" w:fldLock="0"/>
      </w:r>
      <w:r>
        <w:rPr>
          <w:rStyle w:val="Hyperlink.0"/>
          <w:rFonts w:ascii="Times Roman" w:cs="Times Roman" w:hAnsi="Times Roman" w:eastAsia="Times Roman"/>
        </w:rPr>
        <w:instrText xml:space="preserve"> HYPERLINK "https://www.facinghistory.org/resource-library/raphael-lemkin-genocide-convention"</w:instrText>
      </w:r>
      <w:r>
        <w:rPr>
          <w:rStyle w:val="Hyperlink.0"/>
          <w:rFonts w:ascii="Times Roman" w:cs="Times Roman" w:hAnsi="Times Roman" w:eastAsia="Times Roman"/>
        </w:rPr>
        <w:fldChar w:fldCharType="separate" w:fldLock="0"/>
      </w:r>
      <w:r>
        <w:rPr>
          <w:rStyle w:val="Hyperlink.0"/>
          <w:rFonts w:ascii="Times Roman" w:hAnsi="Times Roman"/>
          <w:rtl w:val="0"/>
          <w:lang w:val="en-US"/>
        </w:rPr>
        <w:t>https://www.facinghistory.org/resource-library/raphael-lemkin-genocide-convention</w:t>
      </w:r>
      <w:r>
        <w:rPr>
          <w:rFonts w:ascii="Times Roman" w:cs="Times Roman" w:hAnsi="Times Roman" w:eastAsia="Times Roman"/>
        </w:rPr>
        <w:fldChar w:fldCharType="end" w:fldLock="0"/>
      </w:r>
      <w:r>
        <w:rPr>
          <w:rFonts w:ascii="Times Roman" w:hAnsi="Times Roman"/>
          <w:rtl w:val="0"/>
          <w:lang w:val="en-US"/>
        </w:rPr>
        <w:t xml:space="preserve"> (Accessed: 4 February 2025).</w:t>
      </w:r>
    </w:p>
    <w:p>
      <w:pPr>
        <w:pStyle w:val="Default"/>
        <w:suppressAutoHyphens w:val="1"/>
        <w:spacing w:before="0" w:line="240" w:lineRule="auto"/>
        <w:rPr>
          <w:rStyle w:val="None"/>
          <w:rFonts w:ascii="Times Roman" w:cs="Times Roman" w:hAnsi="Times Roman" w:eastAsia="Times Roman"/>
          <w:i w:val="0"/>
          <w:iCs w:val="0"/>
        </w:rPr>
      </w:pPr>
      <w:r>
        <w:rPr>
          <w:rStyle w:val="None"/>
          <w:rFonts w:ascii="Times Roman" w:hAnsi="Times Roman"/>
          <w:i w:val="0"/>
          <w:iCs w:val="0"/>
          <w:rtl w:val="0"/>
          <w:lang w:val="nl-NL"/>
        </w:rPr>
        <w:t xml:space="preserve">Schabas, W. (2012) </w:t>
      </w:r>
      <w:r>
        <w:rPr>
          <w:rFonts w:ascii="Times Roman" w:hAnsi="Times Roman"/>
          <w:i w:val="1"/>
          <w:iCs w:val="1"/>
          <w:rtl w:val="0"/>
          <w:lang w:val="en-US"/>
        </w:rPr>
        <w:t>Unimaginable Atrocities: Justice, Politics, and Rights at the War Crimes Tribunals</w:t>
      </w:r>
      <w:r>
        <w:rPr>
          <w:rStyle w:val="None"/>
          <w:rFonts w:ascii="Times Roman" w:hAnsi="Times Roman"/>
          <w:i w:val="0"/>
          <w:iCs w:val="0"/>
          <w:rtl w:val="0"/>
          <w:lang w:val="en-US"/>
        </w:rPr>
        <w:t>. Oxford, New York: Oxford University Press.</w:t>
      </w:r>
    </w:p>
    <w:p>
      <w:pPr>
        <w:pStyle w:val="Default"/>
        <w:suppressAutoHyphens w:val="1"/>
        <w:spacing w:before="0" w:line="240" w:lineRule="auto"/>
        <w:rPr>
          <w:rFonts w:ascii="Times Roman" w:cs="Times Roman" w:hAnsi="Times Roman" w:eastAsia="Times Roman"/>
        </w:rPr>
      </w:pPr>
      <w:r>
        <w:rPr>
          <w:rStyle w:val="None"/>
          <w:rFonts w:ascii="Times Roman" w:hAnsi="Times Roman"/>
          <w:i w:val="1"/>
          <w:iCs w:val="1"/>
          <w:rtl w:val="0"/>
          <w:lang w:val="nl-NL"/>
        </w:rPr>
        <w:t>Srebrenica: Timeline of Genocide</w:t>
      </w:r>
      <w:r>
        <w:rPr>
          <w:rFonts w:ascii="Times Roman" w:hAnsi="Times Roman"/>
          <w:rtl w:val="0"/>
          <w:lang w:val="en-US"/>
        </w:rPr>
        <w:t xml:space="preserve"> ([no date]). Available at: </w:t>
      </w:r>
      <w:r>
        <w:rPr>
          <w:rStyle w:val="Hyperlink.0"/>
          <w:rFonts w:ascii="Times Roman" w:cs="Times Roman" w:hAnsi="Times Roman" w:eastAsia="Times Roman"/>
        </w:rPr>
        <w:fldChar w:fldCharType="begin" w:fldLock="0"/>
      </w:r>
      <w:r>
        <w:rPr>
          <w:rStyle w:val="Hyperlink.0"/>
          <w:rFonts w:ascii="Times Roman" w:cs="Times Roman" w:hAnsi="Times Roman" w:eastAsia="Times Roman"/>
        </w:rPr>
        <w:instrText xml:space="preserve"> HYPERLINK "https://www.irmct.org/specials/srebrenica/timeline/en"</w:instrText>
      </w:r>
      <w:r>
        <w:rPr>
          <w:rStyle w:val="Hyperlink.0"/>
          <w:rFonts w:ascii="Times Roman" w:cs="Times Roman" w:hAnsi="Times Roman" w:eastAsia="Times Roman"/>
        </w:rPr>
        <w:fldChar w:fldCharType="separate" w:fldLock="0"/>
      </w:r>
      <w:r>
        <w:rPr>
          <w:rStyle w:val="Hyperlink.0"/>
          <w:rFonts w:ascii="Times Roman" w:hAnsi="Times Roman"/>
          <w:rtl w:val="0"/>
          <w:lang w:val="en-US"/>
        </w:rPr>
        <w:t>https://www.irmct.org/specials/srebrenica/timeline/en</w:t>
      </w:r>
      <w:r>
        <w:rPr>
          <w:rFonts w:ascii="Times Roman" w:cs="Times Roman" w:hAnsi="Times Roman" w:eastAsia="Times Roman"/>
        </w:rPr>
        <w:fldChar w:fldCharType="end" w:fldLock="0"/>
      </w:r>
      <w:r>
        <w:rPr>
          <w:rFonts w:ascii="Times Roman" w:hAnsi="Times Roman"/>
          <w:rtl w:val="0"/>
          <w:lang w:val="en-US"/>
        </w:rPr>
        <w:t xml:space="preserve"> (Accessed: 7 February 2025).</w:t>
      </w:r>
    </w:p>
    <w:p>
      <w:pPr>
        <w:pStyle w:val="Default"/>
        <w:suppressAutoHyphens w:val="1"/>
        <w:spacing w:before="0" w:line="240" w:lineRule="auto"/>
        <w:rPr>
          <w:rFonts w:ascii="Times Roman" w:cs="Times Roman" w:hAnsi="Times Roman" w:eastAsia="Times Roman"/>
        </w:rPr>
      </w:pPr>
      <w:r>
        <w:rPr>
          <w:rFonts w:ascii="Times Roman" w:hAnsi="Times Roman" w:hint="default"/>
          <w:rtl w:val="1"/>
        </w:rPr>
        <w:t>‘</w:t>
      </w:r>
      <w:r>
        <w:rPr>
          <w:rFonts w:ascii="Times Roman" w:hAnsi="Times Roman"/>
          <w:rtl w:val="0"/>
          <w:lang w:val="en-US"/>
        </w:rPr>
        <w:t>The Bosnian Genocide</w:t>
      </w:r>
      <w:r>
        <w:rPr>
          <w:rFonts w:ascii="Times Roman" w:hAnsi="Times Roman" w:hint="default"/>
          <w:rtl w:val="1"/>
        </w:rPr>
        <w:t>’</w:t>
      </w:r>
      <w:r>
        <w:rPr>
          <w:rFonts w:ascii="Times Roman" w:hAnsi="Times Roman"/>
          <w:rtl w:val="0"/>
          <w:lang w:val="pt-PT"/>
        </w:rPr>
        <w:t xml:space="preserve">. ([no date]) </w:t>
      </w:r>
      <w:r>
        <w:rPr>
          <w:rStyle w:val="None"/>
          <w:rFonts w:ascii="Times Roman" w:hAnsi="Times Roman"/>
          <w:i w:val="1"/>
          <w:iCs w:val="1"/>
          <w:rtl w:val="0"/>
        </w:rPr>
        <w:t>Mus</w:t>
      </w:r>
      <w:r>
        <w:rPr>
          <w:rStyle w:val="None"/>
          <w:rFonts w:ascii="Times Roman" w:hAnsi="Times Roman" w:hint="default"/>
          <w:i w:val="1"/>
          <w:iCs w:val="1"/>
          <w:rtl w:val="0"/>
          <w:lang w:val="fr-FR"/>
        </w:rPr>
        <w:t>é</w:t>
      </w:r>
      <w:r>
        <w:rPr>
          <w:rStyle w:val="None"/>
          <w:rFonts w:ascii="Times Roman" w:hAnsi="Times Roman"/>
          <w:i w:val="1"/>
          <w:iCs w:val="1"/>
          <w:rtl w:val="0"/>
          <w:lang w:val="fr-FR"/>
        </w:rPr>
        <w:t>e de l</w:t>
      </w:r>
      <w:r>
        <w:rPr>
          <w:rStyle w:val="None"/>
          <w:rFonts w:ascii="Times Roman" w:hAnsi="Times Roman" w:hint="default"/>
          <w:i w:val="1"/>
          <w:iCs w:val="1"/>
          <w:rtl w:val="1"/>
        </w:rPr>
        <w:t>’</w:t>
      </w:r>
      <w:r>
        <w:rPr>
          <w:rStyle w:val="None"/>
          <w:rFonts w:ascii="Times Roman" w:hAnsi="Times Roman"/>
          <w:i w:val="1"/>
          <w:iCs w:val="1"/>
          <w:rtl w:val="0"/>
          <w:lang w:val="pt-PT"/>
        </w:rPr>
        <w:t>Holocauste Montr</w:t>
      </w:r>
      <w:r>
        <w:rPr>
          <w:rStyle w:val="None"/>
          <w:rFonts w:ascii="Times Roman" w:hAnsi="Times Roman" w:hint="default"/>
          <w:i w:val="1"/>
          <w:iCs w:val="1"/>
          <w:rtl w:val="0"/>
          <w:lang w:val="fr-FR"/>
        </w:rPr>
        <w:t>é</w:t>
      </w:r>
      <w:r>
        <w:rPr>
          <w:rStyle w:val="None"/>
          <w:rFonts w:ascii="Times Roman" w:hAnsi="Times Roman"/>
          <w:i w:val="1"/>
          <w:iCs w:val="1"/>
          <w:rtl w:val="0"/>
        </w:rPr>
        <w:t>al</w:t>
      </w:r>
      <w:r>
        <w:rPr>
          <w:rFonts w:ascii="Times Roman" w:hAnsi="Times Roman"/>
          <w:rtl w:val="0"/>
          <w:lang w:val="en-US"/>
        </w:rPr>
        <w:t xml:space="preserve"> . Available at: </w:t>
      </w:r>
      <w:r>
        <w:rPr>
          <w:rStyle w:val="Hyperlink.0"/>
          <w:rFonts w:ascii="Times Roman" w:cs="Times Roman" w:hAnsi="Times Roman" w:eastAsia="Times Roman"/>
        </w:rPr>
        <w:fldChar w:fldCharType="begin" w:fldLock="0"/>
      </w:r>
      <w:r>
        <w:rPr>
          <w:rStyle w:val="Hyperlink.0"/>
          <w:rFonts w:ascii="Times Roman" w:cs="Times Roman" w:hAnsi="Times Roman" w:eastAsia="Times Roman"/>
        </w:rPr>
        <w:instrText xml:space="preserve"> HYPERLINK "https://museeholocauste.ca/en/resources-training/the-bosnian-genocide/"</w:instrText>
      </w:r>
      <w:r>
        <w:rPr>
          <w:rStyle w:val="Hyperlink.0"/>
          <w:rFonts w:ascii="Times Roman" w:cs="Times Roman" w:hAnsi="Times Roman" w:eastAsia="Times Roman"/>
        </w:rPr>
        <w:fldChar w:fldCharType="separate" w:fldLock="0"/>
      </w:r>
      <w:r>
        <w:rPr>
          <w:rStyle w:val="Hyperlink.0"/>
          <w:rFonts w:ascii="Times Roman" w:hAnsi="Times Roman"/>
          <w:rtl w:val="0"/>
          <w:lang w:val="en-US"/>
        </w:rPr>
        <w:t>https://museeholocauste.ca/en/resources-training/the-bosnian-genocide/</w:t>
      </w:r>
      <w:r>
        <w:rPr>
          <w:rFonts w:ascii="Times Roman" w:cs="Times Roman" w:hAnsi="Times Roman" w:eastAsia="Times Roman"/>
        </w:rPr>
        <w:fldChar w:fldCharType="end" w:fldLock="0"/>
      </w:r>
      <w:r>
        <w:rPr>
          <w:rFonts w:ascii="Times Roman" w:hAnsi="Times Roman"/>
          <w:rtl w:val="0"/>
          <w:lang w:val="en-US"/>
        </w:rPr>
        <w:t xml:space="preserve"> (Accessed: 7 February 2025).</w:t>
      </w:r>
    </w:p>
    <w:p>
      <w:pPr>
        <w:pStyle w:val="Default"/>
        <w:suppressAutoHyphens w:val="1"/>
        <w:spacing w:before="0" w:line="240" w:lineRule="auto"/>
        <w:rPr>
          <w:rFonts w:ascii="Times Roman" w:cs="Times Roman" w:hAnsi="Times Roman" w:eastAsia="Times Roman"/>
        </w:rPr>
      </w:pPr>
      <w:r>
        <w:rPr>
          <w:rStyle w:val="None"/>
          <w:rFonts w:ascii="Times Roman" w:hAnsi="Times Roman"/>
          <w:i w:val="1"/>
          <w:iCs w:val="1"/>
          <w:rtl w:val="0"/>
          <w:lang w:val="en-US"/>
        </w:rPr>
        <w:t>This Time We Knew: Western Responses to Genocide in Bosnia</w:t>
      </w:r>
      <w:r>
        <w:rPr>
          <w:rFonts w:ascii="Times Roman" w:hAnsi="Times Roman"/>
          <w:rtl w:val="0"/>
          <w:lang w:val="en-US"/>
        </w:rPr>
        <w:t xml:space="preserve"> (1996) NYU Press. Available at: </w:t>
      </w:r>
      <w:r>
        <w:rPr>
          <w:rStyle w:val="Hyperlink.0"/>
          <w:rFonts w:ascii="Times Roman" w:cs="Times Roman" w:hAnsi="Times Roman" w:eastAsia="Times Roman"/>
        </w:rPr>
        <w:fldChar w:fldCharType="begin" w:fldLock="0"/>
      </w:r>
      <w:r>
        <w:rPr>
          <w:rStyle w:val="Hyperlink.0"/>
          <w:rFonts w:ascii="Times Roman" w:cs="Times Roman" w:hAnsi="Times Roman" w:eastAsia="Times Roman"/>
        </w:rPr>
        <w:instrText xml:space="preserve"> HYPERLINK "https://www.jstor.org/stable/j.ctt9qfngn"</w:instrText>
      </w:r>
      <w:r>
        <w:rPr>
          <w:rStyle w:val="Hyperlink.0"/>
          <w:rFonts w:ascii="Times Roman" w:cs="Times Roman" w:hAnsi="Times Roman" w:eastAsia="Times Roman"/>
        </w:rPr>
        <w:fldChar w:fldCharType="separate" w:fldLock="0"/>
      </w:r>
      <w:r>
        <w:rPr>
          <w:rStyle w:val="Hyperlink.0"/>
          <w:rFonts w:ascii="Times Roman" w:hAnsi="Times Roman"/>
          <w:rtl w:val="0"/>
        </w:rPr>
        <w:t>https://www.jstor.org/stable/j.ctt9qfngn</w:t>
      </w:r>
      <w:r>
        <w:rPr>
          <w:rFonts w:ascii="Times Roman" w:cs="Times Roman" w:hAnsi="Times Roman" w:eastAsia="Times Roman"/>
        </w:rPr>
        <w:fldChar w:fldCharType="end" w:fldLock="0"/>
      </w:r>
      <w:r>
        <w:rPr>
          <w:rFonts w:ascii="Times Roman" w:hAnsi="Times Roman"/>
          <w:rtl w:val="0"/>
          <w:lang w:val="en-US"/>
        </w:rPr>
        <w:t xml:space="preserve"> (Accessed: 16 February 2025).</w:t>
      </w:r>
    </w:p>
    <w:p>
      <w:pPr>
        <w:pStyle w:val="Default"/>
        <w:suppressAutoHyphens w:val="1"/>
        <w:spacing w:before="0" w:line="240" w:lineRule="auto"/>
        <w:rPr>
          <w:rFonts w:ascii="Times Roman" w:cs="Times Roman" w:hAnsi="Times Roman" w:eastAsia="Times Roman"/>
        </w:rPr>
      </w:pPr>
      <w:r>
        <w:rPr>
          <w:rStyle w:val="None"/>
          <w:rFonts w:ascii="Times Roman" w:hAnsi="Times Roman"/>
          <w:i w:val="1"/>
          <w:iCs w:val="1"/>
          <w:rtl w:val="0"/>
          <w:lang w:val="en-US"/>
        </w:rPr>
        <w:t>United Nations Peacekeeping</w:t>
      </w:r>
      <w:r>
        <w:rPr>
          <w:rFonts w:ascii="Times Roman" w:hAnsi="Times Roman"/>
          <w:rtl w:val="0"/>
          <w:lang w:val="en-US"/>
        </w:rPr>
        <w:t xml:space="preserve"> ([no date]). Available at: </w:t>
      </w:r>
      <w:r>
        <w:rPr>
          <w:rStyle w:val="Hyperlink.0"/>
          <w:rFonts w:ascii="Times Roman" w:cs="Times Roman" w:hAnsi="Times Roman" w:eastAsia="Times Roman"/>
        </w:rPr>
        <w:fldChar w:fldCharType="begin" w:fldLock="0"/>
      </w:r>
      <w:r>
        <w:rPr>
          <w:rStyle w:val="Hyperlink.0"/>
          <w:rFonts w:ascii="Times Roman" w:cs="Times Roman" w:hAnsi="Times Roman" w:eastAsia="Times Roman"/>
        </w:rPr>
        <w:instrText xml:space="preserve"> HYPERLINK "https://peacekeeping.un.org/en/node"</w:instrText>
      </w:r>
      <w:r>
        <w:rPr>
          <w:rStyle w:val="Hyperlink.0"/>
          <w:rFonts w:ascii="Times Roman" w:cs="Times Roman" w:hAnsi="Times Roman" w:eastAsia="Times Roman"/>
        </w:rPr>
        <w:fldChar w:fldCharType="separate" w:fldLock="0"/>
      </w:r>
      <w:r>
        <w:rPr>
          <w:rStyle w:val="Hyperlink.0"/>
          <w:rFonts w:ascii="Times Roman" w:hAnsi="Times Roman"/>
          <w:rtl w:val="0"/>
          <w:lang w:val="en-US"/>
        </w:rPr>
        <w:t>https://peacekeeping.un.org/en/node</w:t>
      </w:r>
      <w:r>
        <w:rPr>
          <w:rFonts w:ascii="Times Roman" w:cs="Times Roman" w:hAnsi="Times Roman" w:eastAsia="Times Roman"/>
        </w:rPr>
        <w:fldChar w:fldCharType="end" w:fldLock="0"/>
      </w:r>
      <w:r>
        <w:rPr>
          <w:rFonts w:ascii="Times Roman" w:hAnsi="Times Roman"/>
          <w:rtl w:val="0"/>
          <w:lang w:val="en-US"/>
        </w:rPr>
        <w:t xml:space="preserve"> (Accessed: 4 February 2025).</w:t>
      </w:r>
    </w:p>
    <w:p>
      <w:pPr>
        <w:pStyle w:val="Default"/>
        <w:suppressAutoHyphens w:val="1"/>
        <w:spacing w:before="0" w:line="240" w:lineRule="auto"/>
        <w:rPr>
          <w:rFonts w:ascii="Times Roman" w:cs="Times Roman" w:hAnsi="Times Roman" w:eastAsia="Times Roman"/>
        </w:rPr>
      </w:pPr>
      <w:r>
        <w:rPr>
          <w:rFonts w:ascii="Times Roman" w:hAnsi="Times Roman"/>
          <w:rtl w:val="0"/>
          <w:lang w:val="de-DE"/>
        </w:rPr>
        <w:t xml:space="preserve">Weitsman, P.A. (2008) </w:t>
      </w:r>
      <w:r>
        <w:rPr>
          <w:rFonts w:ascii="Times Roman" w:hAnsi="Times Roman" w:hint="default"/>
          <w:rtl w:val="1"/>
        </w:rPr>
        <w:t>‘</w:t>
      </w:r>
      <w:r>
        <w:rPr>
          <w:rFonts w:ascii="Times Roman" w:hAnsi="Times Roman"/>
          <w:rtl w:val="0"/>
          <w:lang w:val="en-US"/>
        </w:rPr>
        <w:t>The Politics of Identity and Sexual Violence: A Review of Bosnia and Rwanda</w:t>
      </w:r>
      <w:r>
        <w:rPr>
          <w:rFonts w:ascii="Times Roman" w:hAnsi="Times Roman" w:hint="default"/>
          <w:rtl w:val="1"/>
        </w:rPr>
        <w:t>’</w:t>
      </w:r>
      <w:r>
        <w:rPr>
          <w:rFonts w:ascii="Times Roman" w:hAnsi="Times Roman"/>
          <w:rtl w:val="0"/>
        </w:rPr>
        <w:t xml:space="preserve">. </w:t>
      </w:r>
      <w:r>
        <w:rPr>
          <w:rStyle w:val="None"/>
          <w:rFonts w:ascii="Times Roman" w:hAnsi="Times Roman"/>
          <w:i w:val="1"/>
          <w:iCs w:val="1"/>
          <w:rtl w:val="0"/>
          <w:lang w:val="en-US"/>
        </w:rPr>
        <w:t>Human Rights Quarterly</w:t>
      </w:r>
      <w:r>
        <w:rPr>
          <w:rFonts w:ascii="Times Roman" w:hAnsi="Times Roman"/>
          <w:rtl w:val="0"/>
        </w:rPr>
        <w:t xml:space="preserve"> 30(3), pp. 561</w:t>
      </w:r>
      <w:r>
        <w:rPr>
          <w:rFonts w:ascii="Times Roman" w:hAnsi="Times Roman" w:hint="default"/>
          <w:rtl w:val="0"/>
        </w:rPr>
        <w:t>–</w:t>
      </w:r>
      <w:r>
        <w:rPr>
          <w:rFonts w:ascii="Times Roman" w:hAnsi="Times Roman"/>
          <w:rtl w:val="0"/>
        </w:rPr>
        <w:t>578.</w:t>
      </w:r>
    </w:p>
    <w:p>
      <w:pPr>
        <w:pStyle w:val="Default"/>
        <w:suppressAutoHyphens w:val="1"/>
        <w:spacing w:before="0" w:line="240" w:lineRule="auto"/>
      </w:pPr>
      <w:r>
        <w:rPr>
          <w:rFonts w:ascii="Times Roman" w:hAnsi="Times Roman"/>
          <w:rtl w:val="0"/>
          <w:lang w:val="de-DE"/>
        </w:rPr>
        <w:t xml:space="preserve">Weitz, E.D. (2003) </w:t>
      </w:r>
      <w:r>
        <w:rPr>
          <w:rStyle w:val="None"/>
          <w:rFonts w:ascii="Times Roman" w:hAnsi="Times Roman"/>
          <w:i w:val="1"/>
          <w:iCs w:val="1"/>
          <w:rtl w:val="0"/>
          <w:lang w:val="en-US"/>
        </w:rPr>
        <w:t>A Century of Genocide: Utopias of Race and Nation</w:t>
      </w:r>
      <w:r>
        <w:rPr>
          <w:rFonts w:ascii="Times Roman" w:hAnsi="Times Roman"/>
          <w:rtl w:val="0"/>
          <w:lang w:val="en-US"/>
        </w:rPr>
        <w:t xml:space="preserve">. Princeton University Press. Available at: </w:t>
      </w:r>
      <w:r>
        <w:rPr>
          <w:rStyle w:val="Hyperlink.0"/>
          <w:rFonts w:ascii="Times Roman" w:cs="Times Roman" w:hAnsi="Times Roman" w:eastAsia="Times Roman"/>
        </w:rPr>
        <w:fldChar w:fldCharType="begin" w:fldLock="0"/>
      </w:r>
      <w:r>
        <w:rPr>
          <w:rStyle w:val="Hyperlink.0"/>
          <w:rFonts w:ascii="Times Roman" w:cs="Times Roman" w:hAnsi="Times Roman" w:eastAsia="Times Roman"/>
        </w:rPr>
        <w:instrText xml:space="preserve"> HYPERLINK "https://www.jstor.org/stable/j.ctt7t208"</w:instrText>
      </w:r>
      <w:r>
        <w:rPr>
          <w:rStyle w:val="Hyperlink.0"/>
          <w:rFonts w:ascii="Times Roman" w:cs="Times Roman" w:hAnsi="Times Roman" w:eastAsia="Times Roman"/>
        </w:rPr>
        <w:fldChar w:fldCharType="separate" w:fldLock="0"/>
      </w:r>
      <w:r>
        <w:rPr>
          <w:rStyle w:val="Hyperlink.0"/>
          <w:rFonts w:ascii="Times Roman" w:hAnsi="Times Roman"/>
          <w:rtl w:val="0"/>
        </w:rPr>
        <w:t>https://www.jstor.org/stable/j.ctt7t208</w:t>
      </w:r>
      <w:r>
        <w:rPr>
          <w:rFonts w:ascii="Times Roman" w:cs="Times Roman" w:hAnsi="Times Roman" w:eastAsia="Times Roman"/>
        </w:rPr>
        <w:fldChar w:fldCharType="end" w:fldLock="0"/>
      </w:r>
      <w:r>
        <w:rPr>
          <w:rFonts w:ascii="Times Roman" w:hAnsi="Times Roman"/>
          <w:rtl w:val="0"/>
          <w:lang w:val="en-US"/>
        </w:rPr>
        <w:t xml:space="preserve"> (Accessed: 4 February 2025).</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0000ee"/>
      <w:u w:val="single"/>
      <w14:textFill>
        <w14:solidFill>
          <w14:srgbClr w14:val="0000EE"/>
        </w14:solidFill>
      </w14:textFill>
    </w:rPr>
  </w:style>
  <w:style w:type="character" w:styleId="Hyperlink.1">
    <w:name w:val="Hyperlink.1"/>
    <w:basedOn w:val="Hyperlink"/>
    <w:next w:val="Hyperlink.1"/>
    <w:rPr>
      <w:u w:val="single"/>
    </w:rPr>
  </w:style>
  <w:style w:type="character" w:styleId="Hyperlink.2">
    <w:name w:val="Hyperlink.2"/>
    <w:basedOn w:val="None"/>
    <w:next w:val="Hyperlink.2"/>
    <w:rPr>
      <w:i w:val="0"/>
      <w:iCs w:val="0"/>
      <w:outline w:val="0"/>
      <w:color w:val="0000ee"/>
      <w:u w:val="single"/>
      <w14:textFill>
        <w14:solidFill>
          <w14:srgbClr w14:val="0000EE"/>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