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68CAA39D" w14:textId="77777777" w:rsidTr="00E76332">
        <w:tc>
          <w:tcPr>
            <w:tcW w:w="11052" w:type="dxa"/>
          </w:tcPr>
          <w:p w14:paraId="02F8EE88" w14:textId="3BC0C6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6332">
              <w:rPr>
                <w:rFonts w:ascii="Times New Roman" w:hAnsi="Times New Roman" w:cs="Times New Roman"/>
                <w:b/>
                <w:color w:val="auto"/>
                <w:sz w:val="48"/>
              </w:rPr>
              <w:t xml:space="preserve">Zoe Chespy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727CF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6332">
              <w:rPr>
                <w:rFonts w:ascii="Times New Roman" w:hAnsi="Times New Roman" w:cs="Times New Roman"/>
                <w:b/>
                <w:color w:val="auto"/>
                <w:sz w:val="48"/>
              </w:rPr>
              <w:t xml:space="preserve"> zoe.chespy@swansea.gov.uk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904944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76332">
              <w:rPr>
                <w:rFonts w:ascii="Times New Roman" w:hAnsi="Times New Roman" w:cs="Times New Roman"/>
                <w:b/>
                <w:color w:val="auto"/>
                <w:sz w:val="48"/>
              </w:rPr>
              <w:t xml:space="preserve"> </w:t>
            </w:r>
            <w:r w:rsidR="00E76332" w:rsidRPr="00E76332">
              <w:rPr>
                <w:rFonts w:ascii="Times New Roman" w:hAnsi="Times New Roman" w:cs="Times New Roman"/>
                <w:b/>
                <w:color w:val="auto"/>
                <w:sz w:val="48"/>
              </w:rPr>
              <w:t>2332654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463688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B25925">
              <w:rPr>
                <w:rFonts w:ascii="Times New Roman" w:hAnsi="Times New Roman" w:cs="Times New Roman"/>
                <w:b/>
                <w:color w:val="auto"/>
                <w:sz w:val="48"/>
              </w:rPr>
              <w:t xml:space="preserve">1 onwards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64ADFD66" w:rsidR="007F312E" w:rsidRPr="00B25925" w:rsidRDefault="00E83F91" w:rsidP="00B25925">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65D7352" w14:textId="2614071D" w:rsidR="00353EC9" w:rsidRPr="00353EC9" w:rsidRDefault="00BB7FD2" w:rsidP="00353EC9">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D4AF5" w14:textId="52832C95" w:rsidR="00F701F8" w:rsidRPr="00F701F8" w:rsidRDefault="00F701F8" w:rsidP="00F701F8">
            <w:pPr>
              <w:jc w:val="both"/>
              <w:rPr>
                <w:sz w:val="24"/>
                <w:szCs w:val="24"/>
              </w:rPr>
            </w:pPr>
          </w:p>
          <w:p w14:paraId="4454B791" w14:textId="77777777" w:rsidR="00E85F50" w:rsidRPr="00E85F50" w:rsidRDefault="00E85F50" w:rsidP="00E85F50">
            <w:pPr>
              <w:jc w:val="both"/>
              <w:rPr>
                <w:sz w:val="24"/>
                <w:szCs w:val="24"/>
              </w:rPr>
            </w:pPr>
            <w:r w:rsidRPr="00E85F50">
              <w:rPr>
                <w:sz w:val="24"/>
                <w:szCs w:val="24"/>
              </w:rPr>
              <w:t>Safeguarding adults in Wales is governed by a robust framework of legislation, policies, and procedures designed to protect individuals from harm, abuse, and neglect. These safeguarding policies aim to ensure consistency across statutory services, voluntary organisations, and private sector services. They provide practitioners with clear and consistent guidance on key areas, including reporting safeguarding concerns, developing care and support plans, ensuring accountability, and fostering effective multidisciplinary collaboration.</w:t>
            </w:r>
          </w:p>
          <w:p w14:paraId="01131B0F" w14:textId="77777777" w:rsidR="00E85F50" w:rsidRPr="00E85F50" w:rsidRDefault="00E85F50" w:rsidP="00E85F50">
            <w:pPr>
              <w:jc w:val="both"/>
              <w:rPr>
                <w:sz w:val="24"/>
                <w:szCs w:val="24"/>
              </w:rPr>
            </w:pPr>
          </w:p>
          <w:p w14:paraId="5501B8B5" w14:textId="3611372F" w:rsidR="00E85F50" w:rsidRPr="00E85F50" w:rsidRDefault="00E85F50" w:rsidP="00E85F50">
            <w:pPr>
              <w:jc w:val="both"/>
              <w:rPr>
                <w:sz w:val="24"/>
                <w:szCs w:val="24"/>
              </w:rPr>
            </w:pPr>
            <w:r w:rsidRPr="00E85F50">
              <w:rPr>
                <w:sz w:val="24"/>
                <w:szCs w:val="24"/>
              </w:rPr>
              <w:t xml:space="preserve">The Social Services and Well-being (Wales) Act 2014 (SSWBWA 2014) is the cornerstone of adult safeguarding legislation in Wales. This Act provides a comprehensive framework for protecting individuals who may require care and support. It emphasises the importance of ensuring that care and support are sufficient, adequate, and tailored to meet the specific needs and safety requirements of individuals. Practitioners are required to remain vigilant, responsive, and proactive in identifying and addressing risks to individuals at risk of harm or abuse (Social Care </w:t>
            </w:r>
            <w:r w:rsidR="008F5213" w:rsidRPr="00E85F50">
              <w:rPr>
                <w:sz w:val="24"/>
                <w:szCs w:val="24"/>
              </w:rPr>
              <w:t>Wales,</w:t>
            </w:r>
            <w:r w:rsidRPr="00E85F50">
              <w:rPr>
                <w:sz w:val="24"/>
                <w:szCs w:val="24"/>
              </w:rPr>
              <w:t xml:space="preserve"> 2014). Part 7 of the SSWBWA 2014 specifically focuses on strengthening safeguarding. This is imposed by the operation of safeguarding panels whom roles are to define </w:t>
            </w:r>
            <w:r w:rsidR="008F5213" w:rsidRPr="00E85F50">
              <w:rPr>
                <w:sz w:val="24"/>
                <w:szCs w:val="24"/>
              </w:rPr>
              <w:t>an</w:t>
            </w:r>
            <w:r w:rsidRPr="00E85F50">
              <w:rPr>
                <w:sz w:val="24"/>
                <w:szCs w:val="24"/>
              </w:rPr>
              <w:t xml:space="preserve"> adult at </w:t>
            </w:r>
            <w:r w:rsidR="008F5213" w:rsidRPr="00E85F50">
              <w:rPr>
                <w:sz w:val="24"/>
                <w:szCs w:val="24"/>
              </w:rPr>
              <w:t>risk, a</w:t>
            </w:r>
            <w:r w:rsidRPr="00E85F50">
              <w:rPr>
                <w:sz w:val="24"/>
                <w:szCs w:val="24"/>
              </w:rPr>
              <w:t xml:space="preserve"> duty to report and enquire, communicate good practice, promote improvement with the objective of to protect and prevent (Social Services and Wellbeing (Wales) Act Part </w:t>
            </w:r>
            <w:r w:rsidR="002444B2" w:rsidRPr="00E85F50">
              <w:rPr>
                <w:sz w:val="24"/>
                <w:szCs w:val="24"/>
              </w:rPr>
              <w:t>7,</w:t>
            </w:r>
            <w:r w:rsidRPr="00E85F50">
              <w:rPr>
                <w:sz w:val="24"/>
                <w:szCs w:val="24"/>
              </w:rPr>
              <w:t xml:space="preserve"> 2014).  </w:t>
            </w:r>
          </w:p>
          <w:p w14:paraId="3E17E2AE" w14:textId="77777777" w:rsidR="00E85F50" w:rsidRPr="00E85F50" w:rsidRDefault="00E85F50" w:rsidP="00E85F50">
            <w:pPr>
              <w:jc w:val="both"/>
              <w:rPr>
                <w:sz w:val="24"/>
                <w:szCs w:val="24"/>
              </w:rPr>
            </w:pPr>
          </w:p>
          <w:p w14:paraId="355FF3DF" w14:textId="3174CEE0" w:rsidR="00E85F50" w:rsidRPr="00E85F50" w:rsidRDefault="00E85F50" w:rsidP="00E85F50">
            <w:pPr>
              <w:jc w:val="both"/>
              <w:rPr>
                <w:sz w:val="24"/>
                <w:szCs w:val="24"/>
              </w:rPr>
            </w:pPr>
            <w:r w:rsidRPr="00E85F50">
              <w:rPr>
                <w:sz w:val="24"/>
                <w:szCs w:val="24"/>
              </w:rPr>
              <w:t xml:space="preserve">The Care Act 2014 part 1 is a critical piece of legislation that complements the Social Services and Well-being Act 2014. It is underpinned by six key principles: prevention, empowerment, proportionality, protection, partnership, and accountability. These principles are designed to uphold the autonomy of adults at risk, ensuring they have the right to make their own decisions while receiving person-centred care and support that is best suited to their needs. The Act also stresses the importance of professionals acting assertively and promptly to recognise and address risks in the best interests of vulnerable adults (Care </w:t>
            </w:r>
            <w:r w:rsidR="008E526B" w:rsidRPr="00E85F50">
              <w:rPr>
                <w:sz w:val="24"/>
                <w:szCs w:val="24"/>
              </w:rPr>
              <w:t>Act,</w:t>
            </w:r>
            <w:r w:rsidRPr="00E85F50">
              <w:rPr>
                <w:sz w:val="24"/>
                <w:szCs w:val="24"/>
              </w:rPr>
              <w:t xml:space="preserve"> 2014).</w:t>
            </w:r>
          </w:p>
          <w:p w14:paraId="3D1B7081" w14:textId="77777777" w:rsidR="00E85F50" w:rsidRPr="00E85F50" w:rsidRDefault="00E85F50" w:rsidP="00E85F50">
            <w:pPr>
              <w:jc w:val="both"/>
              <w:rPr>
                <w:sz w:val="24"/>
                <w:szCs w:val="24"/>
              </w:rPr>
            </w:pPr>
          </w:p>
          <w:p w14:paraId="60B7CB12" w14:textId="77777777" w:rsidR="00E85F50" w:rsidRPr="00E85F50" w:rsidRDefault="00E85F50" w:rsidP="00E85F50">
            <w:pPr>
              <w:jc w:val="both"/>
              <w:rPr>
                <w:sz w:val="24"/>
                <w:szCs w:val="24"/>
              </w:rPr>
            </w:pPr>
            <w:r w:rsidRPr="00E85F50">
              <w:rPr>
                <w:sz w:val="24"/>
                <w:szCs w:val="24"/>
              </w:rPr>
              <w:t xml:space="preserve">The Mental Capacity Act 2005 is another essential piece of legislation that plays a significant role in safeguarding adults at risk. Professionals have a duty to assess the capacity of individuals at risk to make decisions. This includes determining whether an individual has the </w:t>
            </w:r>
            <w:r w:rsidRPr="00E85F50">
              <w:rPr>
                <w:sz w:val="24"/>
                <w:szCs w:val="24"/>
              </w:rPr>
              <w:lastRenderedPageBreak/>
              <w:t xml:space="preserve">capacity to decide, even if it is considered unwise, or whether they lack the capacity to make decisions altogether. The Act ensures that decisions made on behalf of individuals who lack capacity are done in their best interests, while respecting their rights and dignity (Mental Capacity </w:t>
            </w:r>
            <w:proofErr w:type="gramStart"/>
            <w:r w:rsidRPr="00E85F50">
              <w:rPr>
                <w:sz w:val="24"/>
                <w:szCs w:val="24"/>
              </w:rPr>
              <w:t>Act ,</w:t>
            </w:r>
            <w:proofErr w:type="gramEnd"/>
            <w:r w:rsidRPr="00E85F50">
              <w:rPr>
                <w:sz w:val="24"/>
                <w:szCs w:val="24"/>
              </w:rPr>
              <w:t xml:space="preserve"> 2005).</w:t>
            </w:r>
          </w:p>
          <w:p w14:paraId="05F652F3" w14:textId="77777777" w:rsidR="00E85F50" w:rsidRPr="00E85F50" w:rsidRDefault="00E85F50" w:rsidP="00E85F50">
            <w:pPr>
              <w:jc w:val="both"/>
              <w:rPr>
                <w:sz w:val="24"/>
                <w:szCs w:val="24"/>
              </w:rPr>
            </w:pPr>
          </w:p>
          <w:p w14:paraId="55D8ECD9" w14:textId="17A8C273" w:rsidR="00E85F50" w:rsidRPr="00E85F50" w:rsidRDefault="00E85F50" w:rsidP="00E85F50">
            <w:pPr>
              <w:jc w:val="both"/>
              <w:rPr>
                <w:sz w:val="24"/>
                <w:szCs w:val="24"/>
              </w:rPr>
            </w:pPr>
            <w:r w:rsidRPr="00E85F50">
              <w:rPr>
                <w:sz w:val="24"/>
                <w:szCs w:val="24"/>
              </w:rPr>
              <w:t>The "Working Together to Safeguard People" guidance elaborates on the Welsh Government's expectations regarding safeguarding practices. This guidance applies not only to professional bodies but also to individuals and organisations conducting activities, events, or services outside of formal professional contexts. It provides rigid advice and guidance to ensure the utmost protection of individuals they work with (Working together to safeguard people, 2022</w:t>
            </w:r>
            <w:r w:rsidR="002444B2" w:rsidRPr="00E85F50">
              <w:rPr>
                <w:sz w:val="24"/>
                <w:szCs w:val="24"/>
              </w:rPr>
              <w:t>).</w:t>
            </w:r>
            <w:r w:rsidRPr="00E85F50">
              <w:rPr>
                <w:sz w:val="24"/>
                <w:szCs w:val="24"/>
              </w:rPr>
              <w:t xml:space="preserve"> </w:t>
            </w:r>
          </w:p>
          <w:p w14:paraId="7E031FFD" w14:textId="77777777" w:rsidR="00E85F50" w:rsidRPr="00E85F50" w:rsidRDefault="00E85F50" w:rsidP="00E85F50">
            <w:pPr>
              <w:jc w:val="both"/>
              <w:rPr>
                <w:sz w:val="24"/>
                <w:szCs w:val="24"/>
              </w:rPr>
            </w:pPr>
          </w:p>
          <w:p w14:paraId="65D15B63" w14:textId="58EF20F9" w:rsidR="00F701F8" w:rsidRPr="00F701F8" w:rsidRDefault="00E85F50" w:rsidP="00E85F50">
            <w:pPr>
              <w:jc w:val="both"/>
              <w:rPr>
                <w:sz w:val="24"/>
                <w:szCs w:val="24"/>
              </w:rPr>
            </w:pPr>
            <w:r w:rsidRPr="00E85F50">
              <w:rPr>
                <w:sz w:val="24"/>
                <w:szCs w:val="24"/>
              </w:rPr>
              <w:t>Furthermore, a key aspect of safeguarding adults is the emphasis on working within a multidisciplinary context. Effective safeguarding requires collaboration across various sectors, including the police, the National Health Service (NHS), education, social services, and the voluntary sector. This collaborative approach ensures that all relevant parties work together to provide comprehensive protection for adults at risk (Working together to safeguard people, 2022).</w:t>
            </w:r>
          </w:p>
          <w:p w14:paraId="60D8C669" w14:textId="77777777" w:rsidR="00FC0334" w:rsidRDefault="00FC0334" w:rsidP="00FF7EBB">
            <w:pPr>
              <w:jc w:val="both"/>
              <w:rPr>
                <w:sz w:val="24"/>
                <w:szCs w:val="24"/>
              </w:rPr>
            </w:pPr>
          </w:p>
          <w:p w14:paraId="4FF8EBF3" w14:textId="1E1556B5" w:rsidR="005A545C" w:rsidRDefault="00E85F50" w:rsidP="00FF7EBB">
            <w:pPr>
              <w:jc w:val="both"/>
              <w:rPr>
                <w:sz w:val="24"/>
                <w:szCs w:val="24"/>
              </w:rPr>
            </w:pPr>
            <w:r>
              <w:rPr>
                <w:sz w:val="24"/>
                <w:szCs w:val="24"/>
              </w:rPr>
              <w:t>Total Wordcount 527</w:t>
            </w:r>
          </w:p>
          <w:p w14:paraId="686758DD" w14:textId="77777777" w:rsidR="00B25925" w:rsidRDefault="00B25925" w:rsidP="00FF7EBB">
            <w:pPr>
              <w:jc w:val="both"/>
              <w:rPr>
                <w:sz w:val="24"/>
                <w:szCs w:val="24"/>
              </w:rPr>
            </w:pPr>
          </w:p>
          <w:p w14:paraId="6222240D" w14:textId="77777777" w:rsidR="00B25925" w:rsidRDefault="00B25925" w:rsidP="00B25925">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B07B542" w14:textId="77777777" w:rsidR="00277A91" w:rsidRDefault="00277A91" w:rsidP="00277A91">
            <w:pPr>
              <w:jc w:val="both"/>
              <w:rPr>
                <w:sz w:val="24"/>
                <w:szCs w:val="24"/>
              </w:rPr>
            </w:pPr>
            <w:r w:rsidRPr="00277A91">
              <w:rPr>
                <w:sz w:val="24"/>
                <w:szCs w:val="24"/>
              </w:rPr>
              <w:t>Adult safeguarding in Wales focuses on protecting adults at risk of abuse or neglect. This includes implementing measures to prevent harm, ensuring individuals have the right to live safely, and enabling professionals to respond effectively when concerns are prevalent. The Safeguarding Wales framework is underpinned by the Social Services and Well-being (Wales) Act 2014 (SSWBWA 2014), which provides the legal foundation for safeguarding practices and outlines the responsibilities of organisations involved.</w:t>
            </w:r>
          </w:p>
          <w:p w14:paraId="7A618E7C" w14:textId="77777777" w:rsidR="00277A91" w:rsidRPr="00277A91" w:rsidRDefault="00277A91" w:rsidP="00277A91">
            <w:pPr>
              <w:jc w:val="both"/>
              <w:rPr>
                <w:sz w:val="24"/>
                <w:szCs w:val="24"/>
              </w:rPr>
            </w:pPr>
          </w:p>
          <w:p w14:paraId="4010327A" w14:textId="34E515E5" w:rsidR="0042757B" w:rsidRPr="0042757B" w:rsidRDefault="0042757B" w:rsidP="0042757B">
            <w:pPr>
              <w:jc w:val="both"/>
              <w:rPr>
                <w:sz w:val="24"/>
                <w:szCs w:val="24"/>
              </w:rPr>
            </w:pPr>
            <w:r w:rsidRPr="0042757B">
              <w:rPr>
                <w:sz w:val="24"/>
                <w:szCs w:val="24"/>
              </w:rPr>
              <w:t>Local authorities in Wales hold a statutory duty to protect adults at risk by developing and implementing safeguarding plans tailored to the individual's needs.</w:t>
            </w:r>
            <w:r w:rsidR="00F6393A">
              <w:rPr>
                <w:sz w:val="24"/>
                <w:szCs w:val="24"/>
              </w:rPr>
              <w:t xml:space="preserve"> </w:t>
            </w:r>
            <w:r w:rsidRPr="0042757B">
              <w:rPr>
                <w:sz w:val="24"/>
                <w:szCs w:val="24"/>
              </w:rPr>
              <w:t>These authorities are required to work collaboratively with other agencies involved in safeguarding efforts to ensure a comprehensive and effective approach to protection.</w:t>
            </w:r>
          </w:p>
          <w:p w14:paraId="13EBF8CB" w14:textId="77777777" w:rsidR="0042757B" w:rsidRPr="0042757B" w:rsidRDefault="0042757B" w:rsidP="0042757B">
            <w:pPr>
              <w:jc w:val="both"/>
              <w:rPr>
                <w:sz w:val="24"/>
                <w:szCs w:val="24"/>
              </w:rPr>
            </w:pPr>
          </w:p>
          <w:p w14:paraId="4418E779" w14:textId="74DBBA3D" w:rsidR="0042757B" w:rsidRPr="0042757B" w:rsidRDefault="0042757B" w:rsidP="0042757B">
            <w:pPr>
              <w:jc w:val="both"/>
              <w:rPr>
                <w:sz w:val="24"/>
                <w:szCs w:val="24"/>
              </w:rPr>
            </w:pPr>
            <w:r w:rsidRPr="0042757B">
              <w:rPr>
                <w:sz w:val="24"/>
                <w:szCs w:val="24"/>
              </w:rPr>
              <w:t>Adults who have the mental capacity to make decisions retain the right to exercise personal choice, even if those choices involve potential risks to their safety or well-being.</w:t>
            </w:r>
            <w:r w:rsidR="000818AC">
              <w:rPr>
                <w:sz w:val="24"/>
                <w:szCs w:val="24"/>
              </w:rPr>
              <w:t xml:space="preserve"> </w:t>
            </w:r>
            <w:r w:rsidRPr="0042757B">
              <w:rPr>
                <w:sz w:val="24"/>
                <w:szCs w:val="24"/>
              </w:rPr>
              <w:t>It is essential that these individuals are actively involved in the creation and implementation of their own</w:t>
            </w:r>
            <w:r w:rsidR="00390BDC">
              <w:rPr>
                <w:sz w:val="24"/>
                <w:szCs w:val="24"/>
              </w:rPr>
              <w:t xml:space="preserve"> </w:t>
            </w:r>
            <w:r w:rsidRPr="0042757B">
              <w:rPr>
                <w:sz w:val="24"/>
                <w:szCs w:val="24"/>
              </w:rPr>
              <w:t>plans, ensuring their autonomy and preferences are respected</w:t>
            </w:r>
            <w:r w:rsidR="00202C9D">
              <w:rPr>
                <w:sz w:val="24"/>
                <w:szCs w:val="24"/>
              </w:rPr>
              <w:t xml:space="preserve">. </w:t>
            </w:r>
            <w:r w:rsidR="00D868FA">
              <w:rPr>
                <w:sz w:val="24"/>
                <w:szCs w:val="24"/>
              </w:rPr>
              <w:t>Individuals</w:t>
            </w:r>
            <w:r w:rsidR="00BD76D8">
              <w:rPr>
                <w:sz w:val="24"/>
                <w:szCs w:val="24"/>
              </w:rPr>
              <w:t xml:space="preserve"> must always </w:t>
            </w:r>
            <w:r w:rsidR="00202C9D">
              <w:rPr>
                <w:sz w:val="24"/>
                <w:szCs w:val="24"/>
              </w:rPr>
              <w:t>be</w:t>
            </w:r>
            <w:r w:rsidR="00BD76D8">
              <w:rPr>
                <w:sz w:val="24"/>
                <w:szCs w:val="24"/>
              </w:rPr>
              <w:t xml:space="preserve"> presumed to have </w:t>
            </w:r>
            <w:r w:rsidR="00D868FA">
              <w:rPr>
                <w:sz w:val="24"/>
                <w:szCs w:val="24"/>
              </w:rPr>
              <w:t>c</w:t>
            </w:r>
            <w:r w:rsidR="00BD76D8">
              <w:rPr>
                <w:sz w:val="24"/>
                <w:szCs w:val="24"/>
              </w:rPr>
              <w:t xml:space="preserve">apacity until </w:t>
            </w:r>
            <w:r w:rsidR="00D868FA">
              <w:rPr>
                <w:sz w:val="24"/>
                <w:szCs w:val="24"/>
              </w:rPr>
              <w:t>proven</w:t>
            </w:r>
            <w:r w:rsidR="00BD76D8">
              <w:rPr>
                <w:sz w:val="24"/>
                <w:szCs w:val="24"/>
              </w:rPr>
              <w:t xml:space="preserve"> otherwise. </w:t>
            </w:r>
          </w:p>
          <w:p w14:paraId="095D90E7" w14:textId="77777777" w:rsidR="000818AC" w:rsidRDefault="000818AC" w:rsidP="0042757B">
            <w:pPr>
              <w:jc w:val="both"/>
              <w:rPr>
                <w:sz w:val="24"/>
                <w:szCs w:val="24"/>
              </w:rPr>
            </w:pPr>
          </w:p>
          <w:p w14:paraId="09CE417F" w14:textId="35CE1502" w:rsidR="0042757B" w:rsidRPr="0042757B" w:rsidRDefault="00202C9D" w:rsidP="0042757B">
            <w:pPr>
              <w:jc w:val="both"/>
              <w:rPr>
                <w:sz w:val="24"/>
                <w:szCs w:val="24"/>
              </w:rPr>
            </w:pPr>
            <w:r>
              <w:rPr>
                <w:sz w:val="24"/>
                <w:szCs w:val="24"/>
              </w:rPr>
              <w:t>A</w:t>
            </w:r>
            <w:r w:rsidR="0042757B" w:rsidRPr="0042757B">
              <w:rPr>
                <w:sz w:val="24"/>
                <w:szCs w:val="24"/>
              </w:rPr>
              <w:t>dults who lack the mental capacity to make decisions, local authorities must adhere to the provisions outlined in the Mental Capacity Act 2005.</w:t>
            </w:r>
            <w:r w:rsidR="00A602A1">
              <w:rPr>
                <w:sz w:val="24"/>
                <w:szCs w:val="24"/>
              </w:rPr>
              <w:t xml:space="preserve"> </w:t>
            </w:r>
            <w:r w:rsidR="0042757B" w:rsidRPr="0042757B">
              <w:rPr>
                <w:sz w:val="24"/>
                <w:szCs w:val="24"/>
              </w:rPr>
              <w:t xml:space="preserve">This legislation provides a legal framework to ensure that decisions made on behalf of these individuals are in their best interests, </w:t>
            </w:r>
            <w:r w:rsidR="003B3E15" w:rsidRPr="0042757B">
              <w:rPr>
                <w:sz w:val="24"/>
                <w:szCs w:val="24"/>
              </w:rPr>
              <w:t>considering</w:t>
            </w:r>
            <w:r w:rsidR="0042757B" w:rsidRPr="0042757B">
              <w:rPr>
                <w:sz w:val="24"/>
                <w:szCs w:val="24"/>
              </w:rPr>
              <w:t xml:space="preserve"> their needs, rights, and any previously expressed wishes.</w:t>
            </w:r>
            <w:r w:rsidR="00A602A1">
              <w:rPr>
                <w:sz w:val="24"/>
                <w:szCs w:val="24"/>
              </w:rPr>
              <w:t xml:space="preserve"> </w:t>
            </w:r>
            <w:r w:rsidR="0042757B" w:rsidRPr="0042757B">
              <w:rPr>
                <w:sz w:val="24"/>
                <w:szCs w:val="24"/>
              </w:rPr>
              <w:t>The Act also includes safeguards to protect individuals from harm and ensure that their rights are upheld during the decision-making process</w:t>
            </w:r>
            <w:r w:rsidR="008E50B1">
              <w:rPr>
                <w:sz w:val="24"/>
                <w:szCs w:val="24"/>
              </w:rPr>
              <w:t xml:space="preserve"> </w:t>
            </w:r>
            <w:sdt>
              <w:sdtPr>
                <w:rPr>
                  <w:sz w:val="24"/>
                  <w:szCs w:val="24"/>
                </w:rPr>
                <w:id w:val="1638226131"/>
                <w:citation/>
              </w:sdtPr>
              <w:sdtEndPr/>
              <w:sdtContent>
                <w:r w:rsidR="006C3CAE">
                  <w:rPr>
                    <w:sz w:val="24"/>
                    <w:szCs w:val="24"/>
                  </w:rPr>
                  <w:fldChar w:fldCharType="begin"/>
                </w:r>
                <w:r w:rsidR="006C3CAE">
                  <w:rPr>
                    <w:sz w:val="24"/>
                    <w:szCs w:val="24"/>
                  </w:rPr>
                  <w:instrText xml:space="preserve"> CITATION Gov05 \l 2057 </w:instrText>
                </w:r>
                <w:r w:rsidR="006C3CAE">
                  <w:rPr>
                    <w:sz w:val="24"/>
                    <w:szCs w:val="24"/>
                  </w:rPr>
                  <w:fldChar w:fldCharType="separate"/>
                </w:r>
                <w:r w:rsidR="006C3CAE" w:rsidRPr="006C3CAE">
                  <w:rPr>
                    <w:noProof/>
                    <w:sz w:val="24"/>
                    <w:szCs w:val="24"/>
                  </w:rPr>
                  <w:t>(Government, 2005)</w:t>
                </w:r>
                <w:r w:rsidR="006C3CAE">
                  <w:rPr>
                    <w:sz w:val="24"/>
                    <w:szCs w:val="24"/>
                  </w:rPr>
                  <w:fldChar w:fldCharType="end"/>
                </w:r>
              </w:sdtContent>
            </w:sdt>
            <w:r w:rsidR="0042757B" w:rsidRPr="0042757B">
              <w:rPr>
                <w:sz w:val="24"/>
                <w:szCs w:val="24"/>
              </w:rPr>
              <w:t>.</w:t>
            </w:r>
          </w:p>
          <w:p w14:paraId="48B36A4C" w14:textId="77777777" w:rsidR="0042757B" w:rsidRPr="0042757B" w:rsidRDefault="0042757B" w:rsidP="0042757B">
            <w:pPr>
              <w:jc w:val="both"/>
              <w:rPr>
                <w:sz w:val="24"/>
                <w:szCs w:val="24"/>
              </w:rPr>
            </w:pPr>
          </w:p>
          <w:p w14:paraId="41F245BC" w14:textId="376FE08E" w:rsidR="00277A91" w:rsidRPr="00277A91" w:rsidRDefault="00277A91" w:rsidP="00277A91">
            <w:pPr>
              <w:jc w:val="both"/>
              <w:rPr>
                <w:sz w:val="24"/>
                <w:szCs w:val="24"/>
              </w:rPr>
            </w:pPr>
            <w:r w:rsidRPr="00277A91">
              <w:rPr>
                <w:sz w:val="24"/>
                <w:szCs w:val="24"/>
              </w:rPr>
              <w:t xml:space="preserve">An adult ‘at risk’ is defined as someone over the age of 18 years who may have care and support needs, and/or is at risk of abuse or neglect. </w:t>
            </w:r>
          </w:p>
          <w:p w14:paraId="46C6A773" w14:textId="77777777" w:rsidR="00277A91" w:rsidRPr="00277A91" w:rsidRDefault="00277A91" w:rsidP="00277A91">
            <w:pPr>
              <w:jc w:val="both"/>
              <w:rPr>
                <w:sz w:val="24"/>
                <w:szCs w:val="24"/>
              </w:rPr>
            </w:pPr>
          </w:p>
          <w:p w14:paraId="2EAD4F66" w14:textId="087C1D70" w:rsidR="00277A91" w:rsidRDefault="00277A91" w:rsidP="00277A91">
            <w:pPr>
              <w:jc w:val="both"/>
              <w:rPr>
                <w:sz w:val="24"/>
                <w:szCs w:val="24"/>
              </w:rPr>
            </w:pPr>
            <w:r w:rsidRPr="00277A91">
              <w:rPr>
                <w:sz w:val="24"/>
                <w:szCs w:val="24"/>
              </w:rPr>
              <w:t>Safeguarding Children in Wales has key similarities to safeguarding adults and is legislation and policies fall under the SSWBWA 2014. Safeguarding children in Wales is based on a child-centred approach, prioritising their needs and rights. Safeguarding focuses on protecting children from abuse, neglect, and harm, regardless of their care and support needs, independence, and/or their ability to report issues (Wales, Children and young people at risk of harm, 2021).</w:t>
            </w:r>
          </w:p>
          <w:p w14:paraId="553794CC" w14:textId="77777777" w:rsidR="006E6269" w:rsidRDefault="006E6269" w:rsidP="00277A91">
            <w:pPr>
              <w:jc w:val="both"/>
              <w:rPr>
                <w:sz w:val="24"/>
                <w:szCs w:val="24"/>
              </w:rPr>
            </w:pPr>
          </w:p>
          <w:p w14:paraId="49CBBBBE" w14:textId="513E11A4" w:rsidR="00277A91" w:rsidRPr="00277A91" w:rsidRDefault="00277A91" w:rsidP="00277A91">
            <w:pPr>
              <w:jc w:val="both"/>
              <w:rPr>
                <w:sz w:val="24"/>
                <w:szCs w:val="24"/>
              </w:rPr>
            </w:pPr>
            <w:r w:rsidRPr="00277A91">
              <w:rPr>
                <w:sz w:val="24"/>
                <w:szCs w:val="24"/>
              </w:rPr>
              <w:t xml:space="preserve">A child in Wales is defined as anyone under the age of 18 years. Practitioners must ensure that the child's best interests are paramount in any decision-making processes. A child-centred approach ensures their views and wishes are heard and respected. Unlike adult safeguarding, a child’s consent is not required for intervention if there is a concern of abuse, neglect or harm of a child (Wales, Children and young people at risk of harm, 2021). </w:t>
            </w:r>
          </w:p>
          <w:p w14:paraId="67E7ED72" w14:textId="52BED32D" w:rsidR="00FC0334" w:rsidRDefault="00FC0334" w:rsidP="00FC0334">
            <w:pPr>
              <w:jc w:val="both"/>
              <w:rPr>
                <w:sz w:val="24"/>
                <w:szCs w:val="24"/>
              </w:rPr>
            </w:pPr>
          </w:p>
          <w:p w14:paraId="4847C39E" w14:textId="77777777" w:rsidR="00FC0334" w:rsidRDefault="00FC0334" w:rsidP="00FC0334">
            <w:pPr>
              <w:jc w:val="both"/>
              <w:rPr>
                <w:sz w:val="24"/>
                <w:szCs w:val="24"/>
              </w:rPr>
            </w:pPr>
          </w:p>
          <w:p w14:paraId="6BA3DD84" w14:textId="2055C8F0" w:rsidR="00FC0334" w:rsidRDefault="00277A91" w:rsidP="00FC0334">
            <w:pPr>
              <w:jc w:val="both"/>
              <w:rPr>
                <w:sz w:val="24"/>
                <w:szCs w:val="24"/>
              </w:rPr>
            </w:pPr>
            <w:r>
              <w:rPr>
                <w:sz w:val="24"/>
                <w:szCs w:val="24"/>
              </w:rPr>
              <w:t xml:space="preserve">Total wordcount </w:t>
            </w:r>
            <w:r w:rsidR="000B23D1">
              <w:rPr>
                <w:sz w:val="24"/>
                <w:szCs w:val="24"/>
              </w:rPr>
              <w:t>430</w:t>
            </w:r>
          </w:p>
          <w:p w14:paraId="1B59944D" w14:textId="77777777" w:rsidR="00B25925" w:rsidRDefault="00B25925" w:rsidP="00FC0334">
            <w:pPr>
              <w:jc w:val="both"/>
              <w:rPr>
                <w:i/>
                <w:sz w:val="24"/>
                <w:szCs w:val="24"/>
              </w:rPr>
            </w:pPr>
          </w:p>
          <w:p w14:paraId="15D81054" w14:textId="1EB4F343" w:rsidR="00B25925" w:rsidRDefault="00B25925" w:rsidP="00FC0334">
            <w:pPr>
              <w:jc w:val="both"/>
              <w:rPr>
                <w:i/>
                <w:sz w:val="24"/>
                <w:szCs w:val="24"/>
              </w:rPr>
            </w:pPr>
            <w:r w:rsidRPr="00B25925">
              <w:rPr>
                <w:i/>
                <w:sz w:val="24"/>
                <w:szCs w:val="24"/>
              </w:rPr>
              <w:t>400 words (+/- 10%: include your actual word count at the end of each section).</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A784D" w14:textId="77777777" w:rsidR="003D4E88" w:rsidRDefault="003D4E88">
      <w:r>
        <w:separator/>
      </w:r>
    </w:p>
  </w:endnote>
  <w:endnote w:type="continuationSeparator" w:id="0">
    <w:p w14:paraId="556FCADE" w14:textId="77777777" w:rsidR="003D4E88" w:rsidRDefault="003D4E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890D4" w14:textId="77777777" w:rsidR="003D4E88" w:rsidRDefault="003D4E88">
      <w:r>
        <w:separator/>
      </w:r>
    </w:p>
  </w:footnote>
  <w:footnote w:type="continuationSeparator" w:id="0">
    <w:p w14:paraId="3B31FA45" w14:textId="77777777" w:rsidR="003D4E88" w:rsidRDefault="003D4E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5B6"/>
    <w:rsid w:val="00027B1F"/>
    <w:rsid w:val="0003088B"/>
    <w:rsid w:val="000325D9"/>
    <w:rsid w:val="00034254"/>
    <w:rsid w:val="0003592B"/>
    <w:rsid w:val="000372B2"/>
    <w:rsid w:val="0004079F"/>
    <w:rsid w:val="00043543"/>
    <w:rsid w:val="00045B87"/>
    <w:rsid w:val="00045C07"/>
    <w:rsid w:val="00045C40"/>
    <w:rsid w:val="00046861"/>
    <w:rsid w:val="00046EDB"/>
    <w:rsid w:val="00054A07"/>
    <w:rsid w:val="00055D43"/>
    <w:rsid w:val="00056FAC"/>
    <w:rsid w:val="00057751"/>
    <w:rsid w:val="00062E39"/>
    <w:rsid w:val="00064063"/>
    <w:rsid w:val="0006581A"/>
    <w:rsid w:val="00074461"/>
    <w:rsid w:val="000766EC"/>
    <w:rsid w:val="00080E58"/>
    <w:rsid w:val="000818AC"/>
    <w:rsid w:val="00083D99"/>
    <w:rsid w:val="00084DA6"/>
    <w:rsid w:val="00085699"/>
    <w:rsid w:val="00090160"/>
    <w:rsid w:val="0009066B"/>
    <w:rsid w:val="00091F52"/>
    <w:rsid w:val="00092970"/>
    <w:rsid w:val="00093720"/>
    <w:rsid w:val="000938E6"/>
    <w:rsid w:val="00093B3C"/>
    <w:rsid w:val="0009488C"/>
    <w:rsid w:val="00095C1B"/>
    <w:rsid w:val="00096DEA"/>
    <w:rsid w:val="000A4240"/>
    <w:rsid w:val="000A469A"/>
    <w:rsid w:val="000A584A"/>
    <w:rsid w:val="000A6458"/>
    <w:rsid w:val="000B23D1"/>
    <w:rsid w:val="000C378F"/>
    <w:rsid w:val="000C6892"/>
    <w:rsid w:val="000C6FFE"/>
    <w:rsid w:val="000D0BB6"/>
    <w:rsid w:val="000D2ED2"/>
    <w:rsid w:val="000D4EBC"/>
    <w:rsid w:val="000D6653"/>
    <w:rsid w:val="000E0D51"/>
    <w:rsid w:val="000E26B0"/>
    <w:rsid w:val="000E37C2"/>
    <w:rsid w:val="000E38C3"/>
    <w:rsid w:val="000F1599"/>
    <w:rsid w:val="000F1769"/>
    <w:rsid w:val="000F1A97"/>
    <w:rsid w:val="000F354B"/>
    <w:rsid w:val="000F42AE"/>
    <w:rsid w:val="000F6196"/>
    <w:rsid w:val="000F6BC3"/>
    <w:rsid w:val="0010312C"/>
    <w:rsid w:val="00105026"/>
    <w:rsid w:val="0010662B"/>
    <w:rsid w:val="00106DC7"/>
    <w:rsid w:val="00110BFC"/>
    <w:rsid w:val="001118A6"/>
    <w:rsid w:val="00112391"/>
    <w:rsid w:val="00114F52"/>
    <w:rsid w:val="00117DE1"/>
    <w:rsid w:val="00124471"/>
    <w:rsid w:val="00130119"/>
    <w:rsid w:val="00132812"/>
    <w:rsid w:val="0013466B"/>
    <w:rsid w:val="001347F8"/>
    <w:rsid w:val="001359EE"/>
    <w:rsid w:val="00137BB5"/>
    <w:rsid w:val="00137E05"/>
    <w:rsid w:val="00143741"/>
    <w:rsid w:val="001447F6"/>
    <w:rsid w:val="00147DE3"/>
    <w:rsid w:val="00150794"/>
    <w:rsid w:val="00151DA6"/>
    <w:rsid w:val="00153DFC"/>
    <w:rsid w:val="001608C4"/>
    <w:rsid w:val="00164832"/>
    <w:rsid w:val="00165B31"/>
    <w:rsid w:val="00171418"/>
    <w:rsid w:val="001772BF"/>
    <w:rsid w:val="001772DE"/>
    <w:rsid w:val="0019496C"/>
    <w:rsid w:val="00195E1B"/>
    <w:rsid w:val="001961CF"/>
    <w:rsid w:val="001A0F42"/>
    <w:rsid w:val="001A4AD2"/>
    <w:rsid w:val="001A59BB"/>
    <w:rsid w:val="001A5DF4"/>
    <w:rsid w:val="001A607E"/>
    <w:rsid w:val="001A6A51"/>
    <w:rsid w:val="001A79C4"/>
    <w:rsid w:val="001B331A"/>
    <w:rsid w:val="001C0237"/>
    <w:rsid w:val="001C0E74"/>
    <w:rsid w:val="001C4DB8"/>
    <w:rsid w:val="001C50B8"/>
    <w:rsid w:val="001D229F"/>
    <w:rsid w:val="001E2EB6"/>
    <w:rsid w:val="001E5266"/>
    <w:rsid w:val="001F4552"/>
    <w:rsid w:val="002019EB"/>
    <w:rsid w:val="00202C9D"/>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6E2"/>
    <w:rsid w:val="00243DB0"/>
    <w:rsid w:val="002444B2"/>
    <w:rsid w:val="0024494E"/>
    <w:rsid w:val="00247265"/>
    <w:rsid w:val="002511E9"/>
    <w:rsid w:val="00260663"/>
    <w:rsid w:val="002657E9"/>
    <w:rsid w:val="0026665E"/>
    <w:rsid w:val="0027147E"/>
    <w:rsid w:val="002761F4"/>
    <w:rsid w:val="002775E1"/>
    <w:rsid w:val="00277979"/>
    <w:rsid w:val="00277A91"/>
    <w:rsid w:val="00280046"/>
    <w:rsid w:val="00291ADD"/>
    <w:rsid w:val="002920DF"/>
    <w:rsid w:val="00292F3D"/>
    <w:rsid w:val="00295CA1"/>
    <w:rsid w:val="002A0E51"/>
    <w:rsid w:val="002A1A44"/>
    <w:rsid w:val="002A1FC2"/>
    <w:rsid w:val="002A291A"/>
    <w:rsid w:val="002A2C54"/>
    <w:rsid w:val="002A4E2E"/>
    <w:rsid w:val="002A5604"/>
    <w:rsid w:val="002B1701"/>
    <w:rsid w:val="002B23C3"/>
    <w:rsid w:val="002B40D7"/>
    <w:rsid w:val="002B443A"/>
    <w:rsid w:val="002B5B35"/>
    <w:rsid w:val="002B7AEE"/>
    <w:rsid w:val="002B7F50"/>
    <w:rsid w:val="002C2536"/>
    <w:rsid w:val="002C256A"/>
    <w:rsid w:val="002C3031"/>
    <w:rsid w:val="002C4233"/>
    <w:rsid w:val="002C496D"/>
    <w:rsid w:val="002D05EB"/>
    <w:rsid w:val="002D11A8"/>
    <w:rsid w:val="002D2F29"/>
    <w:rsid w:val="002D46C0"/>
    <w:rsid w:val="002D5A92"/>
    <w:rsid w:val="002D65D2"/>
    <w:rsid w:val="002D6B31"/>
    <w:rsid w:val="002E3FE3"/>
    <w:rsid w:val="002E6D17"/>
    <w:rsid w:val="002E7017"/>
    <w:rsid w:val="002E7F2C"/>
    <w:rsid w:val="002F1FC7"/>
    <w:rsid w:val="002F2185"/>
    <w:rsid w:val="002F4F6E"/>
    <w:rsid w:val="003015C3"/>
    <w:rsid w:val="003106DB"/>
    <w:rsid w:val="0031350A"/>
    <w:rsid w:val="00316815"/>
    <w:rsid w:val="003168CA"/>
    <w:rsid w:val="00321255"/>
    <w:rsid w:val="0032230D"/>
    <w:rsid w:val="00322870"/>
    <w:rsid w:val="00322A0B"/>
    <w:rsid w:val="00330881"/>
    <w:rsid w:val="00331CD2"/>
    <w:rsid w:val="00332426"/>
    <w:rsid w:val="00332F03"/>
    <w:rsid w:val="00335C41"/>
    <w:rsid w:val="00335FC5"/>
    <w:rsid w:val="0033771E"/>
    <w:rsid w:val="00337E2F"/>
    <w:rsid w:val="00337FEF"/>
    <w:rsid w:val="00353EC9"/>
    <w:rsid w:val="00354B6D"/>
    <w:rsid w:val="00355210"/>
    <w:rsid w:val="00355CFD"/>
    <w:rsid w:val="00365DF9"/>
    <w:rsid w:val="0037066E"/>
    <w:rsid w:val="00372DB4"/>
    <w:rsid w:val="00373A36"/>
    <w:rsid w:val="0037419E"/>
    <w:rsid w:val="00375AF5"/>
    <w:rsid w:val="003761BD"/>
    <w:rsid w:val="00377448"/>
    <w:rsid w:val="00377884"/>
    <w:rsid w:val="0038221F"/>
    <w:rsid w:val="003826BD"/>
    <w:rsid w:val="00385414"/>
    <w:rsid w:val="00390074"/>
    <w:rsid w:val="00390BDC"/>
    <w:rsid w:val="00392031"/>
    <w:rsid w:val="00392F73"/>
    <w:rsid w:val="00393600"/>
    <w:rsid w:val="0039762B"/>
    <w:rsid w:val="003A0C37"/>
    <w:rsid w:val="003A1B6B"/>
    <w:rsid w:val="003A46C0"/>
    <w:rsid w:val="003A600E"/>
    <w:rsid w:val="003A6513"/>
    <w:rsid w:val="003B16C7"/>
    <w:rsid w:val="003B3115"/>
    <w:rsid w:val="003B3E15"/>
    <w:rsid w:val="003C106C"/>
    <w:rsid w:val="003C19F1"/>
    <w:rsid w:val="003C3C67"/>
    <w:rsid w:val="003C4186"/>
    <w:rsid w:val="003C6185"/>
    <w:rsid w:val="003D0D2D"/>
    <w:rsid w:val="003D1885"/>
    <w:rsid w:val="003D1BC0"/>
    <w:rsid w:val="003D20F1"/>
    <w:rsid w:val="003D4710"/>
    <w:rsid w:val="003D4E88"/>
    <w:rsid w:val="003E16D7"/>
    <w:rsid w:val="003E197E"/>
    <w:rsid w:val="003E4B70"/>
    <w:rsid w:val="003E54CF"/>
    <w:rsid w:val="003E5FBA"/>
    <w:rsid w:val="003E7078"/>
    <w:rsid w:val="003F1233"/>
    <w:rsid w:val="003F67A4"/>
    <w:rsid w:val="00400786"/>
    <w:rsid w:val="00401FDA"/>
    <w:rsid w:val="004046F0"/>
    <w:rsid w:val="0040668F"/>
    <w:rsid w:val="00411EF7"/>
    <w:rsid w:val="00412677"/>
    <w:rsid w:val="0042177E"/>
    <w:rsid w:val="00425160"/>
    <w:rsid w:val="0042757B"/>
    <w:rsid w:val="00430DE3"/>
    <w:rsid w:val="004348AE"/>
    <w:rsid w:val="004376C0"/>
    <w:rsid w:val="0044223A"/>
    <w:rsid w:val="004451CD"/>
    <w:rsid w:val="00447982"/>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4621"/>
    <w:rsid w:val="00480BDF"/>
    <w:rsid w:val="00482C17"/>
    <w:rsid w:val="00484CE3"/>
    <w:rsid w:val="004911B4"/>
    <w:rsid w:val="0049196A"/>
    <w:rsid w:val="004923DA"/>
    <w:rsid w:val="00492EEB"/>
    <w:rsid w:val="00493434"/>
    <w:rsid w:val="0049374F"/>
    <w:rsid w:val="004968E2"/>
    <w:rsid w:val="004A2A49"/>
    <w:rsid w:val="004A352D"/>
    <w:rsid w:val="004A50A2"/>
    <w:rsid w:val="004A5A64"/>
    <w:rsid w:val="004B5553"/>
    <w:rsid w:val="004B600B"/>
    <w:rsid w:val="004B6822"/>
    <w:rsid w:val="004B69F6"/>
    <w:rsid w:val="004C2D3A"/>
    <w:rsid w:val="004D03C4"/>
    <w:rsid w:val="004D0BF1"/>
    <w:rsid w:val="004D0F4E"/>
    <w:rsid w:val="004D3278"/>
    <w:rsid w:val="004D35A4"/>
    <w:rsid w:val="004D445F"/>
    <w:rsid w:val="004E087B"/>
    <w:rsid w:val="004E0BF8"/>
    <w:rsid w:val="004E44A4"/>
    <w:rsid w:val="004E7B86"/>
    <w:rsid w:val="004E7B8B"/>
    <w:rsid w:val="004E7BDD"/>
    <w:rsid w:val="004F11B9"/>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E9C"/>
    <w:rsid w:val="00536617"/>
    <w:rsid w:val="00540EEC"/>
    <w:rsid w:val="005414F4"/>
    <w:rsid w:val="00546187"/>
    <w:rsid w:val="00547B11"/>
    <w:rsid w:val="005575BD"/>
    <w:rsid w:val="00557D77"/>
    <w:rsid w:val="00562534"/>
    <w:rsid w:val="00562EAA"/>
    <w:rsid w:val="00563B58"/>
    <w:rsid w:val="005640C4"/>
    <w:rsid w:val="0056684C"/>
    <w:rsid w:val="00574A0C"/>
    <w:rsid w:val="0057780F"/>
    <w:rsid w:val="00581E0A"/>
    <w:rsid w:val="00586D89"/>
    <w:rsid w:val="005877C8"/>
    <w:rsid w:val="00587923"/>
    <w:rsid w:val="00594F9F"/>
    <w:rsid w:val="005A1B4C"/>
    <w:rsid w:val="005A2886"/>
    <w:rsid w:val="005A545C"/>
    <w:rsid w:val="005A7590"/>
    <w:rsid w:val="005B271A"/>
    <w:rsid w:val="005B3A2D"/>
    <w:rsid w:val="005C1567"/>
    <w:rsid w:val="005C28D3"/>
    <w:rsid w:val="005C4F3F"/>
    <w:rsid w:val="005C6CE5"/>
    <w:rsid w:val="005D3F07"/>
    <w:rsid w:val="005D4A1E"/>
    <w:rsid w:val="005D4F72"/>
    <w:rsid w:val="005E13EA"/>
    <w:rsid w:val="005E17F1"/>
    <w:rsid w:val="005F64AA"/>
    <w:rsid w:val="005F7851"/>
    <w:rsid w:val="006039BE"/>
    <w:rsid w:val="00606E27"/>
    <w:rsid w:val="006108C9"/>
    <w:rsid w:val="0061095A"/>
    <w:rsid w:val="00614DF7"/>
    <w:rsid w:val="0061508A"/>
    <w:rsid w:val="006179BB"/>
    <w:rsid w:val="0062158D"/>
    <w:rsid w:val="006223FD"/>
    <w:rsid w:val="006326D1"/>
    <w:rsid w:val="00632CE2"/>
    <w:rsid w:val="00632E0A"/>
    <w:rsid w:val="00633165"/>
    <w:rsid w:val="00637A8F"/>
    <w:rsid w:val="006447DE"/>
    <w:rsid w:val="00644889"/>
    <w:rsid w:val="0065276E"/>
    <w:rsid w:val="00654329"/>
    <w:rsid w:val="00654CEC"/>
    <w:rsid w:val="00655507"/>
    <w:rsid w:val="006579FD"/>
    <w:rsid w:val="006635E3"/>
    <w:rsid w:val="006669F3"/>
    <w:rsid w:val="006712A7"/>
    <w:rsid w:val="00672CED"/>
    <w:rsid w:val="00674FC2"/>
    <w:rsid w:val="00676E35"/>
    <w:rsid w:val="006777AB"/>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3B6"/>
    <w:rsid w:val="006C3CAE"/>
    <w:rsid w:val="006C63A6"/>
    <w:rsid w:val="006D18A3"/>
    <w:rsid w:val="006D5970"/>
    <w:rsid w:val="006D6948"/>
    <w:rsid w:val="006E481E"/>
    <w:rsid w:val="006E6269"/>
    <w:rsid w:val="006E795F"/>
    <w:rsid w:val="006F0862"/>
    <w:rsid w:val="006F1438"/>
    <w:rsid w:val="006F2A9E"/>
    <w:rsid w:val="006F5ED3"/>
    <w:rsid w:val="00700249"/>
    <w:rsid w:val="0070249F"/>
    <w:rsid w:val="007069CD"/>
    <w:rsid w:val="00706BB5"/>
    <w:rsid w:val="0071231A"/>
    <w:rsid w:val="00712E90"/>
    <w:rsid w:val="00713492"/>
    <w:rsid w:val="00713B7E"/>
    <w:rsid w:val="0071701E"/>
    <w:rsid w:val="007214D9"/>
    <w:rsid w:val="0072678F"/>
    <w:rsid w:val="007276E5"/>
    <w:rsid w:val="00727C4C"/>
    <w:rsid w:val="00734809"/>
    <w:rsid w:val="0073714E"/>
    <w:rsid w:val="007374EF"/>
    <w:rsid w:val="0073772C"/>
    <w:rsid w:val="007406E1"/>
    <w:rsid w:val="00743E40"/>
    <w:rsid w:val="00745016"/>
    <w:rsid w:val="0075031F"/>
    <w:rsid w:val="00751263"/>
    <w:rsid w:val="007544FC"/>
    <w:rsid w:val="00755427"/>
    <w:rsid w:val="00756548"/>
    <w:rsid w:val="0075673A"/>
    <w:rsid w:val="0075704F"/>
    <w:rsid w:val="00757EBB"/>
    <w:rsid w:val="00763B2D"/>
    <w:rsid w:val="00764C84"/>
    <w:rsid w:val="007710AD"/>
    <w:rsid w:val="00772924"/>
    <w:rsid w:val="0078112D"/>
    <w:rsid w:val="007872F2"/>
    <w:rsid w:val="007873F9"/>
    <w:rsid w:val="007908E0"/>
    <w:rsid w:val="00793EB3"/>
    <w:rsid w:val="00794205"/>
    <w:rsid w:val="0079422A"/>
    <w:rsid w:val="007944DB"/>
    <w:rsid w:val="007A1F6A"/>
    <w:rsid w:val="007A2C1C"/>
    <w:rsid w:val="007A628F"/>
    <w:rsid w:val="007B0DE3"/>
    <w:rsid w:val="007B1BFD"/>
    <w:rsid w:val="007B7191"/>
    <w:rsid w:val="007C1663"/>
    <w:rsid w:val="007C1D94"/>
    <w:rsid w:val="007C556F"/>
    <w:rsid w:val="007C5ABE"/>
    <w:rsid w:val="007C6A87"/>
    <w:rsid w:val="007D0A07"/>
    <w:rsid w:val="007D0F11"/>
    <w:rsid w:val="007D133D"/>
    <w:rsid w:val="007D2062"/>
    <w:rsid w:val="007D3EB4"/>
    <w:rsid w:val="007D3F16"/>
    <w:rsid w:val="007E7B95"/>
    <w:rsid w:val="007F10BD"/>
    <w:rsid w:val="007F312E"/>
    <w:rsid w:val="007F3F7E"/>
    <w:rsid w:val="007F4BA4"/>
    <w:rsid w:val="00802D28"/>
    <w:rsid w:val="008077FC"/>
    <w:rsid w:val="00813AE8"/>
    <w:rsid w:val="00813CEC"/>
    <w:rsid w:val="0081534C"/>
    <w:rsid w:val="00816CE7"/>
    <w:rsid w:val="008171E4"/>
    <w:rsid w:val="008208EA"/>
    <w:rsid w:val="00822B44"/>
    <w:rsid w:val="0082300C"/>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2A2"/>
    <w:rsid w:val="00846D84"/>
    <w:rsid w:val="00850233"/>
    <w:rsid w:val="0085230E"/>
    <w:rsid w:val="0085286D"/>
    <w:rsid w:val="008550A1"/>
    <w:rsid w:val="00861038"/>
    <w:rsid w:val="00865B58"/>
    <w:rsid w:val="00866B50"/>
    <w:rsid w:val="00867A63"/>
    <w:rsid w:val="008708F1"/>
    <w:rsid w:val="00871960"/>
    <w:rsid w:val="008733EB"/>
    <w:rsid w:val="0087369F"/>
    <w:rsid w:val="00880539"/>
    <w:rsid w:val="008859E8"/>
    <w:rsid w:val="0088737B"/>
    <w:rsid w:val="00891078"/>
    <w:rsid w:val="00892716"/>
    <w:rsid w:val="00893067"/>
    <w:rsid w:val="008933DE"/>
    <w:rsid w:val="00895FCE"/>
    <w:rsid w:val="00897F3E"/>
    <w:rsid w:val="008A21B4"/>
    <w:rsid w:val="008A4EC6"/>
    <w:rsid w:val="008B07DE"/>
    <w:rsid w:val="008B1309"/>
    <w:rsid w:val="008B28E7"/>
    <w:rsid w:val="008B67F6"/>
    <w:rsid w:val="008C14C7"/>
    <w:rsid w:val="008C2FFB"/>
    <w:rsid w:val="008C633F"/>
    <w:rsid w:val="008C6EEA"/>
    <w:rsid w:val="008C7770"/>
    <w:rsid w:val="008C79C7"/>
    <w:rsid w:val="008D03B0"/>
    <w:rsid w:val="008D074C"/>
    <w:rsid w:val="008D2150"/>
    <w:rsid w:val="008D5813"/>
    <w:rsid w:val="008D5999"/>
    <w:rsid w:val="008D634E"/>
    <w:rsid w:val="008D778A"/>
    <w:rsid w:val="008D78C9"/>
    <w:rsid w:val="008E3195"/>
    <w:rsid w:val="008E50B1"/>
    <w:rsid w:val="008E526B"/>
    <w:rsid w:val="008E5A35"/>
    <w:rsid w:val="008F127E"/>
    <w:rsid w:val="008F32D9"/>
    <w:rsid w:val="008F5213"/>
    <w:rsid w:val="00900216"/>
    <w:rsid w:val="00902A65"/>
    <w:rsid w:val="00903932"/>
    <w:rsid w:val="009079BD"/>
    <w:rsid w:val="00912BD9"/>
    <w:rsid w:val="00915C93"/>
    <w:rsid w:val="00916FB2"/>
    <w:rsid w:val="00920E5B"/>
    <w:rsid w:val="00926436"/>
    <w:rsid w:val="00926C53"/>
    <w:rsid w:val="0093018C"/>
    <w:rsid w:val="00937EB0"/>
    <w:rsid w:val="0094130B"/>
    <w:rsid w:val="00941CA5"/>
    <w:rsid w:val="0094495F"/>
    <w:rsid w:val="009544C0"/>
    <w:rsid w:val="00954FA4"/>
    <w:rsid w:val="00956AE9"/>
    <w:rsid w:val="00964CC6"/>
    <w:rsid w:val="00967BFA"/>
    <w:rsid w:val="0098262C"/>
    <w:rsid w:val="00982C3F"/>
    <w:rsid w:val="009832A4"/>
    <w:rsid w:val="0098427C"/>
    <w:rsid w:val="00986B43"/>
    <w:rsid w:val="00986C0B"/>
    <w:rsid w:val="00986D46"/>
    <w:rsid w:val="00991FDA"/>
    <w:rsid w:val="00992ACA"/>
    <w:rsid w:val="009A5F3B"/>
    <w:rsid w:val="009A5F79"/>
    <w:rsid w:val="009A6F87"/>
    <w:rsid w:val="009B0B61"/>
    <w:rsid w:val="009B28C0"/>
    <w:rsid w:val="009B3178"/>
    <w:rsid w:val="009B3E46"/>
    <w:rsid w:val="009B579B"/>
    <w:rsid w:val="009B7136"/>
    <w:rsid w:val="009B7A00"/>
    <w:rsid w:val="009C337F"/>
    <w:rsid w:val="009C53E7"/>
    <w:rsid w:val="009C6092"/>
    <w:rsid w:val="009C7342"/>
    <w:rsid w:val="009D4365"/>
    <w:rsid w:val="009D477B"/>
    <w:rsid w:val="009D4E3B"/>
    <w:rsid w:val="009D59C2"/>
    <w:rsid w:val="009D6778"/>
    <w:rsid w:val="009D7BC9"/>
    <w:rsid w:val="009E122F"/>
    <w:rsid w:val="009E12E0"/>
    <w:rsid w:val="009E1982"/>
    <w:rsid w:val="009E4D2C"/>
    <w:rsid w:val="009E7E8E"/>
    <w:rsid w:val="009F0978"/>
    <w:rsid w:val="009F3AEC"/>
    <w:rsid w:val="009F5C62"/>
    <w:rsid w:val="009F6801"/>
    <w:rsid w:val="00A00081"/>
    <w:rsid w:val="00A06422"/>
    <w:rsid w:val="00A10D56"/>
    <w:rsid w:val="00A12AAE"/>
    <w:rsid w:val="00A12F22"/>
    <w:rsid w:val="00A16DD1"/>
    <w:rsid w:val="00A22441"/>
    <w:rsid w:val="00A23F3B"/>
    <w:rsid w:val="00A24406"/>
    <w:rsid w:val="00A25F64"/>
    <w:rsid w:val="00A275F6"/>
    <w:rsid w:val="00A303B9"/>
    <w:rsid w:val="00A32E7B"/>
    <w:rsid w:val="00A35466"/>
    <w:rsid w:val="00A37416"/>
    <w:rsid w:val="00A40ED6"/>
    <w:rsid w:val="00A47621"/>
    <w:rsid w:val="00A479CD"/>
    <w:rsid w:val="00A5093B"/>
    <w:rsid w:val="00A50CFC"/>
    <w:rsid w:val="00A5333A"/>
    <w:rsid w:val="00A54D67"/>
    <w:rsid w:val="00A55A3F"/>
    <w:rsid w:val="00A5656A"/>
    <w:rsid w:val="00A60103"/>
    <w:rsid w:val="00A602A1"/>
    <w:rsid w:val="00A652F6"/>
    <w:rsid w:val="00A65861"/>
    <w:rsid w:val="00A732EA"/>
    <w:rsid w:val="00A7489E"/>
    <w:rsid w:val="00A76C5A"/>
    <w:rsid w:val="00A8015F"/>
    <w:rsid w:val="00A85039"/>
    <w:rsid w:val="00A906AA"/>
    <w:rsid w:val="00A920F2"/>
    <w:rsid w:val="00A94C5E"/>
    <w:rsid w:val="00AA252C"/>
    <w:rsid w:val="00AA666E"/>
    <w:rsid w:val="00AA7960"/>
    <w:rsid w:val="00AB0FE5"/>
    <w:rsid w:val="00AB5518"/>
    <w:rsid w:val="00AC1171"/>
    <w:rsid w:val="00AC3A0E"/>
    <w:rsid w:val="00AC4A04"/>
    <w:rsid w:val="00AC5679"/>
    <w:rsid w:val="00AD336F"/>
    <w:rsid w:val="00AE007A"/>
    <w:rsid w:val="00AE134C"/>
    <w:rsid w:val="00AE1868"/>
    <w:rsid w:val="00AE2564"/>
    <w:rsid w:val="00AE301F"/>
    <w:rsid w:val="00AE3302"/>
    <w:rsid w:val="00AE44F2"/>
    <w:rsid w:val="00AE5BA6"/>
    <w:rsid w:val="00AE6231"/>
    <w:rsid w:val="00AE7077"/>
    <w:rsid w:val="00AF0F4B"/>
    <w:rsid w:val="00AF61C2"/>
    <w:rsid w:val="00AF6CC6"/>
    <w:rsid w:val="00B0290F"/>
    <w:rsid w:val="00B0296A"/>
    <w:rsid w:val="00B077F6"/>
    <w:rsid w:val="00B079F5"/>
    <w:rsid w:val="00B07E79"/>
    <w:rsid w:val="00B12295"/>
    <w:rsid w:val="00B137BE"/>
    <w:rsid w:val="00B15998"/>
    <w:rsid w:val="00B17FA0"/>
    <w:rsid w:val="00B2292C"/>
    <w:rsid w:val="00B22C3C"/>
    <w:rsid w:val="00B230B8"/>
    <w:rsid w:val="00B24344"/>
    <w:rsid w:val="00B25925"/>
    <w:rsid w:val="00B26769"/>
    <w:rsid w:val="00B26778"/>
    <w:rsid w:val="00B26FB8"/>
    <w:rsid w:val="00B2754B"/>
    <w:rsid w:val="00B31256"/>
    <w:rsid w:val="00B31C91"/>
    <w:rsid w:val="00B3747F"/>
    <w:rsid w:val="00B42E76"/>
    <w:rsid w:val="00B43036"/>
    <w:rsid w:val="00B43194"/>
    <w:rsid w:val="00B436BF"/>
    <w:rsid w:val="00B4476F"/>
    <w:rsid w:val="00B47734"/>
    <w:rsid w:val="00B50FBA"/>
    <w:rsid w:val="00B558EB"/>
    <w:rsid w:val="00B577D3"/>
    <w:rsid w:val="00B60466"/>
    <w:rsid w:val="00B6548F"/>
    <w:rsid w:val="00B707B4"/>
    <w:rsid w:val="00B71A32"/>
    <w:rsid w:val="00B7502A"/>
    <w:rsid w:val="00B77305"/>
    <w:rsid w:val="00B774BD"/>
    <w:rsid w:val="00B82CC2"/>
    <w:rsid w:val="00B83E63"/>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1FE7"/>
    <w:rsid w:val="00BC460B"/>
    <w:rsid w:val="00BC4ED3"/>
    <w:rsid w:val="00BC5725"/>
    <w:rsid w:val="00BD30B1"/>
    <w:rsid w:val="00BD4002"/>
    <w:rsid w:val="00BD6086"/>
    <w:rsid w:val="00BD76D8"/>
    <w:rsid w:val="00BE0F7B"/>
    <w:rsid w:val="00BE10C2"/>
    <w:rsid w:val="00BE657E"/>
    <w:rsid w:val="00BF0D6C"/>
    <w:rsid w:val="00BF1B28"/>
    <w:rsid w:val="00C01543"/>
    <w:rsid w:val="00C01D14"/>
    <w:rsid w:val="00C01D97"/>
    <w:rsid w:val="00C025B4"/>
    <w:rsid w:val="00C029EC"/>
    <w:rsid w:val="00C161FD"/>
    <w:rsid w:val="00C17C9F"/>
    <w:rsid w:val="00C20AC9"/>
    <w:rsid w:val="00C23F17"/>
    <w:rsid w:val="00C246F2"/>
    <w:rsid w:val="00C26D0D"/>
    <w:rsid w:val="00C27C95"/>
    <w:rsid w:val="00C300D2"/>
    <w:rsid w:val="00C30A76"/>
    <w:rsid w:val="00C3270F"/>
    <w:rsid w:val="00C3278B"/>
    <w:rsid w:val="00C33375"/>
    <w:rsid w:val="00C34C23"/>
    <w:rsid w:val="00C368FA"/>
    <w:rsid w:val="00C42005"/>
    <w:rsid w:val="00C44FC3"/>
    <w:rsid w:val="00C4664D"/>
    <w:rsid w:val="00C472AA"/>
    <w:rsid w:val="00C50A05"/>
    <w:rsid w:val="00C54AED"/>
    <w:rsid w:val="00C555FC"/>
    <w:rsid w:val="00C55E9B"/>
    <w:rsid w:val="00C56D09"/>
    <w:rsid w:val="00C57136"/>
    <w:rsid w:val="00C57D24"/>
    <w:rsid w:val="00C604D6"/>
    <w:rsid w:val="00C63CAB"/>
    <w:rsid w:val="00C63D00"/>
    <w:rsid w:val="00C6441B"/>
    <w:rsid w:val="00C6567C"/>
    <w:rsid w:val="00C65921"/>
    <w:rsid w:val="00C7108B"/>
    <w:rsid w:val="00C75883"/>
    <w:rsid w:val="00C77FA5"/>
    <w:rsid w:val="00C8089F"/>
    <w:rsid w:val="00C835FE"/>
    <w:rsid w:val="00C836CC"/>
    <w:rsid w:val="00C852D6"/>
    <w:rsid w:val="00C87A74"/>
    <w:rsid w:val="00C92C71"/>
    <w:rsid w:val="00C93B23"/>
    <w:rsid w:val="00C93F8F"/>
    <w:rsid w:val="00C9745A"/>
    <w:rsid w:val="00CA0894"/>
    <w:rsid w:val="00CA3593"/>
    <w:rsid w:val="00CA52FF"/>
    <w:rsid w:val="00CA544C"/>
    <w:rsid w:val="00CA5726"/>
    <w:rsid w:val="00CA7E6A"/>
    <w:rsid w:val="00CB258E"/>
    <w:rsid w:val="00CB3918"/>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0B7"/>
    <w:rsid w:val="00CF26CE"/>
    <w:rsid w:val="00CF2F8A"/>
    <w:rsid w:val="00CF3DB3"/>
    <w:rsid w:val="00CF6E3A"/>
    <w:rsid w:val="00D0274B"/>
    <w:rsid w:val="00D0503D"/>
    <w:rsid w:val="00D052BC"/>
    <w:rsid w:val="00D07026"/>
    <w:rsid w:val="00D146AE"/>
    <w:rsid w:val="00D170D6"/>
    <w:rsid w:val="00D22C8F"/>
    <w:rsid w:val="00D26CD4"/>
    <w:rsid w:val="00D3203C"/>
    <w:rsid w:val="00D33491"/>
    <w:rsid w:val="00D3442D"/>
    <w:rsid w:val="00D36F00"/>
    <w:rsid w:val="00D4302C"/>
    <w:rsid w:val="00D44B67"/>
    <w:rsid w:val="00D44F8E"/>
    <w:rsid w:val="00D51FD5"/>
    <w:rsid w:val="00D55DE0"/>
    <w:rsid w:val="00D607EF"/>
    <w:rsid w:val="00D60F88"/>
    <w:rsid w:val="00D646BD"/>
    <w:rsid w:val="00D65558"/>
    <w:rsid w:val="00D71201"/>
    <w:rsid w:val="00D720C7"/>
    <w:rsid w:val="00D82868"/>
    <w:rsid w:val="00D84841"/>
    <w:rsid w:val="00D868FA"/>
    <w:rsid w:val="00D876E6"/>
    <w:rsid w:val="00D90958"/>
    <w:rsid w:val="00DA1025"/>
    <w:rsid w:val="00DA22EC"/>
    <w:rsid w:val="00DA5682"/>
    <w:rsid w:val="00DA5860"/>
    <w:rsid w:val="00DA5C0C"/>
    <w:rsid w:val="00DA786C"/>
    <w:rsid w:val="00DB2767"/>
    <w:rsid w:val="00DB3FA7"/>
    <w:rsid w:val="00DC1B10"/>
    <w:rsid w:val="00DC2924"/>
    <w:rsid w:val="00DC4729"/>
    <w:rsid w:val="00DD31C5"/>
    <w:rsid w:val="00DD5020"/>
    <w:rsid w:val="00DD63BE"/>
    <w:rsid w:val="00DE4296"/>
    <w:rsid w:val="00DF1107"/>
    <w:rsid w:val="00DF2469"/>
    <w:rsid w:val="00DF7899"/>
    <w:rsid w:val="00E0024D"/>
    <w:rsid w:val="00E02726"/>
    <w:rsid w:val="00E0524C"/>
    <w:rsid w:val="00E15751"/>
    <w:rsid w:val="00E16A46"/>
    <w:rsid w:val="00E17160"/>
    <w:rsid w:val="00E17D41"/>
    <w:rsid w:val="00E231D1"/>
    <w:rsid w:val="00E3288D"/>
    <w:rsid w:val="00E35112"/>
    <w:rsid w:val="00E35BEC"/>
    <w:rsid w:val="00E41A6A"/>
    <w:rsid w:val="00E50821"/>
    <w:rsid w:val="00E51F91"/>
    <w:rsid w:val="00E5498A"/>
    <w:rsid w:val="00E559CE"/>
    <w:rsid w:val="00E60F42"/>
    <w:rsid w:val="00E634CC"/>
    <w:rsid w:val="00E6746C"/>
    <w:rsid w:val="00E7086E"/>
    <w:rsid w:val="00E71248"/>
    <w:rsid w:val="00E73C41"/>
    <w:rsid w:val="00E75911"/>
    <w:rsid w:val="00E7598F"/>
    <w:rsid w:val="00E76332"/>
    <w:rsid w:val="00E76F60"/>
    <w:rsid w:val="00E812B5"/>
    <w:rsid w:val="00E83D90"/>
    <w:rsid w:val="00E83F91"/>
    <w:rsid w:val="00E846E0"/>
    <w:rsid w:val="00E85F50"/>
    <w:rsid w:val="00E86299"/>
    <w:rsid w:val="00E9107A"/>
    <w:rsid w:val="00E91F62"/>
    <w:rsid w:val="00E929FD"/>
    <w:rsid w:val="00E93240"/>
    <w:rsid w:val="00E9479B"/>
    <w:rsid w:val="00E94E22"/>
    <w:rsid w:val="00E95F08"/>
    <w:rsid w:val="00E97171"/>
    <w:rsid w:val="00EA4D48"/>
    <w:rsid w:val="00EA7ADF"/>
    <w:rsid w:val="00EB2173"/>
    <w:rsid w:val="00EB62E6"/>
    <w:rsid w:val="00EB68FA"/>
    <w:rsid w:val="00EB695F"/>
    <w:rsid w:val="00EC3A85"/>
    <w:rsid w:val="00EC4B89"/>
    <w:rsid w:val="00EC59A5"/>
    <w:rsid w:val="00EC6E15"/>
    <w:rsid w:val="00ED1B30"/>
    <w:rsid w:val="00ED5D03"/>
    <w:rsid w:val="00EE01ED"/>
    <w:rsid w:val="00EE1AC1"/>
    <w:rsid w:val="00EE39D6"/>
    <w:rsid w:val="00EE52AD"/>
    <w:rsid w:val="00EE5BC3"/>
    <w:rsid w:val="00EE6D7C"/>
    <w:rsid w:val="00EE6FAB"/>
    <w:rsid w:val="00EF328C"/>
    <w:rsid w:val="00EF4A5E"/>
    <w:rsid w:val="00EF68BB"/>
    <w:rsid w:val="00F01F92"/>
    <w:rsid w:val="00F030D4"/>
    <w:rsid w:val="00F03213"/>
    <w:rsid w:val="00F04053"/>
    <w:rsid w:val="00F06573"/>
    <w:rsid w:val="00F07DA1"/>
    <w:rsid w:val="00F10A08"/>
    <w:rsid w:val="00F15354"/>
    <w:rsid w:val="00F22AC5"/>
    <w:rsid w:val="00F254D1"/>
    <w:rsid w:val="00F32B82"/>
    <w:rsid w:val="00F34C86"/>
    <w:rsid w:val="00F4043E"/>
    <w:rsid w:val="00F41795"/>
    <w:rsid w:val="00F41BBC"/>
    <w:rsid w:val="00F444F0"/>
    <w:rsid w:val="00F446FF"/>
    <w:rsid w:val="00F45521"/>
    <w:rsid w:val="00F50847"/>
    <w:rsid w:val="00F521A0"/>
    <w:rsid w:val="00F53F27"/>
    <w:rsid w:val="00F546D1"/>
    <w:rsid w:val="00F60281"/>
    <w:rsid w:val="00F6393A"/>
    <w:rsid w:val="00F66272"/>
    <w:rsid w:val="00F67968"/>
    <w:rsid w:val="00F701F8"/>
    <w:rsid w:val="00F7022E"/>
    <w:rsid w:val="00F709C0"/>
    <w:rsid w:val="00F73888"/>
    <w:rsid w:val="00F774BE"/>
    <w:rsid w:val="00F81FEC"/>
    <w:rsid w:val="00F90B24"/>
    <w:rsid w:val="00F91242"/>
    <w:rsid w:val="00F927A1"/>
    <w:rsid w:val="00F92E4D"/>
    <w:rsid w:val="00F957BF"/>
    <w:rsid w:val="00F95D08"/>
    <w:rsid w:val="00FA0497"/>
    <w:rsid w:val="00FA23BD"/>
    <w:rsid w:val="00FA3764"/>
    <w:rsid w:val="00FA41C7"/>
    <w:rsid w:val="00FA4A79"/>
    <w:rsid w:val="00FA54E1"/>
    <w:rsid w:val="00FA56ED"/>
    <w:rsid w:val="00FB05DD"/>
    <w:rsid w:val="00FB0F7C"/>
    <w:rsid w:val="00FB24EA"/>
    <w:rsid w:val="00FB5FA6"/>
    <w:rsid w:val="00FC0334"/>
    <w:rsid w:val="00FC0753"/>
    <w:rsid w:val="00FC1310"/>
    <w:rsid w:val="00FC2FF3"/>
    <w:rsid w:val="00FC3263"/>
    <w:rsid w:val="00FC3A10"/>
    <w:rsid w:val="00FC460C"/>
    <w:rsid w:val="00FC51F9"/>
    <w:rsid w:val="00FC5B40"/>
    <w:rsid w:val="00FC5FF8"/>
    <w:rsid w:val="00FD271B"/>
    <w:rsid w:val="00FD3D7C"/>
    <w:rsid w:val="00FD4F8F"/>
    <w:rsid w:val="00FE0C16"/>
    <w:rsid w:val="00FE14B1"/>
    <w:rsid w:val="00FE4D97"/>
    <w:rsid w:val="00FE59C0"/>
    <w:rsid w:val="00FE5F90"/>
    <w:rsid w:val="00FF0070"/>
    <w:rsid w:val="00FF07C3"/>
    <w:rsid w:val="00FF4E2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1A4AD2"/>
    <w:rPr>
      <w:rFonts w:ascii="Arial" w:hAnsi="Arial" w:cs="Arial"/>
      <w:b/>
      <w:color w:val="000000"/>
      <w:kern w:val="28"/>
      <w:sz w:val="28"/>
    </w:rPr>
  </w:style>
  <w:style w:type="paragraph" w:styleId="Bibliography">
    <w:name w:val="Bibliography"/>
    <w:basedOn w:val="Normal"/>
    <w:next w:val="Normal"/>
    <w:uiPriority w:val="37"/>
    <w:unhideWhenUsed/>
    <w:rsid w:val="001A4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06119">
      <w:bodyDiv w:val="1"/>
      <w:marLeft w:val="0"/>
      <w:marRight w:val="0"/>
      <w:marTop w:val="0"/>
      <w:marBottom w:val="0"/>
      <w:divBdr>
        <w:top w:val="none" w:sz="0" w:space="0" w:color="auto"/>
        <w:left w:val="none" w:sz="0" w:space="0" w:color="auto"/>
        <w:bottom w:val="none" w:sz="0" w:space="0" w:color="auto"/>
        <w:right w:val="none" w:sz="0" w:space="0" w:color="auto"/>
      </w:divBdr>
    </w:div>
    <w:div w:id="303242619">
      <w:bodyDiv w:val="1"/>
      <w:marLeft w:val="0"/>
      <w:marRight w:val="0"/>
      <w:marTop w:val="0"/>
      <w:marBottom w:val="0"/>
      <w:divBdr>
        <w:top w:val="none" w:sz="0" w:space="0" w:color="auto"/>
        <w:left w:val="none" w:sz="0" w:space="0" w:color="auto"/>
        <w:bottom w:val="none" w:sz="0" w:space="0" w:color="auto"/>
        <w:right w:val="none" w:sz="0" w:space="0" w:color="auto"/>
      </w:divBdr>
    </w:div>
    <w:div w:id="338893450">
      <w:bodyDiv w:val="1"/>
      <w:marLeft w:val="0"/>
      <w:marRight w:val="0"/>
      <w:marTop w:val="0"/>
      <w:marBottom w:val="0"/>
      <w:divBdr>
        <w:top w:val="none" w:sz="0" w:space="0" w:color="auto"/>
        <w:left w:val="none" w:sz="0" w:space="0" w:color="auto"/>
        <w:bottom w:val="none" w:sz="0" w:space="0" w:color="auto"/>
        <w:right w:val="none" w:sz="0" w:space="0" w:color="auto"/>
      </w:divBdr>
    </w:div>
    <w:div w:id="347566925">
      <w:bodyDiv w:val="1"/>
      <w:marLeft w:val="0"/>
      <w:marRight w:val="0"/>
      <w:marTop w:val="0"/>
      <w:marBottom w:val="0"/>
      <w:divBdr>
        <w:top w:val="none" w:sz="0" w:space="0" w:color="auto"/>
        <w:left w:val="none" w:sz="0" w:space="0" w:color="auto"/>
        <w:bottom w:val="none" w:sz="0" w:space="0" w:color="auto"/>
        <w:right w:val="none" w:sz="0" w:space="0" w:color="auto"/>
      </w:divBdr>
    </w:div>
    <w:div w:id="593787122">
      <w:bodyDiv w:val="1"/>
      <w:marLeft w:val="0"/>
      <w:marRight w:val="0"/>
      <w:marTop w:val="0"/>
      <w:marBottom w:val="0"/>
      <w:divBdr>
        <w:top w:val="none" w:sz="0" w:space="0" w:color="auto"/>
        <w:left w:val="none" w:sz="0" w:space="0" w:color="auto"/>
        <w:bottom w:val="none" w:sz="0" w:space="0" w:color="auto"/>
        <w:right w:val="none" w:sz="0" w:space="0" w:color="auto"/>
      </w:divBdr>
    </w:div>
    <w:div w:id="687025635">
      <w:bodyDiv w:val="1"/>
      <w:marLeft w:val="0"/>
      <w:marRight w:val="0"/>
      <w:marTop w:val="0"/>
      <w:marBottom w:val="0"/>
      <w:divBdr>
        <w:top w:val="none" w:sz="0" w:space="0" w:color="auto"/>
        <w:left w:val="none" w:sz="0" w:space="0" w:color="auto"/>
        <w:bottom w:val="none" w:sz="0" w:space="0" w:color="auto"/>
        <w:right w:val="none" w:sz="0" w:space="0" w:color="auto"/>
      </w:divBdr>
    </w:div>
    <w:div w:id="743113983">
      <w:bodyDiv w:val="1"/>
      <w:marLeft w:val="0"/>
      <w:marRight w:val="0"/>
      <w:marTop w:val="0"/>
      <w:marBottom w:val="0"/>
      <w:divBdr>
        <w:top w:val="none" w:sz="0" w:space="0" w:color="auto"/>
        <w:left w:val="none" w:sz="0" w:space="0" w:color="auto"/>
        <w:bottom w:val="none" w:sz="0" w:space="0" w:color="auto"/>
        <w:right w:val="none" w:sz="0" w:space="0" w:color="auto"/>
      </w:divBdr>
    </w:div>
    <w:div w:id="83974070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7322874">
      <w:bodyDiv w:val="1"/>
      <w:marLeft w:val="0"/>
      <w:marRight w:val="0"/>
      <w:marTop w:val="0"/>
      <w:marBottom w:val="0"/>
      <w:divBdr>
        <w:top w:val="none" w:sz="0" w:space="0" w:color="auto"/>
        <w:left w:val="none" w:sz="0" w:space="0" w:color="auto"/>
        <w:bottom w:val="none" w:sz="0" w:space="0" w:color="auto"/>
        <w:right w:val="none" w:sz="0" w:space="0" w:color="auto"/>
      </w:divBdr>
    </w:div>
    <w:div w:id="1335576015">
      <w:bodyDiv w:val="1"/>
      <w:marLeft w:val="0"/>
      <w:marRight w:val="0"/>
      <w:marTop w:val="0"/>
      <w:marBottom w:val="0"/>
      <w:divBdr>
        <w:top w:val="none" w:sz="0" w:space="0" w:color="auto"/>
        <w:left w:val="none" w:sz="0" w:space="0" w:color="auto"/>
        <w:bottom w:val="none" w:sz="0" w:space="0" w:color="auto"/>
        <w:right w:val="none" w:sz="0" w:space="0" w:color="auto"/>
      </w:divBdr>
    </w:div>
    <w:div w:id="1664822611">
      <w:bodyDiv w:val="1"/>
      <w:marLeft w:val="0"/>
      <w:marRight w:val="0"/>
      <w:marTop w:val="0"/>
      <w:marBottom w:val="0"/>
      <w:divBdr>
        <w:top w:val="none" w:sz="0" w:space="0" w:color="auto"/>
        <w:left w:val="none" w:sz="0" w:space="0" w:color="auto"/>
        <w:bottom w:val="none" w:sz="0" w:space="0" w:color="auto"/>
        <w:right w:val="none" w:sz="0" w:space="0" w:color="auto"/>
      </w:divBdr>
    </w:div>
    <w:div w:id="1793939762">
      <w:bodyDiv w:val="1"/>
      <w:marLeft w:val="0"/>
      <w:marRight w:val="0"/>
      <w:marTop w:val="0"/>
      <w:marBottom w:val="0"/>
      <w:divBdr>
        <w:top w:val="none" w:sz="0" w:space="0" w:color="auto"/>
        <w:left w:val="none" w:sz="0" w:space="0" w:color="auto"/>
        <w:bottom w:val="none" w:sz="0" w:space="0" w:color="auto"/>
        <w:right w:val="none" w:sz="0" w:space="0" w:color="auto"/>
      </w:divBdr>
    </w:div>
    <w:div w:id="1917588537">
      <w:bodyDiv w:val="1"/>
      <w:marLeft w:val="0"/>
      <w:marRight w:val="0"/>
      <w:marTop w:val="0"/>
      <w:marBottom w:val="0"/>
      <w:divBdr>
        <w:top w:val="none" w:sz="0" w:space="0" w:color="auto"/>
        <w:left w:val="none" w:sz="0" w:space="0" w:color="auto"/>
        <w:bottom w:val="none" w:sz="0" w:space="0" w:color="auto"/>
        <w:right w:val="none" w:sz="0" w:space="0" w:color="auto"/>
      </w:divBdr>
    </w:div>
    <w:div w:id="19580247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6056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Wal22</b:Tag>
    <b:SourceType>InternetSite</b:SourceType>
    <b:Guid>{05E9ABAC-5B87-4357-8E13-ABC8F226B00C}</b:Guid>
    <b:Author>
      <b:Author>
        <b:NameList>
          <b:Person>
            <b:Last>Wales</b:Last>
            <b:First>Social</b:First>
            <b:Middle>Care</b:Middle>
          </b:Person>
        </b:NameList>
      </b:Author>
    </b:Author>
    <b:Title>Resources and Guidance</b:Title>
    <b:Year>2022</b:Year>
    <b:InternetSiteTitle>Social Care Wales </b:InternetSiteTitle>
    <b:Month>November </b:Month>
    <b:Day>14th</b:Day>
    <b:URL>https://socialcare.wales/resources-guidance/safeguarding-list#:~:text=Safeguarding%20is%20about%20protecting%20children,recognise%20the%20signs%20and%20dangers.</b:URL>
    <b:RefOrder>2</b:RefOrder>
  </b:Source>
  <b:Source>
    <b:Tag>CIW21</b:Tag>
    <b:SourceType>JournalArticle</b:SourceType>
    <b:Guid>{488A0755-B0A4-455D-BF10-F006D83A99C5}</b:Guid>
    <b:Author>
      <b:Author>
        <b:NameList>
          <b:Person>
            <b:Last>CIW</b:Last>
          </b:Person>
        </b:NameList>
      </b:Author>
    </b:Author>
    <b:Title>Care Inspectorate Wales</b:Title>
    <b:Year>2021</b:Year>
    <b:JournalName>Safeguarding Policy </b:JournalName>
    <b:Pages>2</b:Pages>
    <b:RefOrder>3</b:RefOrder>
  </b:Source>
  <b:Source>
    <b:Tag>Car21</b:Tag>
    <b:SourceType>Report</b:SourceType>
    <b:Guid>{B44304C3-1983-441C-9FC7-AD3123A19E0E}</b:Guid>
    <b:Author>
      <b:Author>
        <b:NameList>
          <b:Person>
            <b:Last>Wales</b:Last>
            <b:First>Care</b:First>
            <b:Middle>Inspectorate</b:Middle>
          </b:Person>
        </b:NameList>
      </b:Author>
    </b:Author>
    <b:Title>CIW</b:Title>
    <b:InternetSiteTitle>Care Inspectorate Wales</b:InternetSiteTitle>
    <b:Year>2021</b:Year>
    <b:Month>May</b:Month>
    <b:URL>https://www.careinspectorate.wales/sites/default/files/2021-07/210708-safeguarding-policy-en.pdf</b:URL>
    <b:JournalName>Safeguarding Guidance</b:JournalName>
    <b:Publisher>CIW</b:Publisher>
    <b:RefOrder>4</b:RefOrder>
  </b:Source>
  <b:Source>
    <b:Tag>Gov14</b:Tag>
    <b:SourceType>DocumentFromInternetSite</b:SourceType>
    <b:Guid>{55B957C2-08E2-4D54-B1EB-D93C2D7606CF}</b:Guid>
    <b:Title>The Care Act 3014</b:Title>
    <b:Year>2014</b:Year>
    <b:InternetSiteTitle>legislation.gov.uk</b:InternetSiteTitle>
    <b:URL>https://www.legislation.gov.uk/ukpga/2014/23/part/1/crossheading/safeguarding-adults-at-risk-of-abuse-or-neglect</b:URL>
    <b:Author>
      <b:Author>
        <b:NameList>
          <b:Person>
            <b:Last>Governement</b:Last>
          </b:Person>
        </b:NameList>
      </b:Author>
    </b:Author>
    <b:CountryRegion>United Kingdom</b:CountryRegion>
    <b:RefOrder>5</b:RefOrder>
  </b:Source>
  <b:Source>
    <b:Tag>Gov05</b:Tag>
    <b:SourceType>DocumentFromInternetSite</b:SourceType>
    <b:Guid>{2CE50AF1-821D-4FCA-B4CC-D3CCD6311DC7}</b:Guid>
    <b:Author>
      <b:Author>
        <b:NameList>
          <b:Person>
            <b:Last>Government</b:Last>
          </b:Person>
        </b:NameList>
      </b:Author>
    </b:Author>
    <b:Title>The Mental Capacity Act 2005</b:Title>
    <b:InternetSiteTitle>legislation.gov.uk</b:InternetSiteTitle>
    <b:Year>2005</b:Year>
    <b:URL>ttps://www.legislation.gov.uk/ukpga/2005/9/contents</b:URL>
    <b:RefOrder>1</b:RefOrder>
  </b:Source>
  <b:Source>
    <b:Tag>Wel22</b:Tag>
    <b:SourceType>DocumentFromInternetSite</b:SourceType>
    <b:Guid>{859DFB3C-6BA5-462A-8853-D377F7B40105}</b:Guid>
    <b:Author>
      <b:Author>
        <b:NameList>
          <b:Person>
            <b:Last>Government</b:Last>
            <b:First>Welsh</b:First>
          </b:Person>
        </b:NameList>
      </b:Author>
    </b:Author>
    <b:Title>gov.wales</b:Title>
    <b:Year>2022</b:Year>
    <b:Month>Jamuary </b:Month>
    <b:Day>11th</b:Day>
    <b:URL>https://www.gov.wales/working-together-safeguard-people-code-safeguarding-practice</b:URL>
    <b:RefOrder>6</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5B66FC-F704-4454-8B0A-64D56FF5A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1902</TotalTime>
  <Pages>4</Pages>
  <Words>1160</Words>
  <Characters>6718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Zoe Chespy</cp:lastModifiedBy>
  <cp:revision>178</cp:revision>
  <cp:lastPrinted>2020-02-11T19:20:00Z</cp:lastPrinted>
  <dcterms:created xsi:type="dcterms:W3CDTF">2024-11-12T13:09:00Z</dcterms:created>
  <dcterms:modified xsi:type="dcterms:W3CDTF">2025-10-02T14:50:00Z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