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17B4" w:rsidRPr="00AD67CE" w:rsidRDefault="00AA17B4">
      <w:pPr>
        <w:rPr>
          <w:sz w:val="16"/>
          <w:szCs w:val="16"/>
        </w:rPr>
      </w:pPr>
    </w:p>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rsidP="00936D3D">
      <w:pPr>
        <w:pStyle w:val="Title"/>
        <w:jc w:val="center"/>
      </w:pPr>
      <w:r>
        <w:t>Accounting Fundamentals Coursework</w:t>
      </w:r>
    </w:p>
    <w:p w:rsidR="00AD67CE" w:rsidRDefault="00AD67CE" w:rsidP="00AD67CE"/>
    <w:p w:rsidR="00AD67CE" w:rsidRDefault="00AD67CE" w:rsidP="00AD67CE"/>
    <w:p w:rsidR="00AD67CE" w:rsidRDefault="00AD67CE" w:rsidP="00AD67CE"/>
    <w:p w:rsidR="00AD67CE" w:rsidRDefault="00AD67CE" w:rsidP="00AD67CE"/>
    <w:p w:rsidR="00AD67CE" w:rsidRDefault="00AD67CE" w:rsidP="00AD67CE"/>
    <w:p w:rsidR="00AD67CE" w:rsidRDefault="00AD67CE" w:rsidP="00AD67CE"/>
    <w:p w:rsidR="00AD67CE" w:rsidRDefault="00AD67CE" w:rsidP="00AD67CE">
      <w:pPr>
        <w:rPr>
          <w:sz w:val="32"/>
          <w:szCs w:val="32"/>
        </w:rPr>
      </w:pPr>
      <w:r w:rsidRPr="00D01EE5">
        <w:rPr>
          <w:sz w:val="32"/>
          <w:szCs w:val="32"/>
        </w:rPr>
        <w:t xml:space="preserve">Student name: </w:t>
      </w:r>
      <w:proofErr w:type="spellStart"/>
      <w:r w:rsidRPr="00D01EE5">
        <w:rPr>
          <w:sz w:val="32"/>
          <w:szCs w:val="32"/>
        </w:rPr>
        <w:t>Ventsislava</w:t>
      </w:r>
      <w:proofErr w:type="spellEnd"/>
      <w:r w:rsidRPr="00D01EE5">
        <w:rPr>
          <w:sz w:val="32"/>
          <w:szCs w:val="32"/>
        </w:rPr>
        <w:t xml:space="preserve"> </w:t>
      </w:r>
      <w:proofErr w:type="spellStart"/>
      <w:r w:rsidRPr="00D01EE5">
        <w:rPr>
          <w:sz w:val="32"/>
          <w:szCs w:val="32"/>
        </w:rPr>
        <w:t>Kostadinova</w:t>
      </w:r>
      <w:proofErr w:type="spellEnd"/>
      <w:r w:rsidRPr="00D01EE5">
        <w:rPr>
          <w:sz w:val="32"/>
          <w:szCs w:val="32"/>
        </w:rPr>
        <w:t xml:space="preserve"> </w:t>
      </w:r>
      <w:r w:rsidR="000767C3">
        <w:rPr>
          <w:sz w:val="32"/>
          <w:szCs w:val="32"/>
        </w:rPr>
        <w:t>(2023558)</w:t>
      </w:r>
    </w:p>
    <w:p w:rsidR="000767C3" w:rsidRDefault="000767C3" w:rsidP="00AD67CE">
      <w:pPr>
        <w:rPr>
          <w:sz w:val="32"/>
          <w:szCs w:val="32"/>
        </w:rPr>
      </w:pPr>
    </w:p>
    <w:p w:rsidR="000767C3" w:rsidRPr="00D01EE5" w:rsidRDefault="000767C3" w:rsidP="00AD67CE">
      <w:pPr>
        <w:rPr>
          <w:sz w:val="32"/>
          <w:szCs w:val="32"/>
        </w:rPr>
      </w:pPr>
    </w:p>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936D3D" w:rsidRDefault="00936D3D"/>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sdt>
      <w:sdtPr>
        <w:rPr>
          <w:rFonts w:asciiTheme="minorHAnsi" w:eastAsiaTheme="minorHAnsi" w:hAnsiTheme="minorHAnsi" w:cstheme="minorBidi"/>
          <w:b w:val="0"/>
          <w:bCs w:val="0"/>
          <w:color w:val="auto"/>
          <w:sz w:val="22"/>
          <w:szCs w:val="22"/>
          <w:lang w:val="en-GB"/>
        </w:rPr>
        <w:id w:val="20269945"/>
        <w:docPartObj>
          <w:docPartGallery w:val="Table of Contents"/>
          <w:docPartUnique/>
        </w:docPartObj>
      </w:sdtPr>
      <w:sdtEndPr/>
      <w:sdtContent>
        <w:p w:rsidR="00836E02" w:rsidRPr="00836E02" w:rsidRDefault="00836E02" w:rsidP="00836E02">
          <w:pPr>
            <w:pStyle w:val="TOCHeading"/>
            <w:spacing w:after="240" w:line="480" w:lineRule="auto"/>
            <w:jc w:val="both"/>
            <w:rPr>
              <w:rFonts w:ascii="Times New Roman" w:hAnsi="Times New Roman" w:cs="Times New Roman"/>
              <w:b w:val="0"/>
              <w:sz w:val="24"/>
              <w:szCs w:val="24"/>
            </w:rPr>
          </w:pPr>
          <w:r w:rsidRPr="00836E02">
            <w:rPr>
              <w:rFonts w:ascii="Times New Roman" w:hAnsi="Times New Roman" w:cs="Times New Roman"/>
            </w:rPr>
            <w:t>Table of Contents</w:t>
          </w:r>
        </w:p>
        <w:p w:rsidR="00836E02" w:rsidRPr="00836E02" w:rsidRDefault="00880E33" w:rsidP="00836E02">
          <w:pPr>
            <w:pStyle w:val="TOC1"/>
            <w:tabs>
              <w:tab w:val="right" w:leader="dot" w:pos="9016"/>
            </w:tabs>
            <w:spacing w:after="240" w:line="480" w:lineRule="auto"/>
            <w:jc w:val="both"/>
            <w:rPr>
              <w:rFonts w:ascii="Times New Roman" w:hAnsi="Times New Roman" w:cs="Times New Roman"/>
              <w:noProof/>
              <w:sz w:val="24"/>
              <w:szCs w:val="24"/>
            </w:rPr>
          </w:pPr>
          <w:r w:rsidRPr="00836E02">
            <w:rPr>
              <w:rFonts w:ascii="Times New Roman" w:hAnsi="Times New Roman" w:cs="Times New Roman"/>
              <w:sz w:val="24"/>
              <w:szCs w:val="24"/>
            </w:rPr>
            <w:fldChar w:fldCharType="begin"/>
          </w:r>
          <w:r w:rsidR="00836E02" w:rsidRPr="00836E02">
            <w:rPr>
              <w:rFonts w:ascii="Times New Roman" w:hAnsi="Times New Roman" w:cs="Times New Roman"/>
              <w:sz w:val="24"/>
              <w:szCs w:val="24"/>
            </w:rPr>
            <w:instrText xml:space="preserve"> TOC \o "1-3" \h \z \u </w:instrText>
          </w:r>
          <w:r w:rsidRPr="00836E02">
            <w:rPr>
              <w:rFonts w:ascii="Times New Roman" w:hAnsi="Times New Roman" w:cs="Times New Roman"/>
              <w:sz w:val="24"/>
              <w:szCs w:val="24"/>
            </w:rPr>
            <w:fldChar w:fldCharType="separate"/>
          </w:r>
          <w:hyperlink w:anchor="_Toc77601941" w:history="1">
            <w:r w:rsidR="00836E02" w:rsidRPr="00836E02">
              <w:rPr>
                <w:rStyle w:val="Hyperlink"/>
                <w:rFonts w:ascii="Times New Roman" w:hAnsi="Times New Roman" w:cs="Times New Roman"/>
                <w:noProof/>
                <w:sz w:val="24"/>
                <w:szCs w:val="24"/>
              </w:rPr>
              <w:t>Question 1: Financial statements</w:t>
            </w:r>
            <w:r w:rsidR="00836E02" w:rsidRPr="00836E02">
              <w:rPr>
                <w:rFonts w:ascii="Times New Roman" w:hAnsi="Times New Roman" w:cs="Times New Roman"/>
                <w:noProof/>
                <w:webHidden/>
                <w:sz w:val="24"/>
                <w:szCs w:val="24"/>
              </w:rPr>
              <w:tab/>
            </w:r>
            <w:r w:rsidRPr="00836E02">
              <w:rPr>
                <w:rFonts w:ascii="Times New Roman" w:hAnsi="Times New Roman" w:cs="Times New Roman"/>
                <w:noProof/>
                <w:webHidden/>
                <w:sz w:val="24"/>
                <w:szCs w:val="24"/>
              </w:rPr>
              <w:fldChar w:fldCharType="begin"/>
            </w:r>
            <w:r w:rsidR="00836E02" w:rsidRPr="00836E02">
              <w:rPr>
                <w:rFonts w:ascii="Times New Roman" w:hAnsi="Times New Roman" w:cs="Times New Roman"/>
                <w:noProof/>
                <w:webHidden/>
                <w:sz w:val="24"/>
                <w:szCs w:val="24"/>
              </w:rPr>
              <w:instrText xml:space="preserve"> PAGEREF _Toc77601941 \h </w:instrText>
            </w:r>
            <w:r w:rsidRPr="00836E02">
              <w:rPr>
                <w:rFonts w:ascii="Times New Roman" w:hAnsi="Times New Roman" w:cs="Times New Roman"/>
                <w:noProof/>
                <w:webHidden/>
                <w:sz w:val="24"/>
                <w:szCs w:val="24"/>
              </w:rPr>
            </w:r>
            <w:r w:rsidRPr="00836E02">
              <w:rPr>
                <w:rFonts w:ascii="Times New Roman" w:hAnsi="Times New Roman" w:cs="Times New Roman"/>
                <w:noProof/>
                <w:webHidden/>
                <w:sz w:val="24"/>
                <w:szCs w:val="24"/>
              </w:rPr>
              <w:fldChar w:fldCharType="separate"/>
            </w:r>
            <w:r w:rsidR="0008214B">
              <w:rPr>
                <w:rFonts w:ascii="Times New Roman" w:hAnsi="Times New Roman" w:cs="Times New Roman"/>
                <w:noProof/>
                <w:webHidden/>
                <w:sz w:val="24"/>
                <w:szCs w:val="24"/>
              </w:rPr>
              <w:t>3</w:t>
            </w:r>
            <w:r w:rsidRPr="00836E02">
              <w:rPr>
                <w:rFonts w:ascii="Times New Roman" w:hAnsi="Times New Roman" w:cs="Times New Roman"/>
                <w:noProof/>
                <w:webHidden/>
                <w:sz w:val="24"/>
                <w:szCs w:val="24"/>
              </w:rPr>
              <w:fldChar w:fldCharType="end"/>
            </w:r>
          </w:hyperlink>
        </w:p>
        <w:p w:rsidR="00836E02" w:rsidRPr="00836E02" w:rsidRDefault="00DD60B9" w:rsidP="00836E02">
          <w:pPr>
            <w:pStyle w:val="TOC1"/>
            <w:tabs>
              <w:tab w:val="right" w:leader="dot" w:pos="9016"/>
            </w:tabs>
            <w:spacing w:after="240" w:line="480" w:lineRule="auto"/>
            <w:jc w:val="both"/>
            <w:rPr>
              <w:rFonts w:ascii="Times New Roman" w:hAnsi="Times New Roman" w:cs="Times New Roman"/>
              <w:noProof/>
              <w:sz w:val="24"/>
              <w:szCs w:val="24"/>
            </w:rPr>
          </w:pPr>
          <w:hyperlink w:anchor="_Toc77601942" w:history="1">
            <w:r w:rsidR="00836E02" w:rsidRPr="00836E02">
              <w:rPr>
                <w:rStyle w:val="Hyperlink"/>
                <w:rFonts w:ascii="Times New Roman" w:hAnsi="Times New Roman" w:cs="Times New Roman"/>
                <w:noProof/>
                <w:sz w:val="24"/>
                <w:szCs w:val="24"/>
              </w:rPr>
              <w:t>Question 2: Ratios</w:t>
            </w:r>
            <w:r w:rsidR="00836E02" w:rsidRPr="00836E02">
              <w:rPr>
                <w:rFonts w:ascii="Times New Roman" w:hAnsi="Times New Roman" w:cs="Times New Roman"/>
                <w:noProof/>
                <w:webHidden/>
                <w:sz w:val="24"/>
                <w:szCs w:val="24"/>
              </w:rPr>
              <w:tab/>
            </w:r>
            <w:r w:rsidR="00880E33" w:rsidRPr="00836E02">
              <w:rPr>
                <w:rFonts w:ascii="Times New Roman" w:hAnsi="Times New Roman" w:cs="Times New Roman"/>
                <w:noProof/>
                <w:webHidden/>
                <w:sz w:val="24"/>
                <w:szCs w:val="24"/>
              </w:rPr>
              <w:fldChar w:fldCharType="begin"/>
            </w:r>
            <w:r w:rsidR="00836E02" w:rsidRPr="00836E02">
              <w:rPr>
                <w:rFonts w:ascii="Times New Roman" w:hAnsi="Times New Roman" w:cs="Times New Roman"/>
                <w:noProof/>
                <w:webHidden/>
                <w:sz w:val="24"/>
                <w:szCs w:val="24"/>
              </w:rPr>
              <w:instrText xml:space="preserve"> PAGEREF _Toc77601942 \h </w:instrText>
            </w:r>
            <w:r w:rsidR="00880E33" w:rsidRPr="00836E02">
              <w:rPr>
                <w:rFonts w:ascii="Times New Roman" w:hAnsi="Times New Roman" w:cs="Times New Roman"/>
                <w:noProof/>
                <w:webHidden/>
                <w:sz w:val="24"/>
                <w:szCs w:val="24"/>
              </w:rPr>
            </w:r>
            <w:r w:rsidR="00880E33" w:rsidRPr="00836E02">
              <w:rPr>
                <w:rFonts w:ascii="Times New Roman" w:hAnsi="Times New Roman" w:cs="Times New Roman"/>
                <w:noProof/>
                <w:webHidden/>
                <w:sz w:val="24"/>
                <w:szCs w:val="24"/>
              </w:rPr>
              <w:fldChar w:fldCharType="separate"/>
            </w:r>
            <w:r w:rsidR="0008214B">
              <w:rPr>
                <w:rFonts w:ascii="Times New Roman" w:hAnsi="Times New Roman" w:cs="Times New Roman"/>
                <w:noProof/>
                <w:webHidden/>
                <w:sz w:val="24"/>
                <w:szCs w:val="24"/>
              </w:rPr>
              <w:t>6</w:t>
            </w:r>
            <w:r w:rsidR="00880E33" w:rsidRPr="00836E02">
              <w:rPr>
                <w:rFonts w:ascii="Times New Roman" w:hAnsi="Times New Roman" w:cs="Times New Roman"/>
                <w:noProof/>
                <w:webHidden/>
                <w:sz w:val="24"/>
                <w:szCs w:val="24"/>
              </w:rPr>
              <w:fldChar w:fldCharType="end"/>
            </w:r>
          </w:hyperlink>
        </w:p>
        <w:p w:rsidR="00836E02" w:rsidRPr="00836E02" w:rsidRDefault="00DD60B9" w:rsidP="00836E02">
          <w:pPr>
            <w:pStyle w:val="TOC1"/>
            <w:tabs>
              <w:tab w:val="right" w:leader="dot" w:pos="9016"/>
            </w:tabs>
            <w:spacing w:after="240" w:line="480" w:lineRule="auto"/>
            <w:jc w:val="both"/>
            <w:rPr>
              <w:rFonts w:ascii="Times New Roman" w:hAnsi="Times New Roman" w:cs="Times New Roman"/>
              <w:noProof/>
              <w:sz w:val="24"/>
              <w:szCs w:val="24"/>
            </w:rPr>
          </w:pPr>
          <w:hyperlink w:anchor="_Toc77601943" w:history="1">
            <w:r w:rsidR="00836E02" w:rsidRPr="00836E02">
              <w:rPr>
                <w:rStyle w:val="Hyperlink"/>
                <w:rFonts w:ascii="Times New Roman" w:hAnsi="Times New Roman" w:cs="Times New Roman"/>
                <w:noProof/>
                <w:sz w:val="24"/>
                <w:szCs w:val="24"/>
              </w:rPr>
              <w:t>References</w:t>
            </w:r>
            <w:r w:rsidR="00836E02" w:rsidRPr="00836E02">
              <w:rPr>
                <w:rFonts w:ascii="Times New Roman" w:hAnsi="Times New Roman" w:cs="Times New Roman"/>
                <w:noProof/>
                <w:webHidden/>
                <w:sz w:val="24"/>
                <w:szCs w:val="24"/>
              </w:rPr>
              <w:tab/>
            </w:r>
            <w:r w:rsidR="00880E33" w:rsidRPr="00836E02">
              <w:rPr>
                <w:rFonts w:ascii="Times New Roman" w:hAnsi="Times New Roman" w:cs="Times New Roman"/>
                <w:noProof/>
                <w:webHidden/>
                <w:sz w:val="24"/>
                <w:szCs w:val="24"/>
              </w:rPr>
              <w:fldChar w:fldCharType="begin"/>
            </w:r>
            <w:r w:rsidR="00836E02" w:rsidRPr="00836E02">
              <w:rPr>
                <w:rFonts w:ascii="Times New Roman" w:hAnsi="Times New Roman" w:cs="Times New Roman"/>
                <w:noProof/>
                <w:webHidden/>
                <w:sz w:val="24"/>
                <w:szCs w:val="24"/>
              </w:rPr>
              <w:instrText xml:space="preserve"> PAGEREF _Toc77601943 \h </w:instrText>
            </w:r>
            <w:r w:rsidR="00880E33" w:rsidRPr="00836E02">
              <w:rPr>
                <w:rFonts w:ascii="Times New Roman" w:hAnsi="Times New Roman" w:cs="Times New Roman"/>
                <w:noProof/>
                <w:webHidden/>
                <w:sz w:val="24"/>
                <w:szCs w:val="24"/>
              </w:rPr>
            </w:r>
            <w:r w:rsidR="00880E33" w:rsidRPr="00836E02">
              <w:rPr>
                <w:rFonts w:ascii="Times New Roman" w:hAnsi="Times New Roman" w:cs="Times New Roman"/>
                <w:noProof/>
                <w:webHidden/>
                <w:sz w:val="24"/>
                <w:szCs w:val="24"/>
              </w:rPr>
              <w:fldChar w:fldCharType="separate"/>
            </w:r>
            <w:r w:rsidR="0008214B">
              <w:rPr>
                <w:rFonts w:ascii="Times New Roman" w:hAnsi="Times New Roman" w:cs="Times New Roman"/>
                <w:noProof/>
                <w:webHidden/>
                <w:sz w:val="24"/>
                <w:szCs w:val="24"/>
              </w:rPr>
              <w:t>10</w:t>
            </w:r>
            <w:r w:rsidR="00880E33" w:rsidRPr="00836E02">
              <w:rPr>
                <w:rFonts w:ascii="Times New Roman" w:hAnsi="Times New Roman" w:cs="Times New Roman"/>
                <w:noProof/>
                <w:webHidden/>
                <w:sz w:val="24"/>
                <w:szCs w:val="24"/>
              </w:rPr>
              <w:fldChar w:fldCharType="end"/>
            </w:r>
          </w:hyperlink>
        </w:p>
        <w:p w:rsidR="00836E02" w:rsidRDefault="00880E33" w:rsidP="00836E02">
          <w:pPr>
            <w:spacing w:after="240" w:line="480" w:lineRule="auto"/>
            <w:jc w:val="both"/>
          </w:pPr>
          <w:r w:rsidRPr="00836E02">
            <w:rPr>
              <w:rFonts w:ascii="Times New Roman" w:hAnsi="Times New Roman" w:cs="Times New Roman"/>
              <w:sz w:val="24"/>
              <w:szCs w:val="24"/>
            </w:rPr>
            <w:fldChar w:fldCharType="end"/>
          </w:r>
        </w:p>
      </w:sdtContent>
    </w:sdt>
    <w:p w:rsidR="00836E02" w:rsidRDefault="00836E02"/>
    <w:p w:rsidR="00936D3D" w:rsidRDefault="00936D3D"/>
    <w:p w:rsidR="00936D3D" w:rsidRDefault="00936D3D"/>
    <w:p w:rsidR="00936D3D" w:rsidRDefault="00936D3D"/>
    <w:p w:rsidR="00936D3D" w:rsidRDefault="00936D3D"/>
    <w:p w:rsidR="00936D3D" w:rsidRDefault="00936D3D"/>
    <w:p w:rsidR="00936D3D" w:rsidRDefault="00936D3D"/>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836E02" w:rsidRDefault="00836E02"/>
    <w:p w:rsidR="00936D3D" w:rsidRDefault="00936D3D"/>
    <w:p w:rsidR="00936D3D" w:rsidRDefault="00936D3D"/>
    <w:p w:rsidR="00936D3D" w:rsidRDefault="00936D3D"/>
    <w:p w:rsidR="00936D3D" w:rsidRPr="00836E02" w:rsidRDefault="00731F46" w:rsidP="00836E02">
      <w:pPr>
        <w:pStyle w:val="Heading1"/>
        <w:spacing w:after="240" w:line="360" w:lineRule="auto"/>
        <w:rPr>
          <w:rFonts w:ascii="Times New Roman" w:hAnsi="Times New Roman" w:cs="Times New Roman"/>
          <w:b/>
          <w:sz w:val="28"/>
          <w:szCs w:val="28"/>
        </w:rPr>
      </w:pPr>
      <w:bookmarkStart w:id="0" w:name="_Toc77601941"/>
      <w:r w:rsidRPr="00836E02">
        <w:rPr>
          <w:rFonts w:ascii="Times New Roman" w:hAnsi="Times New Roman" w:cs="Times New Roman"/>
          <w:b/>
          <w:sz w:val="28"/>
          <w:szCs w:val="28"/>
        </w:rPr>
        <w:t>Question 1</w:t>
      </w:r>
      <w:r w:rsidR="00146A8F" w:rsidRPr="00836E02">
        <w:rPr>
          <w:rFonts w:ascii="Times New Roman" w:hAnsi="Times New Roman" w:cs="Times New Roman"/>
          <w:b/>
          <w:sz w:val="28"/>
          <w:szCs w:val="28"/>
        </w:rPr>
        <w:t>: Financial statements</w:t>
      </w:r>
      <w:bookmarkEnd w:id="0"/>
    </w:p>
    <w:p w:rsidR="00B11255" w:rsidRPr="00836E02" w:rsidRDefault="00B11255"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a)</w:t>
      </w:r>
      <w:r w:rsidR="00836E02">
        <w:rPr>
          <w:rFonts w:ascii="Times New Roman" w:hAnsi="Times New Roman" w:cs="Times New Roman"/>
          <w:sz w:val="24"/>
          <w:szCs w:val="24"/>
        </w:rPr>
        <w:t xml:space="preserve"> </w:t>
      </w:r>
      <w:r w:rsidRPr="00836E02">
        <w:rPr>
          <w:rFonts w:ascii="Times New Roman" w:hAnsi="Times New Roman" w:cs="Times New Roman"/>
          <w:sz w:val="24"/>
          <w:szCs w:val="24"/>
        </w:rPr>
        <w:t>The information provided in the case study shows the following balances:</w:t>
      </w:r>
    </w:p>
    <w:tbl>
      <w:tblPr>
        <w:tblW w:w="6480" w:type="dxa"/>
        <w:tblLook w:val="04A0" w:firstRow="1" w:lastRow="0" w:firstColumn="1" w:lastColumn="0" w:noHBand="0" w:noVBand="1"/>
      </w:tblPr>
      <w:tblGrid>
        <w:gridCol w:w="3545"/>
        <w:gridCol w:w="1515"/>
        <w:gridCol w:w="1420"/>
      </w:tblGrid>
      <w:tr w:rsidR="00B11255" w:rsidRPr="00836E02" w:rsidTr="00B11255">
        <w:trPr>
          <w:trHeight w:val="288"/>
        </w:trPr>
        <w:tc>
          <w:tcPr>
            <w:tcW w:w="6480" w:type="dxa"/>
            <w:gridSpan w:val="3"/>
            <w:tcBorders>
              <w:top w:val="nil"/>
              <w:left w:val="nil"/>
              <w:bottom w:val="nil"/>
              <w:right w:val="nil"/>
            </w:tcBorders>
            <w:shd w:val="clear" w:color="auto" w:fill="auto"/>
            <w:noWrap/>
            <w:vAlign w:val="bottom"/>
            <w:hideMark/>
          </w:tcPr>
          <w:p w:rsidR="00B11255" w:rsidRPr="00836E02" w:rsidRDefault="00B11255" w:rsidP="00836E02">
            <w:pPr>
              <w:spacing w:after="0" w:line="276" w:lineRule="auto"/>
              <w:jc w:val="center"/>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Kedison PLC - for the year ended 31st December 2020</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£1 ordinary chares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310,000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10% £1 preference shares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300,000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4% debentures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100,000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Plant and equipment</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632,730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Stock at 31st December 2020</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330,600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Sales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826,650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Cost of sales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578,650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Debtors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170,125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Trade creditors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171,355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Cash and bank</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12,900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Retained profits at 1st January 2020</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132,000 </w:t>
            </w: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Ordinary dividend paid</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Preference dividend paid</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lastRenderedPageBreak/>
              <w:t>Administrative expenses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Interest paid</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Directors remuneration</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Distribution costs</w:t>
            </w: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28,000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color w:val="000000"/>
                <w:sz w:val="24"/>
                <w:szCs w:val="24"/>
                <w:lang w:eastAsia="en-GB"/>
              </w:rPr>
            </w:pPr>
          </w:p>
        </w:tc>
      </w:tr>
      <w:tr w:rsidR="00B11255" w:rsidRPr="00836E02" w:rsidTr="00B11255">
        <w:trPr>
          <w:trHeight w:val="288"/>
        </w:trPr>
        <w:tc>
          <w:tcPr>
            <w:tcW w:w="354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sz w:val="24"/>
                <w:szCs w:val="24"/>
                <w:lang w:eastAsia="en-GB"/>
              </w:rPr>
            </w:pPr>
          </w:p>
        </w:tc>
        <w:tc>
          <w:tcPr>
            <w:tcW w:w="1515"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1,840,005 </w:t>
            </w:r>
          </w:p>
        </w:tc>
        <w:tc>
          <w:tcPr>
            <w:tcW w:w="1420" w:type="dxa"/>
            <w:tcBorders>
              <w:top w:val="nil"/>
              <w:left w:val="nil"/>
              <w:bottom w:val="nil"/>
              <w:right w:val="nil"/>
            </w:tcBorders>
            <w:shd w:val="clear" w:color="auto" w:fill="auto"/>
            <w:noWrap/>
            <w:vAlign w:val="bottom"/>
            <w:hideMark/>
          </w:tcPr>
          <w:p w:rsidR="00B11255" w:rsidRPr="00836E02" w:rsidRDefault="00B11255" w:rsidP="00836E02">
            <w:pPr>
              <w:spacing w:after="0" w:line="276"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1,840,005 </w:t>
            </w:r>
          </w:p>
        </w:tc>
      </w:tr>
    </w:tbl>
    <w:p w:rsidR="00B11255" w:rsidRPr="00836E02" w:rsidRDefault="00B11255" w:rsidP="00836E02">
      <w:pPr>
        <w:spacing w:after="0" w:line="360" w:lineRule="auto"/>
        <w:rPr>
          <w:rFonts w:ascii="Times New Roman" w:hAnsi="Times New Roman" w:cs="Times New Roman"/>
          <w:sz w:val="24"/>
          <w:szCs w:val="24"/>
        </w:rPr>
      </w:pPr>
    </w:p>
    <w:p w:rsidR="00936D3D" w:rsidRPr="00836E02" w:rsidRDefault="00936D3D" w:rsidP="00836E02">
      <w:pPr>
        <w:spacing w:after="240" w:line="360" w:lineRule="auto"/>
        <w:rPr>
          <w:rFonts w:ascii="Times New Roman" w:hAnsi="Times New Roman" w:cs="Times New Roman"/>
          <w:sz w:val="24"/>
          <w:szCs w:val="24"/>
        </w:rPr>
      </w:pPr>
    </w:p>
    <w:p w:rsidR="00B11255" w:rsidRPr="00836E02" w:rsidRDefault="00B11255"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Based on this and the additional data presented, the following Profit and loss statement and Statement of financial position have been created:</w:t>
      </w:r>
    </w:p>
    <w:tbl>
      <w:tblPr>
        <w:tblW w:w="6480" w:type="dxa"/>
        <w:tblLook w:val="04A0" w:firstRow="1" w:lastRow="0" w:firstColumn="1" w:lastColumn="0" w:noHBand="0" w:noVBand="1"/>
      </w:tblPr>
      <w:tblGrid>
        <w:gridCol w:w="4604"/>
        <w:gridCol w:w="222"/>
        <w:gridCol w:w="1826"/>
      </w:tblGrid>
      <w:tr w:rsidR="00B11255" w:rsidRPr="00836E02" w:rsidTr="00B11255">
        <w:trPr>
          <w:trHeight w:val="288"/>
        </w:trPr>
        <w:tc>
          <w:tcPr>
            <w:tcW w:w="6480" w:type="dxa"/>
            <w:gridSpan w:val="3"/>
            <w:tcBorders>
              <w:top w:val="nil"/>
              <w:left w:val="nil"/>
              <w:bottom w:val="nil"/>
              <w:right w:val="nil"/>
            </w:tcBorders>
            <w:shd w:val="clear" w:color="auto" w:fill="auto"/>
            <w:noWrap/>
            <w:vAlign w:val="bottom"/>
            <w:hideMark/>
          </w:tcPr>
          <w:p w:rsidR="00B11255" w:rsidRPr="00836E02" w:rsidRDefault="00B11255" w:rsidP="00EF1266">
            <w:pPr>
              <w:spacing w:after="0" w:line="360" w:lineRule="auto"/>
              <w:jc w:val="center"/>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Profit and Loss Statement for the year ended 31st December 2020</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jc w:val="center"/>
              <w:rPr>
                <w:rFonts w:ascii="Times New Roman" w:eastAsia="Times New Roman" w:hAnsi="Times New Roman" w:cs="Times New Roman"/>
                <w:b/>
                <w:bCs/>
                <w:color w:val="000000"/>
                <w:sz w:val="24"/>
                <w:szCs w:val="24"/>
                <w:lang w:eastAsia="en-GB"/>
              </w:rPr>
            </w:pP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Sales</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827,630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Cost of sales</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578,650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Gross profit</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248,980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Administrative expenses</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Commission of salesmen</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Distribution costs</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28,000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Directors' remuneration</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5,000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Earnings before interest and taxes</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182,980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Interest paid</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Corporate tax</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68,000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Net income</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112,980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Ordinary dividends paid</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20,000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Preference dividend paid</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Retained profits in beginning of year</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132,000 </w:t>
            </w:r>
          </w:p>
        </w:tc>
      </w:tr>
      <w:tr w:rsidR="00B11255" w:rsidRPr="00836E02" w:rsidTr="00B11255">
        <w:trPr>
          <w:trHeight w:val="288"/>
        </w:trPr>
        <w:tc>
          <w:tcPr>
            <w:tcW w:w="4604"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Retained profits at end of year</w:t>
            </w:r>
          </w:p>
        </w:tc>
        <w:tc>
          <w:tcPr>
            <w:tcW w:w="50"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1826"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194,980 </w:t>
            </w:r>
          </w:p>
        </w:tc>
      </w:tr>
    </w:tbl>
    <w:p w:rsidR="00B11255" w:rsidRPr="00836E02" w:rsidRDefault="00B11255" w:rsidP="00836E02">
      <w:pPr>
        <w:spacing w:after="0" w:line="360" w:lineRule="auto"/>
        <w:rPr>
          <w:rFonts w:ascii="Times New Roman" w:hAnsi="Times New Roman" w:cs="Times New Roman"/>
          <w:sz w:val="24"/>
          <w:szCs w:val="24"/>
        </w:rPr>
      </w:pPr>
    </w:p>
    <w:p w:rsidR="00B11255" w:rsidRDefault="00EF1266" w:rsidP="00EF126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financial statements are based on the foundation from the one for the previous year and the changes which took place during the analysed accounting period. Thus, the proposed </w:t>
      </w:r>
      <w:r>
        <w:rPr>
          <w:rFonts w:ascii="Times New Roman" w:hAnsi="Times New Roman" w:cs="Times New Roman"/>
          <w:sz w:val="24"/>
          <w:szCs w:val="24"/>
        </w:rPr>
        <w:lastRenderedPageBreak/>
        <w:t xml:space="preserve">figures in the statement of profit and loss and the one for the financial position of the company incorporate several key adjustments in several fields, as follows: </w:t>
      </w:r>
    </w:p>
    <w:p w:rsidR="00EF1266" w:rsidRPr="00EF1266" w:rsidRDefault="00EF1266" w:rsidP="00EF1266">
      <w:pPr>
        <w:spacing w:after="240" w:line="360" w:lineRule="auto"/>
        <w:rPr>
          <w:rFonts w:ascii="Times New Roman" w:hAnsi="Times New Roman" w:cs="Times New Roman"/>
          <w:sz w:val="24"/>
          <w:szCs w:val="24"/>
        </w:rPr>
      </w:pPr>
      <w:r w:rsidRPr="00EF1266">
        <w:rPr>
          <w:rFonts w:ascii="Times New Roman" w:hAnsi="Times New Roman" w:cs="Times New Roman"/>
          <w:sz w:val="24"/>
          <w:szCs w:val="24"/>
        </w:rPr>
        <w:t>Notes to Profit and Loss:</w:t>
      </w:r>
    </w:p>
    <w:p w:rsidR="00EF1266" w:rsidRPr="00EF1266" w:rsidRDefault="00EF1266" w:rsidP="00EF1266">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EF1266">
        <w:rPr>
          <w:rFonts w:ascii="Times New Roman" w:hAnsi="Times New Roman" w:cs="Times New Roman"/>
          <w:sz w:val="24"/>
          <w:szCs w:val="24"/>
        </w:rPr>
        <w:t>Sales</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826</w:t>
      </w:r>
      <w:r>
        <w:rPr>
          <w:rFonts w:ascii="Times New Roman" w:hAnsi="Times New Roman" w:cs="Times New Roman"/>
          <w:sz w:val="24"/>
          <w:szCs w:val="24"/>
        </w:rPr>
        <w:t>,</w:t>
      </w:r>
      <w:r w:rsidRPr="00EF1266">
        <w:rPr>
          <w:rFonts w:ascii="Times New Roman" w:hAnsi="Times New Roman" w:cs="Times New Roman"/>
          <w:sz w:val="24"/>
          <w:szCs w:val="24"/>
        </w:rPr>
        <w:t>650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980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827,630</w:t>
      </w:r>
    </w:p>
    <w:p w:rsidR="00EF1266" w:rsidRPr="00EF1266" w:rsidRDefault="00EF1266" w:rsidP="00EF1266">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EF1266">
        <w:rPr>
          <w:rFonts w:ascii="Times New Roman" w:hAnsi="Times New Roman" w:cs="Times New Roman"/>
          <w:sz w:val="24"/>
          <w:szCs w:val="24"/>
        </w:rPr>
        <w:t>Gross profit = sales – cost of sales = 827,630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578,650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248,980</w:t>
      </w:r>
    </w:p>
    <w:p w:rsidR="00EF1266" w:rsidRPr="00EF1266" w:rsidRDefault="00EF1266" w:rsidP="00EF1266">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EF1266">
        <w:rPr>
          <w:rFonts w:ascii="Times New Roman" w:hAnsi="Times New Roman" w:cs="Times New Roman"/>
          <w:sz w:val="24"/>
          <w:szCs w:val="24"/>
        </w:rPr>
        <w:t>Earnings before interest and taxes = Gross profit – administrative expenses – commission of salesmen – distribution costs – directors’ remuneration = 248,980-30,000-3,000-28,000-5,000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182,980</w:t>
      </w:r>
    </w:p>
    <w:p w:rsidR="00EF1266" w:rsidRPr="00EF1266" w:rsidRDefault="00EF1266" w:rsidP="00EF1266">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4) </w:t>
      </w:r>
      <w:r w:rsidRPr="00EF1266">
        <w:rPr>
          <w:rFonts w:ascii="Times New Roman" w:hAnsi="Times New Roman" w:cs="Times New Roman"/>
          <w:sz w:val="24"/>
          <w:szCs w:val="24"/>
        </w:rPr>
        <w:t>Net income = Earnings before interest and taxes – interest paid – corporate tax</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182,980-2,000-68,000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112,980</w:t>
      </w:r>
    </w:p>
    <w:p w:rsidR="00EF1266" w:rsidRPr="00EF1266" w:rsidRDefault="00EF1266" w:rsidP="00EF1266">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5) </w:t>
      </w:r>
      <w:r w:rsidRPr="00EF1266">
        <w:rPr>
          <w:rFonts w:ascii="Times New Roman" w:hAnsi="Times New Roman" w:cs="Times New Roman"/>
          <w:sz w:val="24"/>
          <w:szCs w:val="24"/>
        </w:rPr>
        <w:t>Retained profit at the end of the year = net income - ordinary dividends paid – preference dividend paid + retained profits in beginning of year = 112,980-20,000-30,000+132,000</w:t>
      </w:r>
      <w:r>
        <w:rPr>
          <w:rFonts w:ascii="Times New Roman" w:hAnsi="Times New Roman" w:cs="Times New Roman"/>
          <w:sz w:val="24"/>
          <w:szCs w:val="24"/>
        </w:rPr>
        <w:t xml:space="preserve"> </w:t>
      </w:r>
      <w:r w:rsidRPr="00EF1266">
        <w:rPr>
          <w:rFonts w:ascii="Times New Roman" w:hAnsi="Times New Roman" w:cs="Times New Roman"/>
          <w:sz w:val="24"/>
          <w:szCs w:val="24"/>
        </w:rPr>
        <w:t>=</w:t>
      </w:r>
      <w:r>
        <w:rPr>
          <w:rFonts w:ascii="Times New Roman" w:hAnsi="Times New Roman" w:cs="Times New Roman"/>
          <w:sz w:val="24"/>
          <w:szCs w:val="24"/>
        </w:rPr>
        <w:t xml:space="preserve"> </w:t>
      </w:r>
      <w:r w:rsidRPr="00EF1266">
        <w:rPr>
          <w:rFonts w:ascii="Times New Roman" w:hAnsi="Times New Roman" w:cs="Times New Roman"/>
          <w:sz w:val="24"/>
          <w:szCs w:val="24"/>
        </w:rPr>
        <w:t>194,980</w:t>
      </w:r>
    </w:p>
    <w:p w:rsidR="00EF1266" w:rsidRPr="00836E02" w:rsidRDefault="00EF1266" w:rsidP="00836E02">
      <w:pPr>
        <w:spacing w:after="240" w:line="360" w:lineRule="auto"/>
        <w:rPr>
          <w:rFonts w:ascii="Times New Roman" w:hAnsi="Times New Roman" w:cs="Times New Roman"/>
          <w:sz w:val="24"/>
          <w:szCs w:val="24"/>
        </w:rPr>
      </w:pPr>
      <w:r w:rsidRPr="00EF1266">
        <w:rPr>
          <w:rFonts w:ascii="Times New Roman" w:hAnsi="Times New Roman" w:cs="Times New Roman"/>
          <w:sz w:val="24"/>
          <w:szCs w:val="24"/>
        </w:rPr>
        <w:t>Notes to statement of financial position:</w:t>
      </w:r>
      <w:r>
        <w:rPr>
          <w:rFonts w:ascii="Times New Roman" w:hAnsi="Times New Roman" w:cs="Times New Roman"/>
          <w:sz w:val="24"/>
          <w:szCs w:val="24"/>
        </w:rPr>
        <w:t xml:space="preserve"> </w:t>
      </w:r>
      <w:r w:rsidRPr="00EF1266">
        <w:rPr>
          <w:rFonts w:ascii="Times New Roman" w:hAnsi="Times New Roman" w:cs="Times New Roman"/>
          <w:sz w:val="24"/>
          <w:szCs w:val="24"/>
        </w:rPr>
        <w:t>Debtors = 170</w:t>
      </w:r>
      <w:r>
        <w:rPr>
          <w:rFonts w:ascii="Times New Roman" w:hAnsi="Times New Roman" w:cs="Times New Roman"/>
          <w:sz w:val="24"/>
          <w:szCs w:val="24"/>
        </w:rPr>
        <w:t>,</w:t>
      </w:r>
      <w:r w:rsidRPr="00EF1266">
        <w:rPr>
          <w:rFonts w:ascii="Times New Roman" w:hAnsi="Times New Roman" w:cs="Times New Roman"/>
          <w:sz w:val="24"/>
          <w:szCs w:val="24"/>
        </w:rPr>
        <w:t>125+980 = 171,105</w:t>
      </w:r>
    </w:p>
    <w:tbl>
      <w:tblPr>
        <w:tblW w:w="6480" w:type="dxa"/>
        <w:tblLook w:val="04A0" w:firstRow="1" w:lastRow="0" w:firstColumn="1" w:lastColumn="0" w:noHBand="0" w:noVBand="1"/>
      </w:tblPr>
      <w:tblGrid>
        <w:gridCol w:w="4159"/>
        <w:gridCol w:w="222"/>
        <w:gridCol w:w="2259"/>
      </w:tblGrid>
      <w:tr w:rsidR="00B11255" w:rsidRPr="00836E02" w:rsidTr="00B11255">
        <w:trPr>
          <w:trHeight w:val="288"/>
        </w:trPr>
        <w:tc>
          <w:tcPr>
            <w:tcW w:w="6480" w:type="dxa"/>
            <w:gridSpan w:val="3"/>
            <w:tcBorders>
              <w:top w:val="nil"/>
              <w:left w:val="nil"/>
              <w:bottom w:val="nil"/>
              <w:right w:val="nil"/>
            </w:tcBorders>
            <w:shd w:val="clear" w:color="auto" w:fill="auto"/>
            <w:noWrap/>
            <w:vAlign w:val="bottom"/>
            <w:hideMark/>
          </w:tcPr>
          <w:p w:rsidR="00B11255" w:rsidRPr="00836E02" w:rsidRDefault="00B11255" w:rsidP="00EF1266">
            <w:pPr>
              <w:spacing w:after="0" w:line="360" w:lineRule="auto"/>
              <w:jc w:val="center"/>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Statement of financial position at 31st December 2020</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jc w:val="center"/>
              <w:rPr>
                <w:rFonts w:ascii="Times New Roman" w:eastAsia="Times New Roman" w:hAnsi="Times New Roman" w:cs="Times New Roman"/>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Assets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Plant and equipment</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632,730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Stock</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330,600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Debtors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171,105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Cash/bank</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12,900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assets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1,147,335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Liabilities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Creditors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171,355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Employees payable</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Tax payable</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68,000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liabilities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242,355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Equity</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sz w:val="24"/>
                <w:szCs w:val="24"/>
                <w:lang w:eastAsia="en-GB"/>
              </w:rPr>
            </w:pP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Retained profit</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194,980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lastRenderedPageBreak/>
              <w:t>Ordinary shares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310,000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Preference shares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300,000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Debentures</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color w:val="000000"/>
                <w:sz w:val="24"/>
                <w:szCs w:val="24"/>
                <w:lang w:eastAsia="en-GB"/>
              </w:rPr>
            </w:pPr>
            <w:r w:rsidRPr="00836E02">
              <w:rPr>
                <w:rFonts w:ascii="Times New Roman" w:eastAsia="Times New Roman" w:hAnsi="Times New Roman" w:cs="Times New Roman"/>
                <w:color w:val="000000"/>
                <w:sz w:val="24"/>
                <w:szCs w:val="24"/>
                <w:lang w:eastAsia="en-GB"/>
              </w:rPr>
              <w:t xml:space="preserve">           100,000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equity</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904,980 </w:t>
            </w:r>
          </w:p>
        </w:tc>
      </w:tr>
      <w:tr w:rsidR="00B11255" w:rsidRPr="00836E02" w:rsidTr="00B11255">
        <w:trPr>
          <w:trHeight w:val="288"/>
        </w:trPr>
        <w:tc>
          <w:tcPr>
            <w:tcW w:w="41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Total liabilities and equity</w:t>
            </w:r>
          </w:p>
        </w:tc>
        <w:tc>
          <w:tcPr>
            <w:tcW w:w="62"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p>
        </w:tc>
        <w:tc>
          <w:tcPr>
            <w:tcW w:w="2259" w:type="dxa"/>
            <w:tcBorders>
              <w:top w:val="nil"/>
              <w:left w:val="nil"/>
              <w:bottom w:val="nil"/>
              <w:right w:val="nil"/>
            </w:tcBorders>
            <w:shd w:val="clear" w:color="auto" w:fill="auto"/>
            <w:noWrap/>
            <w:vAlign w:val="bottom"/>
            <w:hideMark/>
          </w:tcPr>
          <w:p w:rsidR="00B11255" w:rsidRPr="00836E02" w:rsidRDefault="00B11255" w:rsidP="00EF1266">
            <w:pPr>
              <w:spacing w:after="0" w:line="360" w:lineRule="auto"/>
              <w:rPr>
                <w:rFonts w:ascii="Times New Roman" w:eastAsia="Times New Roman" w:hAnsi="Times New Roman" w:cs="Times New Roman"/>
                <w:b/>
                <w:bCs/>
                <w:color w:val="000000"/>
                <w:sz w:val="24"/>
                <w:szCs w:val="24"/>
                <w:lang w:eastAsia="en-GB"/>
              </w:rPr>
            </w:pPr>
            <w:r w:rsidRPr="00836E02">
              <w:rPr>
                <w:rFonts w:ascii="Times New Roman" w:eastAsia="Times New Roman" w:hAnsi="Times New Roman" w:cs="Times New Roman"/>
                <w:b/>
                <w:bCs/>
                <w:color w:val="000000"/>
                <w:sz w:val="24"/>
                <w:szCs w:val="24"/>
                <w:lang w:eastAsia="en-GB"/>
              </w:rPr>
              <w:t xml:space="preserve">       1,147,335 </w:t>
            </w:r>
          </w:p>
        </w:tc>
      </w:tr>
    </w:tbl>
    <w:p w:rsidR="00B11255" w:rsidRPr="00836E02" w:rsidRDefault="00B11255" w:rsidP="00836E02">
      <w:pPr>
        <w:spacing w:after="240" w:line="360" w:lineRule="auto"/>
        <w:rPr>
          <w:rFonts w:ascii="Times New Roman" w:hAnsi="Times New Roman" w:cs="Times New Roman"/>
          <w:sz w:val="24"/>
          <w:szCs w:val="24"/>
        </w:rPr>
      </w:pPr>
    </w:p>
    <w:p w:rsidR="00453988" w:rsidRDefault="00B11255" w:rsidP="00836E02">
      <w:pPr>
        <w:spacing w:after="240" w:line="360" w:lineRule="auto"/>
        <w:jc w:val="both"/>
        <w:rPr>
          <w:rFonts w:ascii="Times New Roman" w:hAnsi="Times New Roman" w:cs="Times New Roman"/>
          <w:sz w:val="24"/>
          <w:szCs w:val="24"/>
        </w:rPr>
      </w:pPr>
      <w:r w:rsidRPr="00836E02">
        <w:rPr>
          <w:rFonts w:ascii="Times New Roman" w:hAnsi="Times New Roman" w:cs="Times New Roman"/>
          <w:sz w:val="24"/>
          <w:szCs w:val="24"/>
        </w:rPr>
        <w:t xml:space="preserve">b) </w:t>
      </w:r>
      <w:r w:rsidR="00896154" w:rsidRPr="00836E02">
        <w:rPr>
          <w:rFonts w:ascii="Times New Roman" w:hAnsi="Times New Roman" w:cs="Times New Roman"/>
          <w:sz w:val="24"/>
          <w:szCs w:val="24"/>
        </w:rPr>
        <w:t>The Statement of financial position</w:t>
      </w:r>
      <w:r w:rsidR="00462471" w:rsidRPr="00836E02">
        <w:rPr>
          <w:rFonts w:ascii="Times New Roman" w:hAnsi="Times New Roman" w:cs="Times New Roman"/>
          <w:sz w:val="24"/>
          <w:szCs w:val="24"/>
        </w:rPr>
        <w:t xml:space="preserve"> balances due to the basic accounting equation, positing that assets always equal liabilities plus equity, which is represented by this financial statement</w:t>
      </w:r>
      <w:r w:rsidR="00D329C8" w:rsidRPr="00836E02">
        <w:rPr>
          <w:rFonts w:ascii="Times New Roman" w:hAnsi="Times New Roman" w:cs="Times New Roman"/>
          <w:sz w:val="24"/>
          <w:szCs w:val="24"/>
        </w:rPr>
        <w:t xml:space="preserve">. </w:t>
      </w:r>
      <w:r w:rsidR="007023AA" w:rsidRPr="00836E02">
        <w:rPr>
          <w:rFonts w:ascii="Times New Roman" w:hAnsi="Times New Roman" w:cs="Times New Roman"/>
          <w:sz w:val="24"/>
          <w:szCs w:val="24"/>
        </w:rPr>
        <w:t>The Statement of financial position presents all assets, liabilities and equity elements of a company</w:t>
      </w:r>
      <w:r w:rsidR="00D21FE5">
        <w:rPr>
          <w:rFonts w:ascii="Times New Roman" w:hAnsi="Times New Roman" w:cs="Times New Roman"/>
          <w:sz w:val="24"/>
          <w:szCs w:val="24"/>
        </w:rPr>
        <w:t xml:space="preserve"> (CFI, 2021a)</w:t>
      </w:r>
      <w:r w:rsidR="007023AA" w:rsidRPr="00836E02">
        <w:rPr>
          <w:rFonts w:ascii="Times New Roman" w:hAnsi="Times New Roman" w:cs="Times New Roman"/>
          <w:sz w:val="24"/>
          <w:szCs w:val="24"/>
        </w:rPr>
        <w:t xml:space="preserve">. </w:t>
      </w:r>
      <w:r w:rsidR="00CD40BB" w:rsidRPr="00836E02">
        <w:rPr>
          <w:rFonts w:ascii="Times New Roman" w:hAnsi="Times New Roman" w:cs="Times New Roman"/>
          <w:sz w:val="24"/>
          <w:szCs w:val="24"/>
        </w:rPr>
        <w:t>Assets are the possessions of the company and, in order to be obtained, they have to be funded either by equity or liabilities. This is why the two sides are equal</w:t>
      </w:r>
      <w:r w:rsidR="00D21FE5">
        <w:rPr>
          <w:rFonts w:ascii="Times New Roman" w:hAnsi="Times New Roman" w:cs="Times New Roman"/>
          <w:sz w:val="24"/>
          <w:szCs w:val="24"/>
        </w:rPr>
        <w:t xml:space="preserve"> (CFI, 2021a)</w:t>
      </w:r>
      <w:r w:rsidR="00CD40BB" w:rsidRPr="00836E02">
        <w:rPr>
          <w:rFonts w:ascii="Times New Roman" w:hAnsi="Times New Roman" w:cs="Times New Roman"/>
          <w:sz w:val="24"/>
          <w:szCs w:val="24"/>
        </w:rPr>
        <w:t xml:space="preserve">. This represents the fact that assets are financed either through internal sources of finance or external debt. </w:t>
      </w:r>
    </w:p>
    <w:p w:rsidR="00836E02" w:rsidRPr="00836E02" w:rsidRDefault="00453988" w:rsidP="00836E0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development is logical and explained by the nature of accounting transactions and the key principle of double entry (Accounting Coach, 2021). As a result, an increase/decrease in the asset side of the statement of financial position is always associated with a corresponding and equal of size increase/decrease change in terms of liabilities or equity (Accounting Coach, 2021). </w:t>
      </w:r>
    </w:p>
    <w:p w:rsidR="00B11255" w:rsidRPr="00836E02" w:rsidRDefault="00CD40BB" w:rsidP="00836E02">
      <w:pPr>
        <w:pStyle w:val="Heading1"/>
        <w:spacing w:after="240" w:line="360" w:lineRule="auto"/>
        <w:rPr>
          <w:rFonts w:ascii="Times New Roman" w:hAnsi="Times New Roman" w:cs="Times New Roman"/>
          <w:b/>
          <w:sz w:val="28"/>
          <w:szCs w:val="28"/>
        </w:rPr>
      </w:pPr>
      <w:bookmarkStart w:id="1" w:name="_Toc77601942"/>
      <w:r w:rsidRPr="00836E02">
        <w:rPr>
          <w:rFonts w:ascii="Times New Roman" w:hAnsi="Times New Roman" w:cs="Times New Roman"/>
          <w:b/>
          <w:sz w:val="28"/>
          <w:szCs w:val="28"/>
        </w:rPr>
        <w:t>Question 2</w:t>
      </w:r>
      <w:r w:rsidR="00146A8F" w:rsidRPr="00836E02">
        <w:rPr>
          <w:rFonts w:ascii="Times New Roman" w:hAnsi="Times New Roman" w:cs="Times New Roman"/>
          <w:b/>
          <w:sz w:val="28"/>
          <w:szCs w:val="28"/>
        </w:rPr>
        <w:t>: Ratios</w:t>
      </w:r>
      <w:bookmarkEnd w:id="1"/>
    </w:p>
    <w:p w:rsidR="00CD40BB"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ROCE = Earnings before interest and taxes / Capital employed</w:t>
      </w: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Capital employed = Total assets – Current liabilities</w:t>
      </w: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ROCE 2020 = 846/(9,736-2,511) = 846/7,225 = 11.7%</w:t>
      </w: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ROCE 2019 = 720/(10,087-3,046) = 720/7,041= 10.23%</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ROE = Net income / Shareholders equity</w:t>
      </w: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ROE 20</w:t>
      </w:r>
      <w:r w:rsidR="009336B9" w:rsidRPr="00836E02">
        <w:rPr>
          <w:rFonts w:ascii="Times New Roman" w:hAnsi="Times New Roman" w:cs="Times New Roman"/>
          <w:sz w:val="24"/>
          <w:szCs w:val="24"/>
        </w:rPr>
        <w:t>20</w:t>
      </w:r>
      <w:r w:rsidRPr="00836E02">
        <w:rPr>
          <w:rFonts w:ascii="Times New Roman" w:hAnsi="Times New Roman" w:cs="Times New Roman"/>
          <w:sz w:val="24"/>
          <w:szCs w:val="24"/>
        </w:rPr>
        <w:t xml:space="preserve"> = </w:t>
      </w:r>
      <w:r w:rsidR="009336B9" w:rsidRPr="00836E02">
        <w:rPr>
          <w:rFonts w:ascii="Times New Roman" w:hAnsi="Times New Roman" w:cs="Times New Roman"/>
          <w:sz w:val="24"/>
          <w:szCs w:val="24"/>
        </w:rPr>
        <w:t>431/3,088 = 13.96%</w:t>
      </w: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ROE 20</w:t>
      </w:r>
      <w:r w:rsidR="009336B9" w:rsidRPr="00836E02">
        <w:rPr>
          <w:rFonts w:ascii="Times New Roman" w:hAnsi="Times New Roman" w:cs="Times New Roman"/>
          <w:sz w:val="24"/>
          <w:szCs w:val="24"/>
        </w:rPr>
        <w:t>19</w:t>
      </w:r>
      <w:r w:rsidRPr="00836E02">
        <w:rPr>
          <w:rFonts w:ascii="Times New Roman" w:hAnsi="Times New Roman" w:cs="Times New Roman"/>
          <w:sz w:val="24"/>
          <w:szCs w:val="24"/>
        </w:rPr>
        <w:t xml:space="preserve"> =</w:t>
      </w:r>
      <w:r w:rsidR="009336B9" w:rsidRPr="00836E02">
        <w:rPr>
          <w:rFonts w:ascii="Times New Roman" w:hAnsi="Times New Roman" w:cs="Times New Roman"/>
          <w:sz w:val="24"/>
          <w:szCs w:val="24"/>
        </w:rPr>
        <w:t xml:space="preserve"> 366/2,912 = 12.57%</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Earnings per share</w:t>
      </w:r>
      <w:r w:rsidR="009336B9" w:rsidRPr="00836E02">
        <w:rPr>
          <w:rFonts w:ascii="Times New Roman" w:hAnsi="Times New Roman" w:cs="Times New Roman"/>
          <w:sz w:val="24"/>
          <w:szCs w:val="24"/>
        </w:rPr>
        <w:t xml:space="preserve"> = Net income/Shares outstanding </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EPS 2020 = 431/600 = 0.72</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EPS 2019 = 366/600 = 0.61</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Net profit margin</w:t>
      </w:r>
      <w:r w:rsidR="009336B9" w:rsidRPr="00836E02">
        <w:rPr>
          <w:rFonts w:ascii="Times New Roman" w:hAnsi="Times New Roman" w:cs="Times New Roman"/>
          <w:sz w:val="24"/>
          <w:szCs w:val="24"/>
        </w:rPr>
        <w:t xml:space="preserve"> = Net profit/Sales</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NPM 2020 = 431/6,738 = 6.40%</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NPM 2019 = 366/6,441 = 5.68%</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Asset turnover</w:t>
      </w:r>
      <w:r w:rsidR="009336B9" w:rsidRPr="00836E02">
        <w:rPr>
          <w:rFonts w:ascii="Times New Roman" w:hAnsi="Times New Roman" w:cs="Times New Roman"/>
          <w:sz w:val="24"/>
          <w:szCs w:val="24"/>
        </w:rPr>
        <w:t xml:space="preserve"> = Sales / Total assets</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Asset turnover 2020 = 6,738/9,736 = 0.69</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Asset turnover 2019 = 6,441/10,087 = 0.64</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Stock holding days</w:t>
      </w:r>
      <w:r w:rsidR="009336B9" w:rsidRPr="00836E02">
        <w:rPr>
          <w:rFonts w:ascii="Times New Roman" w:hAnsi="Times New Roman" w:cs="Times New Roman"/>
          <w:sz w:val="24"/>
          <w:szCs w:val="24"/>
        </w:rPr>
        <w:t xml:space="preserve"> = (Inventory/Cost of sales)*365</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Stock holding days 2020 = (708/3,235)*365 = 79.88 days</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Stock holding days 2019 = (659/3,096)*365 = 77.69 days</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Debtors collection period</w:t>
      </w:r>
      <w:r w:rsidR="009336B9" w:rsidRPr="00836E02">
        <w:rPr>
          <w:rFonts w:ascii="Times New Roman" w:hAnsi="Times New Roman" w:cs="Times New Roman"/>
          <w:sz w:val="24"/>
          <w:szCs w:val="24"/>
        </w:rPr>
        <w:t xml:space="preserve"> = (Accounts receivable/Sales)*365</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Debtors collection period 2020 = (1,249/</w:t>
      </w:r>
      <w:r w:rsidR="00C86E73" w:rsidRPr="00836E02">
        <w:rPr>
          <w:rFonts w:ascii="Times New Roman" w:hAnsi="Times New Roman" w:cs="Times New Roman"/>
          <w:sz w:val="24"/>
          <w:szCs w:val="24"/>
        </w:rPr>
        <w:t>6,738)*365 = 67.66 days</w:t>
      </w:r>
    </w:p>
    <w:p w:rsidR="009336B9" w:rsidRPr="00836E02" w:rsidRDefault="009336B9"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Debtors collection period 2019 = </w:t>
      </w:r>
      <w:r w:rsidR="00C86E73" w:rsidRPr="00836E02">
        <w:rPr>
          <w:rFonts w:ascii="Times New Roman" w:hAnsi="Times New Roman" w:cs="Times New Roman"/>
          <w:sz w:val="24"/>
          <w:szCs w:val="24"/>
        </w:rPr>
        <w:t>(1,287/6,441)*365 = 72.93 days</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Current ratio</w:t>
      </w:r>
      <w:r w:rsidR="00C86E73" w:rsidRPr="00836E02">
        <w:rPr>
          <w:rFonts w:ascii="Times New Roman" w:hAnsi="Times New Roman" w:cs="Times New Roman"/>
          <w:sz w:val="24"/>
          <w:szCs w:val="24"/>
        </w:rPr>
        <w:t xml:space="preserve"> = Current assets/Current liabilities</w:t>
      </w:r>
    </w:p>
    <w:p w:rsidR="00C86E73" w:rsidRPr="00836E02" w:rsidRDefault="00C86E73"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lastRenderedPageBreak/>
        <w:t xml:space="preserve">Current ratio 2020 = </w:t>
      </w:r>
      <w:r w:rsidR="00AF7E40" w:rsidRPr="00836E02">
        <w:rPr>
          <w:rFonts w:ascii="Times New Roman" w:hAnsi="Times New Roman" w:cs="Times New Roman"/>
          <w:sz w:val="24"/>
          <w:szCs w:val="24"/>
        </w:rPr>
        <w:t>2,303/2,511 = 0.92</w:t>
      </w:r>
    </w:p>
    <w:p w:rsidR="00C86E73" w:rsidRPr="00836E02" w:rsidRDefault="00C86E73"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Current ratio 2019 = </w:t>
      </w:r>
      <w:r w:rsidR="00AF7E40" w:rsidRPr="00836E02">
        <w:rPr>
          <w:rFonts w:ascii="Times New Roman" w:hAnsi="Times New Roman" w:cs="Times New Roman"/>
          <w:sz w:val="24"/>
          <w:szCs w:val="24"/>
        </w:rPr>
        <w:t>2,355/3,046 = 0.77</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Gearing ratio </w:t>
      </w:r>
      <w:r w:rsidR="00AF7E40" w:rsidRPr="00836E02">
        <w:rPr>
          <w:rFonts w:ascii="Times New Roman" w:hAnsi="Times New Roman" w:cs="Times New Roman"/>
          <w:sz w:val="24"/>
          <w:szCs w:val="24"/>
        </w:rPr>
        <w:t>= Total debt / Total equity</w:t>
      </w:r>
    </w:p>
    <w:p w:rsidR="00AF7E40" w:rsidRPr="00836E02" w:rsidRDefault="00AF7E40"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Gearing ratio 2020 = </w:t>
      </w:r>
      <w:r w:rsidR="00AE52FE" w:rsidRPr="00836E02">
        <w:rPr>
          <w:rFonts w:ascii="Times New Roman" w:hAnsi="Times New Roman" w:cs="Times New Roman"/>
          <w:sz w:val="24"/>
          <w:szCs w:val="24"/>
        </w:rPr>
        <w:t>6,648/3,088 = 2.15</w:t>
      </w:r>
    </w:p>
    <w:p w:rsidR="00AF7E40" w:rsidRPr="00836E02" w:rsidRDefault="00AF7E40"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Gearing ratio 2019 = </w:t>
      </w:r>
      <w:r w:rsidR="00AE52FE" w:rsidRPr="00836E02">
        <w:rPr>
          <w:rFonts w:ascii="Times New Roman" w:hAnsi="Times New Roman" w:cs="Times New Roman"/>
          <w:sz w:val="24"/>
          <w:szCs w:val="24"/>
        </w:rPr>
        <w:t>7,175/2,912 = 2.46</w:t>
      </w:r>
    </w:p>
    <w:p w:rsidR="00903291" w:rsidRPr="00836E02" w:rsidRDefault="00903291" w:rsidP="00836E02">
      <w:pPr>
        <w:spacing w:after="240" w:line="360" w:lineRule="auto"/>
        <w:rPr>
          <w:rFonts w:ascii="Times New Roman" w:hAnsi="Times New Roman" w:cs="Times New Roman"/>
          <w:sz w:val="24"/>
          <w:szCs w:val="24"/>
        </w:rPr>
      </w:pPr>
    </w:p>
    <w:p w:rsidR="00903291" w:rsidRPr="00836E02" w:rsidRDefault="00903291"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Inventory </w:t>
      </w:r>
      <w:r w:rsidR="00990E88" w:rsidRPr="00836E02">
        <w:rPr>
          <w:rFonts w:ascii="Times New Roman" w:hAnsi="Times New Roman" w:cs="Times New Roman"/>
          <w:sz w:val="24"/>
          <w:szCs w:val="24"/>
        </w:rPr>
        <w:t>turnover</w:t>
      </w:r>
      <w:r w:rsidR="00AE52FE" w:rsidRPr="00836E02">
        <w:rPr>
          <w:rFonts w:ascii="Times New Roman" w:hAnsi="Times New Roman" w:cs="Times New Roman"/>
          <w:sz w:val="24"/>
          <w:szCs w:val="24"/>
        </w:rPr>
        <w:t xml:space="preserve"> = </w:t>
      </w:r>
      <w:r w:rsidR="00990E88" w:rsidRPr="00836E02">
        <w:rPr>
          <w:rFonts w:ascii="Times New Roman" w:hAnsi="Times New Roman" w:cs="Times New Roman"/>
          <w:sz w:val="24"/>
          <w:szCs w:val="24"/>
        </w:rPr>
        <w:t>Cost of goods sold / Inventory</w:t>
      </w:r>
    </w:p>
    <w:p w:rsidR="00AE52FE" w:rsidRPr="00836E02" w:rsidRDefault="00AE52FE"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ICR 2020 = </w:t>
      </w:r>
      <w:r w:rsidR="002376D1" w:rsidRPr="00836E02">
        <w:rPr>
          <w:rFonts w:ascii="Times New Roman" w:hAnsi="Times New Roman" w:cs="Times New Roman"/>
          <w:sz w:val="24"/>
          <w:szCs w:val="24"/>
        </w:rPr>
        <w:t>3,235/708 = 4.57</w:t>
      </w:r>
    </w:p>
    <w:p w:rsidR="009678CA" w:rsidRPr="00836E02" w:rsidRDefault="00AE52FE" w:rsidP="00836E02">
      <w:pPr>
        <w:spacing w:after="240" w:line="360" w:lineRule="auto"/>
        <w:rPr>
          <w:rFonts w:ascii="Times New Roman" w:hAnsi="Times New Roman" w:cs="Times New Roman"/>
          <w:sz w:val="24"/>
          <w:szCs w:val="24"/>
        </w:rPr>
      </w:pPr>
      <w:r w:rsidRPr="00836E02">
        <w:rPr>
          <w:rFonts w:ascii="Times New Roman" w:hAnsi="Times New Roman" w:cs="Times New Roman"/>
          <w:sz w:val="24"/>
          <w:szCs w:val="24"/>
        </w:rPr>
        <w:t xml:space="preserve">ICR 2019 = </w:t>
      </w:r>
      <w:r w:rsidR="002376D1" w:rsidRPr="00836E02">
        <w:rPr>
          <w:rFonts w:ascii="Times New Roman" w:hAnsi="Times New Roman" w:cs="Times New Roman"/>
          <w:sz w:val="24"/>
          <w:szCs w:val="24"/>
        </w:rPr>
        <w:t>3,096/659 = 4.70</w:t>
      </w:r>
    </w:p>
    <w:p w:rsidR="009678CA" w:rsidRPr="00836E02" w:rsidRDefault="009678CA" w:rsidP="00836E02">
      <w:pPr>
        <w:spacing w:after="240" w:line="360" w:lineRule="auto"/>
        <w:jc w:val="both"/>
        <w:rPr>
          <w:rFonts w:ascii="Times New Roman" w:hAnsi="Times New Roman" w:cs="Times New Roman"/>
          <w:sz w:val="24"/>
          <w:szCs w:val="24"/>
        </w:rPr>
      </w:pPr>
      <w:r w:rsidRPr="00836E02">
        <w:rPr>
          <w:rFonts w:ascii="Times New Roman" w:hAnsi="Times New Roman" w:cs="Times New Roman"/>
          <w:sz w:val="24"/>
          <w:szCs w:val="24"/>
        </w:rPr>
        <w:t xml:space="preserve">b) Based on the information in the financial statements provided and the ratio analysis, it can be stated that Chocco Plc has improved significantly its performance in 2020 as when compared to 2019. </w:t>
      </w:r>
    </w:p>
    <w:p w:rsidR="00836E02" w:rsidRDefault="009678CA" w:rsidP="00836E02">
      <w:pPr>
        <w:spacing w:after="240" w:line="360" w:lineRule="auto"/>
        <w:jc w:val="both"/>
        <w:rPr>
          <w:rFonts w:ascii="Times New Roman" w:hAnsi="Times New Roman" w:cs="Times New Roman"/>
          <w:sz w:val="24"/>
          <w:szCs w:val="24"/>
        </w:rPr>
      </w:pPr>
      <w:r w:rsidRPr="00836E02">
        <w:rPr>
          <w:rFonts w:ascii="Times New Roman" w:hAnsi="Times New Roman" w:cs="Times New Roman"/>
          <w:sz w:val="24"/>
          <w:szCs w:val="24"/>
        </w:rPr>
        <w:t xml:space="preserve">The Profit and loss account shows increase in sales and net income, as well as </w:t>
      </w:r>
      <w:r w:rsidR="00A95E74" w:rsidRPr="00836E02">
        <w:rPr>
          <w:rFonts w:ascii="Times New Roman" w:hAnsi="Times New Roman" w:cs="Times New Roman"/>
          <w:sz w:val="24"/>
          <w:szCs w:val="24"/>
        </w:rPr>
        <w:t xml:space="preserve">decrease in administrative expenses. The Statement of financial position shows a slight decrease in assets but also a decrease in liabilities, which is also evident by the gearing ratio. Equity, at the same time, has increased. All ratios which have been calculated show improvement in 2020 compared to 2019 results. Thus, it can be stated that the company improved its operational efficiency, profitability, liquidity and overall financial stability positions. </w:t>
      </w:r>
      <w:r w:rsidR="005132D9" w:rsidRPr="00836E02">
        <w:rPr>
          <w:rFonts w:ascii="Times New Roman" w:hAnsi="Times New Roman" w:cs="Times New Roman"/>
          <w:sz w:val="24"/>
          <w:szCs w:val="24"/>
        </w:rPr>
        <w:t xml:space="preserve">More specifically, profitability increased as a result of higher earnings per share, improved net profit margin and increased ROE and ROCE. </w:t>
      </w:r>
    </w:p>
    <w:p w:rsidR="005132D9" w:rsidRPr="00836E02" w:rsidRDefault="005132D9" w:rsidP="00836E02">
      <w:pPr>
        <w:spacing w:after="240" w:line="360" w:lineRule="auto"/>
        <w:jc w:val="both"/>
        <w:rPr>
          <w:rFonts w:ascii="Times New Roman" w:hAnsi="Times New Roman" w:cs="Times New Roman"/>
          <w:sz w:val="24"/>
          <w:szCs w:val="24"/>
        </w:rPr>
      </w:pPr>
      <w:r w:rsidRPr="00836E02">
        <w:rPr>
          <w:rFonts w:ascii="Times New Roman" w:hAnsi="Times New Roman" w:cs="Times New Roman"/>
          <w:sz w:val="24"/>
          <w:szCs w:val="24"/>
        </w:rPr>
        <w:t>In relation to managerial efficiency, it should be noted that Chocco has been more efficient in collecting the funds from its debtors, as explained by the shorter debtor collection period in 2020. Nevertheless, stock holding days has slightly increased which is an area of concern</w:t>
      </w:r>
      <w:r w:rsidR="00D21FE5">
        <w:rPr>
          <w:rFonts w:ascii="Times New Roman" w:hAnsi="Times New Roman" w:cs="Times New Roman"/>
          <w:sz w:val="24"/>
          <w:szCs w:val="24"/>
        </w:rPr>
        <w:t xml:space="preserve"> (Hayes, 2020)</w:t>
      </w:r>
      <w:r w:rsidRPr="00836E02">
        <w:rPr>
          <w:rFonts w:ascii="Times New Roman" w:hAnsi="Times New Roman" w:cs="Times New Roman"/>
          <w:sz w:val="24"/>
          <w:szCs w:val="24"/>
        </w:rPr>
        <w:t>. It may mean a worsened ability to sell the products and keeping a higher amount of financial resources in inventory (Wild and Shaw, 2018). In contrast, the inventory holding period declined which could be seen as a positive development for the manager</w:t>
      </w:r>
      <w:r w:rsidR="00453988">
        <w:rPr>
          <w:rFonts w:ascii="Times New Roman" w:hAnsi="Times New Roman" w:cs="Times New Roman"/>
          <w:sz w:val="24"/>
          <w:szCs w:val="24"/>
        </w:rPr>
        <w:t xml:space="preserve">ial efficiency of the company. Moreover, the company has managed to shorten the time of collecting its </w:t>
      </w:r>
      <w:r w:rsidR="00453988">
        <w:rPr>
          <w:rFonts w:ascii="Times New Roman" w:hAnsi="Times New Roman" w:cs="Times New Roman"/>
          <w:sz w:val="24"/>
          <w:szCs w:val="24"/>
        </w:rPr>
        <w:lastRenderedPageBreak/>
        <w:t>revenues from selling products on credit, as indicated by the decreas</w:t>
      </w:r>
      <w:r w:rsidR="00D21FE5">
        <w:rPr>
          <w:rFonts w:ascii="Times New Roman" w:hAnsi="Times New Roman" w:cs="Times New Roman"/>
          <w:sz w:val="24"/>
          <w:szCs w:val="24"/>
        </w:rPr>
        <w:t>ed debtor collection period (Kenton, 2021</w:t>
      </w:r>
      <w:r w:rsidR="00453988">
        <w:rPr>
          <w:rFonts w:ascii="Times New Roman" w:hAnsi="Times New Roman" w:cs="Times New Roman"/>
          <w:sz w:val="24"/>
          <w:szCs w:val="24"/>
        </w:rPr>
        <w:t xml:space="preserve">). This is another sign for improved managerial efficiency. </w:t>
      </w:r>
    </w:p>
    <w:p w:rsidR="009678CA" w:rsidRPr="00836E02" w:rsidRDefault="00532408" w:rsidP="00836E02">
      <w:pPr>
        <w:spacing w:after="240" w:line="360" w:lineRule="auto"/>
        <w:jc w:val="both"/>
        <w:rPr>
          <w:rFonts w:ascii="Times New Roman" w:hAnsi="Times New Roman" w:cs="Times New Roman"/>
          <w:sz w:val="24"/>
          <w:szCs w:val="24"/>
        </w:rPr>
      </w:pPr>
      <w:r w:rsidRPr="00836E02">
        <w:rPr>
          <w:rFonts w:ascii="Times New Roman" w:hAnsi="Times New Roman" w:cs="Times New Roman"/>
          <w:sz w:val="24"/>
          <w:szCs w:val="24"/>
        </w:rPr>
        <w:t xml:space="preserve">However, it should be noted that, the gearing and current ratios still need to be further improved as they identify a high reliance on debt and a certain degree of inability to cover short-term liabilities with current assets. </w:t>
      </w:r>
      <w:r w:rsidR="005132D9" w:rsidRPr="00836E02">
        <w:rPr>
          <w:rFonts w:ascii="Times New Roman" w:hAnsi="Times New Roman" w:cs="Times New Roman"/>
          <w:sz w:val="24"/>
          <w:szCs w:val="24"/>
        </w:rPr>
        <w:t xml:space="preserve">In general, the current ratio should be above the threshold of 1 in order to establish a stable liquidity position (Wild, 2017).  </w:t>
      </w:r>
      <w:r w:rsidR="00836E02" w:rsidRPr="00836E02">
        <w:rPr>
          <w:rFonts w:ascii="Times New Roman" w:hAnsi="Times New Roman" w:cs="Times New Roman"/>
          <w:sz w:val="24"/>
          <w:szCs w:val="24"/>
        </w:rPr>
        <w:t>The current levels of indebtedness and liquidity could cause issues for the company</w:t>
      </w:r>
      <w:r w:rsidRPr="00836E02">
        <w:rPr>
          <w:rFonts w:ascii="Times New Roman" w:hAnsi="Times New Roman" w:cs="Times New Roman"/>
          <w:sz w:val="24"/>
          <w:szCs w:val="24"/>
        </w:rPr>
        <w:t>, especially in current times which are challenging for businesses around the world and featured with the impacts of global pandemic</w:t>
      </w:r>
      <w:r w:rsidR="00D21FE5">
        <w:rPr>
          <w:rFonts w:ascii="Times New Roman" w:hAnsi="Times New Roman" w:cs="Times New Roman"/>
          <w:sz w:val="24"/>
          <w:szCs w:val="24"/>
        </w:rPr>
        <w:t xml:space="preserve"> (CFI, 2021b)</w:t>
      </w:r>
      <w:r w:rsidRPr="00836E02">
        <w:rPr>
          <w:rFonts w:ascii="Times New Roman" w:hAnsi="Times New Roman" w:cs="Times New Roman"/>
          <w:sz w:val="24"/>
          <w:szCs w:val="24"/>
        </w:rPr>
        <w:t xml:space="preserve">. </w:t>
      </w:r>
    </w:p>
    <w:p w:rsidR="00532408" w:rsidRPr="00836E02" w:rsidRDefault="00D21FE5" w:rsidP="0008214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To sum up, the ratio analysis is of value in identifying key strengths and weaknesses of the company based on its financial performance during the period. Thus, it is possible to focus on certain areas of improvement </w:t>
      </w:r>
      <w:r w:rsidR="0008214B">
        <w:rPr>
          <w:rFonts w:ascii="Times New Roman" w:hAnsi="Times New Roman" w:cs="Times New Roman"/>
          <w:sz w:val="24"/>
          <w:szCs w:val="24"/>
        </w:rPr>
        <w:t xml:space="preserve">in the future (Ingram, 2019). Moreover, the metrics are standardised and deliver objective findings (Ingram, 2019). Nevertheless, financial ratios analysis is quantitative in nature and overreliance may lead to missing important aspects of organisational decision-making. The analysis is also past-oriented due to its reliance on already happened events and may not be very indicative for some already occurring or future changes at the company (Vitez, 2021). Financial ratios are also inadequate in reflecting major macroeconomic trends affecting the company (Vitez, 2021). </w:t>
      </w:r>
    </w:p>
    <w:p w:rsidR="00532408" w:rsidRPr="00836E02" w:rsidRDefault="00532408" w:rsidP="00836E02">
      <w:pPr>
        <w:spacing w:after="240" w:line="360" w:lineRule="auto"/>
        <w:rPr>
          <w:rFonts w:ascii="Times New Roman" w:hAnsi="Times New Roman" w:cs="Times New Roman"/>
          <w:sz w:val="24"/>
          <w:szCs w:val="24"/>
        </w:rPr>
      </w:pPr>
    </w:p>
    <w:p w:rsidR="00532408" w:rsidRPr="00836E02" w:rsidRDefault="00532408" w:rsidP="00836E02">
      <w:pPr>
        <w:spacing w:after="240" w:line="360" w:lineRule="auto"/>
        <w:rPr>
          <w:rFonts w:ascii="Times New Roman" w:hAnsi="Times New Roman" w:cs="Times New Roman"/>
          <w:sz w:val="24"/>
          <w:szCs w:val="24"/>
        </w:rPr>
      </w:pPr>
    </w:p>
    <w:p w:rsidR="00B11255" w:rsidRDefault="00B11255"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836E02" w:rsidRDefault="00836E02" w:rsidP="00836E02">
      <w:pPr>
        <w:spacing w:after="240" w:line="360" w:lineRule="auto"/>
        <w:rPr>
          <w:rFonts w:ascii="Times New Roman" w:hAnsi="Times New Roman" w:cs="Times New Roman"/>
          <w:sz w:val="24"/>
          <w:szCs w:val="24"/>
        </w:rPr>
      </w:pPr>
    </w:p>
    <w:p w:rsidR="00B11255" w:rsidRPr="00836E02" w:rsidRDefault="00B11255" w:rsidP="00836E02">
      <w:pPr>
        <w:pStyle w:val="Heading1"/>
        <w:spacing w:after="240" w:line="360" w:lineRule="auto"/>
        <w:rPr>
          <w:rFonts w:ascii="Times New Roman" w:hAnsi="Times New Roman" w:cs="Times New Roman"/>
          <w:b/>
          <w:sz w:val="28"/>
          <w:szCs w:val="28"/>
        </w:rPr>
      </w:pPr>
      <w:bookmarkStart w:id="2" w:name="_Toc77601943"/>
      <w:r w:rsidRPr="00836E02">
        <w:rPr>
          <w:rFonts w:ascii="Times New Roman" w:hAnsi="Times New Roman" w:cs="Times New Roman"/>
          <w:b/>
          <w:sz w:val="28"/>
          <w:szCs w:val="28"/>
        </w:rPr>
        <w:t>References</w:t>
      </w:r>
      <w:bookmarkEnd w:id="2"/>
    </w:p>
    <w:p w:rsidR="0008214B" w:rsidRPr="0008214B" w:rsidRDefault="0008214B" w:rsidP="0008214B">
      <w:pPr>
        <w:spacing w:after="240" w:line="360" w:lineRule="auto"/>
        <w:rPr>
          <w:rFonts w:ascii="Times New Roman" w:hAnsi="Times New Roman" w:cs="Times New Roman"/>
          <w:sz w:val="24"/>
          <w:szCs w:val="24"/>
          <w:lang w:val="en-US"/>
        </w:rPr>
      </w:pPr>
      <w:r w:rsidRPr="0008214B">
        <w:rPr>
          <w:rFonts w:ascii="Times New Roman" w:hAnsi="Times New Roman" w:cs="Times New Roman"/>
          <w:sz w:val="24"/>
          <w:szCs w:val="24"/>
        </w:rPr>
        <w:t xml:space="preserve">Accounting Coach (2021) </w:t>
      </w:r>
      <w:r w:rsidRPr="0008214B">
        <w:rPr>
          <w:rFonts w:ascii="Times New Roman" w:hAnsi="Times New Roman" w:cs="Times New Roman"/>
          <w:i/>
          <w:sz w:val="24"/>
          <w:szCs w:val="24"/>
          <w:lang w:val="en-US"/>
        </w:rPr>
        <w:t>What is the double-entry system?</w:t>
      </w:r>
      <w:r w:rsidRPr="0008214B">
        <w:rPr>
          <w:rFonts w:ascii="Times New Roman" w:hAnsi="Times New Roman" w:cs="Times New Roman"/>
          <w:sz w:val="24"/>
          <w:szCs w:val="24"/>
          <w:lang w:val="en-US"/>
        </w:rPr>
        <w:t xml:space="preserve"> [online] Available: </w:t>
      </w:r>
      <w:hyperlink r:id="rId8" w:history="1">
        <w:r w:rsidRPr="0008214B">
          <w:rPr>
            <w:rStyle w:val="Hyperlink"/>
            <w:rFonts w:ascii="Times New Roman" w:hAnsi="Times New Roman" w:cs="Times New Roman"/>
            <w:sz w:val="24"/>
            <w:szCs w:val="24"/>
            <w:lang w:val="en-US"/>
          </w:rPr>
          <w:t>https://www.accountingcoach.com/blog/what-is-the-double-entry-system</w:t>
        </w:r>
      </w:hyperlink>
      <w:r w:rsidRPr="0008214B">
        <w:rPr>
          <w:rFonts w:ascii="Times New Roman" w:hAnsi="Times New Roman" w:cs="Times New Roman"/>
          <w:sz w:val="24"/>
          <w:szCs w:val="24"/>
          <w:lang w:val="en-US"/>
        </w:rPr>
        <w:t xml:space="preserve"> [Accessed: 17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sz w:val="24"/>
          <w:szCs w:val="24"/>
          <w:lang w:val="en-US"/>
        </w:rPr>
        <w:t xml:space="preserve">CFI (2021a) </w:t>
      </w:r>
      <w:r w:rsidRPr="0008214B">
        <w:rPr>
          <w:rFonts w:ascii="Times New Roman" w:hAnsi="Times New Roman" w:cs="Times New Roman"/>
          <w:bCs/>
          <w:i/>
          <w:sz w:val="24"/>
          <w:szCs w:val="24"/>
          <w:lang w:val="en-US"/>
        </w:rPr>
        <w:t>What is the Balance Sheet?</w:t>
      </w:r>
      <w:r w:rsidRPr="0008214B">
        <w:rPr>
          <w:rFonts w:ascii="Times New Roman" w:hAnsi="Times New Roman" w:cs="Times New Roman"/>
          <w:bCs/>
          <w:sz w:val="24"/>
          <w:szCs w:val="24"/>
          <w:lang w:val="en-US"/>
        </w:rPr>
        <w:t xml:space="preserve"> [online] Available: </w:t>
      </w:r>
      <w:hyperlink r:id="rId9" w:history="1">
        <w:r w:rsidRPr="0008214B">
          <w:rPr>
            <w:rStyle w:val="Hyperlink"/>
            <w:rFonts w:ascii="Times New Roman" w:hAnsi="Times New Roman" w:cs="Times New Roman"/>
            <w:bCs/>
            <w:sz w:val="24"/>
            <w:szCs w:val="24"/>
            <w:lang w:val="en-US"/>
          </w:rPr>
          <w:t>https://corporatefinanceinstitute.com/resources/knowledge/accounting/balance-sheet/</w:t>
        </w:r>
      </w:hyperlink>
      <w:r w:rsidRPr="0008214B">
        <w:rPr>
          <w:rFonts w:ascii="Times New Roman" w:hAnsi="Times New Roman" w:cs="Times New Roman"/>
          <w:bCs/>
          <w:sz w:val="24"/>
          <w:szCs w:val="24"/>
          <w:lang w:val="en-US"/>
        </w:rPr>
        <w:t xml:space="preserve"> [Accessed: 19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bCs/>
          <w:sz w:val="24"/>
          <w:szCs w:val="24"/>
          <w:lang w:val="en-US"/>
        </w:rPr>
        <w:t xml:space="preserve">CFI (2021b) </w:t>
      </w:r>
      <w:r w:rsidRPr="0008214B">
        <w:rPr>
          <w:rFonts w:ascii="Times New Roman" w:hAnsi="Times New Roman" w:cs="Times New Roman"/>
          <w:bCs/>
          <w:i/>
          <w:sz w:val="24"/>
          <w:szCs w:val="24"/>
          <w:lang w:val="en-US"/>
        </w:rPr>
        <w:t>What is Gearing?</w:t>
      </w:r>
      <w:r w:rsidRPr="0008214B">
        <w:rPr>
          <w:rFonts w:ascii="Times New Roman" w:hAnsi="Times New Roman" w:cs="Times New Roman"/>
          <w:bCs/>
          <w:sz w:val="24"/>
          <w:szCs w:val="24"/>
          <w:lang w:val="en-US"/>
        </w:rPr>
        <w:t xml:space="preserve"> [online] Available: </w:t>
      </w:r>
      <w:hyperlink r:id="rId10" w:history="1">
        <w:r w:rsidRPr="0008214B">
          <w:rPr>
            <w:rStyle w:val="Hyperlink"/>
            <w:rFonts w:ascii="Times New Roman" w:hAnsi="Times New Roman" w:cs="Times New Roman"/>
            <w:bCs/>
            <w:sz w:val="24"/>
            <w:szCs w:val="24"/>
            <w:lang w:val="en-US"/>
          </w:rPr>
          <w:t>https://corporatefinanceinstitute.com/resources/knowledge/finance/gearing/</w:t>
        </w:r>
      </w:hyperlink>
      <w:r w:rsidRPr="0008214B">
        <w:rPr>
          <w:rFonts w:ascii="Times New Roman" w:hAnsi="Times New Roman" w:cs="Times New Roman"/>
          <w:bCs/>
          <w:sz w:val="24"/>
          <w:szCs w:val="24"/>
          <w:lang w:val="en-US"/>
        </w:rPr>
        <w:t xml:space="preserve"> [Accessed: 22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bCs/>
          <w:sz w:val="24"/>
          <w:szCs w:val="24"/>
          <w:lang w:val="en-US"/>
        </w:rPr>
        <w:t xml:space="preserve">Hayes, A. (2021) </w:t>
      </w:r>
      <w:r w:rsidRPr="0008214B">
        <w:rPr>
          <w:rFonts w:ascii="Times New Roman" w:hAnsi="Times New Roman" w:cs="Times New Roman"/>
          <w:bCs/>
          <w:i/>
          <w:sz w:val="24"/>
          <w:szCs w:val="24"/>
          <w:lang w:val="en-US"/>
        </w:rPr>
        <w:t>Days Sales of Inventory – DSI</w:t>
      </w:r>
      <w:r w:rsidRPr="0008214B">
        <w:rPr>
          <w:rFonts w:ascii="Times New Roman" w:hAnsi="Times New Roman" w:cs="Times New Roman"/>
          <w:bCs/>
          <w:sz w:val="24"/>
          <w:szCs w:val="24"/>
          <w:lang w:val="en-US"/>
        </w:rPr>
        <w:t xml:space="preserve">, [online] Available: </w:t>
      </w:r>
      <w:hyperlink r:id="rId11" w:history="1">
        <w:r w:rsidRPr="0008214B">
          <w:rPr>
            <w:rStyle w:val="Hyperlink"/>
            <w:rFonts w:ascii="Times New Roman" w:hAnsi="Times New Roman" w:cs="Times New Roman"/>
            <w:sz w:val="24"/>
            <w:szCs w:val="24"/>
            <w:lang w:val="en-US"/>
          </w:rPr>
          <w:t>https://www.investopedia.com/terms/d/days-sales-inventory-dsi.asp</w:t>
        </w:r>
      </w:hyperlink>
      <w:r w:rsidRPr="0008214B">
        <w:rPr>
          <w:rFonts w:ascii="Times New Roman" w:hAnsi="Times New Roman" w:cs="Times New Roman"/>
          <w:bCs/>
          <w:sz w:val="24"/>
          <w:szCs w:val="24"/>
          <w:lang w:val="en-US"/>
        </w:rPr>
        <w:t xml:space="preserve"> [Accessed: 22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bCs/>
          <w:sz w:val="24"/>
          <w:szCs w:val="24"/>
          <w:lang w:val="en-US"/>
        </w:rPr>
        <w:t xml:space="preserve">Ingram (2019) </w:t>
      </w:r>
      <w:r w:rsidRPr="0008214B">
        <w:rPr>
          <w:rFonts w:ascii="Times New Roman" w:hAnsi="Times New Roman" w:cs="Times New Roman"/>
          <w:bCs/>
          <w:i/>
          <w:sz w:val="24"/>
          <w:szCs w:val="24"/>
          <w:lang w:val="en-US"/>
        </w:rPr>
        <w:t>The Advantages of Financial Ratios</w:t>
      </w:r>
      <w:r w:rsidRPr="0008214B">
        <w:rPr>
          <w:rFonts w:ascii="Times New Roman" w:hAnsi="Times New Roman" w:cs="Times New Roman"/>
          <w:bCs/>
          <w:sz w:val="24"/>
          <w:szCs w:val="24"/>
          <w:lang w:val="en-US"/>
        </w:rPr>
        <w:t xml:space="preserve">, [online] Available: </w:t>
      </w:r>
      <w:hyperlink r:id="rId12" w:history="1">
        <w:r w:rsidRPr="0008214B">
          <w:rPr>
            <w:rStyle w:val="Hyperlink"/>
            <w:rFonts w:ascii="Times New Roman" w:hAnsi="Times New Roman" w:cs="Times New Roman"/>
            <w:bCs/>
            <w:sz w:val="24"/>
            <w:szCs w:val="24"/>
            <w:lang w:val="en-US"/>
          </w:rPr>
          <w:t>https://smallbusiness.chron.com/advantages-financial-ratios-3973.html</w:t>
        </w:r>
      </w:hyperlink>
      <w:r w:rsidRPr="0008214B">
        <w:rPr>
          <w:rFonts w:ascii="Times New Roman" w:hAnsi="Times New Roman" w:cs="Times New Roman"/>
          <w:bCs/>
          <w:sz w:val="24"/>
          <w:szCs w:val="24"/>
          <w:lang w:val="en-US"/>
        </w:rPr>
        <w:t xml:space="preserve"> [Accessed: 22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bCs/>
          <w:sz w:val="24"/>
          <w:szCs w:val="24"/>
          <w:lang w:val="en-US"/>
        </w:rPr>
        <w:t xml:space="preserve">Kenton, W. (2021) </w:t>
      </w:r>
      <w:r w:rsidRPr="0008214B">
        <w:rPr>
          <w:rFonts w:ascii="Times New Roman" w:hAnsi="Times New Roman" w:cs="Times New Roman"/>
          <w:bCs/>
          <w:i/>
          <w:sz w:val="24"/>
          <w:szCs w:val="24"/>
          <w:lang w:val="en-US"/>
        </w:rPr>
        <w:t>Average Collection Period</w:t>
      </w:r>
      <w:r w:rsidRPr="0008214B">
        <w:rPr>
          <w:rFonts w:ascii="Times New Roman" w:hAnsi="Times New Roman" w:cs="Times New Roman"/>
          <w:bCs/>
          <w:sz w:val="24"/>
          <w:szCs w:val="24"/>
          <w:lang w:val="en-US"/>
        </w:rPr>
        <w:t xml:space="preserve">, [online] Available: </w:t>
      </w:r>
      <w:hyperlink r:id="rId13" w:history="1">
        <w:r w:rsidRPr="0008214B">
          <w:rPr>
            <w:rStyle w:val="Hyperlink"/>
            <w:rFonts w:ascii="Times New Roman" w:hAnsi="Times New Roman" w:cs="Times New Roman"/>
            <w:bCs/>
            <w:sz w:val="24"/>
            <w:szCs w:val="24"/>
            <w:lang w:val="en-US"/>
          </w:rPr>
          <w:t>https://www.investopedia.com/terms/a/average_collection_period.asp</w:t>
        </w:r>
      </w:hyperlink>
      <w:r w:rsidRPr="0008214B">
        <w:rPr>
          <w:rFonts w:ascii="Times New Roman" w:hAnsi="Times New Roman" w:cs="Times New Roman"/>
          <w:bCs/>
          <w:sz w:val="24"/>
          <w:szCs w:val="24"/>
          <w:lang w:val="en-US"/>
        </w:rPr>
        <w:t xml:space="preserve"> [Accessed: 22 July 2021]</w:t>
      </w:r>
    </w:p>
    <w:p w:rsidR="0008214B" w:rsidRPr="0008214B" w:rsidRDefault="0008214B" w:rsidP="0008214B">
      <w:pPr>
        <w:spacing w:after="240" w:line="360" w:lineRule="auto"/>
        <w:rPr>
          <w:rFonts w:ascii="Times New Roman" w:hAnsi="Times New Roman" w:cs="Times New Roman"/>
          <w:bCs/>
          <w:sz w:val="24"/>
          <w:szCs w:val="24"/>
          <w:lang w:val="en-US"/>
        </w:rPr>
      </w:pPr>
      <w:r w:rsidRPr="0008214B">
        <w:rPr>
          <w:rFonts w:ascii="Times New Roman" w:hAnsi="Times New Roman" w:cs="Times New Roman"/>
          <w:bCs/>
          <w:sz w:val="24"/>
          <w:szCs w:val="24"/>
          <w:lang w:val="en-US"/>
        </w:rPr>
        <w:t xml:space="preserve">Vitez, O. (2021) </w:t>
      </w:r>
      <w:r w:rsidRPr="0008214B">
        <w:rPr>
          <w:rFonts w:ascii="Times New Roman" w:hAnsi="Times New Roman" w:cs="Times New Roman"/>
          <w:bCs/>
          <w:i/>
          <w:sz w:val="24"/>
          <w:szCs w:val="24"/>
          <w:lang w:val="en-US"/>
        </w:rPr>
        <w:t>Pros &amp; Cons of Financial Ratios</w:t>
      </w:r>
      <w:r w:rsidRPr="0008214B">
        <w:rPr>
          <w:rFonts w:ascii="Times New Roman" w:hAnsi="Times New Roman" w:cs="Times New Roman"/>
          <w:bCs/>
          <w:sz w:val="24"/>
          <w:szCs w:val="24"/>
          <w:lang w:val="en-US"/>
        </w:rPr>
        <w:t xml:space="preserve">, [online] Available: </w:t>
      </w:r>
      <w:hyperlink r:id="rId14" w:history="1">
        <w:r w:rsidRPr="0008214B">
          <w:rPr>
            <w:rStyle w:val="Hyperlink"/>
            <w:rFonts w:ascii="Times New Roman" w:hAnsi="Times New Roman" w:cs="Times New Roman"/>
            <w:bCs/>
            <w:sz w:val="24"/>
            <w:szCs w:val="24"/>
            <w:lang w:val="en-US"/>
          </w:rPr>
          <w:t>https://smallbusiness.chron.com/explanation-return-investment-3424.html</w:t>
        </w:r>
      </w:hyperlink>
      <w:r w:rsidRPr="0008214B">
        <w:rPr>
          <w:rFonts w:ascii="Times New Roman" w:hAnsi="Times New Roman" w:cs="Times New Roman"/>
          <w:bCs/>
          <w:sz w:val="24"/>
          <w:szCs w:val="24"/>
          <w:lang w:val="en-US"/>
        </w:rPr>
        <w:t xml:space="preserve"> [Accessed: 22 July 2021]</w:t>
      </w:r>
    </w:p>
    <w:p w:rsidR="0008214B" w:rsidRPr="0008214B" w:rsidRDefault="0008214B" w:rsidP="0008214B">
      <w:pPr>
        <w:spacing w:after="240" w:line="360" w:lineRule="auto"/>
        <w:rPr>
          <w:rFonts w:ascii="Times New Roman" w:hAnsi="Times New Roman" w:cs="Times New Roman"/>
          <w:sz w:val="24"/>
          <w:szCs w:val="24"/>
        </w:rPr>
      </w:pPr>
      <w:r w:rsidRPr="0008214B">
        <w:rPr>
          <w:rFonts w:ascii="Times New Roman" w:hAnsi="Times New Roman" w:cs="Times New Roman"/>
          <w:sz w:val="24"/>
          <w:szCs w:val="24"/>
        </w:rPr>
        <w:t xml:space="preserve">Wild, J. (2017) </w:t>
      </w:r>
      <w:r w:rsidRPr="0008214B">
        <w:rPr>
          <w:rFonts w:ascii="Times New Roman" w:hAnsi="Times New Roman" w:cs="Times New Roman"/>
          <w:i/>
          <w:iCs/>
          <w:sz w:val="24"/>
          <w:szCs w:val="24"/>
        </w:rPr>
        <w:t>Financial Accounting Fundamentals</w:t>
      </w:r>
      <w:r w:rsidRPr="0008214B">
        <w:rPr>
          <w:rFonts w:ascii="Times New Roman" w:hAnsi="Times New Roman" w:cs="Times New Roman"/>
          <w:sz w:val="24"/>
          <w:szCs w:val="24"/>
        </w:rPr>
        <w:t>. 6</w:t>
      </w:r>
      <w:r w:rsidRPr="0008214B">
        <w:rPr>
          <w:rFonts w:ascii="Times New Roman" w:hAnsi="Times New Roman" w:cs="Times New Roman"/>
          <w:sz w:val="24"/>
          <w:szCs w:val="24"/>
          <w:vertAlign w:val="superscript"/>
        </w:rPr>
        <w:t>th</w:t>
      </w:r>
      <w:r w:rsidRPr="0008214B">
        <w:rPr>
          <w:rFonts w:ascii="Times New Roman" w:hAnsi="Times New Roman" w:cs="Times New Roman"/>
          <w:sz w:val="24"/>
          <w:szCs w:val="24"/>
        </w:rPr>
        <w:t xml:space="preserve"> edition, McGraw-Hill</w:t>
      </w:r>
    </w:p>
    <w:p w:rsidR="00936D3D" w:rsidRPr="00836E02" w:rsidRDefault="0008214B" w:rsidP="00836E02">
      <w:pPr>
        <w:spacing w:after="240" w:line="360" w:lineRule="auto"/>
        <w:rPr>
          <w:rFonts w:ascii="Times New Roman" w:hAnsi="Times New Roman" w:cs="Times New Roman"/>
          <w:sz w:val="24"/>
          <w:szCs w:val="24"/>
        </w:rPr>
      </w:pPr>
      <w:r w:rsidRPr="0008214B">
        <w:rPr>
          <w:rFonts w:ascii="Times New Roman" w:hAnsi="Times New Roman" w:cs="Times New Roman"/>
          <w:sz w:val="24"/>
          <w:szCs w:val="24"/>
        </w:rPr>
        <w:t xml:space="preserve">Wild, J. and Shaw, K. (2018) </w:t>
      </w:r>
      <w:r w:rsidRPr="0008214B">
        <w:rPr>
          <w:rFonts w:ascii="Times New Roman" w:hAnsi="Times New Roman" w:cs="Times New Roman"/>
          <w:i/>
          <w:iCs/>
          <w:sz w:val="24"/>
          <w:szCs w:val="24"/>
        </w:rPr>
        <w:t>Fundamental Accounting Principles</w:t>
      </w:r>
      <w:r w:rsidRPr="0008214B">
        <w:rPr>
          <w:rFonts w:ascii="Times New Roman" w:hAnsi="Times New Roman" w:cs="Times New Roman"/>
          <w:sz w:val="24"/>
          <w:szCs w:val="24"/>
        </w:rPr>
        <w:t>, 24</w:t>
      </w:r>
      <w:r w:rsidRPr="0008214B">
        <w:rPr>
          <w:rFonts w:ascii="Times New Roman" w:hAnsi="Times New Roman" w:cs="Times New Roman"/>
          <w:sz w:val="24"/>
          <w:szCs w:val="24"/>
          <w:vertAlign w:val="superscript"/>
        </w:rPr>
        <w:t>th</w:t>
      </w:r>
      <w:r w:rsidRPr="0008214B">
        <w:rPr>
          <w:rFonts w:ascii="Times New Roman" w:hAnsi="Times New Roman" w:cs="Times New Roman"/>
          <w:sz w:val="24"/>
          <w:szCs w:val="24"/>
        </w:rPr>
        <w:t xml:space="preserve"> edition, McGraw-Hill </w:t>
      </w:r>
    </w:p>
    <w:p w:rsidR="00936D3D" w:rsidRPr="00836E02" w:rsidRDefault="00936D3D" w:rsidP="00836E02">
      <w:pPr>
        <w:spacing w:after="240" w:line="360" w:lineRule="auto"/>
        <w:rPr>
          <w:rFonts w:ascii="Times New Roman" w:hAnsi="Times New Roman" w:cs="Times New Roman"/>
          <w:sz w:val="24"/>
          <w:szCs w:val="24"/>
        </w:rPr>
      </w:pPr>
    </w:p>
    <w:sectPr w:rsidR="00936D3D" w:rsidRPr="00836E02" w:rsidSect="00D7495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60B9" w:rsidRDefault="00DD60B9" w:rsidP="00811707">
      <w:pPr>
        <w:spacing w:after="0" w:line="240" w:lineRule="auto"/>
      </w:pPr>
      <w:r>
        <w:separator/>
      </w:r>
    </w:p>
  </w:endnote>
  <w:endnote w:type="continuationSeparator" w:id="0">
    <w:p w:rsidR="00DD60B9" w:rsidRDefault="00DD60B9" w:rsidP="00811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9944"/>
      <w:docPartObj>
        <w:docPartGallery w:val="Page Numbers (Bottom of Page)"/>
        <w:docPartUnique/>
      </w:docPartObj>
    </w:sdtPr>
    <w:sdtEndPr/>
    <w:sdtContent>
      <w:p w:rsidR="00453988" w:rsidRDefault="007A7FA7">
        <w:pPr>
          <w:pStyle w:val="Footer"/>
          <w:jc w:val="right"/>
        </w:pPr>
        <w:r>
          <w:fldChar w:fldCharType="begin"/>
        </w:r>
        <w:r>
          <w:instrText xml:space="preserve"> PAGE   \* MERGEFORMAT </w:instrText>
        </w:r>
        <w:r>
          <w:fldChar w:fldCharType="separate"/>
        </w:r>
        <w:r w:rsidR="0008214B">
          <w:rPr>
            <w:noProof/>
          </w:rPr>
          <w:t>2</w:t>
        </w:r>
        <w:r>
          <w:rPr>
            <w:noProof/>
          </w:rPr>
          <w:fldChar w:fldCharType="end"/>
        </w:r>
      </w:p>
    </w:sdtContent>
  </w:sdt>
  <w:p w:rsidR="00453988" w:rsidRDefault="00453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60B9" w:rsidRDefault="00DD60B9" w:rsidP="00811707">
      <w:pPr>
        <w:spacing w:after="0" w:line="240" w:lineRule="auto"/>
      </w:pPr>
      <w:r>
        <w:separator/>
      </w:r>
    </w:p>
  </w:footnote>
  <w:footnote w:type="continuationSeparator" w:id="0">
    <w:p w:rsidR="00DD60B9" w:rsidRDefault="00DD60B9" w:rsidP="00811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A4238"/>
    <w:multiLevelType w:val="hybridMultilevel"/>
    <w:tmpl w:val="32403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D3D"/>
    <w:rsid w:val="00073789"/>
    <w:rsid w:val="000767C3"/>
    <w:rsid w:val="0008214B"/>
    <w:rsid w:val="00146A8F"/>
    <w:rsid w:val="00192EAB"/>
    <w:rsid w:val="002131E9"/>
    <w:rsid w:val="002376D1"/>
    <w:rsid w:val="002A1A12"/>
    <w:rsid w:val="00453988"/>
    <w:rsid w:val="00462471"/>
    <w:rsid w:val="004A39AB"/>
    <w:rsid w:val="005132D9"/>
    <w:rsid w:val="00532408"/>
    <w:rsid w:val="00603ED4"/>
    <w:rsid w:val="007023AA"/>
    <w:rsid w:val="00731F46"/>
    <w:rsid w:val="007A7FA7"/>
    <w:rsid w:val="00811707"/>
    <w:rsid w:val="00836E02"/>
    <w:rsid w:val="00844BCF"/>
    <w:rsid w:val="00880E33"/>
    <w:rsid w:val="00896154"/>
    <w:rsid w:val="00903291"/>
    <w:rsid w:val="009336B9"/>
    <w:rsid w:val="00936D3D"/>
    <w:rsid w:val="009678CA"/>
    <w:rsid w:val="00990E88"/>
    <w:rsid w:val="00A46467"/>
    <w:rsid w:val="00A95E74"/>
    <w:rsid w:val="00AA17B4"/>
    <w:rsid w:val="00AD67CE"/>
    <w:rsid w:val="00AE52FE"/>
    <w:rsid w:val="00AF7E40"/>
    <w:rsid w:val="00B11255"/>
    <w:rsid w:val="00B63848"/>
    <w:rsid w:val="00B745B3"/>
    <w:rsid w:val="00C86E73"/>
    <w:rsid w:val="00CD40BB"/>
    <w:rsid w:val="00CE63DC"/>
    <w:rsid w:val="00D013E3"/>
    <w:rsid w:val="00D01EE5"/>
    <w:rsid w:val="00D21FE5"/>
    <w:rsid w:val="00D329C8"/>
    <w:rsid w:val="00D74952"/>
    <w:rsid w:val="00DD60B9"/>
    <w:rsid w:val="00DE5B92"/>
    <w:rsid w:val="00EF1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CF1D"/>
  <w15:docId w15:val="{A4E01398-D41E-AA4F-A826-2111130E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952"/>
  </w:style>
  <w:style w:type="paragraph" w:styleId="Heading1">
    <w:name w:val="heading 1"/>
    <w:basedOn w:val="Normal"/>
    <w:next w:val="Normal"/>
    <w:link w:val="Heading1Char"/>
    <w:uiPriority w:val="9"/>
    <w:qFormat/>
    <w:rsid w:val="00731F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5398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6D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D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31F4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semiHidden/>
    <w:unhideWhenUsed/>
    <w:rsid w:val="00811707"/>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811707"/>
  </w:style>
  <w:style w:type="paragraph" w:styleId="Footer">
    <w:name w:val="footer"/>
    <w:basedOn w:val="Normal"/>
    <w:link w:val="FooterChar"/>
    <w:uiPriority w:val="99"/>
    <w:unhideWhenUsed/>
    <w:rsid w:val="00811707"/>
    <w:pPr>
      <w:tabs>
        <w:tab w:val="center" w:pos="4703"/>
        <w:tab w:val="right" w:pos="9406"/>
      </w:tabs>
      <w:spacing w:after="0" w:line="240" w:lineRule="auto"/>
    </w:pPr>
  </w:style>
  <w:style w:type="character" w:customStyle="1" w:styleId="FooterChar">
    <w:name w:val="Footer Char"/>
    <w:basedOn w:val="DefaultParagraphFont"/>
    <w:link w:val="Footer"/>
    <w:uiPriority w:val="99"/>
    <w:rsid w:val="00811707"/>
  </w:style>
  <w:style w:type="paragraph" w:styleId="TOCHeading">
    <w:name w:val="TOC Heading"/>
    <w:basedOn w:val="Heading1"/>
    <w:next w:val="Normal"/>
    <w:uiPriority w:val="39"/>
    <w:semiHidden/>
    <w:unhideWhenUsed/>
    <w:qFormat/>
    <w:rsid w:val="00836E0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36E02"/>
    <w:pPr>
      <w:spacing w:after="100"/>
    </w:pPr>
  </w:style>
  <w:style w:type="character" w:styleId="Hyperlink">
    <w:name w:val="Hyperlink"/>
    <w:basedOn w:val="DefaultParagraphFont"/>
    <w:uiPriority w:val="99"/>
    <w:unhideWhenUsed/>
    <w:rsid w:val="00836E02"/>
    <w:rPr>
      <w:color w:val="0563C1" w:themeColor="hyperlink"/>
      <w:u w:val="single"/>
    </w:rPr>
  </w:style>
  <w:style w:type="paragraph" w:styleId="BalloonText">
    <w:name w:val="Balloon Text"/>
    <w:basedOn w:val="Normal"/>
    <w:link w:val="BalloonTextChar"/>
    <w:uiPriority w:val="99"/>
    <w:semiHidden/>
    <w:unhideWhenUsed/>
    <w:rsid w:val="00836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E02"/>
    <w:rPr>
      <w:rFonts w:ascii="Tahoma" w:hAnsi="Tahoma" w:cs="Tahoma"/>
      <w:sz w:val="16"/>
      <w:szCs w:val="16"/>
    </w:rPr>
  </w:style>
  <w:style w:type="character" w:customStyle="1" w:styleId="Heading2Char">
    <w:name w:val="Heading 2 Char"/>
    <w:basedOn w:val="DefaultParagraphFont"/>
    <w:link w:val="Heading2"/>
    <w:uiPriority w:val="9"/>
    <w:semiHidden/>
    <w:rsid w:val="00453988"/>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082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053608">
      <w:bodyDiv w:val="1"/>
      <w:marLeft w:val="0"/>
      <w:marRight w:val="0"/>
      <w:marTop w:val="0"/>
      <w:marBottom w:val="0"/>
      <w:divBdr>
        <w:top w:val="none" w:sz="0" w:space="0" w:color="auto"/>
        <w:left w:val="none" w:sz="0" w:space="0" w:color="auto"/>
        <w:bottom w:val="none" w:sz="0" w:space="0" w:color="auto"/>
        <w:right w:val="none" w:sz="0" w:space="0" w:color="auto"/>
      </w:divBdr>
    </w:div>
    <w:div w:id="582644347">
      <w:bodyDiv w:val="1"/>
      <w:marLeft w:val="0"/>
      <w:marRight w:val="0"/>
      <w:marTop w:val="0"/>
      <w:marBottom w:val="0"/>
      <w:divBdr>
        <w:top w:val="none" w:sz="0" w:space="0" w:color="auto"/>
        <w:left w:val="none" w:sz="0" w:space="0" w:color="auto"/>
        <w:bottom w:val="none" w:sz="0" w:space="0" w:color="auto"/>
        <w:right w:val="none" w:sz="0" w:space="0" w:color="auto"/>
      </w:divBdr>
    </w:div>
    <w:div w:id="834804846">
      <w:bodyDiv w:val="1"/>
      <w:marLeft w:val="0"/>
      <w:marRight w:val="0"/>
      <w:marTop w:val="0"/>
      <w:marBottom w:val="0"/>
      <w:divBdr>
        <w:top w:val="none" w:sz="0" w:space="0" w:color="auto"/>
        <w:left w:val="none" w:sz="0" w:space="0" w:color="auto"/>
        <w:bottom w:val="none" w:sz="0" w:space="0" w:color="auto"/>
        <w:right w:val="none" w:sz="0" w:space="0" w:color="auto"/>
      </w:divBdr>
    </w:div>
    <w:div w:id="929582389">
      <w:bodyDiv w:val="1"/>
      <w:marLeft w:val="0"/>
      <w:marRight w:val="0"/>
      <w:marTop w:val="0"/>
      <w:marBottom w:val="0"/>
      <w:divBdr>
        <w:top w:val="none" w:sz="0" w:space="0" w:color="auto"/>
        <w:left w:val="none" w:sz="0" w:space="0" w:color="auto"/>
        <w:bottom w:val="none" w:sz="0" w:space="0" w:color="auto"/>
        <w:right w:val="none" w:sz="0" w:space="0" w:color="auto"/>
      </w:divBdr>
    </w:div>
    <w:div w:id="936065082">
      <w:bodyDiv w:val="1"/>
      <w:marLeft w:val="0"/>
      <w:marRight w:val="0"/>
      <w:marTop w:val="0"/>
      <w:marBottom w:val="0"/>
      <w:divBdr>
        <w:top w:val="none" w:sz="0" w:space="0" w:color="auto"/>
        <w:left w:val="none" w:sz="0" w:space="0" w:color="auto"/>
        <w:bottom w:val="none" w:sz="0" w:space="0" w:color="auto"/>
        <w:right w:val="none" w:sz="0" w:space="0" w:color="auto"/>
      </w:divBdr>
    </w:div>
    <w:div w:id="995765114">
      <w:bodyDiv w:val="1"/>
      <w:marLeft w:val="0"/>
      <w:marRight w:val="0"/>
      <w:marTop w:val="0"/>
      <w:marBottom w:val="0"/>
      <w:divBdr>
        <w:top w:val="none" w:sz="0" w:space="0" w:color="auto"/>
        <w:left w:val="none" w:sz="0" w:space="0" w:color="auto"/>
        <w:bottom w:val="none" w:sz="0" w:space="0" w:color="auto"/>
        <w:right w:val="none" w:sz="0" w:space="0" w:color="auto"/>
      </w:divBdr>
    </w:div>
    <w:div w:id="1131754099">
      <w:bodyDiv w:val="1"/>
      <w:marLeft w:val="0"/>
      <w:marRight w:val="0"/>
      <w:marTop w:val="0"/>
      <w:marBottom w:val="0"/>
      <w:divBdr>
        <w:top w:val="none" w:sz="0" w:space="0" w:color="auto"/>
        <w:left w:val="none" w:sz="0" w:space="0" w:color="auto"/>
        <w:bottom w:val="none" w:sz="0" w:space="0" w:color="auto"/>
        <w:right w:val="none" w:sz="0" w:space="0" w:color="auto"/>
      </w:divBdr>
    </w:div>
    <w:div w:id="1202133128">
      <w:bodyDiv w:val="1"/>
      <w:marLeft w:val="0"/>
      <w:marRight w:val="0"/>
      <w:marTop w:val="0"/>
      <w:marBottom w:val="0"/>
      <w:divBdr>
        <w:top w:val="none" w:sz="0" w:space="0" w:color="auto"/>
        <w:left w:val="none" w:sz="0" w:space="0" w:color="auto"/>
        <w:bottom w:val="none" w:sz="0" w:space="0" w:color="auto"/>
        <w:right w:val="none" w:sz="0" w:space="0" w:color="auto"/>
      </w:divBdr>
    </w:div>
    <w:div w:id="1350373134">
      <w:bodyDiv w:val="1"/>
      <w:marLeft w:val="0"/>
      <w:marRight w:val="0"/>
      <w:marTop w:val="0"/>
      <w:marBottom w:val="0"/>
      <w:divBdr>
        <w:top w:val="none" w:sz="0" w:space="0" w:color="auto"/>
        <w:left w:val="none" w:sz="0" w:space="0" w:color="auto"/>
        <w:bottom w:val="none" w:sz="0" w:space="0" w:color="auto"/>
        <w:right w:val="none" w:sz="0" w:space="0" w:color="auto"/>
      </w:divBdr>
    </w:div>
    <w:div w:id="1565725972">
      <w:bodyDiv w:val="1"/>
      <w:marLeft w:val="0"/>
      <w:marRight w:val="0"/>
      <w:marTop w:val="0"/>
      <w:marBottom w:val="0"/>
      <w:divBdr>
        <w:top w:val="none" w:sz="0" w:space="0" w:color="auto"/>
        <w:left w:val="none" w:sz="0" w:space="0" w:color="auto"/>
        <w:bottom w:val="none" w:sz="0" w:space="0" w:color="auto"/>
        <w:right w:val="none" w:sz="0" w:space="0" w:color="auto"/>
      </w:divBdr>
    </w:div>
    <w:div w:id="1588807980">
      <w:bodyDiv w:val="1"/>
      <w:marLeft w:val="0"/>
      <w:marRight w:val="0"/>
      <w:marTop w:val="0"/>
      <w:marBottom w:val="0"/>
      <w:divBdr>
        <w:top w:val="none" w:sz="0" w:space="0" w:color="auto"/>
        <w:left w:val="none" w:sz="0" w:space="0" w:color="auto"/>
        <w:bottom w:val="none" w:sz="0" w:space="0" w:color="auto"/>
        <w:right w:val="none" w:sz="0" w:space="0" w:color="auto"/>
      </w:divBdr>
    </w:div>
    <w:div w:id="1878615965">
      <w:bodyDiv w:val="1"/>
      <w:marLeft w:val="0"/>
      <w:marRight w:val="0"/>
      <w:marTop w:val="0"/>
      <w:marBottom w:val="0"/>
      <w:divBdr>
        <w:top w:val="none" w:sz="0" w:space="0" w:color="auto"/>
        <w:left w:val="none" w:sz="0" w:space="0" w:color="auto"/>
        <w:bottom w:val="none" w:sz="0" w:space="0" w:color="auto"/>
        <w:right w:val="none" w:sz="0" w:space="0" w:color="auto"/>
      </w:divBdr>
    </w:div>
    <w:div w:id="197540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coach.com/blog/what-is-the-double-entry-system" TargetMode="External" /><Relationship Id="rId13" Type="http://schemas.openxmlformats.org/officeDocument/2006/relationships/hyperlink" Target="https://www.investopedia.com/terms/a/average_collection_period.asp"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smallbusiness.chron.com/advantages-financial-ratios-3973.html"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investopedia.com/terms/d/days-sales-inventory-dsi.asp"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corporatefinanceinstitute.com/resources/knowledge/finance/gearing/" TargetMode="External" /><Relationship Id="rId4" Type="http://schemas.openxmlformats.org/officeDocument/2006/relationships/settings" Target="settings.xml" /><Relationship Id="rId9" Type="http://schemas.openxmlformats.org/officeDocument/2006/relationships/hyperlink" Target="https://corporatefinanceinstitute.com/resources/knowledge/accounting/balance-sheet/" TargetMode="External" /><Relationship Id="rId14" Type="http://schemas.openxmlformats.org/officeDocument/2006/relationships/hyperlink" Target="https://smallbusiness.chron.com/explanation-return-investment-3424.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3E09CD-3E11-4153-B8EA-AA77537247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vensolina86@gmail.com</cp:lastModifiedBy>
  <cp:revision>6</cp:revision>
  <dcterms:created xsi:type="dcterms:W3CDTF">2021-07-26T17:07:00Z</dcterms:created>
  <dcterms:modified xsi:type="dcterms:W3CDTF">2021-07-26T17:22:00Z</dcterms:modified>
</cp:coreProperties>
</file>