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b w:val="1"/>
          <w:sz w:val="24"/>
          <w:szCs w:val="24"/>
          <w:u w:val="single"/>
        </w:rPr>
      </w:pPr>
      <w:r w:rsidDel="00000000" w:rsidR="00000000" w:rsidRPr="00000000">
        <w:rPr>
          <w:b w:val="1"/>
          <w:sz w:val="24"/>
          <w:szCs w:val="24"/>
          <w:u w:val="single"/>
          <w:rtl w:val="0"/>
        </w:rPr>
        <w:t xml:space="preserve">Gibbs reflective model </w:t>
      </w:r>
    </w:p>
    <w:p w:rsidR="00000000" w:rsidDel="00000000" w:rsidP="00000000" w:rsidRDefault="00000000" w:rsidRPr="00000000" w14:paraId="00000002">
      <w:pPr>
        <w:jc w:val="both"/>
        <w:rPr>
          <w:b w:val="1"/>
          <w:sz w:val="24"/>
          <w:szCs w:val="24"/>
          <w:u w:val="single"/>
        </w:rPr>
      </w:pPr>
      <w:r w:rsidDel="00000000" w:rsidR="00000000" w:rsidRPr="00000000">
        <w:rPr>
          <w:rtl w:val="0"/>
        </w:rPr>
      </w:r>
    </w:p>
    <w:p w:rsidR="00000000" w:rsidDel="00000000" w:rsidP="00000000" w:rsidRDefault="00000000" w:rsidRPr="00000000" w14:paraId="00000003">
      <w:pPr>
        <w:jc w:val="both"/>
        <w:rPr>
          <w:sz w:val="24"/>
          <w:szCs w:val="24"/>
        </w:rPr>
      </w:pPr>
      <w:r w:rsidDel="00000000" w:rsidR="00000000" w:rsidRPr="00000000">
        <w:rPr>
          <w:b w:val="1"/>
          <w:sz w:val="24"/>
          <w:szCs w:val="24"/>
          <w:u w:val="single"/>
          <w:rtl w:val="0"/>
        </w:rPr>
        <w:t xml:space="preserve">Mental health and suicide rates- age</w:t>
      </w:r>
      <w:r w:rsidDel="00000000" w:rsidR="00000000" w:rsidRPr="00000000">
        <w:rPr>
          <w:rtl w:val="0"/>
        </w:rPr>
      </w:r>
    </w:p>
    <w:p w:rsidR="00000000" w:rsidDel="00000000" w:rsidP="00000000" w:rsidRDefault="00000000" w:rsidRPr="00000000" w14:paraId="00000004">
      <w:pPr>
        <w:jc w:val="both"/>
        <w:rPr>
          <w:sz w:val="24"/>
          <w:szCs w:val="24"/>
        </w:rPr>
      </w:pPr>
      <w:r w:rsidDel="00000000" w:rsidR="00000000" w:rsidRPr="00000000">
        <w:rPr>
          <w:sz w:val="24"/>
          <w:szCs w:val="24"/>
          <w:rtl w:val="0"/>
        </w:rPr>
        <w:t xml:space="preserve">This reflective paper is going to go into further detail of the pitch that i have been working on to promote mental health. Mental health is defined by NHS Direct, (2019) as the way we think, feel and behave and explains that mental health can affect anyone, which makes it clear that age links in with mental health as it can affect anyone at any age. </w:t>
      </w:r>
    </w:p>
    <w:p w:rsidR="00000000" w:rsidDel="00000000" w:rsidP="00000000" w:rsidRDefault="00000000" w:rsidRPr="00000000" w14:paraId="00000005">
      <w:pPr>
        <w:jc w:val="both"/>
        <w:rPr>
          <w:sz w:val="24"/>
          <w:szCs w:val="24"/>
        </w:rPr>
      </w:pPr>
      <w:r w:rsidDel="00000000" w:rsidR="00000000" w:rsidRPr="00000000">
        <w:rPr>
          <w:sz w:val="24"/>
          <w:szCs w:val="24"/>
          <w:rtl w:val="0"/>
        </w:rPr>
        <w:t xml:space="preserve">Suicide is defined by the CDC, (2015) as people who direct violence at themselves with the intent to end their lives.  People who often try to commit suicide are often icolated and lonely due to issues going on within their lives.  Calati, R,et al, (2019) makes it clear that social isolation is one of the main risk factors associated with suicidal outcomes, which proves that people of all ages who are isolated can end up committing suicide. </w:t>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jc w:val="both"/>
        <w:rPr>
          <w:sz w:val="24"/>
          <w:szCs w:val="24"/>
        </w:rPr>
      </w:pPr>
      <w:r w:rsidDel="00000000" w:rsidR="00000000" w:rsidRPr="00000000">
        <w:rPr>
          <w:sz w:val="24"/>
          <w:szCs w:val="24"/>
          <w:rtl w:val="0"/>
        </w:rPr>
        <w:t xml:space="preserve">For this assignment i decided to use Gibb’s reflective cycle to structure my supporting paper on. Gibb’s reflective cycle was developed by Graham Gibbs in 1988 and it allows people to learn from things that either went well or did not go well and it includes 6 key stages including description, feelings, evaluation, analysis, conclusion and action plan, (The University of Edinburgh, 2019). </w:t>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For this presentation my group decided that the health belief model fitted in well with our chosen project as it talks about changing people’s behaviour. Abraham, C, and Sheeran, P, (2015) explain that the health belief model is focussed on two aspects of individuals representations of health and health behaviour. </w:t>
      </w:r>
    </w:p>
    <w:p w:rsidR="00000000" w:rsidDel="00000000" w:rsidP="00000000" w:rsidRDefault="00000000" w:rsidRPr="00000000" w14:paraId="00000009">
      <w:pPr>
        <w:jc w:val="both"/>
        <w:rPr>
          <w:sz w:val="24"/>
          <w:szCs w:val="24"/>
        </w:rPr>
      </w:pPr>
      <w:r w:rsidDel="00000000" w:rsidR="00000000" w:rsidRPr="00000000">
        <w:rPr>
          <w:rtl w:val="0"/>
        </w:rPr>
      </w:r>
    </w:p>
    <w:p w:rsidR="00000000" w:rsidDel="00000000" w:rsidP="00000000" w:rsidRDefault="00000000" w:rsidRPr="00000000" w14:paraId="0000000A">
      <w:pPr>
        <w:jc w:val="both"/>
        <w:rPr>
          <w:b w:val="1"/>
          <w:sz w:val="24"/>
          <w:szCs w:val="24"/>
          <w:u w:val="single"/>
        </w:rPr>
      </w:pPr>
      <w:r w:rsidDel="00000000" w:rsidR="00000000" w:rsidRPr="00000000">
        <w:rPr>
          <w:b w:val="1"/>
          <w:sz w:val="24"/>
          <w:szCs w:val="24"/>
          <w:u w:val="single"/>
          <w:rtl w:val="0"/>
        </w:rPr>
        <w:t xml:space="preserve">What happened? </w:t>
      </w:r>
    </w:p>
    <w:p w:rsidR="00000000" w:rsidDel="00000000" w:rsidP="00000000" w:rsidRDefault="00000000" w:rsidRPr="00000000" w14:paraId="0000000B">
      <w:pPr>
        <w:jc w:val="both"/>
        <w:rPr>
          <w:sz w:val="24"/>
          <w:szCs w:val="24"/>
        </w:rPr>
      </w:pPr>
      <w:r w:rsidDel="00000000" w:rsidR="00000000" w:rsidRPr="00000000">
        <w:rPr>
          <w:sz w:val="24"/>
          <w:szCs w:val="24"/>
          <w:rtl w:val="0"/>
        </w:rPr>
        <w:t xml:space="preserve">For this assignment i had to prepare a presentation within a group to prmote mental health for a paticular area so the geoup that i was in chose to focus on suicide and then go on to look further into different areas so i choce to look at age and suicides. Samaritans, (2018) points out that in the UK the highest suicide rate is among men aged 45-49  and that the rate of deaths among under 25’s has increased by 23.7% reaching 730 deaths in 218. An adult is a person older than 19, an adolescent is a  person aged 10 to 19,  a child is a person under the age of 19 and an infant is a child younger than 1, (WHO, 2013). </w:t>
      </w:r>
    </w:p>
    <w:p w:rsidR="00000000" w:rsidDel="00000000" w:rsidP="00000000" w:rsidRDefault="00000000" w:rsidRPr="00000000" w14:paraId="0000000C">
      <w:pPr>
        <w:jc w:val="both"/>
        <w:rPr>
          <w:sz w:val="24"/>
          <w:szCs w:val="24"/>
        </w:rPr>
      </w:pPr>
      <w:r w:rsidDel="00000000" w:rsidR="00000000" w:rsidRPr="00000000">
        <w:rPr>
          <w:sz w:val="24"/>
          <w:szCs w:val="24"/>
          <w:rtl w:val="0"/>
        </w:rPr>
        <w:t xml:space="preserve">For this presentation i started to look into suicide rates within the UK and how age links in and affects suicide rates as some age catagories may be more likely to committe suicide than others. During the presentation i went into detil on the rates of suicide and age and how when people think of suicide they think of the younger generation compared to the older generation who also have a high rate of suicides due to lonliness or due to the stresses of day to day life (The Guardian, 2017) released an article which states that data shows that in 2016 people aged between 40 and 44 had the highest prevelance of suicide, which proves that the older generation struggle with mental health however (Shah, A and Buckley, L, 2011) disagree with (The Guardian,2017) in pointing out that suicide rates in Englan and Wales have declined in recent years. This is showing that even though suicide in older people is being talked about it is not be reccognised as much as it should be. </w:t>
      </w:r>
    </w:p>
    <w:p w:rsidR="00000000" w:rsidDel="00000000" w:rsidP="00000000" w:rsidRDefault="00000000" w:rsidRPr="00000000" w14:paraId="0000000D">
      <w:pPr>
        <w:jc w:val="both"/>
        <w:rPr>
          <w:sz w:val="24"/>
          <w:szCs w:val="24"/>
        </w:rPr>
      </w:pPr>
      <w:r w:rsidDel="00000000" w:rsidR="00000000" w:rsidRPr="00000000">
        <w:rPr>
          <w:sz w:val="24"/>
          <w:szCs w:val="24"/>
          <w:rtl w:val="0"/>
        </w:rPr>
        <w:t xml:space="preserve">          The older generation are starting to use social media more and more the (CBS, 2018) explains that more and more older adults are using social media on the go, which proves that the older generation want to get more involved, however they might have problems looking or asking for help as a lot of the older generations have trouble using social media this is made clear by (Senior News, 2018) which points out that a common concern is that social media could over time make seniors more depressed, which shows that although more seniors are starting to use social media a lot of people are still lonely and struggle to use some social media sites. </w:t>
      </w:r>
    </w:p>
    <w:p w:rsidR="00000000" w:rsidDel="00000000" w:rsidP="00000000" w:rsidRDefault="00000000" w:rsidRPr="00000000" w14:paraId="0000000E">
      <w:pPr>
        <w:jc w:val="both"/>
        <w:rPr>
          <w:sz w:val="24"/>
          <w:szCs w:val="24"/>
        </w:rPr>
      </w:pPr>
      <w:r w:rsidDel="00000000" w:rsidR="00000000" w:rsidRPr="00000000">
        <w:rPr>
          <w:sz w:val="24"/>
          <w:szCs w:val="24"/>
          <w:rtl w:val="0"/>
        </w:rPr>
        <w:t xml:space="preserve">         For this topic i chose the health belief model as i thought it fitted best with suicide. The health belief model is described by Very well mind, (2019) as a tool that scientists use to try and predict health behaviors and that people will not change their minds unless they believe they are at risk. I believe this fits in with suicide as a lot of people with a mental health problem will not change their behaviors unless they thnk that they are at risk or unless something bad happens to their health. </w:t>
      </w:r>
    </w:p>
    <w:p w:rsidR="00000000" w:rsidDel="00000000" w:rsidP="00000000" w:rsidRDefault="00000000" w:rsidRPr="00000000" w14:paraId="0000000F">
      <w:pPr>
        <w:jc w:val="both"/>
        <w:rPr>
          <w:sz w:val="24"/>
          <w:szCs w:val="24"/>
        </w:rPr>
      </w:pPr>
      <w:r w:rsidDel="00000000" w:rsidR="00000000" w:rsidRPr="00000000">
        <w:rPr>
          <w:rtl w:val="0"/>
        </w:rPr>
      </w:r>
    </w:p>
    <w:p w:rsidR="00000000" w:rsidDel="00000000" w:rsidP="00000000" w:rsidRDefault="00000000" w:rsidRPr="00000000" w14:paraId="00000010">
      <w:pPr>
        <w:jc w:val="both"/>
        <w:rPr>
          <w:b w:val="1"/>
          <w:sz w:val="24"/>
          <w:szCs w:val="24"/>
          <w:u w:val="single"/>
        </w:rPr>
      </w:pPr>
      <w:r w:rsidDel="00000000" w:rsidR="00000000" w:rsidRPr="00000000">
        <w:rPr>
          <w:b w:val="1"/>
          <w:sz w:val="24"/>
          <w:szCs w:val="24"/>
          <w:u w:val="single"/>
          <w:rtl w:val="0"/>
        </w:rPr>
        <w:t xml:space="preserve">How did it make you feel?</w:t>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This assignment at first made me feel apprehensive as the topic that me and my group chose to do was a sensitive issue however it is something that is being talked about often and it is relevant to the issues that are going on within the news. Suicide is prevelant within today’s news for example The Guardian, (2019) recently released an article explaining that suicides within the UK have increased to it’s highest level since 2002, which is showing that suicide is an ongoing issue that is only getting worse. However as i did more research into the topic and gathered information and read articles i became more interested in the assignment and started to get more involved with the work. After presenting the presentation i felt relieved as i was very nervous before and i felt as though it went really well and that i presented it in a professional manner. </w:t>
      </w:r>
    </w:p>
    <w:p w:rsidR="00000000" w:rsidDel="00000000" w:rsidP="00000000" w:rsidRDefault="00000000" w:rsidRPr="00000000" w14:paraId="00000012">
      <w:pPr>
        <w:jc w:val="both"/>
        <w:rPr>
          <w:sz w:val="24"/>
          <w:szCs w:val="24"/>
        </w:rPr>
      </w:pPr>
      <w:r w:rsidDel="00000000" w:rsidR="00000000" w:rsidRPr="00000000">
        <w:rPr>
          <w:rtl w:val="0"/>
        </w:rPr>
      </w:r>
    </w:p>
    <w:p w:rsidR="00000000" w:rsidDel="00000000" w:rsidP="00000000" w:rsidRDefault="00000000" w:rsidRPr="00000000" w14:paraId="00000013">
      <w:pPr>
        <w:jc w:val="both"/>
        <w:rPr>
          <w:b w:val="1"/>
          <w:sz w:val="24"/>
          <w:szCs w:val="24"/>
          <w:u w:val="single"/>
        </w:rPr>
      </w:pPr>
      <w:r w:rsidDel="00000000" w:rsidR="00000000" w:rsidRPr="00000000">
        <w:rPr>
          <w:b w:val="1"/>
          <w:sz w:val="24"/>
          <w:szCs w:val="24"/>
          <w:u w:val="single"/>
          <w:rtl w:val="0"/>
        </w:rPr>
        <w:t xml:space="preserve">Good and bad things</w:t>
      </w:r>
    </w:p>
    <w:p w:rsidR="00000000" w:rsidDel="00000000" w:rsidP="00000000" w:rsidRDefault="00000000" w:rsidRPr="00000000" w14:paraId="00000014">
      <w:pPr>
        <w:jc w:val="both"/>
        <w:rPr>
          <w:sz w:val="24"/>
          <w:szCs w:val="24"/>
        </w:rPr>
      </w:pPr>
      <w:r w:rsidDel="00000000" w:rsidR="00000000" w:rsidRPr="00000000">
        <w:rPr>
          <w:sz w:val="24"/>
          <w:szCs w:val="24"/>
          <w:rtl w:val="0"/>
        </w:rPr>
        <w:t xml:space="preserve">The pros of this assignment were that i found it easy to find information and articles on suicide and ages and suicicide as it isa prevelent issue within socirty and there have been recent reports of suicide to base my information off, as well this i also found this topic interesting as i did more research into what the issue with suicide was and all the different age rates involved. However i did find this assignment hard as it is something that is personal to a lot of people and it is something that can go into details that are upsetting which is why i did not like the idea of doing suicide at the start when my group decided on the topic. </w:t>
      </w:r>
    </w:p>
    <w:p w:rsidR="00000000" w:rsidDel="00000000" w:rsidP="00000000" w:rsidRDefault="00000000" w:rsidRPr="00000000" w14:paraId="00000015">
      <w:pPr>
        <w:jc w:val="both"/>
        <w:rPr>
          <w:b w:val="1"/>
          <w:sz w:val="24"/>
          <w:szCs w:val="24"/>
          <w:u w:val="single"/>
        </w:rPr>
      </w:pPr>
      <w:r w:rsidDel="00000000" w:rsidR="00000000" w:rsidRPr="00000000">
        <w:rPr>
          <w:rtl w:val="0"/>
        </w:rPr>
      </w:r>
    </w:p>
    <w:p w:rsidR="00000000" w:rsidDel="00000000" w:rsidP="00000000" w:rsidRDefault="00000000" w:rsidRPr="00000000" w14:paraId="00000016">
      <w:pPr>
        <w:jc w:val="both"/>
        <w:rPr>
          <w:b w:val="1"/>
          <w:sz w:val="24"/>
          <w:szCs w:val="24"/>
          <w:u w:val="single"/>
        </w:rPr>
      </w:pPr>
      <w:r w:rsidDel="00000000" w:rsidR="00000000" w:rsidRPr="00000000">
        <w:rPr>
          <w:b w:val="1"/>
          <w:sz w:val="24"/>
          <w:szCs w:val="24"/>
          <w:u w:val="single"/>
          <w:rtl w:val="0"/>
        </w:rPr>
        <w:t xml:space="preserve">What sense can you make of the situation? </w:t>
      </w:r>
    </w:p>
    <w:p w:rsidR="00000000" w:rsidDel="00000000" w:rsidP="00000000" w:rsidRDefault="00000000" w:rsidRPr="00000000" w14:paraId="00000017">
      <w:pPr>
        <w:jc w:val="both"/>
        <w:rPr>
          <w:sz w:val="24"/>
          <w:szCs w:val="24"/>
        </w:rPr>
      </w:pPr>
      <w:r w:rsidDel="00000000" w:rsidR="00000000" w:rsidRPr="00000000">
        <w:rPr>
          <w:sz w:val="24"/>
          <w:szCs w:val="24"/>
          <w:rtl w:val="0"/>
        </w:rPr>
        <w:t xml:space="preserve">After producing the presentation to the class it made sense to me and others that suicide and age have a massive impact on people within all areas of society as suicide affects more than one age group including children and older people. What also made sense was that as mentioned in the presentation children as young as 10 were suffering from mental health which leads me to think that there is not that much support available for children because they would feel scared to talk to someone they do not know and they are not yet old enough to understand social media and websites. Action for children, (2019) makes it clear that their mental, emotional and well-being experts work with families and schools to make sure children and parents feel able to cope with challenges. This is a support website that can allow parents and even teachers to look at ways they can support young people with their mental health. </w:t>
      </w:r>
    </w:p>
    <w:p w:rsidR="00000000" w:rsidDel="00000000" w:rsidP="00000000" w:rsidRDefault="00000000" w:rsidRPr="00000000" w14:paraId="00000018">
      <w:pPr>
        <w:jc w:val="both"/>
        <w:rPr>
          <w:sz w:val="24"/>
          <w:szCs w:val="24"/>
          <w:u w:val="single"/>
        </w:rPr>
      </w:pPr>
      <w:r w:rsidDel="00000000" w:rsidR="00000000" w:rsidRPr="00000000">
        <w:rPr>
          <w:rtl w:val="0"/>
        </w:rPr>
      </w:r>
    </w:p>
    <w:p w:rsidR="00000000" w:rsidDel="00000000" w:rsidP="00000000" w:rsidRDefault="00000000" w:rsidRPr="00000000" w14:paraId="00000019">
      <w:pPr>
        <w:jc w:val="both"/>
        <w:rPr>
          <w:b w:val="1"/>
          <w:sz w:val="24"/>
          <w:szCs w:val="24"/>
          <w:u w:val="single"/>
        </w:rPr>
      </w:pPr>
      <w:r w:rsidDel="00000000" w:rsidR="00000000" w:rsidRPr="00000000">
        <w:rPr>
          <w:b w:val="1"/>
          <w:sz w:val="24"/>
          <w:szCs w:val="24"/>
          <w:u w:val="single"/>
          <w:rtl w:val="0"/>
        </w:rPr>
        <w:t xml:space="preserve">Conclusion </w:t>
      </w:r>
    </w:p>
    <w:p w:rsidR="00000000" w:rsidDel="00000000" w:rsidP="00000000" w:rsidRDefault="00000000" w:rsidRPr="00000000" w14:paraId="0000001A">
      <w:pPr>
        <w:jc w:val="both"/>
        <w:rPr>
          <w:sz w:val="24"/>
          <w:szCs w:val="24"/>
        </w:rPr>
      </w:pPr>
      <w:r w:rsidDel="00000000" w:rsidR="00000000" w:rsidRPr="00000000">
        <w:rPr>
          <w:sz w:val="24"/>
          <w:szCs w:val="24"/>
          <w:rtl w:val="0"/>
        </w:rPr>
        <w:t xml:space="preserve">Conclusion is defined by Harvard University, (2019) as the last chance to persuade your readers to your point of view and therefore should convey and sense of completeness and closure to the particular topic. </w:t>
      </w:r>
    </w:p>
    <w:p w:rsidR="00000000" w:rsidDel="00000000" w:rsidP="00000000" w:rsidRDefault="00000000" w:rsidRPr="00000000" w14:paraId="0000001B">
      <w:pPr>
        <w:jc w:val="both"/>
        <w:rPr>
          <w:sz w:val="24"/>
          <w:szCs w:val="24"/>
        </w:rPr>
      </w:pPr>
      <w:r w:rsidDel="00000000" w:rsidR="00000000" w:rsidRPr="00000000">
        <w:rPr>
          <w:sz w:val="24"/>
          <w:szCs w:val="24"/>
          <w:rtl w:val="0"/>
        </w:rPr>
        <w:t xml:space="preserve">In conclusion after producing the pitch to the class i feel like i could have found more information on the statistics surrounding age and suicide, even though i gave important statistics i feel like i could have gone into further detail and done more reseach. </w:t>
      </w:r>
    </w:p>
    <w:p w:rsidR="00000000" w:rsidDel="00000000" w:rsidP="00000000" w:rsidRDefault="00000000" w:rsidRPr="00000000" w14:paraId="0000001C">
      <w:pPr>
        <w:jc w:val="both"/>
        <w:rPr>
          <w:sz w:val="24"/>
          <w:szCs w:val="24"/>
        </w:rPr>
      </w:pPr>
      <w:r w:rsidDel="00000000" w:rsidR="00000000" w:rsidRPr="00000000">
        <w:rPr>
          <w:rtl w:val="0"/>
        </w:rPr>
      </w:r>
    </w:p>
    <w:p w:rsidR="00000000" w:rsidDel="00000000" w:rsidP="00000000" w:rsidRDefault="00000000" w:rsidRPr="00000000" w14:paraId="0000001D">
      <w:pPr>
        <w:jc w:val="both"/>
        <w:rPr>
          <w:b w:val="1"/>
          <w:sz w:val="24"/>
          <w:szCs w:val="24"/>
          <w:u w:val="single"/>
        </w:rPr>
      </w:pPr>
      <w:r w:rsidDel="00000000" w:rsidR="00000000" w:rsidRPr="00000000">
        <w:rPr>
          <w:b w:val="1"/>
          <w:sz w:val="24"/>
          <w:szCs w:val="24"/>
          <w:u w:val="single"/>
          <w:rtl w:val="0"/>
        </w:rPr>
        <w:t xml:space="preserve">What would you do if this project arose again? </w:t>
      </w:r>
    </w:p>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If this pitch and project arose again I feel as though the group could have work more closely together as well because only 2 members of the group were really trying to get work done and manage the group roles which made things stressful so i think if we did another pitch i would get the other members to get more involved and get them to come up with ideas for a pitch and ideas on how to promote mental health. I also feel like i could go into further detail and get more articles and research to produce to the class.  I think if i had to do this presentation again i would do it within a smaller group as i think being in a group of 6 was a lot especially when we only had around 2 minutes each to speak so i think if this were to arise again i would go into a group of three instead to make the presentation small so that we could fit more into the time that we had. Time management is defined by Psychology today, (2019) as the ability to plan and control how someone spends the hours in a to effectively accomplish their goals. This is showing that although we carried out the presentation, we did not plan our time as well as we could have because we went over out time, which was due the the fact that we were a large group. </w:t>
      </w:r>
    </w:p>
    <w:p w:rsidR="00000000" w:rsidDel="00000000" w:rsidP="00000000" w:rsidRDefault="00000000" w:rsidRPr="00000000" w14:paraId="0000001F">
      <w:pPr>
        <w:jc w:val="both"/>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jc w:val="both"/>
        <w:rPr>
          <w:sz w:val="24"/>
          <w:szCs w:val="24"/>
        </w:rPr>
      </w:pPr>
      <w:r w:rsidDel="00000000" w:rsidR="00000000" w:rsidRPr="00000000">
        <w:rPr>
          <w:rtl w:val="0"/>
        </w:rPr>
      </w:r>
    </w:p>
    <w:p w:rsidR="00000000" w:rsidDel="00000000" w:rsidP="00000000" w:rsidRDefault="00000000" w:rsidRPr="00000000" w14:paraId="00000022">
      <w:pPr>
        <w:jc w:val="both"/>
        <w:rPr>
          <w:sz w:val="24"/>
          <w:szCs w:val="24"/>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sz w:val="24"/>
          <w:szCs w:val="24"/>
        </w:rPr>
      </w:pPr>
      <w:r w:rsidDel="00000000" w:rsidR="00000000" w:rsidRPr="00000000">
        <w:rPr>
          <w:rtl w:val="0"/>
        </w:rPr>
      </w:r>
    </w:p>
    <w:p w:rsidR="00000000" w:rsidDel="00000000" w:rsidP="00000000" w:rsidRDefault="00000000" w:rsidRPr="00000000" w14:paraId="00000026">
      <w:pPr>
        <w:jc w:val="both"/>
        <w:rPr>
          <w:sz w:val="24"/>
          <w:szCs w:val="24"/>
        </w:rPr>
      </w:pPr>
      <w:r w:rsidDel="00000000" w:rsidR="00000000" w:rsidRPr="00000000">
        <w:rPr>
          <w:rtl w:val="0"/>
        </w:rPr>
      </w:r>
    </w:p>
    <w:p w:rsidR="00000000" w:rsidDel="00000000" w:rsidP="00000000" w:rsidRDefault="00000000" w:rsidRPr="00000000" w14:paraId="00000027">
      <w:pPr>
        <w:jc w:val="both"/>
        <w:rPr>
          <w:sz w:val="24"/>
          <w:szCs w:val="24"/>
        </w:rPr>
      </w:pPr>
      <w:r w:rsidDel="00000000" w:rsidR="00000000" w:rsidRPr="00000000">
        <w:rPr>
          <w:rtl w:val="0"/>
        </w:rPr>
      </w:r>
    </w:p>
    <w:p w:rsidR="00000000" w:rsidDel="00000000" w:rsidP="00000000" w:rsidRDefault="00000000" w:rsidRPr="00000000" w14:paraId="00000028">
      <w:pPr>
        <w:jc w:val="both"/>
        <w:rPr>
          <w:sz w:val="24"/>
          <w:szCs w:val="24"/>
        </w:rPr>
      </w:pPr>
      <w:r w:rsidDel="00000000" w:rsidR="00000000" w:rsidRPr="00000000">
        <w:rPr>
          <w:rtl w:val="0"/>
        </w:rPr>
      </w:r>
    </w:p>
    <w:p w:rsidR="00000000" w:rsidDel="00000000" w:rsidP="00000000" w:rsidRDefault="00000000" w:rsidRPr="00000000" w14:paraId="00000029">
      <w:pPr>
        <w:jc w:val="both"/>
        <w:rPr>
          <w:sz w:val="24"/>
          <w:szCs w:val="24"/>
        </w:rPr>
      </w:pPr>
      <w:r w:rsidDel="00000000" w:rsidR="00000000" w:rsidRPr="00000000">
        <w:rPr>
          <w:rtl w:val="0"/>
        </w:rPr>
      </w:r>
    </w:p>
    <w:p w:rsidR="00000000" w:rsidDel="00000000" w:rsidP="00000000" w:rsidRDefault="00000000" w:rsidRPr="00000000" w14:paraId="0000002A">
      <w:pPr>
        <w:jc w:val="both"/>
        <w:rPr>
          <w:sz w:val="24"/>
          <w:szCs w:val="24"/>
        </w:rPr>
      </w:pPr>
      <w:r w:rsidDel="00000000" w:rsidR="00000000" w:rsidRPr="00000000">
        <w:rPr>
          <w:rtl w:val="0"/>
        </w:rPr>
      </w:r>
    </w:p>
    <w:p w:rsidR="00000000" w:rsidDel="00000000" w:rsidP="00000000" w:rsidRDefault="00000000" w:rsidRPr="00000000" w14:paraId="0000002B">
      <w:pPr>
        <w:jc w:val="both"/>
        <w:rPr>
          <w:sz w:val="24"/>
          <w:szCs w:val="24"/>
        </w:rPr>
      </w:pPr>
      <w:r w:rsidDel="00000000" w:rsidR="00000000" w:rsidRPr="00000000">
        <w:rPr>
          <w:rtl w:val="0"/>
        </w:rPr>
      </w:r>
    </w:p>
    <w:p w:rsidR="00000000" w:rsidDel="00000000" w:rsidP="00000000" w:rsidRDefault="00000000" w:rsidRPr="00000000" w14:paraId="0000002C">
      <w:pPr>
        <w:jc w:val="both"/>
        <w:rPr>
          <w:sz w:val="24"/>
          <w:szCs w:val="24"/>
        </w:rPr>
      </w:pPr>
      <w:r w:rsidDel="00000000" w:rsidR="00000000" w:rsidRPr="00000000">
        <w:rPr>
          <w:rtl w:val="0"/>
        </w:rPr>
      </w:r>
    </w:p>
    <w:p w:rsidR="00000000" w:rsidDel="00000000" w:rsidP="00000000" w:rsidRDefault="00000000" w:rsidRPr="00000000" w14:paraId="0000002D">
      <w:pPr>
        <w:jc w:val="both"/>
        <w:rPr>
          <w:sz w:val="24"/>
          <w:szCs w:val="24"/>
        </w:rPr>
      </w:pPr>
      <w:r w:rsidDel="00000000" w:rsidR="00000000" w:rsidRPr="00000000">
        <w:rPr>
          <w:rtl w:val="0"/>
        </w:rPr>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rtl w:val="0"/>
        </w:rPr>
      </w:r>
    </w:p>
    <w:p w:rsidR="00000000" w:rsidDel="00000000" w:rsidP="00000000" w:rsidRDefault="00000000" w:rsidRPr="00000000" w14:paraId="00000030">
      <w:pPr>
        <w:jc w:val="both"/>
        <w:rPr>
          <w:sz w:val="24"/>
          <w:szCs w:val="24"/>
        </w:rPr>
      </w:pPr>
      <w:r w:rsidDel="00000000" w:rsidR="00000000" w:rsidRPr="00000000">
        <w:rPr>
          <w:rtl w:val="0"/>
        </w:rPr>
      </w:r>
    </w:p>
    <w:p w:rsidR="00000000" w:rsidDel="00000000" w:rsidP="00000000" w:rsidRDefault="00000000" w:rsidRPr="00000000" w14:paraId="00000031">
      <w:pPr>
        <w:jc w:val="both"/>
        <w:rPr>
          <w:sz w:val="24"/>
          <w:szCs w:val="24"/>
        </w:rPr>
      </w:pPr>
      <w:r w:rsidDel="00000000" w:rsidR="00000000" w:rsidRPr="00000000">
        <w:rPr>
          <w:rtl w:val="0"/>
        </w:rPr>
      </w:r>
    </w:p>
    <w:p w:rsidR="00000000" w:rsidDel="00000000" w:rsidP="00000000" w:rsidRDefault="00000000" w:rsidRPr="00000000" w14:paraId="00000032">
      <w:pPr>
        <w:jc w:val="both"/>
        <w:rPr>
          <w:sz w:val="24"/>
          <w:szCs w:val="24"/>
        </w:rPr>
      </w:pPr>
      <w:r w:rsidDel="00000000" w:rsidR="00000000" w:rsidRPr="00000000">
        <w:rPr>
          <w:rtl w:val="0"/>
        </w:rPr>
      </w:r>
    </w:p>
    <w:p w:rsidR="00000000" w:rsidDel="00000000" w:rsidP="00000000" w:rsidRDefault="00000000" w:rsidRPr="00000000" w14:paraId="00000033">
      <w:pPr>
        <w:jc w:val="both"/>
        <w:rPr>
          <w:sz w:val="24"/>
          <w:szCs w:val="24"/>
        </w:rPr>
      </w:pPr>
      <w:r w:rsidDel="00000000" w:rsidR="00000000" w:rsidRPr="00000000">
        <w:rPr>
          <w:rtl w:val="0"/>
        </w:rPr>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rtl w:val="0"/>
        </w:rPr>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both"/>
        <w:rPr>
          <w:sz w:val="24"/>
          <w:szCs w:val="24"/>
        </w:rPr>
      </w:pPr>
      <w:r w:rsidDel="00000000" w:rsidR="00000000" w:rsidRPr="00000000">
        <w:rPr>
          <w:rtl w:val="0"/>
        </w:rPr>
      </w:r>
    </w:p>
    <w:p w:rsidR="00000000" w:rsidDel="00000000" w:rsidP="00000000" w:rsidRDefault="00000000" w:rsidRPr="00000000" w14:paraId="00000039">
      <w:pPr>
        <w:jc w:val="both"/>
        <w:rPr>
          <w:sz w:val="24"/>
          <w:szCs w:val="24"/>
        </w:rPr>
      </w:pPr>
      <w:r w:rsidDel="00000000" w:rsidR="00000000" w:rsidRPr="00000000">
        <w:rPr>
          <w:rtl w:val="0"/>
        </w:rPr>
      </w:r>
    </w:p>
    <w:p w:rsidR="00000000" w:rsidDel="00000000" w:rsidP="00000000" w:rsidRDefault="00000000" w:rsidRPr="00000000" w14:paraId="0000003A">
      <w:pPr>
        <w:jc w:val="both"/>
        <w:rPr>
          <w:sz w:val="24"/>
          <w:szCs w:val="24"/>
        </w:rPr>
      </w:pPr>
      <w:r w:rsidDel="00000000" w:rsidR="00000000" w:rsidRPr="00000000">
        <w:rPr>
          <w:rtl w:val="0"/>
        </w:rPr>
      </w:r>
    </w:p>
    <w:p w:rsidR="00000000" w:rsidDel="00000000" w:rsidP="00000000" w:rsidRDefault="00000000" w:rsidRPr="00000000" w14:paraId="0000003B">
      <w:pPr>
        <w:jc w:val="both"/>
        <w:rPr>
          <w:sz w:val="24"/>
          <w:szCs w:val="24"/>
        </w:rPr>
      </w:pPr>
      <w:r w:rsidDel="00000000" w:rsidR="00000000" w:rsidRPr="00000000">
        <w:rPr>
          <w:rtl w:val="0"/>
        </w:rPr>
      </w:r>
    </w:p>
    <w:p w:rsidR="00000000" w:rsidDel="00000000" w:rsidP="00000000" w:rsidRDefault="00000000" w:rsidRPr="00000000" w14:paraId="0000003C">
      <w:pPr>
        <w:jc w:val="both"/>
        <w:rPr>
          <w:sz w:val="24"/>
          <w:szCs w:val="24"/>
        </w:rPr>
      </w:pPr>
      <w:r w:rsidDel="00000000" w:rsidR="00000000" w:rsidRPr="00000000">
        <w:rPr>
          <w:rtl w:val="0"/>
        </w:rPr>
      </w:r>
    </w:p>
    <w:p w:rsidR="00000000" w:rsidDel="00000000" w:rsidP="00000000" w:rsidRDefault="00000000" w:rsidRPr="00000000" w14:paraId="0000003D">
      <w:pPr>
        <w:jc w:val="both"/>
        <w:rPr>
          <w:sz w:val="24"/>
          <w:szCs w:val="24"/>
        </w:rPr>
      </w:pPr>
      <w:r w:rsidDel="00000000" w:rsidR="00000000" w:rsidRPr="00000000">
        <w:rPr>
          <w:rtl w:val="0"/>
        </w:rPr>
      </w:r>
    </w:p>
    <w:p w:rsidR="00000000" w:rsidDel="00000000" w:rsidP="00000000" w:rsidRDefault="00000000" w:rsidRPr="00000000" w14:paraId="0000003E">
      <w:pPr>
        <w:jc w:val="both"/>
        <w:rPr>
          <w:sz w:val="24"/>
          <w:szCs w:val="24"/>
        </w:rPr>
      </w:pPr>
      <w:r w:rsidDel="00000000" w:rsidR="00000000" w:rsidRPr="00000000">
        <w:rPr>
          <w:rtl w:val="0"/>
        </w:rPr>
      </w:r>
    </w:p>
    <w:p w:rsidR="00000000" w:rsidDel="00000000" w:rsidP="00000000" w:rsidRDefault="00000000" w:rsidRPr="00000000" w14:paraId="0000003F">
      <w:pPr>
        <w:jc w:val="both"/>
        <w:rPr>
          <w:b w:val="1"/>
          <w:sz w:val="24"/>
          <w:szCs w:val="24"/>
          <w:u w:val="single"/>
        </w:rPr>
      </w:pPr>
      <w:r w:rsidDel="00000000" w:rsidR="00000000" w:rsidRPr="00000000">
        <w:rPr>
          <w:rtl w:val="0"/>
        </w:rPr>
      </w:r>
    </w:p>
    <w:p w:rsidR="00000000" w:rsidDel="00000000" w:rsidP="00000000" w:rsidRDefault="00000000" w:rsidRPr="00000000" w14:paraId="00000040">
      <w:pPr>
        <w:jc w:val="both"/>
        <w:rPr>
          <w:b w:val="1"/>
          <w:sz w:val="24"/>
          <w:szCs w:val="24"/>
          <w:u w:val="single"/>
        </w:rPr>
      </w:pPr>
      <w:r w:rsidDel="00000000" w:rsidR="00000000" w:rsidRPr="00000000">
        <w:rPr>
          <w:rtl w:val="0"/>
        </w:rPr>
      </w:r>
    </w:p>
    <w:p w:rsidR="00000000" w:rsidDel="00000000" w:rsidP="00000000" w:rsidRDefault="00000000" w:rsidRPr="00000000" w14:paraId="00000041">
      <w:pPr>
        <w:jc w:val="both"/>
        <w:rPr>
          <w:b w:val="1"/>
          <w:sz w:val="24"/>
          <w:szCs w:val="24"/>
          <w:u w:val="single"/>
        </w:rPr>
      </w:pPr>
      <w:r w:rsidDel="00000000" w:rsidR="00000000" w:rsidRPr="00000000">
        <w:rPr>
          <w:rtl w:val="0"/>
        </w:rPr>
      </w:r>
    </w:p>
    <w:p w:rsidR="00000000" w:rsidDel="00000000" w:rsidP="00000000" w:rsidRDefault="00000000" w:rsidRPr="00000000" w14:paraId="00000042">
      <w:pPr>
        <w:jc w:val="both"/>
        <w:rPr>
          <w:b w:val="1"/>
          <w:sz w:val="24"/>
          <w:szCs w:val="24"/>
          <w:u w:val="single"/>
        </w:rPr>
      </w:pPr>
      <w:r w:rsidDel="00000000" w:rsidR="00000000" w:rsidRPr="00000000">
        <w:rPr>
          <w:rtl w:val="0"/>
        </w:rPr>
      </w:r>
    </w:p>
    <w:p w:rsidR="00000000" w:rsidDel="00000000" w:rsidP="00000000" w:rsidRDefault="00000000" w:rsidRPr="00000000" w14:paraId="00000043">
      <w:pPr>
        <w:jc w:val="both"/>
        <w:rPr>
          <w:b w:val="1"/>
          <w:sz w:val="24"/>
          <w:szCs w:val="24"/>
          <w:u w:val="single"/>
        </w:rPr>
      </w:pPr>
      <w:r w:rsidDel="00000000" w:rsidR="00000000" w:rsidRPr="00000000">
        <w:rPr>
          <w:rtl w:val="0"/>
        </w:rPr>
      </w:r>
    </w:p>
    <w:p w:rsidR="00000000" w:rsidDel="00000000" w:rsidP="00000000" w:rsidRDefault="00000000" w:rsidRPr="00000000" w14:paraId="00000044">
      <w:pPr>
        <w:jc w:val="both"/>
        <w:rPr>
          <w:b w:val="1"/>
          <w:sz w:val="24"/>
          <w:szCs w:val="24"/>
          <w:u w:val="single"/>
        </w:rPr>
      </w:pPr>
      <w:r w:rsidDel="00000000" w:rsidR="00000000" w:rsidRPr="00000000">
        <w:rPr>
          <w:b w:val="1"/>
          <w:sz w:val="24"/>
          <w:szCs w:val="24"/>
          <w:u w:val="single"/>
          <w:rtl w:val="0"/>
        </w:rPr>
        <w:t xml:space="preserve">Reference list:</w:t>
      </w:r>
    </w:p>
    <w:p w:rsidR="00000000" w:rsidDel="00000000" w:rsidP="00000000" w:rsidRDefault="00000000" w:rsidRPr="00000000" w14:paraId="00000045">
      <w:pPr>
        <w:jc w:val="both"/>
        <w:rPr>
          <w:sz w:val="24"/>
          <w:szCs w:val="24"/>
        </w:rPr>
      </w:pPr>
      <w:r w:rsidDel="00000000" w:rsidR="00000000" w:rsidRPr="00000000">
        <w:rPr>
          <w:sz w:val="24"/>
          <w:szCs w:val="24"/>
          <w:rtl w:val="0"/>
        </w:rPr>
        <w:t xml:space="preserve">Abraham, C, and Sheeran, P, (2015). The heath belief model. Available at: </w:t>
      </w:r>
    </w:p>
    <w:p w:rsidR="00000000" w:rsidDel="00000000" w:rsidP="00000000" w:rsidRDefault="00000000" w:rsidRPr="00000000" w14:paraId="00000046">
      <w:pPr>
        <w:jc w:val="both"/>
        <w:rPr>
          <w:sz w:val="24"/>
          <w:szCs w:val="24"/>
        </w:rPr>
      </w:pPr>
      <w:hyperlink r:id="rId6">
        <w:r w:rsidDel="00000000" w:rsidR="00000000" w:rsidRPr="00000000">
          <w:rPr>
            <w:color w:val="1155cc"/>
            <w:sz w:val="24"/>
            <w:szCs w:val="24"/>
            <w:u w:val="single"/>
            <w:rtl w:val="0"/>
          </w:rPr>
          <w:t xml:space="preserve">https://www.researchgate.net/publication/290193215_The_Health_Belief_Model</w:t>
        </w:r>
      </w:hyperlink>
      <w:r w:rsidDel="00000000" w:rsidR="00000000" w:rsidRPr="00000000">
        <w:rPr>
          <w:rtl w:val="0"/>
        </w:rPr>
      </w:r>
    </w:p>
    <w:p w:rsidR="00000000" w:rsidDel="00000000" w:rsidP="00000000" w:rsidRDefault="00000000" w:rsidRPr="00000000" w14:paraId="00000047">
      <w:pPr>
        <w:jc w:val="both"/>
        <w:rPr>
          <w:sz w:val="24"/>
          <w:szCs w:val="24"/>
        </w:rPr>
      </w:pPr>
      <w:r w:rsidDel="00000000" w:rsidR="00000000" w:rsidRPr="00000000">
        <w:rPr>
          <w:sz w:val="24"/>
          <w:szCs w:val="24"/>
          <w:rtl w:val="0"/>
        </w:rPr>
        <w:t xml:space="preserve">Accessed 18th November 2019 </w:t>
      </w:r>
    </w:p>
    <w:p w:rsidR="00000000" w:rsidDel="00000000" w:rsidP="00000000" w:rsidRDefault="00000000" w:rsidRPr="00000000" w14:paraId="00000048">
      <w:pPr>
        <w:jc w:val="both"/>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sz w:val="24"/>
          <w:szCs w:val="24"/>
          <w:rtl w:val="0"/>
        </w:rPr>
        <w:t xml:space="preserve">Action for children, (2019). What we do. [online] Available at: </w:t>
      </w:r>
    </w:p>
    <w:p w:rsidR="00000000" w:rsidDel="00000000" w:rsidP="00000000" w:rsidRDefault="00000000" w:rsidRPr="00000000" w14:paraId="0000004A">
      <w:pPr>
        <w:rPr>
          <w:sz w:val="24"/>
          <w:szCs w:val="24"/>
        </w:rPr>
      </w:pPr>
      <w:hyperlink r:id="rId7">
        <w:r w:rsidDel="00000000" w:rsidR="00000000" w:rsidRPr="00000000">
          <w:rPr>
            <w:color w:val="1155cc"/>
            <w:sz w:val="24"/>
            <w:szCs w:val="24"/>
            <w:u w:val="single"/>
            <w:rtl w:val="0"/>
          </w:rPr>
          <w:t xml:space="preserve">https://www.actionforchildren.org.uk/what-we-do/</w:t>
        </w:r>
      </w:hyperlink>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Accessed 26th November 2019 </w:t>
      </w:r>
    </w:p>
    <w:p w:rsidR="00000000" w:rsidDel="00000000" w:rsidP="00000000" w:rsidRDefault="00000000" w:rsidRPr="00000000" w14:paraId="0000004C">
      <w:pPr>
        <w:jc w:val="both"/>
        <w:rPr>
          <w:sz w:val="24"/>
          <w:szCs w:val="24"/>
        </w:rPr>
      </w:pPr>
      <w:r w:rsidDel="00000000" w:rsidR="00000000" w:rsidRPr="00000000">
        <w:rPr>
          <w:rtl w:val="0"/>
        </w:rPr>
      </w:r>
    </w:p>
    <w:p w:rsidR="00000000" w:rsidDel="00000000" w:rsidP="00000000" w:rsidRDefault="00000000" w:rsidRPr="00000000" w14:paraId="0000004D">
      <w:pPr>
        <w:jc w:val="both"/>
        <w:rPr>
          <w:sz w:val="24"/>
          <w:szCs w:val="24"/>
        </w:rPr>
      </w:pPr>
      <w:r w:rsidDel="00000000" w:rsidR="00000000" w:rsidRPr="00000000">
        <w:rPr>
          <w:sz w:val="24"/>
          <w:szCs w:val="24"/>
          <w:rtl w:val="0"/>
        </w:rPr>
        <w:t xml:space="preserve">Calati, R, Ferrari, C, Brittner, M, Oasi, O, Olie, E, Carvalho, AF, and Courtet, P, (2019). Available at: </w:t>
      </w:r>
    </w:p>
    <w:p w:rsidR="00000000" w:rsidDel="00000000" w:rsidP="00000000" w:rsidRDefault="00000000" w:rsidRPr="00000000" w14:paraId="0000004E">
      <w:pPr>
        <w:jc w:val="both"/>
        <w:rPr>
          <w:sz w:val="24"/>
          <w:szCs w:val="24"/>
        </w:rPr>
      </w:pPr>
      <w:hyperlink r:id="rId8">
        <w:r w:rsidDel="00000000" w:rsidR="00000000" w:rsidRPr="00000000">
          <w:rPr>
            <w:color w:val="1155cc"/>
            <w:sz w:val="24"/>
            <w:szCs w:val="24"/>
            <w:u w:val="single"/>
            <w:rtl w:val="0"/>
          </w:rPr>
          <w:t xml:space="preserve">https://www.ncbi.nlm.nih.gov/pubmed/30445391</w:t>
        </w:r>
      </w:hyperlink>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sz w:val="24"/>
          <w:szCs w:val="24"/>
          <w:rtl w:val="0"/>
        </w:rPr>
        <w:t xml:space="preserve">Accessed 18th November 2019 </w:t>
      </w:r>
    </w:p>
    <w:p w:rsidR="00000000" w:rsidDel="00000000" w:rsidP="00000000" w:rsidRDefault="00000000" w:rsidRPr="00000000" w14:paraId="00000050">
      <w:pPr>
        <w:jc w:val="both"/>
        <w:rPr>
          <w:sz w:val="24"/>
          <w:szCs w:val="24"/>
        </w:rPr>
      </w:pPr>
      <w:r w:rsidDel="00000000" w:rsidR="00000000" w:rsidRPr="00000000">
        <w:rPr>
          <w:rtl w:val="0"/>
        </w:rPr>
      </w:r>
    </w:p>
    <w:p w:rsidR="00000000" w:rsidDel="00000000" w:rsidP="00000000" w:rsidRDefault="00000000" w:rsidRPr="00000000" w14:paraId="00000051">
      <w:pPr>
        <w:jc w:val="both"/>
        <w:rPr>
          <w:sz w:val="24"/>
          <w:szCs w:val="24"/>
        </w:rPr>
      </w:pPr>
      <w:r w:rsidDel="00000000" w:rsidR="00000000" w:rsidRPr="00000000">
        <w:rPr>
          <w:sz w:val="24"/>
          <w:szCs w:val="24"/>
          <w:rtl w:val="0"/>
        </w:rPr>
        <w:t xml:space="preserve">CBS, (2017). Social media on the rise among seniors. [online] Available at: </w:t>
      </w:r>
    </w:p>
    <w:p w:rsidR="00000000" w:rsidDel="00000000" w:rsidP="00000000" w:rsidRDefault="00000000" w:rsidRPr="00000000" w14:paraId="00000052">
      <w:pPr>
        <w:jc w:val="both"/>
        <w:rPr>
          <w:sz w:val="24"/>
          <w:szCs w:val="24"/>
        </w:rPr>
      </w:pPr>
      <w:hyperlink r:id="rId9">
        <w:r w:rsidDel="00000000" w:rsidR="00000000" w:rsidRPr="00000000">
          <w:rPr>
            <w:color w:val="1155cc"/>
            <w:sz w:val="24"/>
            <w:szCs w:val="24"/>
            <w:u w:val="single"/>
            <w:rtl w:val="0"/>
          </w:rPr>
          <w:t xml:space="preserve">https://www.cbs.nl/en-gb/news/2017/52/social-media-on-the-rise-among-seniors</w:t>
        </w:r>
      </w:hyperlink>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sz w:val="24"/>
          <w:szCs w:val="24"/>
          <w:rtl w:val="0"/>
        </w:rPr>
        <w:t xml:space="preserve">Accessed 26th November 2019</w:t>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sz w:val="24"/>
          <w:szCs w:val="24"/>
        </w:rPr>
      </w:pPr>
      <w:r w:rsidDel="00000000" w:rsidR="00000000" w:rsidRPr="00000000">
        <w:rPr>
          <w:sz w:val="24"/>
          <w:szCs w:val="24"/>
          <w:rtl w:val="0"/>
        </w:rPr>
        <w:t xml:space="preserve">CDC,(2015). Understanding suicide. Available at: </w:t>
      </w:r>
    </w:p>
    <w:p w:rsidR="00000000" w:rsidDel="00000000" w:rsidP="00000000" w:rsidRDefault="00000000" w:rsidRPr="00000000" w14:paraId="00000056">
      <w:pPr>
        <w:jc w:val="both"/>
        <w:rPr>
          <w:sz w:val="24"/>
          <w:szCs w:val="24"/>
        </w:rPr>
      </w:pPr>
      <w:hyperlink r:id="rId10">
        <w:r w:rsidDel="00000000" w:rsidR="00000000" w:rsidRPr="00000000">
          <w:rPr>
            <w:color w:val="1155cc"/>
            <w:sz w:val="24"/>
            <w:szCs w:val="24"/>
            <w:u w:val="single"/>
            <w:rtl w:val="0"/>
          </w:rPr>
          <w:t xml:space="preserve">https://www.cdc.gov/violenceprevention/pdf/suicide_factsheet-a.pdf</w:t>
        </w:r>
      </w:hyperlink>
      <w:r w:rsidDel="00000000" w:rsidR="00000000" w:rsidRPr="00000000">
        <w:rPr>
          <w:rtl w:val="0"/>
        </w:rPr>
      </w:r>
    </w:p>
    <w:p w:rsidR="00000000" w:rsidDel="00000000" w:rsidP="00000000" w:rsidRDefault="00000000" w:rsidRPr="00000000" w14:paraId="00000057">
      <w:pPr>
        <w:jc w:val="both"/>
        <w:rPr>
          <w:sz w:val="24"/>
          <w:szCs w:val="24"/>
        </w:rPr>
      </w:pPr>
      <w:r w:rsidDel="00000000" w:rsidR="00000000" w:rsidRPr="00000000">
        <w:rPr>
          <w:sz w:val="24"/>
          <w:szCs w:val="24"/>
          <w:rtl w:val="0"/>
        </w:rPr>
        <w:t xml:space="preserve">Accessed 18th November 2019 </w:t>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sz w:val="24"/>
          <w:szCs w:val="24"/>
          <w:rtl w:val="0"/>
        </w:rPr>
        <w:t xml:space="preserve">Harvard University, (2019?). Ending the essay: conclusions. Available at: </w:t>
      </w:r>
    </w:p>
    <w:p w:rsidR="00000000" w:rsidDel="00000000" w:rsidP="00000000" w:rsidRDefault="00000000" w:rsidRPr="00000000" w14:paraId="0000005A">
      <w:pPr>
        <w:jc w:val="both"/>
        <w:rPr>
          <w:sz w:val="24"/>
          <w:szCs w:val="24"/>
        </w:rPr>
      </w:pPr>
      <w:hyperlink r:id="rId11">
        <w:r w:rsidDel="00000000" w:rsidR="00000000" w:rsidRPr="00000000">
          <w:rPr>
            <w:color w:val="1155cc"/>
            <w:sz w:val="24"/>
            <w:szCs w:val="24"/>
            <w:u w:val="single"/>
            <w:rtl w:val="0"/>
          </w:rPr>
          <w:t xml:space="preserve">https://writingcenter.fas.harvard.edu/pages/ending-essay-conclusions</w:t>
        </w:r>
      </w:hyperlink>
      <w:r w:rsidDel="00000000" w:rsidR="00000000" w:rsidRPr="00000000">
        <w:rPr>
          <w:rtl w:val="0"/>
        </w:rPr>
      </w:r>
    </w:p>
    <w:p w:rsidR="00000000" w:rsidDel="00000000" w:rsidP="00000000" w:rsidRDefault="00000000" w:rsidRPr="00000000" w14:paraId="0000005B">
      <w:pPr>
        <w:jc w:val="both"/>
        <w:rPr>
          <w:sz w:val="24"/>
          <w:szCs w:val="24"/>
        </w:rPr>
      </w:pPr>
      <w:r w:rsidDel="00000000" w:rsidR="00000000" w:rsidRPr="00000000">
        <w:rPr>
          <w:sz w:val="24"/>
          <w:szCs w:val="24"/>
          <w:rtl w:val="0"/>
        </w:rPr>
        <w:t xml:space="preserve">Accessed 18th November 2019 </w:t>
      </w:r>
    </w:p>
    <w:p w:rsidR="00000000" w:rsidDel="00000000" w:rsidP="00000000" w:rsidRDefault="00000000" w:rsidRPr="00000000" w14:paraId="0000005C">
      <w:pPr>
        <w:jc w:val="both"/>
        <w:rPr>
          <w:sz w:val="24"/>
          <w:szCs w:val="24"/>
        </w:rPr>
      </w:pPr>
      <w:r w:rsidDel="00000000" w:rsidR="00000000" w:rsidRPr="00000000">
        <w:rPr>
          <w:rtl w:val="0"/>
        </w:rPr>
      </w:r>
    </w:p>
    <w:p w:rsidR="00000000" w:rsidDel="00000000" w:rsidP="00000000" w:rsidRDefault="00000000" w:rsidRPr="00000000" w14:paraId="0000005D">
      <w:pPr>
        <w:jc w:val="both"/>
        <w:rPr>
          <w:sz w:val="24"/>
          <w:szCs w:val="24"/>
        </w:rPr>
      </w:pPr>
      <w:r w:rsidDel="00000000" w:rsidR="00000000" w:rsidRPr="00000000">
        <w:rPr>
          <w:sz w:val="24"/>
          <w:szCs w:val="24"/>
          <w:rtl w:val="0"/>
        </w:rPr>
        <w:t xml:space="preserve">NHS Direct, (2019). Mental health. Available at: </w:t>
      </w:r>
    </w:p>
    <w:p w:rsidR="00000000" w:rsidDel="00000000" w:rsidP="00000000" w:rsidRDefault="00000000" w:rsidRPr="00000000" w14:paraId="0000005E">
      <w:pPr>
        <w:jc w:val="both"/>
        <w:rPr>
          <w:sz w:val="24"/>
          <w:szCs w:val="24"/>
        </w:rPr>
      </w:pPr>
      <w:hyperlink r:id="rId12">
        <w:r w:rsidDel="00000000" w:rsidR="00000000" w:rsidRPr="00000000">
          <w:rPr>
            <w:color w:val="1155cc"/>
            <w:sz w:val="24"/>
            <w:szCs w:val="24"/>
            <w:u w:val="single"/>
            <w:rtl w:val="0"/>
          </w:rPr>
          <w:t xml:space="preserve">https://www.nhsdirect.wales.nhs.uk/encyclopaedia/m/article/mentalhealth</w:t>
        </w:r>
      </w:hyperlink>
      <w:r w:rsidDel="00000000" w:rsidR="00000000" w:rsidRPr="00000000">
        <w:rPr>
          <w:rtl w:val="0"/>
        </w:rPr>
      </w:r>
    </w:p>
    <w:p w:rsidR="00000000" w:rsidDel="00000000" w:rsidP="00000000" w:rsidRDefault="00000000" w:rsidRPr="00000000" w14:paraId="0000005F">
      <w:pPr>
        <w:jc w:val="both"/>
        <w:rPr>
          <w:sz w:val="24"/>
          <w:szCs w:val="24"/>
        </w:rPr>
      </w:pPr>
      <w:r w:rsidDel="00000000" w:rsidR="00000000" w:rsidRPr="00000000">
        <w:rPr>
          <w:sz w:val="24"/>
          <w:szCs w:val="24"/>
          <w:rtl w:val="0"/>
        </w:rPr>
        <w:t xml:space="preserve">Accessed 18th November 2019 </w:t>
      </w:r>
    </w:p>
    <w:p w:rsidR="00000000" w:rsidDel="00000000" w:rsidP="00000000" w:rsidRDefault="00000000" w:rsidRPr="00000000" w14:paraId="00000060">
      <w:pPr>
        <w:jc w:val="both"/>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sz w:val="24"/>
          <w:szCs w:val="24"/>
          <w:rtl w:val="0"/>
        </w:rPr>
        <w:t xml:space="preserve">Psychology today, (2019). Time management. [online] Available at: </w:t>
      </w:r>
    </w:p>
    <w:p w:rsidR="00000000" w:rsidDel="00000000" w:rsidP="00000000" w:rsidRDefault="00000000" w:rsidRPr="00000000" w14:paraId="00000062">
      <w:pPr>
        <w:rPr>
          <w:sz w:val="24"/>
          <w:szCs w:val="24"/>
        </w:rPr>
      </w:pPr>
      <w:hyperlink r:id="rId13">
        <w:r w:rsidDel="00000000" w:rsidR="00000000" w:rsidRPr="00000000">
          <w:rPr>
            <w:color w:val="1155cc"/>
            <w:sz w:val="24"/>
            <w:szCs w:val="24"/>
            <w:u w:val="single"/>
            <w:rtl w:val="0"/>
          </w:rPr>
          <w:t xml:space="preserve">https://www.psychologytoday.com/intl/basics/time-management</w:t>
        </w:r>
      </w:hyperlink>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sz w:val="24"/>
          <w:szCs w:val="24"/>
          <w:rtl w:val="0"/>
        </w:rPr>
        <w:t xml:space="preserve">Accessed 3rd December 2019 </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jc w:val="both"/>
        <w:rPr>
          <w:sz w:val="24"/>
          <w:szCs w:val="24"/>
        </w:rPr>
      </w:pPr>
      <w:r w:rsidDel="00000000" w:rsidR="00000000" w:rsidRPr="00000000">
        <w:rPr>
          <w:sz w:val="24"/>
          <w:szCs w:val="24"/>
          <w:rtl w:val="0"/>
        </w:rPr>
        <w:t xml:space="preserve">Samaritans, (2018). Suicide facts and figures. Available at: </w:t>
      </w:r>
    </w:p>
    <w:p w:rsidR="00000000" w:rsidDel="00000000" w:rsidP="00000000" w:rsidRDefault="00000000" w:rsidRPr="00000000" w14:paraId="00000066">
      <w:pPr>
        <w:jc w:val="both"/>
        <w:rPr>
          <w:sz w:val="24"/>
          <w:szCs w:val="24"/>
        </w:rPr>
      </w:pPr>
      <w:hyperlink r:id="rId14">
        <w:r w:rsidDel="00000000" w:rsidR="00000000" w:rsidRPr="00000000">
          <w:rPr>
            <w:color w:val="1155cc"/>
            <w:sz w:val="24"/>
            <w:szCs w:val="24"/>
            <w:u w:val="single"/>
            <w:rtl w:val="0"/>
          </w:rPr>
          <w:t xml:space="preserve">https://www.samaritans.org/about-samaritans/research-policy/suicide-facts-and-figures/</w:t>
        </w:r>
      </w:hyperlink>
      <w:r w:rsidDel="00000000" w:rsidR="00000000" w:rsidRPr="00000000">
        <w:rPr>
          <w:rtl w:val="0"/>
        </w:rPr>
      </w:r>
    </w:p>
    <w:p w:rsidR="00000000" w:rsidDel="00000000" w:rsidP="00000000" w:rsidRDefault="00000000" w:rsidRPr="00000000" w14:paraId="00000067">
      <w:pPr>
        <w:jc w:val="both"/>
        <w:rPr>
          <w:sz w:val="24"/>
          <w:szCs w:val="24"/>
        </w:rPr>
      </w:pPr>
      <w:r w:rsidDel="00000000" w:rsidR="00000000" w:rsidRPr="00000000">
        <w:rPr>
          <w:sz w:val="24"/>
          <w:szCs w:val="24"/>
          <w:rtl w:val="0"/>
        </w:rPr>
        <w:t xml:space="preserve">Accessed 17th November 2019 </w:t>
      </w:r>
    </w:p>
    <w:p w:rsidR="00000000" w:rsidDel="00000000" w:rsidP="00000000" w:rsidRDefault="00000000" w:rsidRPr="00000000" w14:paraId="00000068">
      <w:pPr>
        <w:jc w:val="both"/>
        <w:rPr>
          <w:sz w:val="24"/>
          <w:szCs w:val="24"/>
        </w:rPr>
      </w:pPr>
      <w:r w:rsidDel="00000000" w:rsidR="00000000" w:rsidRPr="00000000">
        <w:rPr>
          <w:rtl w:val="0"/>
        </w:rPr>
      </w:r>
    </w:p>
    <w:p w:rsidR="00000000" w:rsidDel="00000000" w:rsidP="00000000" w:rsidRDefault="00000000" w:rsidRPr="00000000" w14:paraId="00000069">
      <w:pPr>
        <w:jc w:val="both"/>
        <w:rPr>
          <w:sz w:val="24"/>
          <w:szCs w:val="24"/>
        </w:rPr>
      </w:pPr>
      <w:r w:rsidDel="00000000" w:rsidR="00000000" w:rsidRPr="00000000">
        <w:rPr>
          <w:sz w:val="24"/>
          <w:szCs w:val="24"/>
          <w:rtl w:val="0"/>
        </w:rPr>
        <w:t xml:space="preserve">Senior News, (2018). How dangerous is social media to seniors well-being. [online] Available at: </w:t>
      </w:r>
    </w:p>
    <w:p w:rsidR="00000000" w:rsidDel="00000000" w:rsidP="00000000" w:rsidRDefault="00000000" w:rsidRPr="00000000" w14:paraId="0000006A">
      <w:pPr>
        <w:jc w:val="both"/>
        <w:rPr>
          <w:sz w:val="24"/>
          <w:szCs w:val="24"/>
        </w:rPr>
      </w:pPr>
      <w:hyperlink r:id="rId15">
        <w:r w:rsidDel="00000000" w:rsidR="00000000" w:rsidRPr="00000000">
          <w:rPr>
            <w:color w:val="1155cc"/>
            <w:sz w:val="24"/>
            <w:szCs w:val="24"/>
            <w:u w:val="single"/>
            <w:rtl w:val="0"/>
          </w:rPr>
          <w:t xml:space="preserve">https://seniornews.com/dangerous-social-media-seniors-well/</w:t>
        </w:r>
      </w:hyperlink>
      <w:r w:rsidDel="00000000" w:rsidR="00000000" w:rsidRPr="00000000">
        <w:rPr>
          <w:rtl w:val="0"/>
        </w:rPr>
      </w:r>
    </w:p>
    <w:p w:rsidR="00000000" w:rsidDel="00000000" w:rsidP="00000000" w:rsidRDefault="00000000" w:rsidRPr="00000000" w14:paraId="0000006B">
      <w:pPr>
        <w:jc w:val="both"/>
        <w:rPr>
          <w:sz w:val="24"/>
          <w:szCs w:val="24"/>
        </w:rPr>
      </w:pPr>
      <w:r w:rsidDel="00000000" w:rsidR="00000000" w:rsidRPr="00000000">
        <w:rPr>
          <w:sz w:val="24"/>
          <w:szCs w:val="24"/>
          <w:rtl w:val="0"/>
        </w:rPr>
        <w:t xml:space="preserve">Accessed 26th November 2019 </w:t>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jc w:val="both"/>
        <w:rPr>
          <w:sz w:val="24"/>
          <w:szCs w:val="24"/>
        </w:rPr>
      </w:pPr>
      <w:r w:rsidDel="00000000" w:rsidR="00000000" w:rsidRPr="00000000">
        <w:rPr>
          <w:sz w:val="24"/>
          <w:szCs w:val="24"/>
          <w:rtl w:val="0"/>
        </w:rPr>
        <w:t xml:space="preserve">Shah, A and Buckley, L, (2011). The current status of methods used by the elderly for suicides in England and Wales. [online] Available at: </w:t>
      </w:r>
    </w:p>
    <w:p w:rsidR="00000000" w:rsidDel="00000000" w:rsidP="00000000" w:rsidRDefault="00000000" w:rsidRPr="00000000" w14:paraId="0000006E">
      <w:pPr>
        <w:jc w:val="both"/>
        <w:rPr>
          <w:sz w:val="24"/>
          <w:szCs w:val="24"/>
        </w:rPr>
      </w:pPr>
      <w:hyperlink r:id="rId16">
        <w:r w:rsidDel="00000000" w:rsidR="00000000" w:rsidRPr="00000000">
          <w:rPr>
            <w:color w:val="1155cc"/>
            <w:sz w:val="24"/>
            <w:szCs w:val="24"/>
            <w:u w:val="single"/>
            <w:rtl w:val="0"/>
          </w:rPr>
          <w:t xml:space="preserve">https://www.ncbi.nlm.nih.gov/pmc/articles/PMC3134929/</w:t>
        </w:r>
      </w:hyperlink>
      <w:r w:rsidDel="00000000" w:rsidR="00000000" w:rsidRPr="00000000">
        <w:rPr>
          <w:rtl w:val="0"/>
        </w:rPr>
      </w:r>
    </w:p>
    <w:p w:rsidR="00000000" w:rsidDel="00000000" w:rsidP="00000000" w:rsidRDefault="00000000" w:rsidRPr="00000000" w14:paraId="0000006F">
      <w:pPr>
        <w:jc w:val="both"/>
        <w:rPr>
          <w:sz w:val="24"/>
          <w:szCs w:val="24"/>
        </w:rPr>
      </w:pPr>
      <w:r w:rsidDel="00000000" w:rsidR="00000000" w:rsidRPr="00000000">
        <w:rPr>
          <w:sz w:val="24"/>
          <w:szCs w:val="24"/>
          <w:rtl w:val="0"/>
        </w:rPr>
        <w:t xml:space="preserve">Accessed 26th November 2019 </w:t>
      </w:r>
    </w:p>
    <w:p w:rsidR="00000000" w:rsidDel="00000000" w:rsidP="00000000" w:rsidRDefault="00000000" w:rsidRPr="00000000" w14:paraId="00000070">
      <w:pPr>
        <w:jc w:val="both"/>
        <w:rPr>
          <w:sz w:val="24"/>
          <w:szCs w:val="24"/>
        </w:rPr>
      </w:pPr>
      <w:r w:rsidDel="00000000" w:rsidR="00000000" w:rsidRPr="00000000">
        <w:rPr>
          <w:rtl w:val="0"/>
        </w:rPr>
      </w:r>
    </w:p>
    <w:p w:rsidR="00000000" w:rsidDel="00000000" w:rsidP="00000000" w:rsidRDefault="00000000" w:rsidRPr="00000000" w14:paraId="00000071">
      <w:pPr>
        <w:jc w:val="both"/>
        <w:rPr>
          <w:sz w:val="24"/>
          <w:szCs w:val="24"/>
        </w:rPr>
      </w:pPr>
      <w:r w:rsidDel="00000000" w:rsidR="00000000" w:rsidRPr="00000000">
        <w:rPr>
          <w:sz w:val="24"/>
          <w:szCs w:val="24"/>
          <w:rtl w:val="0"/>
        </w:rPr>
        <w:t xml:space="preserve">The Guardian, (2017). Suicides peak in middle age. So why do we call it young person’s tragedy. [online] Available at: </w:t>
      </w:r>
    </w:p>
    <w:p w:rsidR="00000000" w:rsidDel="00000000" w:rsidP="00000000" w:rsidRDefault="00000000" w:rsidRPr="00000000" w14:paraId="00000072">
      <w:pPr>
        <w:jc w:val="both"/>
        <w:rPr>
          <w:sz w:val="24"/>
          <w:szCs w:val="24"/>
        </w:rPr>
      </w:pPr>
      <w:hyperlink r:id="rId17">
        <w:r w:rsidDel="00000000" w:rsidR="00000000" w:rsidRPr="00000000">
          <w:rPr>
            <w:color w:val="1155cc"/>
            <w:sz w:val="24"/>
            <w:szCs w:val="24"/>
            <w:u w:val="single"/>
            <w:rtl w:val="0"/>
          </w:rPr>
          <w:t xml:space="preserve">https://www.theguardian.com/commentisfree/2017/sep/13/suicide-middle-aged-young-people-death</w:t>
        </w:r>
      </w:hyperlink>
      <w:r w:rsidDel="00000000" w:rsidR="00000000" w:rsidRPr="00000000">
        <w:rPr>
          <w:rtl w:val="0"/>
        </w:rPr>
      </w:r>
    </w:p>
    <w:p w:rsidR="00000000" w:rsidDel="00000000" w:rsidP="00000000" w:rsidRDefault="00000000" w:rsidRPr="00000000" w14:paraId="00000073">
      <w:pPr>
        <w:jc w:val="both"/>
        <w:rPr>
          <w:sz w:val="24"/>
          <w:szCs w:val="24"/>
        </w:rPr>
      </w:pPr>
      <w:r w:rsidDel="00000000" w:rsidR="00000000" w:rsidRPr="00000000">
        <w:rPr>
          <w:sz w:val="24"/>
          <w:szCs w:val="24"/>
          <w:rtl w:val="0"/>
        </w:rPr>
        <w:t xml:space="preserve">Accessed 26th November 2019 </w:t>
      </w:r>
    </w:p>
    <w:p w:rsidR="00000000" w:rsidDel="00000000" w:rsidP="00000000" w:rsidRDefault="00000000" w:rsidRPr="00000000" w14:paraId="00000074">
      <w:pPr>
        <w:jc w:val="both"/>
        <w:rPr>
          <w:sz w:val="24"/>
          <w:szCs w:val="24"/>
        </w:rPr>
      </w:pPr>
      <w:r w:rsidDel="00000000" w:rsidR="00000000" w:rsidRPr="00000000">
        <w:rPr>
          <w:rtl w:val="0"/>
        </w:rPr>
      </w:r>
    </w:p>
    <w:p w:rsidR="00000000" w:rsidDel="00000000" w:rsidP="00000000" w:rsidRDefault="00000000" w:rsidRPr="00000000" w14:paraId="00000075">
      <w:pPr>
        <w:jc w:val="both"/>
        <w:rPr>
          <w:sz w:val="24"/>
          <w:szCs w:val="24"/>
        </w:rPr>
      </w:pPr>
      <w:r w:rsidDel="00000000" w:rsidR="00000000" w:rsidRPr="00000000">
        <w:rPr>
          <w:sz w:val="24"/>
          <w:szCs w:val="24"/>
          <w:rtl w:val="0"/>
        </w:rPr>
        <w:t xml:space="preserve">The Guardian, (2019). Suicides rates in UK increase to highest level since 2002. Available at: </w:t>
      </w:r>
    </w:p>
    <w:p w:rsidR="00000000" w:rsidDel="00000000" w:rsidP="00000000" w:rsidRDefault="00000000" w:rsidRPr="00000000" w14:paraId="00000076">
      <w:pPr>
        <w:jc w:val="both"/>
        <w:rPr>
          <w:sz w:val="24"/>
          <w:szCs w:val="24"/>
        </w:rPr>
      </w:pPr>
      <w:hyperlink r:id="rId18">
        <w:r w:rsidDel="00000000" w:rsidR="00000000" w:rsidRPr="00000000">
          <w:rPr>
            <w:color w:val="1155cc"/>
            <w:sz w:val="24"/>
            <w:szCs w:val="24"/>
            <w:u w:val="single"/>
            <w:rtl w:val="0"/>
          </w:rPr>
          <w:t xml:space="preserve">https://www.theguardian.com/society/2019/sep/03/suicides-rates-in-uk-increase-to-highest-level-since-2002</w:t>
        </w:r>
      </w:hyperlink>
      <w:r w:rsidDel="00000000" w:rsidR="00000000" w:rsidRPr="00000000">
        <w:rPr>
          <w:rtl w:val="0"/>
        </w:rPr>
      </w:r>
    </w:p>
    <w:p w:rsidR="00000000" w:rsidDel="00000000" w:rsidP="00000000" w:rsidRDefault="00000000" w:rsidRPr="00000000" w14:paraId="00000077">
      <w:pPr>
        <w:jc w:val="both"/>
        <w:rPr>
          <w:sz w:val="24"/>
          <w:szCs w:val="24"/>
        </w:rPr>
      </w:pPr>
      <w:r w:rsidDel="00000000" w:rsidR="00000000" w:rsidRPr="00000000">
        <w:rPr>
          <w:sz w:val="24"/>
          <w:szCs w:val="24"/>
          <w:rtl w:val="0"/>
        </w:rPr>
        <w:t xml:space="preserve">Accessed 17th November 2019 </w:t>
      </w:r>
    </w:p>
    <w:p w:rsidR="00000000" w:rsidDel="00000000" w:rsidP="00000000" w:rsidRDefault="00000000" w:rsidRPr="00000000" w14:paraId="00000078">
      <w:pPr>
        <w:jc w:val="both"/>
        <w:rPr>
          <w:sz w:val="24"/>
          <w:szCs w:val="24"/>
        </w:rPr>
      </w:pPr>
      <w:r w:rsidDel="00000000" w:rsidR="00000000" w:rsidRPr="00000000">
        <w:rPr>
          <w:rtl w:val="0"/>
        </w:rPr>
      </w:r>
    </w:p>
    <w:p w:rsidR="00000000" w:rsidDel="00000000" w:rsidP="00000000" w:rsidRDefault="00000000" w:rsidRPr="00000000" w14:paraId="00000079">
      <w:pPr>
        <w:jc w:val="both"/>
        <w:rPr>
          <w:sz w:val="24"/>
          <w:szCs w:val="24"/>
        </w:rPr>
      </w:pPr>
      <w:r w:rsidDel="00000000" w:rsidR="00000000" w:rsidRPr="00000000">
        <w:rPr>
          <w:sz w:val="24"/>
          <w:szCs w:val="24"/>
          <w:rtl w:val="0"/>
        </w:rPr>
        <w:t xml:space="preserve">The University of Edinbrugh, (2019). Gibb’s reflective cycle. Available at: </w:t>
      </w:r>
    </w:p>
    <w:p w:rsidR="00000000" w:rsidDel="00000000" w:rsidP="00000000" w:rsidRDefault="00000000" w:rsidRPr="00000000" w14:paraId="0000007A">
      <w:pPr>
        <w:jc w:val="both"/>
        <w:rPr>
          <w:sz w:val="24"/>
          <w:szCs w:val="24"/>
        </w:rPr>
      </w:pPr>
      <w:hyperlink r:id="rId19">
        <w:r w:rsidDel="00000000" w:rsidR="00000000" w:rsidRPr="00000000">
          <w:rPr>
            <w:color w:val="1155cc"/>
            <w:sz w:val="24"/>
            <w:szCs w:val="24"/>
            <w:u w:val="single"/>
            <w:rtl w:val="0"/>
          </w:rPr>
          <w:t xml:space="preserve">https://www.ed.ac.uk/reflection/reflectors-toolkit/reflecting-on-experience/gibbs-reflective-cycle</w:t>
        </w:r>
      </w:hyperlink>
      <w:r w:rsidDel="00000000" w:rsidR="00000000" w:rsidRPr="00000000">
        <w:rPr>
          <w:rtl w:val="0"/>
        </w:rPr>
      </w:r>
    </w:p>
    <w:p w:rsidR="00000000" w:rsidDel="00000000" w:rsidP="00000000" w:rsidRDefault="00000000" w:rsidRPr="00000000" w14:paraId="0000007B">
      <w:pPr>
        <w:jc w:val="both"/>
        <w:rPr>
          <w:sz w:val="24"/>
          <w:szCs w:val="24"/>
        </w:rPr>
      </w:pPr>
      <w:r w:rsidDel="00000000" w:rsidR="00000000" w:rsidRPr="00000000">
        <w:rPr>
          <w:sz w:val="24"/>
          <w:szCs w:val="24"/>
          <w:rtl w:val="0"/>
        </w:rPr>
        <w:t xml:space="preserve">Accessed 18th November 2019 </w:t>
      </w:r>
    </w:p>
    <w:p w:rsidR="00000000" w:rsidDel="00000000" w:rsidP="00000000" w:rsidRDefault="00000000" w:rsidRPr="00000000" w14:paraId="0000007C">
      <w:pPr>
        <w:jc w:val="both"/>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sz w:val="24"/>
          <w:szCs w:val="24"/>
          <w:rtl w:val="0"/>
        </w:rPr>
        <w:t xml:space="preserve">Very well mind, (2019). Health belief model. [online] Available at: </w:t>
      </w:r>
    </w:p>
    <w:p w:rsidR="00000000" w:rsidDel="00000000" w:rsidP="00000000" w:rsidRDefault="00000000" w:rsidRPr="00000000" w14:paraId="0000007E">
      <w:pPr>
        <w:rPr>
          <w:sz w:val="24"/>
          <w:szCs w:val="24"/>
        </w:rPr>
      </w:pPr>
      <w:hyperlink r:id="rId20">
        <w:r w:rsidDel="00000000" w:rsidR="00000000" w:rsidRPr="00000000">
          <w:rPr>
            <w:color w:val="1155cc"/>
            <w:sz w:val="24"/>
            <w:szCs w:val="24"/>
            <w:u w:val="single"/>
            <w:rtl w:val="0"/>
          </w:rPr>
          <w:t xml:space="preserve">https://www.verywellmind.com/health-belief-model-3132721</w:t>
        </w:r>
      </w:hyperlink>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sz w:val="24"/>
          <w:szCs w:val="24"/>
          <w:rtl w:val="0"/>
        </w:rPr>
        <w:t xml:space="preserve">Accessed 26th November 2019 </w:t>
      </w:r>
    </w:p>
    <w:p w:rsidR="00000000" w:rsidDel="00000000" w:rsidP="00000000" w:rsidRDefault="00000000" w:rsidRPr="00000000" w14:paraId="00000080">
      <w:pPr>
        <w:jc w:val="both"/>
        <w:rPr>
          <w:sz w:val="24"/>
          <w:szCs w:val="24"/>
        </w:rPr>
      </w:pPr>
      <w:r w:rsidDel="00000000" w:rsidR="00000000" w:rsidRPr="00000000">
        <w:rPr>
          <w:rtl w:val="0"/>
        </w:rPr>
      </w:r>
    </w:p>
    <w:p w:rsidR="00000000" w:rsidDel="00000000" w:rsidP="00000000" w:rsidRDefault="00000000" w:rsidRPr="00000000" w14:paraId="00000081">
      <w:pPr>
        <w:jc w:val="both"/>
        <w:rPr>
          <w:sz w:val="24"/>
          <w:szCs w:val="24"/>
        </w:rPr>
      </w:pPr>
      <w:r w:rsidDel="00000000" w:rsidR="00000000" w:rsidRPr="00000000">
        <w:rPr>
          <w:sz w:val="24"/>
          <w:szCs w:val="24"/>
          <w:rtl w:val="0"/>
        </w:rPr>
        <w:t xml:space="preserve">WHO,(2013).  Definition of key terms. Available at: </w:t>
      </w:r>
    </w:p>
    <w:p w:rsidR="00000000" w:rsidDel="00000000" w:rsidP="00000000" w:rsidRDefault="00000000" w:rsidRPr="00000000" w14:paraId="00000082">
      <w:pPr>
        <w:jc w:val="both"/>
        <w:rPr>
          <w:sz w:val="24"/>
          <w:szCs w:val="24"/>
        </w:rPr>
      </w:pPr>
      <w:hyperlink r:id="rId21">
        <w:r w:rsidDel="00000000" w:rsidR="00000000" w:rsidRPr="00000000">
          <w:rPr>
            <w:color w:val="1155cc"/>
            <w:sz w:val="24"/>
            <w:szCs w:val="24"/>
            <w:u w:val="single"/>
            <w:rtl w:val="0"/>
          </w:rPr>
          <w:t xml:space="preserve">https://www.who.int/hiv/pub/guidelines/arv2013/intro/keyterms/en/</w:t>
        </w:r>
      </w:hyperlink>
      <w:r w:rsidDel="00000000" w:rsidR="00000000" w:rsidRPr="00000000">
        <w:rPr>
          <w:rtl w:val="0"/>
        </w:rPr>
      </w:r>
    </w:p>
    <w:p w:rsidR="00000000" w:rsidDel="00000000" w:rsidP="00000000" w:rsidRDefault="00000000" w:rsidRPr="00000000" w14:paraId="00000083">
      <w:pPr>
        <w:jc w:val="both"/>
        <w:rPr>
          <w:b w:val="1"/>
          <w:sz w:val="24"/>
          <w:szCs w:val="24"/>
        </w:rPr>
      </w:pPr>
      <w:r w:rsidDel="00000000" w:rsidR="00000000" w:rsidRPr="00000000">
        <w:rPr>
          <w:sz w:val="24"/>
          <w:szCs w:val="24"/>
          <w:rtl w:val="0"/>
        </w:rPr>
        <w:t xml:space="preserve">Accessed 18th November 2019 </w:t>
      </w:r>
      <w:r w:rsidDel="00000000" w:rsidR="00000000" w:rsidRPr="00000000">
        <w:rPr>
          <w:rtl w:val="0"/>
        </w:rPr>
      </w:r>
    </w:p>
    <w:p w:rsidR="00000000" w:rsidDel="00000000" w:rsidP="00000000" w:rsidRDefault="00000000" w:rsidRPr="00000000" w14:paraId="00000084">
      <w:pPr>
        <w:jc w:val="both"/>
        <w:rPr>
          <w:sz w:val="24"/>
          <w:szCs w:val="24"/>
        </w:rPr>
      </w:pPr>
      <w:r w:rsidDel="00000000" w:rsidR="00000000" w:rsidRPr="00000000">
        <w:rPr>
          <w:rtl w:val="0"/>
        </w:rPr>
      </w:r>
    </w:p>
    <w:p w:rsidR="00000000" w:rsidDel="00000000" w:rsidP="00000000" w:rsidRDefault="00000000" w:rsidRPr="00000000" w14:paraId="00000085">
      <w:pPr>
        <w:jc w:val="both"/>
        <w:rPr>
          <w:b w:val="1"/>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verywellmind.com/health-belief-model-3132721" TargetMode="External"/><Relationship Id="rId11" Type="http://schemas.openxmlformats.org/officeDocument/2006/relationships/hyperlink" Target="https://writingcenter.fas.harvard.edu/pages/ending-essay-conclusions" TargetMode="External"/><Relationship Id="rId10" Type="http://schemas.openxmlformats.org/officeDocument/2006/relationships/hyperlink" Target="https://www.cdc.gov/violenceprevention/pdf/suicide_factsheet-a.pdf" TargetMode="External"/><Relationship Id="rId21" Type="http://schemas.openxmlformats.org/officeDocument/2006/relationships/hyperlink" Target="https://www.who.int/hiv/pub/guidelines/arv2013/intro/keyterms/en/" TargetMode="External"/><Relationship Id="rId13" Type="http://schemas.openxmlformats.org/officeDocument/2006/relationships/hyperlink" Target="https://www.psychologytoday.com/intl/basics/time-management" TargetMode="External"/><Relationship Id="rId12" Type="http://schemas.openxmlformats.org/officeDocument/2006/relationships/hyperlink" Target="https://www.nhsdirect.wales.nhs.uk/encyclopaedia/m/article/mentalhealth"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bs.nl/en-gb/news/2017/52/social-media-on-the-rise-among-seniors" TargetMode="External"/><Relationship Id="rId15" Type="http://schemas.openxmlformats.org/officeDocument/2006/relationships/hyperlink" Target="https://seniornews.com/dangerous-social-media-seniors-well/" TargetMode="External"/><Relationship Id="rId14" Type="http://schemas.openxmlformats.org/officeDocument/2006/relationships/hyperlink" Target="https://www.samaritans.org/about-samaritans/research-policy/suicide-facts-and-figures/" TargetMode="External"/><Relationship Id="rId17" Type="http://schemas.openxmlformats.org/officeDocument/2006/relationships/hyperlink" Target="https://www.theguardian.com/commentisfree/2017/sep/13/suicide-middle-aged-young-people-death" TargetMode="External"/><Relationship Id="rId16" Type="http://schemas.openxmlformats.org/officeDocument/2006/relationships/hyperlink" Target="https://www.ncbi.nlm.nih.gov/pmc/articles/PMC3134929/" TargetMode="External"/><Relationship Id="rId5" Type="http://schemas.openxmlformats.org/officeDocument/2006/relationships/styles" Target="styles.xml"/><Relationship Id="rId19" Type="http://schemas.openxmlformats.org/officeDocument/2006/relationships/hyperlink" Target="https://www.ed.ac.uk/reflection/reflectors-toolkit/reflecting-on-experience/gibbs-reflective-cycle" TargetMode="External"/><Relationship Id="rId6" Type="http://schemas.openxmlformats.org/officeDocument/2006/relationships/hyperlink" Target="https://www.researchgate.net/publication/290193215_The_Health_Belief_Model" TargetMode="External"/><Relationship Id="rId18" Type="http://schemas.openxmlformats.org/officeDocument/2006/relationships/hyperlink" Target="https://www.theguardian.com/society/2019/sep/03/suicides-rates-in-uk-increase-to-highest-level-since-2002" TargetMode="External"/><Relationship Id="rId7" Type="http://schemas.openxmlformats.org/officeDocument/2006/relationships/hyperlink" Target="https://www.actionforchildren.org.uk/what-we-do/" TargetMode="External"/><Relationship Id="rId8" Type="http://schemas.openxmlformats.org/officeDocument/2006/relationships/hyperlink" Target="https://www.ncbi.nlm.nih.gov/pubmed/304453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