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E0580" w14:textId="06254BEE" w:rsidR="0044539B" w:rsidRPr="00F4799C" w:rsidRDefault="0044539B" w:rsidP="0044539B">
      <w:pPr>
        <w:jc w:val="center"/>
        <w:rPr>
          <w:rFonts w:asciiTheme="minorBidi" w:hAnsiTheme="minorBidi"/>
        </w:rPr>
      </w:pPr>
      <w:r w:rsidRPr="00F4799C">
        <w:rPr>
          <w:rFonts w:asciiTheme="minorBidi" w:hAnsiTheme="minorBidi"/>
          <w:noProof/>
        </w:rPr>
        <w:drawing>
          <wp:inline distT="0" distB="0" distL="0" distR="0" wp14:anchorId="7344F098" wp14:editId="36CEDA5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B15B9B9" w14:textId="77777777" w:rsidR="0044539B" w:rsidRPr="00F4799C" w:rsidRDefault="0044539B" w:rsidP="0044539B">
      <w:pPr>
        <w:jc w:val="center"/>
        <w:rPr>
          <w:rFonts w:asciiTheme="minorBidi" w:hAnsiTheme="minorBidi"/>
        </w:rPr>
      </w:pPr>
    </w:p>
    <w:p w14:paraId="378DAE77" w14:textId="77777777" w:rsidR="00C30F02" w:rsidRDefault="00C30F02" w:rsidP="00BE73C4">
      <w:pPr>
        <w:rPr>
          <w:rFonts w:asciiTheme="minorBidi" w:hAnsiTheme="minorBidi"/>
          <w:b/>
          <w:bCs/>
          <w:sz w:val="28"/>
          <w:szCs w:val="28"/>
        </w:rPr>
      </w:pPr>
    </w:p>
    <w:p w14:paraId="5B82A6DA" w14:textId="1ADD5189" w:rsidR="0044539B" w:rsidRPr="002D209E" w:rsidRDefault="0044539B" w:rsidP="002D209E">
      <w:pPr>
        <w:spacing w:line="360" w:lineRule="auto"/>
        <w:jc w:val="center"/>
        <w:rPr>
          <w:rFonts w:ascii="Arial" w:hAnsi="Arial" w:cs="Arial"/>
          <w:b/>
          <w:bCs/>
        </w:rPr>
      </w:pPr>
      <w:r w:rsidRPr="002D209E">
        <w:rPr>
          <w:rFonts w:ascii="Arial" w:hAnsi="Arial" w:cs="Arial"/>
          <w:b/>
          <w:bCs/>
        </w:rPr>
        <w:t>Student Name: Rainak Zabin</w:t>
      </w:r>
    </w:p>
    <w:p w14:paraId="3E47DF53" w14:textId="77777777" w:rsidR="0044539B" w:rsidRPr="002D209E" w:rsidRDefault="0044539B" w:rsidP="002D209E">
      <w:pPr>
        <w:spacing w:line="360" w:lineRule="auto"/>
        <w:jc w:val="center"/>
        <w:rPr>
          <w:rFonts w:ascii="Arial" w:hAnsi="Arial" w:cs="Arial"/>
          <w:b/>
          <w:bCs/>
        </w:rPr>
      </w:pPr>
    </w:p>
    <w:p w14:paraId="664F3CBB" w14:textId="5739D10F" w:rsidR="0044539B" w:rsidRPr="002D209E" w:rsidRDefault="0044539B" w:rsidP="002D209E">
      <w:pPr>
        <w:spacing w:line="360" w:lineRule="auto"/>
        <w:jc w:val="center"/>
        <w:rPr>
          <w:rFonts w:ascii="Arial" w:hAnsi="Arial" w:cs="Arial"/>
          <w:b/>
          <w:bCs/>
        </w:rPr>
      </w:pPr>
      <w:r w:rsidRPr="002D209E">
        <w:rPr>
          <w:rFonts w:ascii="Arial" w:hAnsi="Arial" w:cs="Arial"/>
          <w:b/>
          <w:bCs/>
        </w:rPr>
        <w:t>Student ID: 2522511</w:t>
      </w:r>
    </w:p>
    <w:p w14:paraId="23C1C408" w14:textId="77777777" w:rsidR="0044539B" w:rsidRPr="002D209E" w:rsidRDefault="0044539B" w:rsidP="002D209E">
      <w:pPr>
        <w:spacing w:line="360" w:lineRule="auto"/>
        <w:rPr>
          <w:rFonts w:ascii="Arial" w:hAnsi="Arial" w:cs="Arial"/>
        </w:rPr>
      </w:pPr>
    </w:p>
    <w:p w14:paraId="5B8A308F" w14:textId="77777777" w:rsidR="0044539B" w:rsidRPr="002D209E" w:rsidRDefault="0044539B" w:rsidP="002D209E">
      <w:pPr>
        <w:spacing w:line="360" w:lineRule="auto"/>
        <w:jc w:val="center"/>
        <w:rPr>
          <w:rFonts w:ascii="Arial" w:hAnsi="Arial" w:cs="Arial"/>
          <w:b/>
          <w:bCs/>
        </w:rPr>
      </w:pPr>
      <w:r w:rsidRPr="002D209E">
        <w:rPr>
          <w:rFonts w:ascii="Arial" w:hAnsi="Arial" w:cs="Arial"/>
          <w:b/>
          <w:bCs/>
        </w:rPr>
        <w:t>Module Name: Marketing Management</w:t>
      </w:r>
    </w:p>
    <w:p w14:paraId="5F75CCFE" w14:textId="77777777" w:rsidR="0044539B" w:rsidRPr="002D209E" w:rsidRDefault="0044539B" w:rsidP="002D209E">
      <w:pPr>
        <w:spacing w:line="360" w:lineRule="auto"/>
        <w:jc w:val="center"/>
        <w:rPr>
          <w:rFonts w:ascii="Arial" w:hAnsi="Arial" w:cs="Arial"/>
          <w:b/>
          <w:bCs/>
        </w:rPr>
      </w:pPr>
    </w:p>
    <w:p w14:paraId="45460D75" w14:textId="77777777" w:rsidR="0044539B" w:rsidRPr="002D209E" w:rsidRDefault="0044539B" w:rsidP="002D209E">
      <w:pPr>
        <w:spacing w:line="360" w:lineRule="auto"/>
        <w:jc w:val="center"/>
        <w:rPr>
          <w:rFonts w:ascii="Arial" w:hAnsi="Arial" w:cs="Arial"/>
          <w:b/>
          <w:bCs/>
        </w:rPr>
      </w:pPr>
      <w:r w:rsidRPr="002D209E">
        <w:rPr>
          <w:rFonts w:ascii="Arial" w:hAnsi="Arial" w:cs="Arial"/>
          <w:b/>
          <w:bCs/>
        </w:rPr>
        <w:t>Module Code: LCMB7024</w:t>
      </w:r>
    </w:p>
    <w:p w14:paraId="09C74CBC" w14:textId="77777777" w:rsidR="00BE73C4" w:rsidRPr="002D209E" w:rsidRDefault="00BE73C4" w:rsidP="002D209E">
      <w:pPr>
        <w:spacing w:line="360" w:lineRule="auto"/>
        <w:jc w:val="center"/>
        <w:rPr>
          <w:rFonts w:ascii="Arial" w:hAnsi="Arial" w:cs="Arial"/>
          <w:b/>
          <w:bCs/>
        </w:rPr>
      </w:pPr>
    </w:p>
    <w:p w14:paraId="0E6FB60A" w14:textId="18BFBC06" w:rsidR="0044539B" w:rsidRPr="002D209E" w:rsidRDefault="00757831" w:rsidP="002D209E">
      <w:pPr>
        <w:spacing w:line="360" w:lineRule="auto"/>
        <w:jc w:val="center"/>
        <w:rPr>
          <w:rFonts w:ascii="Arial" w:hAnsi="Arial" w:cs="Arial"/>
          <w:b/>
          <w:bCs/>
        </w:rPr>
      </w:pPr>
      <w:r w:rsidRPr="002D209E">
        <w:rPr>
          <w:rFonts w:ascii="Arial" w:hAnsi="Arial" w:cs="Arial"/>
          <w:b/>
          <w:bCs/>
        </w:rPr>
        <w:t>Assessment</w:t>
      </w:r>
      <w:r w:rsidR="00BE73C4" w:rsidRPr="002D209E">
        <w:rPr>
          <w:rFonts w:ascii="Arial" w:hAnsi="Arial" w:cs="Arial"/>
          <w:b/>
          <w:bCs/>
        </w:rPr>
        <w:t xml:space="preserve"> Title:</w:t>
      </w:r>
      <w:r w:rsidR="00BE73C4" w:rsidRPr="002D209E">
        <w:rPr>
          <w:rFonts w:ascii="Arial" w:hAnsi="Arial" w:cs="Arial"/>
          <w:b/>
          <w:bCs/>
        </w:rPr>
        <w:t xml:space="preserve"> </w:t>
      </w:r>
      <w:r w:rsidR="00BE73C4" w:rsidRPr="002D209E">
        <w:rPr>
          <w:rFonts w:ascii="Arial" w:hAnsi="Arial" w:cs="Arial"/>
          <w:b/>
          <w:bCs/>
        </w:rPr>
        <w:t>Marketing Environment</w:t>
      </w:r>
      <w:r w:rsidR="00BE73C4" w:rsidRPr="002D209E">
        <w:rPr>
          <w:rFonts w:ascii="Arial" w:hAnsi="Arial" w:cs="Arial"/>
          <w:b/>
          <w:bCs/>
        </w:rPr>
        <w:t xml:space="preserve"> </w:t>
      </w:r>
      <w:r w:rsidR="00BE73C4" w:rsidRPr="002D209E">
        <w:rPr>
          <w:rFonts w:ascii="Arial" w:hAnsi="Arial" w:cs="Arial"/>
          <w:b/>
          <w:bCs/>
        </w:rPr>
        <w:t>Analysis</w:t>
      </w:r>
    </w:p>
    <w:p w14:paraId="6EA76988" w14:textId="77777777" w:rsidR="0044539B" w:rsidRPr="002D209E" w:rsidRDefault="0044539B" w:rsidP="002D209E">
      <w:pPr>
        <w:spacing w:line="360" w:lineRule="auto"/>
        <w:jc w:val="center"/>
        <w:rPr>
          <w:rFonts w:ascii="Arial" w:hAnsi="Arial" w:cs="Arial"/>
          <w:b/>
          <w:bCs/>
        </w:rPr>
      </w:pPr>
    </w:p>
    <w:p w14:paraId="3BA3C037" w14:textId="04D55742" w:rsidR="0044539B" w:rsidRPr="002D209E" w:rsidRDefault="0044539B" w:rsidP="002D209E">
      <w:pPr>
        <w:spacing w:line="360" w:lineRule="auto"/>
        <w:jc w:val="center"/>
        <w:rPr>
          <w:rFonts w:ascii="Arial" w:hAnsi="Arial" w:cs="Arial"/>
          <w:b/>
          <w:bCs/>
        </w:rPr>
      </w:pPr>
      <w:r w:rsidRPr="002D209E">
        <w:rPr>
          <w:rFonts w:ascii="Arial" w:hAnsi="Arial" w:cs="Arial"/>
          <w:b/>
          <w:bCs/>
        </w:rPr>
        <w:t>Lecturer’s Name:</w:t>
      </w:r>
      <w:r w:rsidR="00696B99" w:rsidRPr="002D209E">
        <w:rPr>
          <w:rFonts w:ascii="Arial" w:hAnsi="Arial" w:cs="Arial"/>
          <w:b/>
          <w:bCs/>
        </w:rPr>
        <w:t xml:space="preserve"> Laila Maazouz</w:t>
      </w:r>
    </w:p>
    <w:p w14:paraId="1411D340" w14:textId="77777777" w:rsidR="0044539B" w:rsidRPr="002D209E" w:rsidRDefault="0044539B" w:rsidP="002D209E">
      <w:pPr>
        <w:spacing w:line="360" w:lineRule="auto"/>
        <w:jc w:val="center"/>
        <w:rPr>
          <w:rFonts w:ascii="Arial" w:hAnsi="Arial" w:cs="Arial"/>
          <w:b/>
          <w:bCs/>
        </w:rPr>
      </w:pPr>
    </w:p>
    <w:p w14:paraId="0AE20CDA" w14:textId="77777777" w:rsidR="0044539B" w:rsidRPr="002D209E" w:rsidRDefault="0044539B" w:rsidP="002D209E">
      <w:pPr>
        <w:spacing w:line="360" w:lineRule="auto"/>
        <w:rPr>
          <w:rFonts w:ascii="Arial" w:hAnsi="Arial" w:cs="Arial"/>
          <w:b/>
          <w:bCs/>
        </w:rPr>
      </w:pPr>
    </w:p>
    <w:p w14:paraId="1D13CF6E" w14:textId="3107EA28" w:rsidR="0044539B" w:rsidRPr="002D209E" w:rsidRDefault="0044539B" w:rsidP="002D209E">
      <w:pPr>
        <w:spacing w:line="360" w:lineRule="auto"/>
        <w:jc w:val="center"/>
        <w:rPr>
          <w:rFonts w:ascii="Arial" w:hAnsi="Arial" w:cs="Arial"/>
          <w:b/>
          <w:bCs/>
        </w:rPr>
      </w:pPr>
      <w:r w:rsidRPr="002D209E">
        <w:rPr>
          <w:rFonts w:ascii="Arial" w:hAnsi="Arial" w:cs="Arial"/>
          <w:b/>
          <w:bCs/>
        </w:rPr>
        <w:t>Work Count:</w:t>
      </w:r>
      <w:r w:rsidR="003A55B4" w:rsidRPr="002D209E">
        <w:rPr>
          <w:rFonts w:ascii="Arial" w:hAnsi="Arial" w:cs="Arial"/>
          <w:b/>
          <w:bCs/>
        </w:rPr>
        <w:t xml:space="preserve"> 25</w:t>
      </w:r>
      <w:r w:rsidR="00881C21" w:rsidRPr="002D209E">
        <w:rPr>
          <w:rFonts w:ascii="Arial" w:hAnsi="Arial" w:cs="Arial"/>
          <w:b/>
          <w:bCs/>
        </w:rPr>
        <w:t>79</w:t>
      </w:r>
    </w:p>
    <w:p w14:paraId="29447B53" w14:textId="77777777" w:rsidR="0044539B" w:rsidRPr="002D209E" w:rsidRDefault="0044539B" w:rsidP="002D209E">
      <w:pPr>
        <w:spacing w:line="360" w:lineRule="auto"/>
        <w:jc w:val="center"/>
        <w:rPr>
          <w:rFonts w:ascii="Arial" w:hAnsi="Arial" w:cs="Arial"/>
          <w:b/>
          <w:bCs/>
        </w:rPr>
      </w:pPr>
    </w:p>
    <w:p w14:paraId="433BEDD4" w14:textId="77777777" w:rsidR="0044539B" w:rsidRPr="002D209E" w:rsidRDefault="0044539B" w:rsidP="002D209E">
      <w:pPr>
        <w:spacing w:line="360" w:lineRule="auto"/>
        <w:jc w:val="center"/>
        <w:rPr>
          <w:rFonts w:ascii="Arial" w:hAnsi="Arial" w:cs="Arial"/>
          <w:b/>
          <w:bCs/>
        </w:rPr>
      </w:pPr>
      <w:r w:rsidRPr="002D209E">
        <w:rPr>
          <w:rFonts w:ascii="Arial" w:hAnsi="Arial" w:cs="Arial"/>
          <w:b/>
          <w:bCs/>
        </w:rPr>
        <w:t>Term 1</w:t>
      </w:r>
    </w:p>
    <w:p w14:paraId="6D1FAD36" w14:textId="77777777" w:rsidR="0044539B" w:rsidRPr="00272C68" w:rsidRDefault="0044539B" w:rsidP="00272C68">
      <w:pPr>
        <w:spacing w:line="360" w:lineRule="auto"/>
        <w:rPr>
          <w:rFonts w:ascii="Arial" w:hAnsi="Arial" w:cs="Arial"/>
          <w:b/>
          <w:bCs/>
        </w:rPr>
      </w:pPr>
      <w:r w:rsidRPr="00272C68">
        <w:rPr>
          <w:rFonts w:ascii="Arial" w:hAnsi="Arial" w:cs="Arial"/>
          <w:b/>
          <w:bCs/>
        </w:rPr>
        <w:br w:type="page"/>
      </w:r>
    </w:p>
    <w:p w14:paraId="0C81C3B8" w14:textId="77777777" w:rsidR="001831C7" w:rsidRPr="00272C68" w:rsidRDefault="001831C7" w:rsidP="00272C68">
      <w:pPr>
        <w:spacing w:line="360" w:lineRule="auto"/>
        <w:rPr>
          <w:rFonts w:ascii="Arial" w:hAnsi="Arial" w:cs="Arial"/>
          <w:b/>
          <w:bCs/>
        </w:rPr>
      </w:pPr>
      <w:r w:rsidRPr="00272C68">
        <w:rPr>
          <w:rFonts w:ascii="Arial" w:hAnsi="Arial" w:cs="Arial"/>
          <w:b/>
          <w:bCs/>
        </w:rPr>
        <w:lastRenderedPageBreak/>
        <w:t>Table of Contents</w:t>
      </w:r>
    </w:p>
    <w:p w14:paraId="49560794" w14:textId="77777777" w:rsidR="00C7656A" w:rsidRPr="00272C68" w:rsidRDefault="00C7656A" w:rsidP="00272C68">
      <w:pPr>
        <w:spacing w:line="360" w:lineRule="auto"/>
        <w:rPr>
          <w:rFonts w:ascii="Arial" w:hAnsi="Arial" w:cs="Arial"/>
          <w:b/>
          <w:bCs/>
        </w:rPr>
      </w:pPr>
    </w:p>
    <w:p w14:paraId="693E185F" w14:textId="384A72DB" w:rsidR="001831C7" w:rsidRPr="00272C68" w:rsidRDefault="001831C7" w:rsidP="00272C68">
      <w:pPr>
        <w:spacing w:line="360" w:lineRule="auto"/>
        <w:rPr>
          <w:rFonts w:ascii="Arial" w:hAnsi="Arial" w:cs="Arial"/>
        </w:rPr>
      </w:pPr>
      <w:r w:rsidRPr="00272C68">
        <w:rPr>
          <w:rFonts w:ascii="Arial" w:hAnsi="Arial" w:cs="Arial"/>
        </w:rPr>
        <w:t>1. INTRODUCTION ……</w:t>
      </w:r>
      <w:r w:rsidR="00953E60" w:rsidRPr="00272C68">
        <w:rPr>
          <w:rFonts w:ascii="Arial" w:hAnsi="Arial" w:cs="Arial"/>
        </w:rPr>
        <w:t>………</w:t>
      </w:r>
      <w:r w:rsidRPr="00272C68">
        <w:rPr>
          <w:rFonts w:ascii="Arial" w:hAnsi="Arial" w:cs="Arial"/>
        </w:rPr>
        <w:t>…………………………………</w:t>
      </w:r>
      <w:r w:rsidR="00B00BD7" w:rsidRPr="00272C68">
        <w:rPr>
          <w:rFonts w:ascii="Arial" w:hAnsi="Arial" w:cs="Arial"/>
        </w:rPr>
        <w:t>………….</w:t>
      </w:r>
      <w:r w:rsidRPr="00272C68">
        <w:rPr>
          <w:rFonts w:ascii="Arial" w:hAnsi="Arial" w:cs="Arial"/>
        </w:rPr>
        <w:t>…...3</w:t>
      </w:r>
    </w:p>
    <w:p w14:paraId="0E39ED00" w14:textId="4590AA83" w:rsidR="001831C7" w:rsidRPr="00272C68" w:rsidRDefault="001831C7" w:rsidP="00272C68">
      <w:pPr>
        <w:spacing w:line="360" w:lineRule="auto"/>
        <w:rPr>
          <w:rFonts w:ascii="Arial" w:hAnsi="Arial" w:cs="Arial"/>
        </w:rPr>
      </w:pPr>
      <w:r w:rsidRPr="00272C68">
        <w:rPr>
          <w:rFonts w:ascii="Arial" w:hAnsi="Arial" w:cs="Arial"/>
        </w:rPr>
        <w:t>2. TASK 1: CRITICAL ANALYSIS OF THE MACRO MARKETING ENVIRONMENT …</w:t>
      </w:r>
      <w:r w:rsidR="009679F9" w:rsidRPr="00272C68">
        <w:rPr>
          <w:rFonts w:ascii="Arial" w:hAnsi="Arial" w:cs="Arial"/>
        </w:rPr>
        <w:t>………………………………………………………………………</w:t>
      </w:r>
      <w:r w:rsidR="00B00BD7" w:rsidRPr="00272C68">
        <w:rPr>
          <w:rFonts w:ascii="Arial" w:hAnsi="Arial" w:cs="Arial"/>
        </w:rPr>
        <w:t>………….</w:t>
      </w:r>
      <w:r w:rsidR="009679F9" w:rsidRPr="00272C68">
        <w:rPr>
          <w:rFonts w:ascii="Arial" w:hAnsi="Arial" w:cs="Arial"/>
        </w:rPr>
        <w:t>…</w:t>
      </w:r>
      <w:r w:rsidR="00D12C48" w:rsidRPr="00272C68">
        <w:rPr>
          <w:rFonts w:ascii="Arial" w:hAnsi="Arial" w:cs="Arial"/>
        </w:rPr>
        <w:t>4</w:t>
      </w:r>
    </w:p>
    <w:p w14:paraId="5F45CF79" w14:textId="5375D9D2" w:rsidR="001831C7" w:rsidRPr="00272C68" w:rsidRDefault="001831C7" w:rsidP="00272C68">
      <w:pPr>
        <w:spacing w:line="360" w:lineRule="auto"/>
        <w:rPr>
          <w:rFonts w:ascii="Arial" w:hAnsi="Arial" w:cs="Arial"/>
        </w:rPr>
      </w:pPr>
      <w:r w:rsidRPr="00272C68">
        <w:rPr>
          <w:rFonts w:ascii="Arial" w:hAnsi="Arial" w:cs="Arial"/>
        </w:rPr>
        <w:t>2.1 MACRO MARKETING ENVIRONMENT</w:t>
      </w:r>
      <w:r w:rsidR="00953E60" w:rsidRPr="00272C68">
        <w:rPr>
          <w:rFonts w:ascii="Arial" w:hAnsi="Arial" w:cs="Arial"/>
        </w:rPr>
        <w:t xml:space="preserve"> ...</w:t>
      </w:r>
      <w:r w:rsidRPr="00272C68">
        <w:rPr>
          <w:rFonts w:ascii="Arial" w:hAnsi="Arial" w:cs="Arial"/>
        </w:rPr>
        <w:t>………………</w:t>
      </w:r>
      <w:r w:rsidR="00B00BD7" w:rsidRPr="00272C68">
        <w:rPr>
          <w:rFonts w:ascii="Arial" w:hAnsi="Arial" w:cs="Arial"/>
        </w:rPr>
        <w:t>…………</w:t>
      </w:r>
      <w:r w:rsidRPr="00272C68">
        <w:rPr>
          <w:rFonts w:ascii="Arial" w:hAnsi="Arial" w:cs="Arial"/>
        </w:rPr>
        <w:t>…</w:t>
      </w:r>
      <w:r w:rsidR="009679F9" w:rsidRPr="00272C68">
        <w:rPr>
          <w:rFonts w:ascii="Arial" w:hAnsi="Arial" w:cs="Arial"/>
        </w:rPr>
        <w:t>…...</w:t>
      </w:r>
      <w:r w:rsidR="00906F51" w:rsidRPr="00272C68">
        <w:rPr>
          <w:rFonts w:ascii="Arial" w:hAnsi="Arial" w:cs="Arial"/>
        </w:rPr>
        <w:t>4</w:t>
      </w:r>
    </w:p>
    <w:p w14:paraId="143530D2" w14:textId="2EA38F83" w:rsidR="001831C7" w:rsidRPr="00272C68" w:rsidRDefault="001831C7" w:rsidP="00272C68">
      <w:pPr>
        <w:spacing w:line="360" w:lineRule="auto"/>
        <w:rPr>
          <w:rFonts w:ascii="Arial" w:hAnsi="Arial" w:cs="Arial"/>
        </w:rPr>
      </w:pPr>
      <w:r w:rsidRPr="00272C68">
        <w:rPr>
          <w:rFonts w:ascii="Arial" w:hAnsi="Arial" w:cs="Arial"/>
        </w:rPr>
        <w:t>2.2 ANALYSIS OF MACRO FACTOR 1…………</w:t>
      </w:r>
      <w:r w:rsidR="009679F9" w:rsidRPr="00272C68">
        <w:rPr>
          <w:rFonts w:ascii="Arial" w:hAnsi="Arial" w:cs="Arial"/>
        </w:rPr>
        <w:t>……</w:t>
      </w:r>
      <w:r w:rsidR="00953E60" w:rsidRPr="00272C68">
        <w:rPr>
          <w:rFonts w:ascii="Arial" w:hAnsi="Arial" w:cs="Arial"/>
        </w:rPr>
        <w:t>…</w:t>
      </w:r>
      <w:r w:rsidR="009679F9" w:rsidRPr="00272C68">
        <w:rPr>
          <w:rFonts w:ascii="Arial" w:hAnsi="Arial" w:cs="Arial"/>
        </w:rPr>
        <w:t>…...…</w:t>
      </w:r>
      <w:r w:rsidR="00B00BD7" w:rsidRPr="00272C68">
        <w:rPr>
          <w:rFonts w:ascii="Arial" w:hAnsi="Arial" w:cs="Arial"/>
        </w:rPr>
        <w:t>…………</w:t>
      </w:r>
      <w:r w:rsidR="009679F9" w:rsidRPr="00272C68">
        <w:rPr>
          <w:rFonts w:ascii="Arial" w:hAnsi="Arial" w:cs="Arial"/>
        </w:rPr>
        <w:t>…….</w:t>
      </w:r>
      <w:r w:rsidR="00906F51" w:rsidRPr="00272C68">
        <w:rPr>
          <w:rFonts w:ascii="Arial" w:hAnsi="Arial" w:cs="Arial"/>
        </w:rPr>
        <w:t>5</w:t>
      </w:r>
    </w:p>
    <w:p w14:paraId="579EB64A" w14:textId="232AA11D" w:rsidR="001831C7" w:rsidRPr="00272C68" w:rsidRDefault="001831C7" w:rsidP="00272C68">
      <w:pPr>
        <w:spacing w:line="360" w:lineRule="auto"/>
        <w:rPr>
          <w:rFonts w:ascii="Arial" w:hAnsi="Arial" w:cs="Arial"/>
        </w:rPr>
      </w:pPr>
      <w:r w:rsidRPr="00272C68">
        <w:rPr>
          <w:rFonts w:ascii="Arial" w:hAnsi="Arial" w:cs="Arial"/>
        </w:rPr>
        <w:t>2.2.1 Impact on the Pioneer Organisation</w:t>
      </w:r>
      <w:proofErr w:type="gramStart"/>
      <w:r w:rsidR="004D625F" w:rsidRPr="00272C68">
        <w:rPr>
          <w:rFonts w:ascii="Arial" w:hAnsi="Arial" w:cs="Arial"/>
        </w:rPr>
        <w:t xml:space="preserve"> ..</w:t>
      </w:r>
      <w:proofErr w:type="gramEnd"/>
      <w:r w:rsidRPr="00272C68">
        <w:rPr>
          <w:rFonts w:ascii="Arial" w:hAnsi="Arial" w:cs="Arial"/>
        </w:rPr>
        <w:t>………</w:t>
      </w:r>
      <w:r w:rsidR="00B00BD7" w:rsidRPr="00272C68">
        <w:rPr>
          <w:rFonts w:ascii="Arial" w:hAnsi="Arial" w:cs="Arial"/>
        </w:rPr>
        <w:t>…………</w:t>
      </w:r>
      <w:r w:rsidRPr="00272C68">
        <w:rPr>
          <w:rFonts w:ascii="Arial" w:hAnsi="Arial" w:cs="Arial"/>
        </w:rPr>
        <w:t>…</w:t>
      </w:r>
      <w:r w:rsidR="009679F9" w:rsidRPr="00272C68">
        <w:rPr>
          <w:rFonts w:ascii="Arial" w:hAnsi="Arial" w:cs="Arial"/>
        </w:rPr>
        <w:t>……………….</w:t>
      </w:r>
      <w:r w:rsidR="00906F51" w:rsidRPr="00272C68">
        <w:rPr>
          <w:rFonts w:ascii="Arial" w:hAnsi="Arial" w:cs="Arial"/>
        </w:rPr>
        <w:t>5</w:t>
      </w:r>
    </w:p>
    <w:p w14:paraId="7EC41217" w14:textId="05F136F6" w:rsidR="001831C7" w:rsidRPr="00272C68" w:rsidRDefault="001831C7" w:rsidP="00272C68">
      <w:pPr>
        <w:spacing w:line="360" w:lineRule="auto"/>
        <w:rPr>
          <w:rFonts w:ascii="Arial" w:hAnsi="Arial" w:cs="Arial"/>
        </w:rPr>
      </w:pPr>
      <w:r w:rsidRPr="00272C68">
        <w:rPr>
          <w:rFonts w:ascii="Arial" w:hAnsi="Arial" w:cs="Arial"/>
        </w:rPr>
        <w:t>2.2.2 Impact on the Follower Organisation……</w:t>
      </w:r>
      <w:proofErr w:type="gramStart"/>
      <w:r w:rsidRPr="00272C68">
        <w:rPr>
          <w:rFonts w:ascii="Arial" w:hAnsi="Arial" w:cs="Arial"/>
        </w:rPr>
        <w:t>…</w:t>
      </w:r>
      <w:r w:rsidR="004D625F" w:rsidRPr="00272C68">
        <w:rPr>
          <w:rFonts w:ascii="Arial" w:hAnsi="Arial" w:cs="Arial"/>
        </w:rPr>
        <w:t>..</w:t>
      </w:r>
      <w:proofErr w:type="gramEnd"/>
      <w:r w:rsidR="009679F9" w:rsidRPr="00272C68">
        <w:rPr>
          <w:rFonts w:ascii="Arial" w:hAnsi="Arial" w:cs="Arial"/>
        </w:rPr>
        <w:t>…………</w:t>
      </w:r>
      <w:r w:rsidR="00B00BD7" w:rsidRPr="00272C68">
        <w:rPr>
          <w:rFonts w:ascii="Arial" w:hAnsi="Arial" w:cs="Arial"/>
        </w:rPr>
        <w:t>…………</w:t>
      </w:r>
      <w:r w:rsidR="009679F9" w:rsidRPr="00272C68">
        <w:rPr>
          <w:rFonts w:ascii="Arial" w:hAnsi="Arial" w:cs="Arial"/>
        </w:rPr>
        <w:t>….</w:t>
      </w:r>
      <w:r w:rsidRPr="00272C68">
        <w:rPr>
          <w:rFonts w:ascii="Arial" w:hAnsi="Arial" w:cs="Arial"/>
        </w:rPr>
        <w:t>…...</w:t>
      </w:r>
      <w:r w:rsidR="00553509" w:rsidRPr="00272C68">
        <w:rPr>
          <w:rFonts w:ascii="Arial" w:hAnsi="Arial" w:cs="Arial"/>
        </w:rPr>
        <w:t>6</w:t>
      </w:r>
    </w:p>
    <w:p w14:paraId="42F6FB0F" w14:textId="1FA423E1" w:rsidR="001831C7" w:rsidRPr="00272C68" w:rsidRDefault="001831C7" w:rsidP="00272C68">
      <w:pPr>
        <w:spacing w:line="360" w:lineRule="auto"/>
        <w:rPr>
          <w:rFonts w:ascii="Arial" w:hAnsi="Arial" w:cs="Arial"/>
        </w:rPr>
      </w:pPr>
      <w:r w:rsidRPr="00272C68">
        <w:rPr>
          <w:rFonts w:ascii="Arial" w:hAnsi="Arial" w:cs="Arial"/>
        </w:rPr>
        <w:t>2.3 ANALYSIS OF MACRO FACTOR 2</w:t>
      </w:r>
      <w:r w:rsidR="009679F9" w:rsidRPr="00272C68">
        <w:rPr>
          <w:rFonts w:ascii="Arial" w:hAnsi="Arial" w:cs="Arial"/>
        </w:rPr>
        <w:t xml:space="preserve"> </w:t>
      </w:r>
      <w:r w:rsidRPr="00272C68">
        <w:rPr>
          <w:rFonts w:ascii="Arial" w:hAnsi="Arial" w:cs="Arial"/>
        </w:rPr>
        <w:t>……</w:t>
      </w:r>
      <w:r w:rsidR="009679F9" w:rsidRPr="00272C68">
        <w:rPr>
          <w:rFonts w:ascii="Arial" w:hAnsi="Arial" w:cs="Arial"/>
        </w:rPr>
        <w:t>………………</w:t>
      </w:r>
      <w:r w:rsidR="00B00BD7" w:rsidRPr="00272C68">
        <w:rPr>
          <w:rFonts w:ascii="Arial" w:hAnsi="Arial" w:cs="Arial"/>
        </w:rPr>
        <w:t>…………</w:t>
      </w:r>
      <w:r w:rsidR="009679F9" w:rsidRPr="00272C68">
        <w:rPr>
          <w:rFonts w:ascii="Arial" w:hAnsi="Arial" w:cs="Arial"/>
        </w:rPr>
        <w:t>….</w:t>
      </w:r>
      <w:r w:rsidRPr="00272C68">
        <w:rPr>
          <w:rFonts w:ascii="Arial" w:hAnsi="Arial" w:cs="Arial"/>
        </w:rPr>
        <w:t>…….</w:t>
      </w:r>
      <w:r w:rsidR="00553509" w:rsidRPr="00272C68">
        <w:rPr>
          <w:rFonts w:ascii="Arial" w:hAnsi="Arial" w:cs="Arial"/>
        </w:rPr>
        <w:t>7</w:t>
      </w:r>
    </w:p>
    <w:p w14:paraId="180A4E49" w14:textId="7E110EC9" w:rsidR="001831C7" w:rsidRPr="00272C68" w:rsidRDefault="001831C7" w:rsidP="00272C68">
      <w:pPr>
        <w:spacing w:line="360" w:lineRule="auto"/>
        <w:rPr>
          <w:rFonts w:ascii="Arial" w:hAnsi="Arial" w:cs="Arial"/>
        </w:rPr>
      </w:pPr>
      <w:r w:rsidRPr="00272C68">
        <w:rPr>
          <w:rFonts w:ascii="Arial" w:hAnsi="Arial" w:cs="Arial"/>
        </w:rPr>
        <w:t>2.3.1 Impact on the Pioneer Organisation……………</w:t>
      </w:r>
      <w:r w:rsidR="009679F9" w:rsidRPr="00272C68">
        <w:rPr>
          <w:rFonts w:ascii="Arial" w:hAnsi="Arial" w:cs="Arial"/>
        </w:rPr>
        <w:t>…</w:t>
      </w:r>
      <w:r w:rsidR="00B00BD7" w:rsidRPr="00272C68">
        <w:rPr>
          <w:rFonts w:ascii="Arial" w:hAnsi="Arial" w:cs="Arial"/>
        </w:rPr>
        <w:t>………….</w:t>
      </w:r>
      <w:r w:rsidR="009679F9" w:rsidRPr="00272C68">
        <w:rPr>
          <w:rFonts w:ascii="Arial" w:hAnsi="Arial" w:cs="Arial"/>
        </w:rPr>
        <w:t>……</w:t>
      </w:r>
      <w:proofErr w:type="gramStart"/>
      <w:r w:rsidR="009679F9" w:rsidRPr="00272C68">
        <w:rPr>
          <w:rFonts w:ascii="Arial" w:hAnsi="Arial" w:cs="Arial"/>
        </w:rPr>
        <w:t>...</w:t>
      </w:r>
      <w:r w:rsidR="00F11963" w:rsidRPr="00272C68">
        <w:rPr>
          <w:rFonts w:ascii="Arial" w:hAnsi="Arial" w:cs="Arial"/>
        </w:rPr>
        <w:t>..</w:t>
      </w:r>
      <w:proofErr w:type="gramEnd"/>
      <w:r w:rsidRPr="00272C68">
        <w:rPr>
          <w:rFonts w:ascii="Arial" w:hAnsi="Arial" w:cs="Arial"/>
        </w:rPr>
        <w:t>….</w:t>
      </w:r>
      <w:r w:rsidR="00906F51" w:rsidRPr="00272C68">
        <w:rPr>
          <w:rFonts w:ascii="Arial" w:hAnsi="Arial" w:cs="Arial"/>
        </w:rPr>
        <w:t>7</w:t>
      </w:r>
    </w:p>
    <w:p w14:paraId="5E6A0635" w14:textId="65A356FC" w:rsidR="001831C7" w:rsidRPr="00272C68" w:rsidRDefault="001831C7" w:rsidP="00272C68">
      <w:pPr>
        <w:spacing w:line="360" w:lineRule="auto"/>
        <w:rPr>
          <w:rFonts w:ascii="Arial" w:hAnsi="Arial" w:cs="Arial"/>
        </w:rPr>
      </w:pPr>
      <w:r w:rsidRPr="00272C68">
        <w:rPr>
          <w:rFonts w:ascii="Arial" w:hAnsi="Arial" w:cs="Arial"/>
        </w:rPr>
        <w:t>2.3.2 Impact on the Follower Organisation………</w:t>
      </w:r>
      <w:r w:rsidR="009679F9" w:rsidRPr="00272C68">
        <w:rPr>
          <w:rFonts w:ascii="Arial" w:hAnsi="Arial" w:cs="Arial"/>
        </w:rPr>
        <w:t>……</w:t>
      </w:r>
      <w:r w:rsidR="00B00BD7" w:rsidRPr="00272C68">
        <w:rPr>
          <w:rFonts w:ascii="Arial" w:hAnsi="Arial" w:cs="Arial"/>
        </w:rPr>
        <w:t>………….</w:t>
      </w:r>
      <w:r w:rsidRPr="00272C68">
        <w:rPr>
          <w:rFonts w:ascii="Arial" w:hAnsi="Arial" w:cs="Arial"/>
        </w:rPr>
        <w:t>…………….</w:t>
      </w:r>
      <w:r w:rsidR="00906F51" w:rsidRPr="00272C68">
        <w:rPr>
          <w:rFonts w:ascii="Arial" w:hAnsi="Arial" w:cs="Arial"/>
        </w:rPr>
        <w:t>7</w:t>
      </w:r>
    </w:p>
    <w:p w14:paraId="247D083B" w14:textId="01C398B4" w:rsidR="001831C7" w:rsidRPr="00272C68" w:rsidRDefault="001831C7" w:rsidP="00272C68">
      <w:pPr>
        <w:spacing w:line="360" w:lineRule="auto"/>
        <w:rPr>
          <w:rFonts w:ascii="Arial" w:hAnsi="Arial" w:cs="Arial"/>
        </w:rPr>
      </w:pPr>
      <w:r w:rsidRPr="00272C68">
        <w:rPr>
          <w:rFonts w:ascii="Arial" w:hAnsi="Arial" w:cs="Arial"/>
        </w:rPr>
        <w:t>3. TASK 2: STRATEGIC RESPONSES OF PIONEERING AND FOLLOWER ORGANISATIONS ………………………………</w:t>
      </w:r>
      <w:r w:rsidR="00F11963" w:rsidRPr="00272C68">
        <w:rPr>
          <w:rFonts w:ascii="Arial" w:hAnsi="Arial" w:cs="Arial"/>
        </w:rPr>
        <w:t>….</w:t>
      </w:r>
      <w:r w:rsidRPr="00272C68">
        <w:rPr>
          <w:rFonts w:ascii="Arial" w:hAnsi="Arial" w:cs="Arial"/>
        </w:rPr>
        <w:t>…………</w:t>
      </w:r>
      <w:r w:rsidR="00B00BD7" w:rsidRPr="00272C68">
        <w:rPr>
          <w:rFonts w:ascii="Arial" w:hAnsi="Arial" w:cs="Arial"/>
        </w:rPr>
        <w:t>……</w:t>
      </w:r>
      <w:r w:rsidR="006455A7" w:rsidRPr="00272C68">
        <w:rPr>
          <w:rFonts w:ascii="Arial" w:hAnsi="Arial" w:cs="Arial"/>
        </w:rPr>
        <w:t>…...</w:t>
      </w:r>
      <w:r w:rsidRPr="00272C68">
        <w:rPr>
          <w:rFonts w:ascii="Arial" w:hAnsi="Arial" w:cs="Arial"/>
        </w:rPr>
        <w:t>……</w:t>
      </w:r>
      <w:r w:rsidR="006455A7">
        <w:rPr>
          <w:rFonts w:ascii="Arial" w:hAnsi="Arial" w:cs="Arial"/>
        </w:rPr>
        <w:t>..</w:t>
      </w:r>
      <w:r w:rsidR="006455A7" w:rsidRPr="00272C68">
        <w:rPr>
          <w:rFonts w:ascii="Arial" w:hAnsi="Arial" w:cs="Arial"/>
        </w:rPr>
        <w:t>..</w:t>
      </w:r>
      <w:r w:rsidR="00906F51" w:rsidRPr="00272C68">
        <w:rPr>
          <w:rFonts w:ascii="Arial" w:hAnsi="Arial" w:cs="Arial"/>
        </w:rPr>
        <w:t>7</w:t>
      </w:r>
    </w:p>
    <w:p w14:paraId="6BB18544" w14:textId="184404A6" w:rsidR="001831C7" w:rsidRPr="00272C68" w:rsidRDefault="001831C7" w:rsidP="00272C68">
      <w:pPr>
        <w:spacing w:line="360" w:lineRule="auto"/>
        <w:rPr>
          <w:rFonts w:ascii="Arial" w:hAnsi="Arial" w:cs="Arial"/>
        </w:rPr>
      </w:pPr>
      <w:r w:rsidRPr="00272C68">
        <w:rPr>
          <w:rFonts w:ascii="Arial" w:hAnsi="Arial" w:cs="Arial"/>
        </w:rPr>
        <w:t>3.1 PIONEERING ORGANISATION’S STRATEGIC RESPONSES</w:t>
      </w:r>
      <w:r w:rsidR="009679F9" w:rsidRPr="00272C68">
        <w:rPr>
          <w:rFonts w:ascii="Arial" w:hAnsi="Arial" w:cs="Arial"/>
        </w:rPr>
        <w:t>…</w:t>
      </w:r>
      <w:r w:rsidR="00CF5B30" w:rsidRPr="00272C68">
        <w:rPr>
          <w:rFonts w:ascii="Arial" w:hAnsi="Arial" w:cs="Arial"/>
        </w:rPr>
        <w:t>.</w:t>
      </w:r>
      <w:r w:rsidR="00B00BD7" w:rsidRPr="00272C68">
        <w:rPr>
          <w:rFonts w:ascii="Arial" w:hAnsi="Arial" w:cs="Arial"/>
        </w:rPr>
        <w:t>…….</w:t>
      </w:r>
      <w:r w:rsidR="00DE4DE0">
        <w:rPr>
          <w:rFonts w:ascii="Arial" w:hAnsi="Arial" w:cs="Arial"/>
        </w:rPr>
        <w:t>7</w:t>
      </w:r>
    </w:p>
    <w:p w14:paraId="145266A2" w14:textId="4DB6218A" w:rsidR="001831C7" w:rsidRPr="00272C68" w:rsidRDefault="001831C7" w:rsidP="00272C68">
      <w:pPr>
        <w:spacing w:line="360" w:lineRule="auto"/>
        <w:rPr>
          <w:rFonts w:ascii="Arial" w:hAnsi="Arial" w:cs="Arial"/>
        </w:rPr>
      </w:pPr>
      <w:r w:rsidRPr="00272C68">
        <w:rPr>
          <w:rFonts w:ascii="Arial" w:hAnsi="Arial" w:cs="Arial"/>
        </w:rPr>
        <w:t>3.2 FOLLOWER ORGANISATION’S STRATEGIC RESPONSES</w:t>
      </w:r>
      <w:r w:rsidR="009679F9" w:rsidRPr="00272C68">
        <w:rPr>
          <w:rFonts w:ascii="Arial" w:hAnsi="Arial" w:cs="Arial"/>
        </w:rPr>
        <w:t>…</w:t>
      </w:r>
      <w:r w:rsidR="00B00BD7" w:rsidRPr="00272C68">
        <w:rPr>
          <w:rFonts w:ascii="Arial" w:hAnsi="Arial" w:cs="Arial"/>
        </w:rPr>
        <w:t>……</w:t>
      </w:r>
      <w:r w:rsidR="00CF5B30" w:rsidRPr="00272C68">
        <w:rPr>
          <w:rFonts w:ascii="Arial" w:hAnsi="Arial" w:cs="Arial"/>
        </w:rPr>
        <w:t>.</w:t>
      </w:r>
      <w:r w:rsidRPr="00272C68">
        <w:rPr>
          <w:rFonts w:ascii="Arial" w:hAnsi="Arial" w:cs="Arial"/>
        </w:rPr>
        <w:t>..</w:t>
      </w:r>
      <w:r w:rsidR="00AD7EB7">
        <w:rPr>
          <w:rFonts w:ascii="Arial" w:hAnsi="Arial" w:cs="Arial"/>
        </w:rPr>
        <w:t>1</w:t>
      </w:r>
      <w:r w:rsidR="00DE4DE0">
        <w:rPr>
          <w:rFonts w:ascii="Arial" w:hAnsi="Arial" w:cs="Arial"/>
        </w:rPr>
        <w:t>0</w:t>
      </w:r>
    </w:p>
    <w:p w14:paraId="3838221A" w14:textId="2AAA4E38" w:rsidR="001831C7" w:rsidRPr="00272C68" w:rsidRDefault="001831C7" w:rsidP="00272C68">
      <w:pPr>
        <w:spacing w:line="360" w:lineRule="auto"/>
        <w:rPr>
          <w:rFonts w:ascii="Arial" w:hAnsi="Arial" w:cs="Arial"/>
        </w:rPr>
      </w:pPr>
      <w:r w:rsidRPr="00272C68">
        <w:rPr>
          <w:rFonts w:ascii="Arial" w:hAnsi="Arial" w:cs="Arial"/>
        </w:rPr>
        <w:t>4. CONCLUSION ……………………………………………………………</w:t>
      </w:r>
      <w:r w:rsidR="00AD7EB7">
        <w:rPr>
          <w:rFonts w:ascii="Arial" w:hAnsi="Arial" w:cs="Arial"/>
        </w:rPr>
        <w:t>…</w:t>
      </w:r>
      <w:r w:rsidRPr="00272C68">
        <w:rPr>
          <w:rFonts w:ascii="Arial" w:hAnsi="Arial" w:cs="Arial"/>
        </w:rPr>
        <w:t>.</w:t>
      </w:r>
      <w:r w:rsidR="00AD7EB7">
        <w:rPr>
          <w:rFonts w:ascii="Arial" w:hAnsi="Arial" w:cs="Arial"/>
        </w:rPr>
        <w:t>12</w:t>
      </w:r>
    </w:p>
    <w:p w14:paraId="5C8123B3" w14:textId="4A226D88" w:rsidR="001831C7" w:rsidRPr="00272C68" w:rsidRDefault="001831C7" w:rsidP="00272C68">
      <w:pPr>
        <w:spacing w:line="360" w:lineRule="auto"/>
        <w:rPr>
          <w:rFonts w:ascii="Arial" w:hAnsi="Arial" w:cs="Arial"/>
        </w:rPr>
      </w:pPr>
      <w:r w:rsidRPr="00272C68">
        <w:rPr>
          <w:rFonts w:ascii="Arial" w:hAnsi="Arial" w:cs="Arial"/>
        </w:rPr>
        <w:t>5. REFERENCES ……………………………...………………………</w:t>
      </w:r>
      <w:r w:rsidR="006455A7" w:rsidRPr="00272C68">
        <w:rPr>
          <w:rFonts w:ascii="Arial" w:hAnsi="Arial" w:cs="Arial"/>
        </w:rPr>
        <w:t>…</w:t>
      </w:r>
      <w:r w:rsidR="006455A7">
        <w:rPr>
          <w:rFonts w:ascii="Arial" w:hAnsi="Arial" w:cs="Arial"/>
        </w:rPr>
        <w:t>...</w:t>
      </w:r>
      <w:r w:rsidR="00AD7EB7">
        <w:rPr>
          <w:rFonts w:ascii="Arial" w:hAnsi="Arial" w:cs="Arial"/>
        </w:rPr>
        <w:t>...</w:t>
      </w:r>
      <w:r w:rsidR="006455A7" w:rsidRPr="00272C68">
        <w:rPr>
          <w:rFonts w:ascii="Arial" w:hAnsi="Arial" w:cs="Arial"/>
        </w:rPr>
        <w:t>..</w:t>
      </w:r>
      <w:r w:rsidR="00AD7EB7">
        <w:rPr>
          <w:rFonts w:ascii="Arial" w:hAnsi="Arial" w:cs="Arial"/>
        </w:rPr>
        <w:t>13</w:t>
      </w:r>
    </w:p>
    <w:p w14:paraId="654A5905" w14:textId="4627F5D2" w:rsidR="009161DD" w:rsidRPr="00272C68" w:rsidRDefault="009161DD" w:rsidP="00272C68">
      <w:pPr>
        <w:spacing w:line="360" w:lineRule="auto"/>
        <w:rPr>
          <w:rFonts w:ascii="Arial" w:hAnsi="Arial" w:cs="Arial"/>
        </w:rPr>
      </w:pPr>
    </w:p>
    <w:p w14:paraId="704610F8" w14:textId="542A4181" w:rsidR="009161DD" w:rsidRPr="00272C68" w:rsidRDefault="009161DD" w:rsidP="00272C68">
      <w:pPr>
        <w:spacing w:line="360" w:lineRule="auto"/>
        <w:rPr>
          <w:rFonts w:ascii="Arial" w:hAnsi="Arial" w:cs="Arial"/>
        </w:rPr>
      </w:pPr>
    </w:p>
    <w:p w14:paraId="62E98677" w14:textId="77777777" w:rsidR="00FF6D0F" w:rsidRPr="00272C68" w:rsidRDefault="00FF6D0F" w:rsidP="00272C68">
      <w:pPr>
        <w:spacing w:line="360" w:lineRule="auto"/>
        <w:rPr>
          <w:rFonts w:ascii="Arial" w:hAnsi="Arial" w:cs="Arial"/>
        </w:rPr>
      </w:pPr>
    </w:p>
    <w:p w14:paraId="0F0FA65C" w14:textId="77777777" w:rsidR="00FF6D0F" w:rsidRPr="00272C68" w:rsidRDefault="00FF6D0F" w:rsidP="00272C68">
      <w:pPr>
        <w:spacing w:line="360" w:lineRule="auto"/>
        <w:rPr>
          <w:rFonts w:ascii="Arial" w:hAnsi="Arial" w:cs="Arial"/>
        </w:rPr>
      </w:pPr>
    </w:p>
    <w:p w14:paraId="1EBFB7B3" w14:textId="77777777" w:rsidR="00FF6D0F" w:rsidRPr="00272C68" w:rsidRDefault="00FF6D0F" w:rsidP="00272C68">
      <w:pPr>
        <w:spacing w:line="360" w:lineRule="auto"/>
        <w:rPr>
          <w:rFonts w:ascii="Arial" w:hAnsi="Arial" w:cs="Arial"/>
        </w:rPr>
      </w:pPr>
    </w:p>
    <w:p w14:paraId="126B30B7" w14:textId="77777777" w:rsidR="00FF6D0F" w:rsidRPr="00272C68" w:rsidRDefault="00FF6D0F" w:rsidP="00272C68">
      <w:pPr>
        <w:spacing w:line="360" w:lineRule="auto"/>
        <w:rPr>
          <w:rFonts w:ascii="Arial" w:hAnsi="Arial" w:cs="Arial"/>
        </w:rPr>
      </w:pPr>
    </w:p>
    <w:p w14:paraId="2FBDC544" w14:textId="77777777" w:rsidR="00C7656A" w:rsidRPr="00272C68" w:rsidRDefault="00C7656A" w:rsidP="00272C68">
      <w:pPr>
        <w:spacing w:line="360" w:lineRule="auto"/>
        <w:rPr>
          <w:rFonts w:ascii="Arial" w:hAnsi="Arial" w:cs="Arial"/>
          <w:b/>
          <w:bCs/>
        </w:rPr>
      </w:pPr>
    </w:p>
    <w:p w14:paraId="4B05F979" w14:textId="744ACA10" w:rsidR="009161DD" w:rsidRPr="00272C68" w:rsidRDefault="009161DD" w:rsidP="00272C68">
      <w:pPr>
        <w:spacing w:line="360" w:lineRule="auto"/>
        <w:rPr>
          <w:rFonts w:ascii="Arial" w:hAnsi="Arial" w:cs="Arial"/>
          <w:b/>
          <w:bCs/>
        </w:rPr>
      </w:pPr>
      <w:r w:rsidRPr="00272C68">
        <w:rPr>
          <w:rFonts w:ascii="Arial" w:hAnsi="Arial" w:cs="Arial"/>
          <w:b/>
          <w:bCs/>
        </w:rPr>
        <w:lastRenderedPageBreak/>
        <w:t>1. Introduction</w:t>
      </w:r>
    </w:p>
    <w:p w14:paraId="1376F7CA" w14:textId="5FD52A30" w:rsidR="004B74EC" w:rsidRPr="00272C68" w:rsidRDefault="004B74EC" w:rsidP="00272C68">
      <w:pPr>
        <w:spacing w:line="360" w:lineRule="auto"/>
        <w:rPr>
          <w:rFonts w:ascii="Arial" w:hAnsi="Arial" w:cs="Arial"/>
        </w:rPr>
      </w:pPr>
      <w:r w:rsidRPr="00272C68">
        <w:rPr>
          <w:rFonts w:ascii="Arial" w:hAnsi="Arial" w:cs="Arial"/>
        </w:rPr>
        <w:t xml:space="preserve">For businesses that operate in fiercely competitive situations, strategic marketing management is crucial. It helps businesses to evaluate outside factors, predict market trends. To stay profitable organizations </w:t>
      </w:r>
      <w:r w:rsidR="00F509B1" w:rsidRPr="00272C68">
        <w:rPr>
          <w:rFonts w:ascii="Arial" w:hAnsi="Arial" w:cs="Arial"/>
        </w:rPr>
        <w:t>must adjust</w:t>
      </w:r>
      <w:r w:rsidRPr="00272C68">
        <w:rPr>
          <w:rFonts w:ascii="Arial" w:hAnsi="Arial" w:cs="Arial"/>
        </w:rPr>
        <w:t xml:space="preserve"> to macroenvironmental changes. </w:t>
      </w:r>
    </w:p>
    <w:p w14:paraId="539E301F" w14:textId="11FF9A4E" w:rsidR="00F509B1" w:rsidRPr="00272C68" w:rsidRDefault="00F509B1" w:rsidP="00272C68">
      <w:pPr>
        <w:spacing w:line="360" w:lineRule="auto"/>
        <w:rPr>
          <w:rFonts w:ascii="Arial" w:hAnsi="Arial" w:cs="Arial"/>
        </w:rPr>
      </w:pPr>
      <w:r w:rsidRPr="00272C68">
        <w:rPr>
          <w:rFonts w:ascii="Arial" w:hAnsi="Arial" w:cs="Arial"/>
        </w:rPr>
        <w:t xml:space="preserve">An excellent framework for examining the significance of strategic marketing is the worldwide electric vehicle (EV) market. The EV market has grown in recent years due to government legislation aimed at lowering carbon emissions, growing environmental consciousness, and technology advancements. </w:t>
      </w:r>
    </w:p>
    <w:p w14:paraId="497C4F08" w14:textId="3FD71CC4" w:rsidR="00F509B1" w:rsidRPr="00272C68" w:rsidRDefault="00F509B1" w:rsidP="00272C68">
      <w:pPr>
        <w:spacing w:line="360" w:lineRule="auto"/>
        <w:rPr>
          <w:rFonts w:ascii="Arial" w:hAnsi="Arial" w:cs="Arial"/>
        </w:rPr>
      </w:pPr>
      <w:r w:rsidRPr="00272C68">
        <w:rPr>
          <w:rFonts w:ascii="Arial" w:hAnsi="Arial" w:cs="Arial"/>
        </w:rPr>
        <w:t>The EV market is defined by fierce rivalry, high levels of research and development (R&amp;D) expenditure, and continual technological innovation. By introducing technologies and altering consumer expectations, trailblazing businesses like Tesla have upended the established car industry. On the other hand, well-known companies like Ford changed their tactics to compete with early adopters when they first entered the EV industry as followers.</w:t>
      </w:r>
    </w:p>
    <w:p w14:paraId="6F604F66" w14:textId="724CB20E" w:rsidR="00F509B1" w:rsidRPr="00272C68" w:rsidRDefault="00F509B1" w:rsidP="00272C68">
      <w:pPr>
        <w:spacing w:line="360" w:lineRule="auto"/>
        <w:rPr>
          <w:rFonts w:ascii="Arial" w:hAnsi="Arial" w:cs="Arial"/>
        </w:rPr>
      </w:pPr>
      <w:r w:rsidRPr="00272C68">
        <w:rPr>
          <w:rFonts w:ascii="Arial" w:hAnsi="Arial" w:cs="Arial"/>
        </w:rPr>
        <w:t>Analysing the macro-marketing environment is essential for making wise decisions in such a dynamic setting. Political, economic, social, technological, legal, and environmental factors are all covered by the PESTLE framework, which offers an organized method for assessing these variables and spotting possible advantages and dangers.</w:t>
      </w:r>
    </w:p>
    <w:p w14:paraId="25D679B5" w14:textId="426F34AF" w:rsidR="00F509B1" w:rsidRPr="00272C68" w:rsidRDefault="00F509B1" w:rsidP="00272C68">
      <w:pPr>
        <w:spacing w:line="360" w:lineRule="auto"/>
        <w:rPr>
          <w:rFonts w:ascii="Arial" w:hAnsi="Arial" w:cs="Arial"/>
        </w:rPr>
      </w:pPr>
      <w:r w:rsidRPr="00272C68">
        <w:rPr>
          <w:rFonts w:ascii="Arial" w:hAnsi="Arial" w:cs="Arial"/>
        </w:rPr>
        <w:t>The two main macroenvironmental elements that are the subject of this paper are environmental and technological effects, both of which have a significant impact on the development of the EV industry. While Task 2 uses pertinent strategic theories to analyse how these firms react, Task 1 assesses their impact on pioneering and follower organizations. Key findings and significance for strategic marketing in the EV sector are presented in the report's conclusion.</w:t>
      </w:r>
    </w:p>
    <w:p w14:paraId="1D9BE998" w14:textId="77777777" w:rsidR="00D97715" w:rsidRPr="00272C68" w:rsidRDefault="00D97715" w:rsidP="00272C68">
      <w:pPr>
        <w:spacing w:line="360" w:lineRule="auto"/>
        <w:rPr>
          <w:rFonts w:ascii="Arial" w:hAnsi="Arial" w:cs="Arial"/>
        </w:rPr>
      </w:pPr>
    </w:p>
    <w:p w14:paraId="221B8A3D" w14:textId="77777777" w:rsidR="001B7B66" w:rsidRPr="00272C68" w:rsidRDefault="001B7B66" w:rsidP="00272C68">
      <w:pPr>
        <w:spacing w:line="360" w:lineRule="auto"/>
        <w:rPr>
          <w:rFonts w:ascii="Arial" w:hAnsi="Arial" w:cs="Arial"/>
        </w:rPr>
      </w:pPr>
    </w:p>
    <w:p w14:paraId="47147F1F" w14:textId="77777777" w:rsidR="001B7B66" w:rsidRPr="00272C68" w:rsidRDefault="001B7B66" w:rsidP="00272C68">
      <w:pPr>
        <w:spacing w:line="360" w:lineRule="auto"/>
        <w:rPr>
          <w:rFonts w:ascii="Arial" w:hAnsi="Arial" w:cs="Arial"/>
        </w:rPr>
      </w:pPr>
    </w:p>
    <w:p w14:paraId="04F79D66" w14:textId="7298DBB3" w:rsidR="009161DD" w:rsidRPr="00272C68" w:rsidRDefault="009161DD" w:rsidP="00272C68">
      <w:pPr>
        <w:spacing w:line="360" w:lineRule="auto"/>
        <w:rPr>
          <w:rFonts w:ascii="Arial" w:hAnsi="Arial" w:cs="Arial"/>
        </w:rPr>
      </w:pPr>
    </w:p>
    <w:p w14:paraId="2A5DF7F8" w14:textId="3DBA42AF" w:rsidR="009161DD" w:rsidRPr="00272C68" w:rsidRDefault="009161DD" w:rsidP="00272C68">
      <w:pPr>
        <w:spacing w:line="360" w:lineRule="auto"/>
        <w:rPr>
          <w:rFonts w:ascii="Arial" w:hAnsi="Arial" w:cs="Arial"/>
          <w:b/>
          <w:bCs/>
        </w:rPr>
      </w:pPr>
      <w:r w:rsidRPr="00272C68">
        <w:rPr>
          <w:rFonts w:ascii="Arial" w:hAnsi="Arial" w:cs="Arial"/>
          <w:b/>
          <w:bCs/>
        </w:rPr>
        <w:lastRenderedPageBreak/>
        <w:t>2. Task 1: Critical Analysis of the Macro Marketing Environment</w:t>
      </w:r>
    </w:p>
    <w:p w14:paraId="71FEBB7C" w14:textId="77777777" w:rsidR="009161DD" w:rsidRPr="00272C68" w:rsidRDefault="009161DD" w:rsidP="00272C68">
      <w:pPr>
        <w:spacing w:line="360" w:lineRule="auto"/>
        <w:rPr>
          <w:rFonts w:ascii="Arial" w:hAnsi="Arial" w:cs="Arial"/>
          <w:b/>
          <w:bCs/>
        </w:rPr>
      </w:pPr>
      <w:r w:rsidRPr="00272C68">
        <w:rPr>
          <w:rFonts w:ascii="Arial" w:hAnsi="Arial" w:cs="Arial"/>
          <w:b/>
          <w:bCs/>
        </w:rPr>
        <w:t>2.1 Macro Marketing Environment</w:t>
      </w:r>
    </w:p>
    <w:p w14:paraId="40237D52" w14:textId="31C694B4" w:rsidR="00053DEE" w:rsidRPr="00272C68" w:rsidRDefault="00053DEE" w:rsidP="00272C68">
      <w:pPr>
        <w:spacing w:line="360" w:lineRule="auto"/>
        <w:rPr>
          <w:rFonts w:ascii="Arial" w:hAnsi="Arial" w:cs="Arial"/>
        </w:rPr>
      </w:pPr>
      <w:r w:rsidRPr="00272C68">
        <w:rPr>
          <w:rFonts w:ascii="Arial" w:hAnsi="Arial" w:cs="Arial"/>
        </w:rPr>
        <w:t xml:space="preserve">The macro marketing environment refers to the broad range of external forces that influence an organisation’s strategic decisions, performance, and long-term sustainability, while remaining largely beyond its direct control. The PESTLE framework is widely used as an analytical tool to systematically evaluate these influences by categorising them into political, economic, social, technological, legal, and environmental factors. </w:t>
      </w:r>
    </w:p>
    <w:p w14:paraId="2C8B8895" w14:textId="7B615021" w:rsidR="00053DEE" w:rsidRPr="00272C68" w:rsidRDefault="00053DEE" w:rsidP="00272C68">
      <w:pPr>
        <w:spacing w:line="360" w:lineRule="auto"/>
        <w:rPr>
          <w:rFonts w:ascii="Arial" w:hAnsi="Arial" w:cs="Arial"/>
        </w:rPr>
      </w:pPr>
      <w:r w:rsidRPr="00272C68">
        <w:rPr>
          <w:rFonts w:ascii="Arial" w:hAnsi="Arial" w:cs="Arial"/>
        </w:rPr>
        <w:t xml:space="preserve">In the context of the global electric vehicle (EV) industry, the importance of macro-environmental analysis is particularly pronounced due to the sector’s rapid growth, high level of innovation, and evolving regulatory landscape. Among the PESTLE factors, technological and environmental influences are especially significant, as they directly shape industry development, firm strategy, and consumer demand. </w:t>
      </w:r>
    </w:p>
    <w:p w14:paraId="00039526" w14:textId="39302426" w:rsidR="00053DEE" w:rsidRPr="00272C68" w:rsidRDefault="00053DEE" w:rsidP="00272C68">
      <w:pPr>
        <w:spacing w:line="360" w:lineRule="auto"/>
        <w:rPr>
          <w:rFonts w:ascii="Arial" w:hAnsi="Arial" w:cs="Arial"/>
        </w:rPr>
      </w:pPr>
      <w:r w:rsidRPr="00272C68">
        <w:rPr>
          <w:rFonts w:ascii="Arial" w:hAnsi="Arial" w:cs="Arial"/>
        </w:rPr>
        <w:t xml:space="preserve">Technological factors are a primary driver of transformation within the EV market. For pioneering firms such as Tesla, technological innovation has been central to its competitive strategy. By investing heavily in research and development (R&amp;D), Tesla has achieved a first-mover advantage, allowing it to set industry standards in areas such as battery range, software integration, and autonomous driving capabilities. </w:t>
      </w:r>
    </w:p>
    <w:p w14:paraId="7D5ED7CB" w14:textId="08E4CDCF" w:rsidR="00053DEE" w:rsidRPr="00272C68" w:rsidRDefault="00053DEE" w:rsidP="00272C68">
      <w:pPr>
        <w:spacing w:line="360" w:lineRule="auto"/>
        <w:rPr>
          <w:rFonts w:ascii="Arial" w:hAnsi="Arial" w:cs="Arial"/>
        </w:rPr>
      </w:pPr>
      <w:r w:rsidRPr="00272C68">
        <w:rPr>
          <w:rFonts w:ascii="Arial" w:hAnsi="Arial" w:cs="Arial"/>
        </w:rPr>
        <w:t>Environmental factors are equally influential in shaping the EV industry. Growing global concerns about climate change, carbon emissions, and environmental sustainability have significantly altered both consumer behaviour and government policy</w:t>
      </w:r>
      <w:r w:rsidR="00CC7A8E" w:rsidRPr="00272C68">
        <w:rPr>
          <w:rFonts w:ascii="Arial" w:hAnsi="Arial" w:cs="Arial"/>
        </w:rPr>
        <w:t xml:space="preserve">. </w:t>
      </w:r>
      <w:r w:rsidRPr="00272C68">
        <w:rPr>
          <w:rFonts w:ascii="Arial" w:hAnsi="Arial" w:cs="Arial"/>
        </w:rPr>
        <w:t xml:space="preserve"> </w:t>
      </w:r>
    </w:p>
    <w:p w14:paraId="3A89850A" w14:textId="2F96D493" w:rsidR="00053DEE" w:rsidRPr="00272C68" w:rsidRDefault="00053DEE" w:rsidP="00272C68">
      <w:pPr>
        <w:spacing w:line="360" w:lineRule="auto"/>
        <w:rPr>
          <w:rFonts w:ascii="Arial" w:hAnsi="Arial" w:cs="Arial"/>
        </w:rPr>
      </w:pPr>
      <w:r w:rsidRPr="00272C68">
        <w:rPr>
          <w:rFonts w:ascii="Arial" w:hAnsi="Arial" w:cs="Arial"/>
        </w:rPr>
        <w:t xml:space="preserve">For pioneering firms, environmental factors present a significant opportunity to build a strong brand identity. Tesla, for example, has successfully positioned itself as a leader in sustainable innovation, aligning its brand with environmental values and appealing to environmentally conscious consumers. </w:t>
      </w:r>
    </w:p>
    <w:p w14:paraId="46BBCC64" w14:textId="7AEABC64" w:rsidR="00053DEE" w:rsidRPr="00272C68" w:rsidRDefault="00053DEE" w:rsidP="00272C68">
      <w:pPr>
        <w:spacing w:line="360" w:lineRule="auto"/>
        <w:rPr>
          <w:rFonts w:ascii="Arial" w:hAnsi="Arial" w:cs="Arial"/>
        </w:rPr>
      </w:pPr>
      <w:r w:rsidRPr="00272C68">
        <w:rPr>
          <w:rFonts w:ascii="Arial" w:hAnsi="Arial" w:cs="Arial"/>
        </w:rPr>
        <w:t xml:space="preserve">Overall, technological and environmental factors are strategically significant because they directly influence market growth, competitive positioning, and long-term viability within the EV industry. Firms that </w:t>
      </w:r>
      <w:r w:rsidR="000C59E0" w:rsidRPr="00272C68">
        <w:rPr>
          <w:rFonts w:ascii="Arial" w:hAnsi="Arial" w:cs="Arial"/>
        </w:rPr>
        <w:t>can</w:t>
      </w:r>
      <w:r w:rsidRPr="00272C68">
        <w:rPr>
          <w:rFonts w:ascii="Arial" w:hAnsi="Arial" w:cs="Arial"/>
        </w:rPr>
        <w:t xml:space="preserve"> anticipate and respond effectively to these external forces can achieve sustainable competitive advantage through innovation, differentiation, and strategic alignment.</w:t>
      </w:r>
      <w:r w:rsidR="00034C04" w:rsidRPr="00272C68">
        <w:rPr>
          <w:rFonts w:ascii="Arial" w:hAnsi="Arial" w:cs="Arial"/>
        </w:rPr>
        <w:t xml:space="preserve"> </w:t>
      </w:r>
    </w:p>
    <w:p w14:paraId="137C43E4" w14:textId="7731C1F8" w:rsidR="00977C00" w:rsidRPr="00272C68" w:rsidRDefault="00977C00" w:rsidP="00272C68">
      <w:pPr>
        <w:spacing w:line="360" w:lineRule="auto"/>
        <w:rPr>
          <w:rFonts w:ascii="Arial" w:hAnsi="Arial" w:cs="Arial"/>
        </w:rPr>
      </w:pPr>
      <w:r w:rsidRPr="00272C68">
        <w:rPr>
          <w:rFonts w:ascii="Arial" w:hAnsi="Arial" w:cs="Arial"/>
          <w:noProof/>
        </w:rPr>
        <w:lastRenderedPageBreak/>
        <w:drawing>
          <wp:inline distT="0" distB="0" distL="0" distR="0" wp14:anchorId="4AEB4C3E" wp14:editId="5C5CEE60">
            <wp:extent cx="5731510" cy="2471420"/>
            <wp:effectExtent l="0" t="0" r="2540" b="5080"/>
            <wp:docPr id="211209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93215" name="Picture 2112093215"/>
                    <pic:cNvPicPr/>
                  </pic:nvPicPr>
                  <pic:blipFill>
                    <a:blip r:embed="rId9">
                      <a:extLst>
                        <a:ext uri="{28A0092B-C50C-407E-A947-70E740481C1C}">
                          <a14:useLocalDpi xmlns:a14="http://schemas.microsoft.com/office/drawing/2010/main" val="0"/>
                        </a:ext>
                      </a:extLst>
                    </a:blip>
                    <a:stretch>
                      <a:fillRect/>
                    </a:stretch>
                  </pic:blipFill>
                  <pic:spPr>
                    <a:xfrm>
                      <a:off x="0" y="0"/>
                      <a:ext cx="5731510" cy="2471420"/>
                    </a:xfrm>
                    <a:prstGeom prst="rect">
                      <a:avLst/>
                    </a:prstGeom>
                  </pic:spPr>
                </pic:pic>
              </a:graphicData>
            </a:graphic>
          </wp:inline>
        </w:drawing>
      </w:r>
    </w:p>
    <w:p w14:paraId="3BB81776" w14:textId="77777777" w:rsidR="00053DEE" w:rsidRPr="00272C68" w:rsidRDefault="00053DEE" w:rsidP="00272C68">
      <w:pPr>
        <w:spacing w:line="360" w:lineRule="auto"/>
        <w:rPr>
          <w:rFonts w:ascii="Arial" w:hAnsi="Arial" w:cs="Arial"/>
        </w:rPr>
      </w:pPr>
    </w:p>
    <w:p w14:paraId="3C99A5D8" w14:textId="63ED604E" w:rsidR="009161DD" w:rsidRPr="00272C68" w:rsidRDefault="009161DD" w:rsidP="00272C68">
      <w:pPr>
        <w:spacing w:line="360" w:lineRule="auto"/>
        <w:rPr>
          <w:rFonts w:ascii="Arial" w:hAnsi="Arial" w:cs="Arial"/>
        </w:rPr>
      </w:pPr>
    </w:p>
    <w:p w14:paraId="6D7C3691" w14:textId="77777777" w:rsidR="009161DD" w:rsidRPr="00272C68" w:rsidRDefault="009161DD" w:rsidP="00272C68">
      <w:pPr>
        <w:spacing w:line="360" w:lineRule="auto"/>
        <w:rPr>
          <w:rFonts w:ascii="Arial" w:hAnsi="Arial" w:cs="Arial"/>
          <w:b/>
          <w:bCs/>
        </w:rPr>
      </w:pPr>
      <w:r w:rsidRPr="00272C68">
        <w:rPr>
          <w:rFonts w:ascii="Arial" w:hAnsi="Arial" w:cs="Arial"/>
          <w:b/>
          <w:bCs/>
        </w:rPr>
        <w:t>2.2 Analysis of Macro Factor 1: Technological Factors</w:t>
      </w:r>
    </w:p>
    <w:p w14:paraId="5146567B" w14:textId="77777777" w:rsidR="009161DD" w:rsidRPr="00272C68" w:rsidRDefault="009161DD" w:rsidP="00272C68">
      <w:pPr>
        <w:spacing w:line="360" w:lineRule="auto"/>
        <w:rPr>
          <w:rFonts w:ascii="Arial" w:hAnsi="Arial" w:cs="Arial"/>
          <w:b/>
          <w:bCs/>
        </w:rPr>
      </w:pPr>
      <w:r w:rsidRPr="00272C68">
        <w:rPr>
          <w:rFonts w:ascii="Arial" w:hAnsi="Arial" w:cs="Arial"/>
          <w:b/>
          <w:bCs/>
        </w:rPr>
        <w:t>2.2.1 Impact on the Pioneering Organisation (Tesla)</w:t>
      </w:r>
    </w:p>
    <w:p w14:paraId="1BC9665C" w14:textId="266BE899" w:rsidR="000D6E9D" w:rsidRPr="00272C68" w:rsidRDefault="000D6E9D" w:rsidP="00272C68">
      <w:pPr>
        <w:spacing w:line="360" w:lineRule="auto"/>
        <w:rPr>
          <w:rFonts w:ascii="Arial" w:hAnsi="Arial" w:cs="Arial"/>
        </w:rPr>
      </w:pPr>
      <w:r w:rsidRPr="00272C68">
        <w:rPr>
          <w:rFonts w:ascii="Arial" w:hAnsi="Arial" w:cs="Arial"/>
        </w:rPr>
        <w:t>Technological innovation represents a significant strategic opportunity for Tesla and has been central to its success within the highly competitive electric vehicle (EV) market. From its inception, Tesla has positioned itself not merely as an automotive manufacturer but as a technology-driven company, focusing heavily on advancements in battery technology, software integration, and autonomous driving systems</w:t>
      </w:r>
      <w:r w:rsidR="002A439F" w:rsidRPr="00272C68">
        <w:rPr>
          <w:rFonts w:ascii="Arial" w:hAnsi="Arial" w:cs="Arial"/>
        </w:rPr>
        <w:t xml:space="preserve">. </w:t>
      </w:r>
    </w:p>
    <w:p w14:paraId="3245F634" w14:textId="5A07731B" w:rsidR="00CC7A8E" w:rsidRPr="00272C68" w:rsidRDefault="00CC7A8E" w:rsidP="00272C68">
      <w:pPr>
        <w:spacing w:line="360" w:lineRule="auto"/>
        <w:rPr>
          <w:rFonts w:ascii="Arial" w:hAnsi="Arial" w:cs="Arial"/>
        </w:rPr>
      </w:pPr>
      <w:r w:rsidRPr="00272C68">
        <w:rPr>
          <w:rFonts w:ascii="Arial" w:hAnsi="Arial" w:cs="Arial"/>
        </w:rPr>
        <w:t>One of Tesla’s key strengths lies in its continuous investment in research and development (R&amp;D), which has allowed the company to consistently push the boundaries of EV performance and efficiency. Its advancements in battery technology, particularly in improving energy density and reducing costs, have enhanced vehicle range and affordability, addressing two of the most significant barriers to EV adoption. In addition, Tesla’s integration of software into its vehicles, including over-the-air updates and advanced driver-assistance systems, has transformed the user experience and strengthened customer loyalty. These innovations contribute directly to Tesla’s ability to command premium pricing, as customers perceive higher value in terms of performance, technology, and brand prestige.</w:t>
      </w:r>
    </w:p>
    <w:p w14:paraId="4E811B65" w14:textId="6AD7C8AB" w:rsidR="000D6E9D" w:rsidRPr="00272C68" w:rsidRDefault="000D6E9D" w:rsidP="00272C68">
      <w:pPr>
        <w:spacing w:line="360" w:lineRule="auto"/>
        <w:rPr>
          <w:rFonts w:ascii="Arial" w:hAnsi="Arial" w:cs="Arial"/>
        </w:rPr>
      </w:pPr>
      <w:r w:rsidRPr="00272C68">
        <w:rPr>
          <w:rFonts w:ascii="Arial" w:hAnsi="Arial" w:cs="Arial"/>
        </w:rPr>
        <w:lastRenderedPageBreak/>
        <w:t>Competitors, including established automotive manufacturers such as Ford, are investing heavily in EV technologies, battery development, and digital capabilities. As these firms close the technological gap, Tesla’s differentiation may be reduced, intensifying competitive pressure and potentially eroding its market share over time.</w:t>
      </w:r>
    </w:p>
    <w:p w14:paraId="6B27EBCC" w14:textId="52EE7E05" w:rsidR="00CC7A8E" w:rsidRPr="00272C68" w:rsidRDefault="00CC7A8E" w:rsidP="00272C68">
      <w:pPr>
        <w:spacing w:line="360" w:lineRule="auto"/>
        <w:rPr>
          <w:rFonts w:ascii="Arial" w:hAnsi="Arial" w:cs="Arial"/>
        </w:rPr>
      </w:pPr>
      <w:r w:rsidRPr="00272C68">
        <w:rPr>
          <w:rFonts w:ascii="Arial" w:hAnsi="Arial" w:cs="Arial"/>
        </w:rPr>
        <w:t>The market's response to Tesla's product launches provides more insight into the company's innovation strategy. For example, the Cybertruck's unveiling attracted a lot of attention and criticism because of its unusual design and audacious placement. Supporters saw the vehicle as a representation of Tesla's revolutionary innovation, while detractors said it demonstrated excessive risk-taking and questioned its commercial viability. Despite the differing views, Tesla showed tremendous customer enthusiasm and brand loyalty by receiving about 200,000 pre-orders within a month of the Cybertruck's unveiling. In contrast, just over a million Ford F-150s were sold in 2018, making it one of the best-selling cars in the world. These numbers demonstrate Tesla's capacity to create market excitement even though they cannot be directly compared because to variations between pre-orders and actual sales.</w:t>
      </w:r>
    </w:p>
    <w:p w14:paraId="48880AAC" w14:textId="77777777" w:rsidR="009161DD" w:rsidRPr="00272C68" w:rsidRDefault="009161DD" w:rsidP="00272C68">
      <w:pPr>
        <w:spacing w:line="360" w:lineRule="auto"/>
        <w:rPr>
          <w:rFonts w:ascii="Arial" w:hAnsi="Arial" w:cs="Arial"/>
          <w:b/>
          <w:bCs/>
        </w:rPr>
      </w:pPr>
      <w:r w:rsidRPr="00272C68">
        <w:rPr>
          <w:rFonts w:ascii="Arial" w:hAnsi="Arial" w:cs="Arial"/>
          <w:b/>
          <w:bCs/>
        </w:rPr>
        <w:t>2.2.2 Impact on the Follower Organisation (Ford)</w:t>
      </w:r>
    </w:p>
    <w:p w14:paraId="3625CBE3" w14:textId="00CDAB83" w:rsidR="000D6E9D" w:rsidRPr="00272C68" w:rsidRDefault="000D6E9D" w:rsidP="00272C68">
      <w:pPr>
        <w:spacing w:line="360" w:lineRule="auto"/>
        <w:rPr>
          <w:rFonts w:ascii="Arial" w:hAnsi="Arial" w:cs="Arial"/>
        </w:rPr>
      </w:pPr>
      <w:r w:rsidRPr="00272C68">
        <w:rPr>
          <w:rFonts w:ascii="Arial" w:hAnsi="Arial" w:cs="Arial"/>
        </w:rPr>
        <w:t xml:space="preserve">Technological factors present both significant opportunities and considerable challenges for Ford as it transitions into the electric vehicle (EV) market. Unlike pioneering firms such as Tesla, Ford entered the EV sector as a follower, initially </w:t>
      </w:r>
      <w:r w:rsidR="00257BFE" w:rsidRPr="00272C68">
        <w:rPr>
          <w:rFonts w:ascii="Arial" w:hAnsi="Arial" w:cs="Arial"/>
        </w:rPr>
        <w:t>lagging</w:t>
      </w:r>
      <w:r w:rsidRPr="00272C68">
        <w:rPr>
          <w:rFonts w:ascii="Arial" w:hAnsi="Arial" w:cs="Arial"/>
        </w:rPr>
        <w:t xml:space="preserve"> in key areas such as battery technology, software integration, and autonomous driving capabilities. </w:t>
      </w:r>
    </w:p>
    <w:p w14:paraId="0DB381ED" w14:textId="77F49942" w:rsidR="00CC7A8E" w:rsidRPr="00272C68" w:rsidRDefault="00CC7A8E" w:rsidP="00272C68">
      <w:pPr>
        <w:spacing w:line="360" w:lineRule="auto"/>
        <w:rPr>
          <w:rFonts w:ascii="Arial" w:hAnsi="Arial" w:cs="Arial"/>
        </w:rPr>
      </w:pPr>
      <w:r w:rsidRPr="00272C68">
        <w:rPr>
          <w:rFonts w:ascii="Arial" w:hAnsi="Arial" w:cs="Arial"/>
        </w:rPr>
        <w:t>Ford benefits strategically from being a follower. Ford may steer clear of many of the dangers associated with early innovation, including high development costs, technological uncertainty, and potential product failures, by studying the achievements and failures of early entrants. The business can embrace and improve proven technology for mass-market production thanks to this "second-mover advantage." For instance, Ford has been able to use Tesla's improvements in battery performance, charging infrastructure, and customer experience to shape its own EV plan. This lowers uncertainty and makes resource allocation more effective.</w:t>
      </w:r>
    </w:p>
    <w:p w14:paraId="2985ED25" w14:textId="77777777" w:rsidR="009161DD" w:rsidRPr="00272C68" w:rsidRDefault="009161DD" w:rsidP="00272C68">
      <w:pPr>
        <w:spacing w:line="360" w:lineRule="auto"/>
        <w:rPr>
          <w:rFonts w:ascii="Arial" w:hAnsi="Arial" w:cs="Arial"/>
          <w:b/>
          <w:bCs/>
        </w:rPr>
      </w:pPr>
      <w:r w:rsidRPr="00272C68">
        <w:rPr>
          <w:rFonts w:ascii="Arial" w:hAnsi="Arial" w:cs="Arial"/>
          <w:b/>
          <w:bCs/>
        </w:rPr>
        <w:t>2.3 Analysis of Macro Factor 2: Environmental Factors</w:t>
      </w:r>
    </w:p>
    <w:p w14:paraId="5506822D" w14:textId="4E3C43F0" w:rsidR="007913D9" w:rsidRPr="00272C68" w:rsidRDefault="009161DD" w:rsidP="00272C68">
      <w:pPr>
        <w:spacing w:line="360" w:lineRule="auto"/>
        <w:rPr>
          <w:rFonts w:ascii="Arial" w:hAnsi="Arial" w:cs="Arial"/>
          <w:b/>
          <w:bCs/>
        </w:rPr>
      </w:pPr>
      <w:r w:rsidRPr="00272C68">
        <w:rPr>
          <w:rFonts w:ascii="Arial" w:hAnsi="Arial" w:cs="Arial"/>
          <w:b/>
          <w:bCs/>
        </w:rPr>
        <w:t>2.3.1 Impact on the Pioneering Organisation (Tesla)</w:t>
      </w:r>
    </w:p>
    <w:p w14:paraId="2621096C" w14:textId="77777777" w:rsidR="007913D9" w:rsidRPr="00272C68" w:rsidRDefault="007913D9" w:rsidP="00272C68">
      <w:pPr>
        <w:spacing w:line="360" w:lineRule="auto"/>
        <w:rPr>
          <w:rFonts w:ascii="Arial" w:hAnsi="Arial" w:cs="Arial"/>
        </w:rPr>
      </w:pPr>
      <w:r w:rsidRPr="00272C68">
        <w:rPr>
          <w:rFonts w:ascii="Arial" w:hAnsi="Arial" w:cs="Arial"/>
        </w:rPr>
        <w:lastRenderedPageBreak/>
        <w:t>Tesla's business strategy is heavily supported by environmental factors. Demand for electric vehicles has increased due to growing awareness of climate change and the need to cut carbon emissions.</w:t>
      </w:r>
    </w:p>
    <w:p w14:paraId="26A77A79" w14:textId="1A276156" w:rsidR="007913D9" w:rsidRPr="00272C68" w:rsidRDefault="007913D9" w:rsidP="00272C68">
      <w:pPr>
        <w:spacing w:line="360" w:lineRule="auto"/>
        <w:rPr>
          <w:rFonts w:ascii="Arial" w:hAnsi="Arial" w:cs="Arial"/>
        </w:rPr>
      </w:pPr>
      <w:r w:rsidRPr="00272C68">
        <w:rPr>
          <w:rFonts w:ascii="Arial" w:hAnsi="Arial" w:cs="Arial"/>
        </w:rPr>
        <w:t>Environmental issues, however, also present difficulties. Ethical and sustainable concerns are brought up by the procurement of raw materials and the environmental effects of battery manufacturing. If not handled appropriately, these elements could harm the company's reputation.</w:t>
      </w:r>
    </w:p>
    <w:p w14:paraId="7CCB857D" w14:textId="77777777" w:rsidR="009161DD" w:rsidRPr="00272C68" w:rsidRDefault="009161DD" w:rsidP="00272C68">
      <w:pPr>
        <w:spacing w:line="360" w:lineRule="auto"/>
        <w:rPr>
          <w:rFonts w:ascii="Arial" w:hAnsi="Arial" w:cs="Arial"/>
          <w:b/>
          <w:bCs/>
        </w:rPr>
      </w:pPr>
      <w:r w:rsidRPr="00272C68">
        <w:rPr>
          <w:rFonts w:ascii="Arial" w:hAnsi="Arial" w:cs="Arial"/>
          <w:b/>
          <w:bCs/>
        </w:rPr>
        <w:t>2.3.2 Impact on the Follower Organisation (Ford)</w:t>
      </w:r>
    </w:p>
    <w:p w14:paraId="2CBDAB68" w14:textId="77777777" w:rsidR="007913D9" w:rsidRPr="00272C68" w:rsidRDefault="007913D9" w:rsidP="00272C68">
      <w:pPr>
        <w:spacing w:line="360" w:lineRule="auto"/>
        <w:rPr>
          <w:rFonts w:ascii="Arial" w:hAnsi="Arial" w:cs="Arial"/>
        </w:rPr>
      </w:pPr>
      <w:r w:rsidRPr="00272C68">
        <w:rPr>
          <w:rFonts w:ascii="Arial" w:hAnsi="Arial" w:cs="Arial"/>
        </w:rPr>
        <w:t>Environmental concerns put Ford under strain and present opportunities. The corporation must invest in EV production and lower emissions due to regulatory regulations.</w:t>
      </w:r>
    </w:p>
    <w:p w14:paraId="2799DC21" w14:textId="03658ACE" w:rsidR="007913D9" w:rsidRPr="00272C68" w:rsidRDefault="007913D9" w:rsidP="00272C68">
      <w:pPr>
        <w:spacing w:line="360" w:lineRule="auto"/>
        <w:rPr>
          <w:rFonts w:ascii="Arial" w:hAnsi="Arial" w:cs="Arial"/>
        </w:rPr>
      </w:pPr>
      <w:r w:rsidRPr="00272C68">
        <w:rPr>
          <w:rFonts w:ascii="Arial" w:hAnsi="Arial" w:cs="Arial"/>
        </w:rPr>
        <w:t>High costs and operational adjustments are part of this transformation, which could have an immediate impact on profitability. But it also enables Ford to reinvent itself as a sustainable brand.</w:t>
      </w:r>
    </w:p>
    <w:p w14:paraId="66E55E5C" w14:textId="63300BCD" w:rsidR="007913D9" w:rsidRPr="00272C68" w:rsidRDefault="007913D9" w:rsidP="00272C68">
      <w:pPr>
        <w:spacing w:line="360" w:lineRule="auto"/>
        <w:rPr>
          <w:rFonts w:ascii="Arial" w:hAnsi="Arial" w:cs="Arial"/>
        </w:rPr>
      </w:pPr>
      <w:r w:rsidRPr="00272C68">
        <w:rPr>
          <w:rFonts w:ascii="Arial" w:hAnsi="Arial" w:cs="Arial"/>
        </w:rPr>
        <w:t>Ford can improve its competitiveness and satisfy regulatory requirements by investing in EV technologies and sustainability programs. Its long-term success will depend on how well it can adapt.</w:t>
      </w:r>
    </w:p>
    <w:p w14:paraId="0F1BB9A4" w14:textId="1903AF25" w:rsidR="009161DD" w:rsidRPr="00272C68" w:rsidRDefault="009161DD" w:rsidP="00272C68">
      <w:pPr>
        <w:spacing w:line="360" w:lineRule="auto"/>
        <w:rPr>
          <w:rFonts w:ascii="Arial" w:hAnsi="Arial" w:cs="Arial"/>
        </w:rPr>
      </w:pPr>
    </w:p>
    <w:p w14:paraId="35AD79CF" w14:textId="3091A4E1" w:rsidR="009161DD" w:rsidRPr="00272C68" w:rsidRDefault="009161DD" w:rsidP="00272C68">
      <w:pPr>
        <w:spacing w:line="360" w:lineRule="auto"/>
        <w:rPr>
          <w:rFonts w:ascii="Arial" w:hAnsi="Arial" w:cs="Arial"/>
          <w:b/>
          <w:bCs/>
        </w:rPr>
      </w:pPr>
      <w:r w:rsidRPr="00272C68">
        <w:rPr>
          <w:rFonts w:ascii="Arial" w:hAnsi="Arial" w:cs="Arial"/>
          <w:b/>
          <w:bCs/>
        </w:rPr>
        <w:t>3. Task 2: Strategic Responses of Pioneering and Follower Organisations</w:t>
      </w:r>
    </w:p>
    <w:p w14:paraId="5B26BAA3" w14:textId="77777777" w:rsidR="009161DD" w:rsidRPr="00272C68" w:rsidRDefault="009161DD" w:rsidP="00272C68">
      <w:pPr>
        <w:spacing w:line="360" w:lineRule="auto"/>
        <w:rPr>
          <w:rFonts w:ascii="Arial" w:hAnsi="Arial" w:cs="Arial"/>
          <w:b/>
          <w:bCs/>
        </w:rPr>
      </w:pPr>
      <w:r w:rsidRPr="00272C68">
        <w:rPr>
          <w:rFonts w:ascii="Arial" w:hAnsi="Arial" w:cs="Arial"/>
          <w:b/>
          <w:bCs/>
        </w:rPr>
        <w:t>3.1 Pioneering Organisation’s Strategic Responses (Tesla)</w:t>
      </w:r>
    </w:p>
    <w:p w14:paraId="49B7276C" w14:textId="47287ECC" w:rsidR="009C46EC" w:rsidRPr="00272C68" w:rsidRDefault="009C46EC" w:rsidP="00272C68">
      <w:pPr>
        <w:spacing w:line="360" w:lineRule="auto"/>
        <w:rPr>
          <w:rFonts w:ascii="Arial" w:hAnsi="Arial" w:cs="Arial"/>
        </w:rPr>
      </w:pPr>
      <w:r w:rsidRPr="00272C68">
        <w:rPr>
          <w:rFonts w:ascii="Arial" w:hAnsi="Arial" w:cs="Arial"/>
        </w:rPr>
        <w:t xml:space="preserve">As a leader in the electric vehicle (EV) industry, Tesla offers an interesting case study of how businesses might use internal resources to proactively adapt to external challenges. Porter's Generic Strategies framework, </w:t>
      </w:r>
      <w:r w:rsidR="0099368E" w:rsidRPr="00272C68">
        <w:rPr>
          <w:rFonts w:ascii="Arial" w:hAnsi="Arial" w:cs="Arial"/>
        </w:rPr>
        <w:t>particularly</w:t>
      </w:r>
      <w:r w:rsidRPr="00272C68">
        <w:rPr>
          <w:rFonts w:ascii="Arial" w:hAnsi="Arial" w:cs="Arial"/>
        </w:rPr>
        <w:t xml:space="preserve"> the differentiation strategy, provides a useful prism through which to examine Tesla's strategic solutions. By creating distinctive goods or services that consumers find valuable, differentiation enables a business to charge higher prices and keep a competitive edge. Differentiation is central to Tesla's business strategy, influencing organizational decision-making, marketing, and product development.</w:t>
      </w:r>
    </w:p>
    <w:p w14:paraId="74F5ED6F" w14:textId="3656C068" w:rsidR="009C46EC" w:rsidRPr="00272C68" w:rsidRDefault="009C46EC" w:rsidP="00272C68">
      <w:pPr>
        <w:spacing w:line="360" w:lineRule="auto"/>
        <w:rPr>
          <w:rFonts w:ascii="Arial" w:hAnsi="Arial" w:cs="Arial"/>
        </w:rPr>
      </w:pPr>
      <w:r w:rsidRPr="00272C68">
        <w:rPr>
          <w:rFonts w:ascii="Arial" w:hAnsi="Arial" w:cs="Arial"/>
        </w:rPr>
        <w:t xml:space="preserve">Technological innovation is essential to Tesla's strategy of distinction. To guarantee that its cars use state-of-the-art technologies, the corporation continuously makes </w:t>
      </w:r>
      <w:r w:rsidRPr="00272C68">
        <w:rPr>
          <w:rFonts w:ascii="Arial" w:hAnsi="Arial" w:cs="Arial"/>
        </w:rPr>
        <w:lastRenderedPageBreak/>
        <w:t xml:space="preserve">significant investments in research and development (R&amp;D). Compared to many of its rivals, Tesla's cars have more energy efficiency and a longer range because to their sophisticated battery technology. Additionally, the corporation can continuously enhance vehicle performance, safety, and user experience without forcing consumers to visit service </w:t>
      </w:r>
      <w:r w:rsidR="004B6240" w:rsidRPr="00272C68">
        <w:rPr>
          <w:rFonts w:ascii="Arial" w:hAnsi="Arial" w:cs="Arial"/>
        </w:rPr>
        <w:t>centres</w:t>
      </w:r>
      <w:r w:rsidRPr="00272C68">
        <w:rPr>
          <w:rFonts w:ascii="Arial" w:hAnsi="Arial" w:cs="Arial"/>
        </w:rPr>
        <w:t xml:space="preserve"> thanks to the inclusion of over-the-air software updates. Another key component of Tesla's innovation strategy is autonomous driving technology, which establishes the business as a technological leader in the EV sector and enhances its standing as a progressive, disruptive force. By emphasizing these technological possibilities, Tesla not only raises the inherent worth of its cars but also sets itself apart in challenging ways.</w:t>
      </w:r>
    </w:p>
    <w:p w14:paraId="126E6250" w14:textId="2FD57E08" w:rsidR="009C46EC" w:rsidRPr="00272C68" w:rsidRDefault="009C46EC" w:rsidP="00272C68">
      <w:pPr>
        <w:spacing w:line="360" w:lineRule="auto"/>
        <w:rPr>
          <w:rFonts w:ascii="Arial" w:hAnsi="Arial" w:cs="Arial"/>
        </w:rPr>
      </w:pPr>
      <w:r w:rsidRPr="00272C68">
        <w:rPr>
          <w:rFonts w:ascii="Arial" w:hAnsi="Arial" w:cs="Arial"/>
        </w:rPr>
        <w:t xml:space="preserve">Beyond technological features, Tesla is dedicated to differentiating itself through its brand identity and customer experience. The business has developed a high-end, cutting-edge brand image that appeals to customers that respect performance, sustainability, and cutting-edge technology. </w:t>
      </w:r>
      <w:r w:rsidR="00785375" w:rsidRPr="00272C68">
        <w:rPr>
          <w:rFonts w:ascii="Arial" w:hAnsi="Arial" w:cs="Arial"/>
        </w:rPr>
        <w:t>Instead,</w:t>
      </w:r>
      <w:r w:rsidRPr="00272C68">
        <w:rPr>
          <w:rFonts w:ascii="Arial" w:hAnsi="Arial" w:cs="Arial"/>
        </w:rPr>
        <w:t xml:space="preserve"> </w:t>
      </w:r>
      <w:r w:rsidR="0099368E" w:rsidRPr="00272C68">
        <w:rPr>
          <w:rFonts w:ascii="Arial" w:hAnsi="Arial" w:cs="Arial"/>
        </w:rPr>
        <w:t>then</w:t>
      </w:r>
      <w:r w:rsidRPr="00272C68">
        <w:rPr>
          <w:rFonts w:ascii="Arial" w:hAnsi="Arial" w:cs="Arial"/>
        </w:rPr>
        <w:t xml:space="preserve"> using traditional advertising, Tesla's marketing strategy mostly depends on word-of-mouth, social media interaction, and the prominent presence of its founder, Elon Musk. In addition to fostering strong brand loyalty and enabling the business to sustain higher prices than many conventional automakers, this tactic strengthens the image of exclusivity and innovation. Tesla's direct-to-consumer sales strategy, which eschews traditional dealerships and promotes a more customized, integrated shopping experience, further increases customer loyalty. This strategy not only helps Tesla stand out from the competition, but it also yields useful consumer data that may guide future product development and innovation.</w:t>
      </w:r>
    </w:p>
    <w:p w14:paraId="6B1D60C1" w14:textId="744BCBD3" w:rsidR="009C46EC" w:rsidRPr="00272C68" w:rsidRDefault="009C46EC" w:rsidP="00272C68">
      <w:pPr>
        <w:spacing w:line="360" w:lineRule="auto"/>
        <w:rPr>
          <w:rFonts w:ascii="Arial" w:hAnsi="Arial" w:cs="Arial"/>
        </w:rPr>
      </w:pPr>
      <w:r w:rsidRPr="00272C68">
        <w:rPr>
          <w:rFonts w:ascii="Arial" w:hAnsi="Arial" w:cs="Arial"/>
        </w:rPr>
        <w:t xml:space="preserve">Significant financial investment is necessary for ongoing technological innovation, especially in R&amp;D and advanced manufacturing capacities. Every year, the corporation spends billions of dollars developing new battery chemistries, improving autonomous systems and software, and increasing production capacity. Even if this investment is crucial for preserving a first-mover advantage, it puts Tesla at financial risk </w:t>
      </w:r>
      <w:r w:rsidR="0087570E" w:rsidRPr="00272C68">
        <w:rPr>
          <w:rFonts w:ascii="Arial" w:hAnsi="Arial" w:cs="Arial"/>
        </w:rPr>
        <w:t>if</w:t>
      </w:r>
      <w:r w:rsidRPr="00272C68">
        <w:rPr>
          <w:rFonts w:ascii="Arial" w:hAnsi="Arial" w:cs="Arial"/>
        </w:rPr>
        <w:t xml:space="preserve"> innovations don't perform as anticipated or gain market acceptance. In addition, the EV business is undergoing incredibly quick technological progress. </w:t>
      </w:r>
    </w:p>
    <w:p w14:paraId="1A88C58E" w14:textId="4A22A64D" w:rsidR="009C46EC" w:rsidRPr="00272C68" w:rsidRDefault="009C46EC" w:rsidP="00272C68">
      <w:pPr>
        <w:spacing w:line="360" w:lineRule="auto"/>
        <w:rPr>
          <w:rFonts w:ascii="Arial" w:hAnsi="Arial" w:cs="Arial"/>
        </w:rPr>
      </w:pPr>
      <w:r w:rsidRPr="00272C68">
        <w:rPr>
          <w:rFonts w:ascii="Arial" w:hAnsi="Arial" w:cs="Arial"/>
        </w:rPr>
        <w:t xml:space="preserve">Product introductions serve as examples of the possible benefits and dangers of Tesla's strategy of differentiation. For example, the launch of the </w:t>
      </w:r>
      <w:r w:rsidR="004B6240" w:rsidRPr="00272C68">
        <w:rPr>
          <w:rFonts w:ascii="Arial" w:hAnsi="Arial" w:cs="Arial"/>
        </w:rPr>
        <w:t>CyberTracker</w:t>
      </w:r>
      <w:r w:rsidRPr="00272C68">
        <w:rPr>
          <w:rFonts w:ascii="Arial" w:hAnsi="Arial" w:cs="Arial"/>
        </w:rPr>
        <w:t xml:space="preserve"> </w:t>
      </w:r>
      <w:r w:rsidRPr="00272C68">
        <w:rPr>
          <w:rFonts w:ascii="Arial" w:hAnsi="Arial" w:cs="Arial"/>
        </w:rPr>
        <w:lastRenderedPageBreak/>
        <w:t>attracted a lot of attention and divided consumers. The unusual style and bold claims, according to critics, were dangerous and would turn off ordinary consumers. However, Tesla reportedly received almost 200,000 pre-orders within a month of its introduction, proving the commercial appeal of unique, cutting-edge products and the strength of brand devotion. In contrast, conventional best-sellers like the Ford F-150 sold almost a million units in 2018, highlighting the fact that even while Tesla works on a smaller scale, its differentiating strategy allows it to generate intense consumer attention and engagement compared to competitors.</w:t>
      </w:r>
    </w:p>
    <w:p w14:paraId="44C83956" w14:textId="2E95444B" w:rsidR="009C46EC" w:rsidRPr="00272C68" w:rsidRDefault="009C46EC" w:rsidP="00272C68">
      <w:pPr>
        <w:spacing w:line="360" w:lineRule="auto"/>
        <w:rPr>
          <w:rFonts w:ascii="Arial" w:hAnsi="Arial" w:cs="Arial"/>
        </w:rPr>
      </w:pPr>
      <w:r w:rsidRPr="00272C68">
        <w:rPr>
          <w:rFonts w:ascii="Arial" w:hAnsi="Arial" w:cs="Arial"/>
        </w:rPr>
        <w:t>Operational and ecosystem management are also included in Tesla's strategic answers. The company has considerable influence over important parts of the supply chain, such as battery production, software development, and energy storage solutions, thanks to its vertically integrated production approach. By guaranteeing that technology advancements are applied uniformly throughout products and by offering a framework for smooth upgrades and enhancements, this integration enhances Tesla's distinction.</w:t>
      </w:r>
    </w:p>
    <w:p w14:paraId="572E3E6B" w14:textId="402D57B4" w:rsidR="009C46EC" w:rsidRPr="00272C68" w:rsidRDefault="009C46EC" w:rsidP="00272C68">
      <w:pPr>
        <w:spacing w:line="360" w:lineRule="auto"/>
        <w:rPr>
          <w:rFonts w:ascii="Arial" w:hAnsi="Arial" w:cs="Arial"/>
        </w:rPr>
      </w:pPr>
      <w:r w:rsidRPr="00272C68">
        <w:rPr>
          <w:rFonts w:ascii="Arial" w:hAnsi="Arial" w:cs="Arial"/>
        </w:rPr>
        <w:t>Strategically, Tesla's strategy is a prime example of the idea that distinction involves a comprehensive alignment of technology, brand, sustainability, and customer experience rather than just product features. Tesla generates a multifaceted difference that is hard for rivals to match by fusing innovation-driven product development with ecosystem control and environmental care. This strategy also puts the business in a position to take advantage of first-mover advantages in emerging technologies, grow into related sectors like energy storage, and have an impact on more general industry standards.</w:t>
      </w:r>
    </w:p>
    <w:p w14:paraId="19D3626F" w14:textId="228AB82E" w:rsidR="009C46EC" w:rsidRPr="00272C68" w:rsidRDefault="009C46EC" w:rsidP="00272C68">
      <w:pPr>
        <w:spacing w:line="360" w:lineRule="auto"/>
        <w:rPr>
          <w:rFonts w:ascii="Arial" w:hAnsi="Arial" w:cs="Arial"/>
        </w:rPr>
      </w:pPr>
      <w:r w:rsidRPr="00272C68">
        <w:rPr>
          <w:rFonts w:ascii="Arial" w:hAnsi="Arial" w:cs="Arial"/>
        </w:rPr>
        <w:t xml:space="preserve">However, distinction necessitates a constant dedication to strategic focus and is intrinsically </w:t>
      </w:r>
      <w:r w:rsidR="004B6240" w:rsidRPr="00272C68">
        <w:rPr>
          <w:rFonts w:ascii="Arial" w:hAnsi="Arial" w:cs="Arial"/>
        </w:rPr>
        <w:t>resource intensive</w:t>
      </w:r>
      <w:r w:rsidRPr="00272C68">
        <w:rPr>
          <w:rFonts w:ascii="Arial" w:hAnsi="Arial" w:cs="Arial"/>
        </w:rPr>
        <w:t>. Critical factors continue to be financial vulnerability, operational complexity, and the ongoing risk of competitors copying or outpacing you technologically.</w:t>
      </w:r>
    </w:p>
    <w:p w14:paraId="44E95C7C" w14:textId="67E64B9C" w:rsidR="007913D9" w:rsidRPr="00272C68" w:rsidRDefault="009C46EC" w:rsidP="00272C68">
      <w:pPr>
        <w:spacing w:line="360" w:lineRule="auto"/>
        <w:rPr>
          <w:rFonts w:ascii="Arial" w:hAnsi="Arial" w:cs="Arial"/>
        </w:rPr>
      </w:pPr>
      <w:r w:rsidRPr="00272C68">
        <w:rPr>
          <w:rFonts w:ascii="Arial" w:hAnsi="Arial" w:cs="Arial"/>
        </w:rPr>
        <w:t xml:space="preserve">To sum up, Tesla's strategic solutions demonstrate a comprehensive implementation of Porter's differentiation approach, which includes ecosystem management, brand positioning, technology innovation, and sustainability integration. By utilizing these skills, Tesla has become a market leader in electric vehicles (EVs), commanding high prices, a devoted following of customers, and international notoriety. But </w:t>
      </w:r>
      <w:r w:rsidRPr="00272C68">
        <w:rPr>
          <w:rFonts w:ascii="Arial" w:hAnsi="Arial" w:cs="Arial"/>
        </w:rPr>
        <w:lastRenderedPageBreak/>
        <w:t xml:space="preserve">maintaining this edge calls for constant investment, cautious risk management, and constant alignment with external technical and environmental factors. In addition to highlighting the potential of distinction as a strategic weapon in dynamic, innovation-driven businesses, Tesla's experience also shows the inherent difficulties of retaining leadership in a fiercely competitive and quickly changing industry. </w:t>
      </w:r>
    </w:p>
    <w:p w14:paraId="0C1619CD" w14:textId="63B2C467" w:rsidR="003E6C85" w:rsidRPr="00272C68" w:rsidRDefault="003E6C85" w:rsidP="00272C68">
      <w:pPr>
        <w:spacing w:line="360" w:lineRule="auto"/>
        <w:jc w:val="center"/>
        <w:rPr>
          <w:rFonts w:ascii="Arial" w:hAnsi="Arial" w:cs="Arial"/>
        </w:rPr>
      </w:pPr>
      <w:r w:rsidRPr="00272C68">
        <w:rPr>
          <w:rFonts w:ascii="Arial" w:hAnsi="Arial" w:cs="Arial"/>
          <w:noProof/>
        </w:rPr>
        <w:drawing>
          <wp:inline distT="0" distB="0" distL="0" distR="0" wp14:anchorId="5C258739" wp14:editId="23730BD2">
            <wp:extent cx="3837709" cy="3603433"/>
            <wp:effectExtent l="0" t="0" r="0" b="0"/>
            <wp:docPr id="4022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479" name="Picture 402247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4350" cy="3609669"/>
                    </a:xfrm>
                    <a:prstGeom prst="rect">
                      <a:avLst/>
                    </a:prstGeom>
                  </pic:spPr>
                </pic:pic>
              </a:graphicData>
            </a:graphic>
          </wp:inline>
        </w:drawing>
      </w:r>
    </w:p>
    <w:p w14:paraId="6A4B57C3" w14:textId="601DBF79" w:rsidR="009C46EC" w:rsidRPr="00272C68" w:rsidRDefault="00063E22" w:rsidP="00272C68">
      <w:pPr>
        <w:spacing w:line="360" w:lineRule="auto"/>
        <w:rPr>
          <w:rFonts w:ascii="Arial" w:hAnsi="Arial" w:cs="Arial"/>
        </w:rPr>
      </w:pPr>
      <w:r w:rsidRPr="00272C68">
        <w:rPr>
          <w:rFonts w:ascii="Arial" w:hAnsi="Arial" w:cs="Arial"/>
        </w:rPr>
        <w:t>Porter’s Generic Strategy Model, (Johnson et al., 2017) </w:t>
      </w:r>
    </w:p>
    <w:p w14:paraId="387C7328" w14:textId="77777777" w:rsidR="009161DD" w:rsidRPr="00272C68" w:rsidRDefault="009161DD" w:rsidP="00272C68">
      <w:pPr>
        <w:spacing w:line="360" w:lineRule="auto"/>
        <w:rPr>
          <w:rFonts w:ascii="Arial" w:hAnsi="Arial" w:cs="Arial"/>
          <w:b/>
          <w:bCs/>
        </w:rPr>
      </w:pPr>
      <w:r w:rsidRPr="00272C68">
        <w:rPr>
          <w:rFonts w:ascii="Arial" w:hAnsi="Arial" w:cs="Arial"/>
          <w:b/>
          <w:bCs/>
        </w:rPr>
        <w:t>3.2 Follower Organisation’s Strategic Responses (Ford)</w:t>
      </w:r>
    </w:p>
    <w:p w14:paraId="2519C262" w14:textId="33E4232D" w:rsidR="00897EBD" w:rsidRPr="00272C68" w:rsidRDefault="00897EBD" w:rsidP="00272C68">
      <w:pPr>
        <w:spacing w:line="360" w:lineRule="auto"/>
        <w:rPr>
          <w:rFonts w:ascii="Arial" w:hAnsi="Arial" w:cs="Arial"/>
        </w:rPr>
      </w:pPr>
      <w:r w:rsidRPr="00272C68">
        <w:rPr>
          <w:rFonts w:ascii="Arial" w:hAnsi="Arial" w:cs="Arial"/>
        </w:rPr>
        <w:t>Ford's strategy can be examined using the Ansoff Growth Matrix, with a focus on product creation and market penetration. To compete in the market, Ford creates new electric vehicles</w:t>
      </w:r>
      <w:r w:rsidR="001430CC" w:rsidRPr="00272C68">
        <w:rPr>
          <w:rFonts w:ascii="Arial" w:hAnsi="Arial" w:cs="Arial"/>
        </w:rPr>
        <w:t>.</w:t>
      </w:r>
    </w:p>
    <w:p w14:paraId="2F737880" w14:textId="77777777" w:rsidR="00897EBD" w:rsidRPr="00272C68" w:rsidRDefault="00897EBD" w:rsidP="00272C68">
      <w:pPr>
        <w:spacing w:line="360" w:lineRule="auto"/>
        <w:rPr>
          <w:rFonts w:ascii="Arial" w:hAnsi="Arial" w:cs="Arial"/>
        </w:rPr>
      </w:pPr>
      <w:r w:rsidRPr="00272C68">
        <w:rPr>
          <w:rFonts w:ascii="Arial" w:hAnsi="Arial" w:cs="Arial"/>
        </w:rPr>
        <w:t>Ford also uses its extensive distribution network to reach customers. Ford collaborates with partners to enhance its skills in response to technological advancements. Regarding environmental factors, it commits to achieving sustainability targets and invests in EV manufacture. For its next low-cost EV vehicle, Ford is taking a cue from Tesla. The new $30,000 electric truck from the Detroit carmaker, which will be on sale in 2027, showcased some of its engineering innovations.</w:t>
      </w:r>
    </w:p>
    <w:p w14:paraId="56C92963" w14:textId="7DF823D3" w:rsidR="009161DD" w:rsidRPr="00272C68" w:rsidRDefault="00897EBD" w:rsidP="00272C68">
      <w:pPr>
        <w:spacing w:line="360" w:lineRule="auto"/>
        <w:rPr>
          <w:rFonts w:ascii="Arial" w:hAnsi="Arial" w:cs="Arial"/>
        </w:rPr>
      </w:pPr>
      <w:r w:rsidRPr="00272C68">
        <w:rPr>
          <w:rFonts w:ascii="Arial" w:hAnsi="Arial" w:cs="Arial"/>
        </w:rPr>
        <w:lastRenderedPageBreak/>
        <w:t>Ford announced that its new EV production line would implement unicasting for the first time, along with enhanced aerodynamics and a new battery system. This method reduces the number of parts by shaping molten aluminium into massive portions of the vehicle chassis using enormous hydraulic presses.</w:t>
      </w:r>
      <w:r w:rsidR="0099368E" w:rsidRPr="00272C68">
        <w:rPr>
          <w:rFonts w:ascii="Arial" w:hAnsi="Arial" w:cs="Arial"/>
        </w:rPr>
        <w:t xml:space="preserve"> </w:t>
      </w:r>
    </w:p>
    <w:p w14:paraId="51A3D72B" w14:textId="476DA55B" w:rsidR="0099368E" w:rsidRPr="00272C68" w:rsidRDefault="0099368E" w:rsidP="00272C68">
      <w:pPr>
        <w:spacing w:line="360" w:lineRule="auto"/>
        <w:jc w:val="center"/>
        <w:rPr>
          <w:rFonts w:ascii="Arial" w:hAnsi="Arial" w:cs="Arial"/>
        </w:rPr>
      </w:pPr>
      <w:r w:rsidRPr="00272C68">
        <w:rPr>
          <w:rFonts w:ascii="Arial" w:hAnsi="Arial" w:cs="Arial"/>
          <w:noProof/>
        </w:rPr>
        <w:drawing>
          <wp:inline distT="0" distB="0" distL="0" distR="0" wp14:anchorId="546D7BC2" wp14:editId="7E733448">
            <wp:extent cx="3546764" cy="3546764"/>
            <wp:effectExtent l="0" t="0" r="0" b="0"/>
            <wp:docPr id="15338338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33850" name="Picture 153383385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3854" cy="3553854"/>
                    </a:xfrm>
                    <a:prstGeom prst="rect">
                      <a:avLst/>
                    </a:prstGeom>
                  </pic:spPr>
                </pic:pic>
              </a:graphicData>
            </a:graphic>
          </wp:inline>
        </w:drawing>
      </w:r>
    </w:p>
    <w:p w14:paraId="1108A3AF" w14:textId="77777777" w:rsidR="00FF6D0F" w:rsidRPr="00272C68" w:rsidRDefault="00FF6D0F" w:rsidP="00272C68">
      <w:pPr>
        <w:spacing w:line="360" w:lineRule="auto"/>
        <w:rPr>
          <w:rFonts w:ascii="Arial" w:hAnsi="Arial" w:cs="Arial"/>
        </w:rPr>
      </w:pPr>
    </w:p>
    <w:p w14:paraId="7C656B79" w14:textId="77777777" w:rsidR="00A8173C" w:rsidRDefault="00A8173C" w:rsidP="00272C68">
      <w:pPr>
        <w:spacing w:line="360" w:lineRule="auto"/>
        <w:rPr>
          <w:rFonts w:ascii="Arial" w:hAnsi="Arial" w:cs="Arial"/>
          <w:b/>
          <w:bCs/>
        </w:rPr>
      </w:pPr>
    </w:p>
    <w:p w14:paraId="750E53A3" w14:textId="77777777" w:rsidR="00A8173C" w:rsidRDefault="00A8173C" w:rsidP="00272C68">
      <w:pPr>
        <w:spacing w:line="360" w:lineRule="auto"/>
        <w:rPr>
          <w:rFonts w:ascii="Arial" w:hAnsi="Arial" w:cs="Arial"/>
          <w:b/>
          <w:bCs/>
        </w:rPr>
      </w:pPr>
    </w:p>
    <w:p w14:paraId="6F63B370" w14:textId="77777777" w:rsidR="00A8173C" w:rsidRDefault="00A8173C" w:rsidP="00272C68">
      <w:pPr>
        <w:spacing w:line="360" w:lineRule="auto"/>
        <w:rPr>
          <w:rFonts w:ascii="Arial" w:hAnsi="Arial" w:cs="Arial"/>
          <w:b/>
          <w:bCs/>
        </w:rPr>
      </w:pPr>
    </w:p>
    <w:p w14:paraId="7E27CF42" w14:textId="77777777" w:rsidR="00A8173C" w:rsidRDefault="00A8173C" w:rsidP="00272C68">
      <w:pPr>
        <w:spacing w:line="360" w:lineRule="auto"/>
        <w:rPr>
          <w:rFonts w:ascii="Arial" w:hAnsi="Arial" w:cs="Arial"/>
          <w:b/>
          <w:bCs/>
        </w:rPr>
      </w:pPr>
    </w:p>
    <w:p w14:paraId="04C7E4DD" w14:textId="77777777" w:rsidR="00334731" w:rsidRDefault="00334731" w:rsidP="00272C68">
      <w:pPr>
        <w:spacing w:line="360" w:lineRule="auto"/>
        <w:rPr>
          <w:rFonts w:ascii="Arial" w:hAnsi="Arial" w:cs="Arial"/>
          <w:b/>
          <w:bCs/>
        </w:rPr>
      </w:pPr>
    </w:p>
    <w:p w14:paraId="3A4E622A" w14:textId="77777777" w:rsidR="00334731" w:rsidRDefault="00334731" w:rsidP="00272C68">
      <w:pPr>
        <w:spacing w:line="360" w:lineRule="auto"/>
        <w:rPr>
          <w:rFonts w:ascii="Arial" w:hAnsi="Arial" w:cs="Arial"/>
          <w:b/>
          <w:bCs/>
        </w:rPr>
      </w:pPr>
    </w:p>
    <w:p w14:paraId="0C063828" w14:textId="77777777" w:rsidR="00334731" w:rsidRDefault="00334731" w:rsidP="00272C68">
      <w:pPr>
        <w:spacing w:line="360" w:lineRule="auto"/>
        <w:rPr>
          <w:rFonts w:ascii="Arial" w:hAnsi="Arial" w:cs="Arial"/>
          <w:b/>
          <w:bCs/>
        </w:rPr>
      </w:pPr>
    </w:p>
    <w:p w14:paraId="056CD833" w14:textId="77777777" w:rsidR="00334731" w:rsidRDefault="00334731" w:rsidP="00272C68">
      <w:pPr>
        <w:spacing w:line="360" w:lineRule="auto"/>
        <w:rPr>
          <w:rFonts w:ascii="Arial" w:hAnsi="Arial" w:cs="Arial"/>
          <w:b/>
          <w:bCs/>
        </w:rPr>
      </w:pPr>
    </w:p>
    <w:p w14:paraId="3B045855" w14:textId="77777777" w:rsidR="00334731" w:rsidRDefault="00334731" w:rsidP="00272C68">
      <w:pPr>
        <w:spacing w:line="360" w:lineRule="auto"/>
        <w:rPr>
          <w:rFonts w:ascii="Arial" w:hAnsi="Arial" w:cs="Arial"/>
          <w:b/>
          <w:bCs/>
        </w:rPr>
      </w:pPr>
    </w:p>
    <w:p w14:paraId="3A7C2F98" w14:textId="77777777" w:rsidR="00A8173C" w:rsidRDefault="00A8173C" w:rsidP="00272C68">
      <w:pPr>
        <w:spacing w:line="360" w:lineRule="auto"/>
        <w:rPr>
          <w:rFonts w:ascii="Arial" w:hAnsi="Arial" w:cs="Arial"/>
          <w:b/>
          <w:bCs/>
        </w:rPr>
      </w:pPr>
    </w:p>
    <w:p w14:paraId="7E459EEA" w14:textId="493AAA18" w:rsidR="009161DD" w:rsidRPr="00272C68" w:rsidRDefault="009161DD" w:rsidP="00272C68">
      <w:pPr>
        <w:spacing w:line="360" w:lineRule="auto"/>
        <w:rPr>
          <w:rFonts w:ascii="Arial" w:hAnsi="Arial" w:cs="Arial"/>
          <w:b/>
          <w:bCs/>
        </w:rPr>
      </w:pPr>
      <w:r w:rsidRPr="00272C68">
        <w:rPr>
          <w:rFonts w:ascii="Arial" w:hAnsi="Arial" w:cs="Arial"/>
          <w:b/>
          <w:bCs/>
        </w:rPr>
        <w:lastRenderedPageBreak/>
        <w:t>4. Conclusion</w:t>
      </w:r>
    </w:p>
    <w:p w14:paraId="311EB8E0" w14:textId="5EFA36CE" w:rsidR="00265071" w:rsidRPr="00272C68" w:rsidRDefault="00265071" w:rsidP="00272C68">
      <w:pPr>
        <w:spacing w:line="360" w:lineRule="auto"/>
        <w:rPr>
          <w:rFonts w:ascii="Arial" w:hAnsi="Arial" w:cs="Arial"/>
        </w:rPr>
      </w:pPr>
      <w:r w:rsidRPr="00272C68">
        <w:rPr>
          <w:rFonts w:ascii="Arial" w:hAnsi="Arial" w:cs="Arial"/>
        </w:rPr>
        <w:t xml:space="preserve">This study has critically </w:t>
      </w:r>
      <w:r w:rsidR="001A35C3" w:rsidRPr="00272C68">
        <w:rPr>
          <w:rFonts w:ascii="Arial" w:hAnsi="Arial" w:cs="Arial"/>
        </w:rPr>
        <w:t>analysed</w:t>
      </w:r>
      <w:r w:rsidRPr="00272C68">
        <w:rPr>
          <w:rFonts w:ascii="Arial" w:hAnsi="Arial" w:cs="Arial"/>
        </w:rPr>
        <w:t xml:space="preserve"> the macro marketing environment of the electric vehicle (EV) sector, with a focus on environmental and technological aspects. These factors have a significant impact on industry dynamics, influencing the rate of innovation, market expansion, and competitive positioning</w:t>
      </w:r>
      <w:r w:rsidR="001A35C3" w:rsidRPr="00272C68">
        <w:rPr>
          <w:rFonts w:ascii="Arial" w:hAnsi="Arial" w:cs="Arial"/>
        </w:rPr>
        <w:t>.</w:t>
      </w:r>
    </w:p>
    <w:p w14:paraId="66967D78" w14:textId="7AFD6D64" w:rsidR="00265071" w:rsidRPr="00272C68" w:rsidRDefault="00265071" w:rsidP="00272C68">
      <w:pPr>
        <w:spacing w:line="360" w:lineRule="auto"/>
        <w:rPr>
          <w:rFonts w:ascii="Arial" w:hAnsi="Arial" w:cs="Arial"/>
        </w:rPr>
      </w:pPr>
      <w:r w:rsidRPr="00272C68">
        <w:rPr>
          <w:rFonts w:ascii="Arial" w:hAnsi="Arial" w:cs="Arial"/>
        </w:rPr>
        <w:t>Early innovation investment and a good connection with environmental trends offer significant strategic advantages for trailblazing companies like Tesla. Tesla has been able to differentiate its goods, retain premium pricing, and foster strong customer loyalty thanks to its technological superiority in fields like autonomous driving, battery research, and software integration. However, when competitors close the innovation gap and competition heats up, maintaining this edge necessitates ongoing investment in R&amp;D. For market leaders, the dangers of rapid technological change, expensive capital expenditure, and possible product failure continue to be crucial factors.</w:t>
      </w:r>
    </w:p>
    <w:p w14:paraId="7473D912" w14:textId="30D1DC2B" w:rsidR="00265071" w:rsidRPr="00272C68" w:rsidRDefault="00265071" w:rsidP="00272C68">
      <w:pPr>
        <w:spacing w:line="360" w:lineRule="auto"/>
        <w:rPr>
          <w:rFonts w:ascii="Arial" w:hAnsi="Arial" w:cs="Arial"/>
        </w:rPr>
      </w:pPr>
      <w:r w:rsidRPr="00272C68">
        <w:rPr>
          <w:rFonts w:ascii="Arial" w:hAnsi="Arial" w:cs="Arial"/>
        </w:rPr>
        <w:t xml:space="preserve">Despite facing unique obstacles, follower firms like Ford may nonetheless effectively adjust by utilizing their current resources, production capacity, and brand recognition. Follower companies can lessen risk and increase competitiveness by carefully investing in proven technology and learning from early inventors. By </w:t>
      </w:r>
      <w:r w:rsidR="0099368E" w:rsidRPr="00272C68">
        <w:rPr>
          <w:rFonts w:ascii="Arial" w:hAnsi="Arial" w:cs="Arial"/>
        </w:rPr>
        <w:t>analysing</w:t>
      </w:r>
      <w:r w:rsidRPr="00272C68">
        <w:rPr>
          <w:rFonts w:ascii="Arial" w:hAnsi="Arial" w:cs="Arial"/>
        </w:rPr>
        <w:t xml:space="preserve"> these reactions, strategic frameworks like Porter's Five Forces and the Ansoff Matrix give businesses useful tools for managing competitive pressure, spotting growth prospects, and making wise strategic choices.</w:t>
      </w:r>
    </w:p>
    <w:p w14:paraId="127253FD" w14:textId="3FE2950E" w:rsidR="001B7B66" w:rsidRPr="00272C68" w:rsidRDefault="00265071" w:rsidP="00272C68">
      <w:pPr>
        <w:spacing w:line="360" w:lineRule="auto"/>
        <w:rPr>
          <w:rFonts w:ascii="Arial" w:hAnsi="Arial" w:cs="Arial"/>
        </w:rPr>
      </w:pPr>
      <w:r w:rsidRPr="00272C68">
        <w:rPr>
          <w:rFonts w:ascii="Arial" w:hAnsi="Arial" w:cs="Arial"/>
        </w:rPr>
        <w:t>In general, the ability of businesses in the EV sector to foresee, adapt to, and proactively incorporate environmental and technology developments into their business models is critical to their long-term success. Thus, maintaining a competitive edge in this ever-changing market requires flexibility and a proactive approach.</w:t>
      </w:r>
    </w:p>
    <w:p w14:paraId="16BAE50F" w14:textId="77777777" w:rsidR="00B76A6E" w:rsidRPr="00272C68" w:rsidRDefault="00B76A6E" w:rsidP="00272C68">
      <w:pPr>
        <w:spacing w:line="360" w:lineRule="auto"/>
        <w:rPr>
          <w:rFonts w:ascii="Arial" w:hAnsi="Arial" w:cs="Arial"/>
        </w:rPr>
      </w:pPr>
    </w:p>
    <w:p w14:paraId="59E563E7" w14:textId="77777777" w:rsidR="00B76A6E" w:rsidRPr="00272C68" w:rsidRDefault="00B76A6E" w:rsidP="00272C68">
      <w:pPr>
        <w:spacing w:line="360" w:lineRule="auto"/>
        <w:rPr>
          <w:rFonts w:ascii="Arial" w:hAnsi="Arial" w:cs="Arial"/>
        </w:rPr>
      </w:pPr>
    </w:p>
    <w:p w14:paraId="5383174D" w14:textId="77777777" w:rsidR="00B76A6E" w:rsidRPr="00272C68" w:rsidRDefault="00B76A6E" w:rsidP="00272C68">
      <w:pPr>
        <w:spacing w:line="360" w:lineRule="auto"/>
        <w:rPr>
          <w:rFonts w:ascii="Arial" w:hAnsi="Arial" w:cs="Arial"/>
        </w:rPr>
      </w:pPr>
    </w:p>
    <w:p w14:paraId="5D99D560" w14:textId="77777777" w:rsidR="00A8173C" w:rsidRPr="00272C68" w:rsidRDefault="00A8173C" w:rsidP="00272C68">
      <w:pPr>
        <w:spacing w:line="360" w:lineRule="auto"/>
        <w:rPr>
          <w:rFonts w:ascii="Arial" w:hAnsi="Arial" w:cs="Arial"/>
        </w:rPr>
      </w:pPr>
    </w:p>
    <w:p w14:paraId="20EDFDA1" w14:textId="77777777" w:rsidR="00B76A6E" w:rsidRDefault="00B76A6E" w:rsidP="00272C68">
      <w:pPr>
        <w:spacing w:line="360" w:lineRule="auto"/>
        <w:rPr>
          <w:rFonts w:ascii="Arial" w:hAnsi="Arial" w:cs="Arial"/>
        </w:rPr>
      </w:pPr>
    </w:p>
    <w:p w14:paraId="4D30203C" w14:textId="77777777" w:rsidR="00334731" w:rsidRDefault="00334731" w:rsidP="00272C68">
      <w:pPr>
        <w:spacing w:line="360" w:lineRule="auto"/>
        <w:rPr>
          <w:rFonts w:ascii="Arial" w:hAnsi="Arial" w:cs="Arial"/>
        </w:rPr>
      </w:pPr>
    </w:p>
    <w:p w14:paraId="335EAEC4" w14:textId="77777777" w:rsidR="00334731" w:rsidRDefault="00334731" w:rsidP="00272C68">
      <w:pPr>
        <w:spacing w:line="360" w:lineRule="auto"/>
        <w:rPr>
          <w:rFonts w:ascii="Arial" w:hAnsi="Arial" w:cs="Arial"/>
        </w:rPr>
      </w:pPr>
    </w:p>
    <w:p w14:paraId="4A37DB39" w14:textId="77777777" w:rsidR="00334731" w:rsidRPr="00272C68" w:rsidRDefault="00334731" w:rsidP="00272C68">
      <w:pPr>
        <w:spacing w:line="360" w:lineRule="auto"/>
        <w:rPr>
          <w:rFonts w:ascii="Arial" w:hAnsi="Arial" w:cs="Arial"/>
        </w:rPr>
      </w:pPr>
    </w:p>
    <w:p w14:paraId="6F1E1CBB" w14:textId="02F1091E" w:rsidR="009161DD" w:rsidRPr="00272C68" w:rsidRDefault="009161DD" w:rsidP="00272C68">
      <w:pPr>
        <w:spacing w:line="360" w:lineRule="auto"/>
        <w:rPr>
          <w:rFonts w:ascii="Arial" w:hAnsi="Arial" w:cs="Arial"/>
          <w:b/>
          <w:bCs/>
        </w:rPr>
      </w:pPr>
      <w:r w:rsidRPr="00272C68">
        <w:rPr>
          <w:rFonts w:ascii="Arial" w:hAnsi="Arial" w:cs="Arial"/>
          <w:b/>
          <w:bCs/>
        </w:rPr>
        <w:t>5. References</w:t>
      </w:r>
    </w:p>
    <w:p w14:paraId="1F28A91F" w14:textId="77777777" w:rsidR="00AD2B49" w:rsidRPr="00272C68" w:rsidRDefault="00AD2B49" w:rsidP="00272C68">
      <w:pPr>
        <w:spacing w:line="360" w:lineRule="auto"/>
        <w:rPr>
          <w:rFonts w:ascii="Arial" w:hAnsi="Arial" w:cs="Arial"/>
        </w:rPr>
      </w:pPr>
    </w:p>
    <w:p w14:paraId="6B97FB01" w14:textId="028F9A22" w:rsidR="009161DD" w:rsidRPr="00272C68" w:rsidRDefault="009161DD" w:rsidP="00272C68">
      <w:pPr>
        <w:pStyle w:val="ListParagraph"/>
        <w:numPr>
          <w:ilvl w:val="0"/>
          <w:numId w:val="1"/>
        </w:numPr>
        <w:spacing w:line="360" w:lineRule="auto"/>
        <w:rPr>
          <w:rFonts w:ascii="Arial" w:hAnsi="Arial" w:cs="Arial"/>
        </w:rPr>
      </w:pPr>
      <w:r w:rsidRPr="00272C68">
        <w:rPr>
          <w:rFonts w:ascii="Arial" w:hAnsi="Arial" w:cs="Arial"/>
        </w:rPr>
        <w:t xml:space="preserve">Porter, M.E. (2008) </w:t>
      </w:r>
      <w:r w:rsidRPr="00272C68">
        <w:rPr>
          <w:rFonts w:ascii="Arial" w:hAnsi="Arial" w:cs="Arial"/>
          <w:i/>
          <w:iCs/>
        </w:rPr>
        <w:t>Competitive Strategy</w:t>
      </w:r>
      <w:r w:rsidRPr="00272C68">
        <w:rPr>
          <w:rFonts w:ascii="Arial" w:hAnsi="Arial" w:cs="Arial"/>
        </w:rPr>
        <w:t>. New York: Free Press.</w:t>
      </w:r>
      <w:r w:rsidRPr="00272C68">
        <w:rPr>
          <w:rFonts w:ascii="Arial" w:hAnsi="Arial" w:cs="Arial"/>
        </w:rPr>
        <w:br/>
      </w:r>
    </w:p>
    <w:p w14:paraId="40855604" w14:textId="4F257E52" w:rsidR="009161DD" w:rsidRPr="00272C68" w:rsidRDefault="009161DD" w:rsidP="00272C68">
      <w:pPr>
        <w:pStyle w:val="ListParagraph"/>
        <w:numPr>
          <w:ilvl w:val="0"/>
          <w:numId w:val="1"/>
        </w:numPr>
        <w:spacing w:line="360" w:lineRule="auto"/>
        <w:rPr>
          <w:rFonts w:ascii="Arial" w:hAnsi="Arial" w:cs="Arial"/>
        </w:rPr>
      </w:pPr>
      <w:r w:rsidRPr="00272C68">
        <w:rPr>
          <w:rFonts w:ascii="Arial" w:hAnsi="Arial" w:cs="Arial"/>
        </w:rPr>
        <w:t xml:space="preserve">Ansoff, H.I. (1987) </w:t>
      </w:r>
      <w:r w:rsidRPr="00272C68">
        <w:rPr>
          <w:rFonts w:ascii="Arial" w:hAnsi="Arial" w:cs="Arial"/>
          <w:i/>
          <w:iCs/>
        </w:rPr>
        <w:t>Corporate Strategy</w:t>
      </w:r>
      <w:r w:rsidRPr="00272C68">
        <w:rPr>
          <w:rFonts w:ascii="Arial" w:hAnsi="Arial" w:cs="Arial"/>
        </w:rPr>
        <w:t>. London: Penguin.</w:t>
      </w:r>
      <w:r w:rsidRPr="00272C68">
        <w:rPr>
          <w:rFonts w:ascii="Arial" w:hAnsi="Arial" w:cs="Arial"/>
        </w:rPr>
        <w:br/>
      </w:r>
    </w:p>
    <w:p w14:paraId="5641ACA5" w14:textId="5BAD6E55" w:rsidR="009161DD" w:rsidRPr="00272C68" w:rsidRDefault="009161DD" w:rsidP="00272C68">
      <w:pPr>
        <w:pStyle w:val="ListParagraph"/>
        <w:numPr>
          <w:ilvl w:val="0"/>
          <w:numId w:val="1"/>
        </w:numPr>
        <w:spacing w:line="360" w:lineRule="auto"/>
        <w:rPr>
          <w:rFonts w:ascii="Arial" w:hAnsi="Arial" w:cs="Arial"/>
        </w:rPr>
      </w:pPr>
      <w:r w:rsidRPr="00272C68">
        <w:rPr>
          <w:rFonts w:ascii="Arial" w:hAnsi="Arial" w:cs="Arial"/>
        </w:rPr>
        <w:t xml:space="preserve">Johnson, G., Scholes, K. and Whittington, R. (2017) </w:t>
      </w:r>
      <w:r w:rsidRPr="00272C68">
        <w:rPr>
          <w:rFonts w:ascii="Arial" w:hAnsi="Arial" w:cs="Arial"/>
          <w:i/>
          <w:iCs/>
        </w:rPr>
        <w:t>Exploring Strategy</w:t>
      </w:r>
      <w:r w:rsidRPr="00272C68">
        <w:rPr>
          <w:rFonts w:ascii="Arial" w:hAnsi="Arial" w:cs="Arial"/>
        </w:rPr>
        <w:t>. 11th edn. Harlow: Pearson.</w:t>
      </w:r>
      <w:r w:rsidRPr="00272C68">
        <w:rPr>
          <w:rFonts w:ascii="Arial" w:hAnsi="Arial" w:cs="Arial"/>
        </w:rPr>
        <w:br/>
      </w:r>
    </w:p>
    <w:p w14:paraId="7995F73C" w14:textId="35CBD3CF" w:rsidR="009161DD" w:rsidRPr="00272C68" w:rsidRDefault="009161DD" w:rsidP="00272C68">
      <w:pPr>
        <w:pStyle w:val="ListParagraph"/>
        <w:numPr>
          <w:ilvl w:val="0"/>
          <w:numId w:val="1"/>
        </w:numPr>
        <w:spacing w:line="360" w:lineRule="auto"/>
        <w:rPr>
          <w:rFonts w:ascii="Arial" w:hAnsi="Arial" w:cs="Arial"/>
        </w:rPr>
      </w:pPr>
      <w:r w:rsidRPr="00272C68">
        <w:rPr>
          <w:rFonts w:ascii="Arial" w:hAnsi="Arial" w:cs="Arial"/>
        </w:rPr>
        <w:t xml:space="preserve">Hollensen, S. (2020) </w:t>
      </w:r>
      <w:r w:rsidRPr="00272C68">
        <w:rPr>
          <w:rFonts w:ascii="Arial" w:hAnsi="Arial" w:cs="Arial"/>
          <w:i/>
          <w:iCs/>
        </w:rPr>
        <w:t>Global Marketing</w:t>
      </w:r>
      <w:r w:rsidRPr="00272C68">
        <w:rPr>
          <w:rFonts w:ascii="Arial" w:hAnsi="Arial" w:cs="Arial"/>
        </w:rPr>
        <w:t>. 8th edn. Harlow: Pearson.</w:t>
      </w:r>
      <w:r w:rsidRPr="00272C68">
        <w:rPr>
          <w:rFonts w:ascii="Arial" w:hAnsi="Arial" w:cs="Arial"/>
        </w:rPr>
        <w:br/>
      </w:r>
    </w:p>
    <w:p w14:paraId="7CA9A498" w14:textId="77777777" w:rsidR="00164517" w:rsidRPr="00272C68" w:rsidRDefault="009161DD" w:rsidP="00272C68">
      <w:pPr>
        <w:pStyle w:val="ListParagraph"/>
        <w:numPr>
          <w:ilvl w:val="0"/>
          <w:numId w:val="1"/>
        </w:numPr>
        <w:spacing w:line="360" w:lineRule="auto"/>
        <w:rPr>
          <w:rFonts w:ascii="Arial" w:hAnsi="Arial" w:cs="Arial"/>
        </w:rPr>
      </w:pPr>
      <w:r w:rsidRPr="00272C68">
        <w:rPr>
          <w:rFonts w:ascii="Arial" w:hAnsi="Arial" w:cs="Arial"/>
        </w:rPr>
        <w:t xml:space="preserve">Grant, R.M. (2019) </w:t>
      </w:r>
      <w:r w:rsidRPr="00272C68">
        <w:rPr>
          <w:rFonts w:ascii="Arial" w:hAnsi="Arial" w:cs="Arial"/>
          <w:i/>
          <w:iCs/>
        </w:rPr>
        <w:t>Contemporary Strategy Analysis</w:t>
      </w:r>
      <w:r w:rsidRPr="00272C68">
        <w:rPr>
          <w:rFonts w:ascii="Arial" w:hAnsi="Arial" w:cs="Arial"/>
        </w:rPr>
        <w:t>. 10th edn. Oxford: Wiley.</w:t>
      </w:r>
    </w:p>
    <w:p w14:paraId="57A58A11" w14:textId="77777777" w:rsidR="00164517" w:rsidRPr="00272C68" w:rsidRDefault="00164517" w:rsidP="00272C68">
      <w:pPr>
        <w:spacing w:line="360" w:lineRule="auto"/>
        <w:rPr>
          <w:rFonts w:ascii="Arial" w:hAnsi="Arial" w:cs="Arial"/>
        </w:rPr>
      </w:pPr>
    </w:p>
    <w:p w14:paraId="264809DE" w14:textId="08F95E5C" w:rsidR="00164517" w:rsidRPr="00272C68" w:rsidRDefault="00164517" w:rsidP="00272C68">
      <w:pPr>
        <w:pStyle w:val="ListParagraph"/>
        <w:numPr>
          <w:ilvl w:val="0"/>
          <w:numId w:val="1"/>
        </w:numPr>
        <w:spacing w:line="360" w:lineRule="auto"/>
        <w:rPr>
          <w:rFonts w:ascii="Arial" w:hAnsi="Arial" w:cs="Arial"/>
        </w:rPr>
      </w:pPr>
      <w:hyperlink r:id="rId12" w:history="1">
        <w:r w:rsidRPr="00272C68">
          <w:rPr>
            <w:rStyle w:val="Hyperlink"/>
            <w:rFonts w:ascii="Arial" w:hAnsi="Arial" w:cs="Arial"/>
          </w:rPr>
          <w:t>https://www.businessinsider.com/ford-unicasting-affordable-ev-truck-tesla-gigacasting-2026-2?utm_source=chatgpt.com</w:t>
        </w:r>
      </w:hyperlink>
    </w:p>
    <w:p w14:paraId="61A59C74" w14:textId="77777777" w:rsidR="00164517" w:rsidRPr="00272C68" w:rsidRDefault="00164517" w:rsidP="00272C68">
      <w:pPr>
        <w:pStyle w:val="ListParagraph"/>
        <w:spacing w:line="360" w:lineRule="auto"/>
        <w:rPr>
          <w:rFonts w:ascii="Arial" w:hAnsi="Arial" w:cs="Arial"/>
        </w:rPr>
      </w:pPr>
    </w:p>
    <w:p w14:paraId="63A34D1B" w14:textId="77777777" w:rsidR="002377AD" w:rsidRPr="00272C68" w:rsidRDefault="002377AD" w:rsidP="00272C68">
      <w:pPr>
        <w:pStyle w:val="ListParagraph"/>
        <w:numPr>
          <w:ilvl w:val="0"/>
          <w:numId w:val="1"/>
        </w:numPr>
        <w:spacing w:line="360" w:lineRule="auto"/>
        <w:rPr>
          <w:rFonts w:ascii="Arial" w:hAnsi="Arial" w:cs="Arial"/>
        </w:rPr>
      </w:pPr>
      <w:hyperlink r:id="rId13" w:history="1">
        <w:r w:rsidRPr="00272C68">
          <w:rPr>
            <w:rStyle w:val="Hyperlink"/>
            <w:rFonts w:ascii="Arial" w:hAnsi="Arial" w:cs="Arial"/>
          </w:rPr>
          <w:t>https://hbr.org/2020/02/lessons-from-teslas-approach-to-innovation</w:t>
        </w:r>
      </w:hyperlink>
      <w:r w:rsidRPr="00272C68">
        <w:rPr>
          <w:rFonts w:ascii="Arial" w:hAnsi="Arial" w:cs="Arial"/>
        </w:rPr>
        <w:t xml:space="preserve"> </w:t>
      </w:r>
    </w:p>
    <w:p w14:paraId="0AD1EBC3" w14:textId="77777777" w:rsidR="002377AD" w:rsidRPr="00272C68" w:rsidRDefault="002377AD" w:rsidP="00272C68">
      <w:pPr>
        <w:pStyle w:val="ListParagraph"/>
        <w:spacing w:line="360" w:lineRule="auto"/>
        <w:rPr>
          <w:rFonts w:ascii="Arial" w:hAnsi="Arial" w:cs="Arial"/>
        </w:rPr>
      </w:pPr>
    </w:p>
    <w:p w14:paraId="04A509B6" w14:textId="42F3734E" w:rsidR="00E51355" w:rsidRPr="00272C68" w:rsidRDefault="00E51355" w:rsidP="00272C68">
      <w:pPr>
        <w:pStyle w:val="ListParagraph"/>
        <w:numPr>
          <w:ilvl w:val="0"/>
          <w:numId w:val="1"/>
        </w:numPr>
        <w:spacing w:line="360" w:lineRule="auto"/>
        <w:rPr>
          <w:rFonts w:ascii="Arial" w:hAnsi="Arial" w:cs="Arial"/>
        </w:rPr>
      </w:pPr>
      <w:hyperlink r:id="rId14" w:history="1">
        <w:r w:rsidRPr="00272C68">
          <w:rPr>
            <w:rStyle w:val="Hyperlink"/>
            <w:rFonts w:ascii="Arial" w:hAnsi="Arial" w:cs="Arial"/>
          </w:rPr>
          <w:t>https://pestleanalysis.com/pestle-analysis-of-tesla/</w:t>
        </w:r>
      </w:hyperlink>
    </w:p>
    <w:p w14:paraId="109B4304" w14:textId="77777777" w:rsidR="00E51355" w:rsidRPr="00272C68" w:rsidRDefault="00E51355" w:rsidP="00272C68">
      <w:pPr>
        <w:pStyle w:val="ListParagraph"/>
        <w:spacing w:line="360" w:lineRule="auto"/>
        <w:rPr>
          <w:rFonts w:ascii="Arial" w:hAnsi="Arial" w:cs="Arial"/>
        </w:rPr>
      </w:pPr>
    </w:p>
    <w:p w14:paraId="21C6E465" w14:textId="77777777" w:rsidR="00775FA9" w:rsidRPr="00272C68" w:rsidRDefault="00775FA9" w:rsidP="00272C68">
      <w:pPr>
        <w:pStyle w:val="ListParagraph"/>
        <w:numPr>
          <w:ilvl w:val="0"/>
          <w:numId w:val="1"/>
        </w:numPr>
        <w:spacing w:line="360" w:lineRule="auto"/>
        <w:rPr>
          <w:rFonts w:ascii="Arial" w:hAnsi="Arial" w:cs="Arial"/>
        </w:rPr>
      </w:pPr>
      <w:hyperlink r:id="rId15" w:history="1">
        <w:r w:rsidRPr="00272C68">
          <w:rPr>
            <w:rStyle w:val="Hyperlink"/>
            <w:rFonts w:ascii="Arial" w:hAnsi="Arial" w:cs="Arial"/>
          </w:rPr>
          <w:t>https://blog.oxfordcollegeofmarketing.com/2016/08/01/using-ansoff-matrix-develop-marketing-strategy/</w:t>
        </w:r>
      </w:hyperlink>
      <w:r w:rsidRPr="00272C68">
        <w:rPr>
          <w:rFonts w:ascii="Arial" w:hAnsi="Arial" w:cs="Arial"/>
        </w:rPr>
        <w:t xml:space="preserve"> </w:t>
      </w:r>
    </w:p>
    <w:p w14:paraId="6634BB66" w14:textId="77777777" w:rsidR="00775FA9" w:rsidRPr="00272C68" w:rsidRDefault="00775FA9" w:rsidP="00272C68">
      <w:pPr>
        <w:pStyle w:val="ListParagraph"/>
        <w:spacing w:line="360" w:lineRule="auto"/>
        <w:rPr>
          <w:rFonts w:ascii="Arial" w:hAnsi="Arial" w:cs="Arial"/>
        </w:rPr>
      </w:pPr>
    </w:p>
    <w:p w14:paraId="06C15523" w14:textId="220EABB1" w:rsidR="001C736C" w:rsidRPr="00272C68" w:rsidRDefault="00FF6D0F" w:rsidP="00272C68">
      <w:pPr>
        <w:pStyle w:val="ListParagraph"/>
        <w:numPr>
          <w:ilvl w:val="0"/>
          <w:numId w:val="1"/>
        </w:numPr>
        <w:spacing w:line="360" w:lineRule="auto"/>
        <w:rPr>
          <w:rFonts w:ascii="Arial" w:hAnsi="Arial" w:cs="Arial"/>
        </w:rPr>
      </w:pPr>
      <w:r w:rsidRPr="00272C68">
        <w:rPr>
          <w:rFonts w:ascii="Arial" w:hAnsi="Arial" w:cs="Arial"/>
        </w:rPr>
        <w:t xml:space="preserve"> </w:t>
      </w:r>
      <w:hyperlink r:id="rId16" w:history="1">
        <w:r w:rsidR="00063E22" w:rsidRPr="00272C68">
          <w:rPr>
            <w:rStyle w:val="Hyperlink"/>
            <w:rFonts w:ascii="Arial" w:hAnsi="Arial" w:cs="Arial"/>
          </w:rPr>
          <w:t>http://www.creantho.com/michael-porters-generic-strategies.php</w:t>
        </w:r>
      </w:hyperlink>
    </w:p>
    <w:p w14:paraId="023CF808" w14:textId="77777777" w:rsidR="001C736C" w:rsidRPr="00272C68" w:rsidRDefault="001C736C" w:rsidP="00272C68">
      <w:pPr>
        <w:pStyle w:val="ListParagraph"/>
        <w:spacing w:line="360" w:lineRule="auto"/>
        <w:rPr>
          <w:rFonts w:ascii="Arial" w:hAnsi="Arial" w:cs="Arial"/>
        </w:rPr>
      </w:pPr>
    </w:p>
    <w:p w14:paraId="093ABEFF" w14:textId="34B1095F" w:rsidR="009161DD" w:rsidRPr="00272C68" w:rsidRDefault="009161DD" w:rsidP="00272C68">
      <w:pPr>
        <w:pStyle w:val="ListParagraph"/>
        <w:spacing w:line="360" w:lineRule="auto"/>
        <w:rPr>
          <w:rFonts w:ascii="Arial" w:hAnsi="Arial" w:cs="Arial"/>
        </w:rPr>
      </w:pPr>
      <w:r w:rsidRPr="00272C68">
        <w:rPr>
          <w:rFonts w:ascii="Arial" w:hAnsi="Arial" w:cs="Arial"/>
        </w:rPr>
        <w:lastRenderedPageBreak/>
        <w:br/>
      </w:r>
    </w:p>
    <w:p w14:paraId="7CAC85DE" w14:textId="77777777" w:rsidR="004156C8" w:rsidRPr="00272C68" w:rsidRDefault="004156C8" w:rsidP="00272C68">
      <w:pPr>
        <w:spacing w:line="360" w:lineRule="auto"/>
        <w:rPr>
          <w:rFonts w:ascii="Arial" w:hAnsi="Arial" w:cs="Arial"/>
        </w:rPr>
      </w:pPr>
    </w:p>
    <w:sectPr w:rsidR="004156C8" w:rsidRPr="00272C68" w:rsidSect="002B662C">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CB7A3" w14:textId="77777777" w:rsidR="00A146C1" w:rsidRDefault="00A146C1" w:rsidP="00C166C6">
      <w:pPr>
        <w:spacing w:after="0" w:line="240" w:lineRule="auto"/>
      </w:pPr>
      <w:r>
        <w:separator/>
      </w:r>
    </w:p>
  </w:endnote>
  <w:endnote w:type="continuationSeparator" w:id="0">
    <w:p w14:paraId="6F04227C" w14:textId="77777777" w:rsidR="00A146C1" w:rsidRDefault="00A146C1" w:rsidP="00C16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817766"/>
      <w:docPartObj>
        <w:docPartGallery w:val="Page Numbers (Bottom of Page)"/>
        <w:docPartUnique/>
      </w:docPartObj>
    </w:sdtPr>
    <w:sdtEndPr>
      <w:rPr>
        <w:noProof/>
      </w:rPr>
    </w:sdtEndPr>
    <w:sdtContent>
      <w:p w14:paraId="3959DB17" w14:textId="3C9C3DB7" w:rsidR="00C166C6" w:rsidRDefault="00C166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D839A" w14:textId="77777777" w:rsidR="00C166C6" w:rsidRDefault="00C16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3F04C" w14:textId="77777777" w:rsidR="00A146C1" w:rsidRDefault="00A146C1" w:rsidP="00C166C6">
      <w:pPr>
        <w:spacing w:after="0" w:line="240" w:lineRule="auto"/>
      </w:pPr>
      <w:r>
        <w:separator/>
      </w:r>
    </w:p>
  </w:footnote>
  <w:footnote w:type="continuationSeparator" w:id="0">
    <w:p w14:paraId="08EA1027" w14:textId="77777777" w:rsidR="00A146C1" w:rsidRDefault="00A146C1" w:rsidP="00C16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18010F"/>
    <w:multiLevelType w:val="hybridMultilevel"/>
    <w:tmpl w:val="EE76B3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2026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3C9"/>
    <w:rsid w:val="00034C04"/>
    <w:rsid w:val="00053DEE"/>
    <w:rsid w:val="00063E22"/>
    <w:rsid w:val="00074722"/>
    <w:rsid w:val="000904CB"/>
    <w:rsid w:val="000C59E0"/>
    <w:rsid w:val="000D6E9D"/>
    <w:rsid w:val="000F73C4"/>
    <w:rsid w:val="001317E4"/>
    <w:rsid w:val="001430CC"/>
    <w:rsid w:val="00164517"/>
    <w:rsid w:val="001831C7"/>
    <w:rsid w:val="001A35C3"/>
    <w:rsid w:val="001B1860"/>
    <w:rsid w:val="001B7B66"/>
    <w:rsid w:val="001C736C"/>
    <w:rsid w:val="001D1DF0"/>
    <w:rsid w:val="001E0D61"/>
    <w:rsid w:val="002377AD"/>
    <w:rsid w:val="00257BFE"/>
    <w:rsid w:val="00265071"/>
    <w:rsid w:val="00272C68"/>
    <w:rsid w:val="002A439F"/>
    <w:rsid w:val="002A57C0"/>
    <w:rsid w:val="002B662C"/>
    <w:rsid w:val="002D209E"/>
    <w:rsid w:val="002E17FA"/>
    <w:rsid w:val="003036BC"/>
    <w:rsid w:val="00332287"/>
    <w:rsid w:val="00334731"/>
    <w:rsid w:val="003A55B4"/>
    <w:rsid w:val="003E6C85"/>
    <w:rsid w:val="004156C8"/>
    <w:rsid w:val="0044539B"/>
    <w:rsid w:val="0048719A"/>
    <w:rsid w:val="004B6240"/>
    <w:rsid w:val="004B74EC"/>
    <w:rsid w:val="004C4C79"/>
    <w:rsid w:val="004C7CFA"/>
    <w:rsid w:val="004D625F"/>
    <w:rsid w:val="00553509"/>
    <w:rsid w:val="00567F64"/>
    <w:rsid w:val="005D2416"/>
    <w:rsid w:val="006455A7"/>
    <w:rsid w:val="00696B99"/>
    <w:rsid w:val="006A0E9D"/>
    <w:rsid w:val="006E4B9C"/>
    <w:rsid w:val="006F547E"/>
    <w:rsid w:val="00752E9E"/>
    <w:rsid w:val="00757831"/>
    <w:rsid w:val="00771437"/>
    <w:rsid w:val="00775FA9"/>
    <w:rsid w:val="007840A0"/>
    <w:rsid w:val="00785375"/>
    <w:rsid w:val="007913D9"/>
    <w:rsid w:val="00840A6D"/>
    <w:rsid w:val="008523C9"/>
    <w:rsid w:val="0087570E"/>
    <w:rsid w:val="00881C21"/>
    <w:rsid w:val="00897EBD"/>
    <w:rsid w:val="008A1CBC"/>
    <w:rsid w:val="00906F51"/>
    <w:rsid w:val="009161DD"/>
    <w:rsid w:val="00953E60"/>
    <w:rsid w:val="00956030"/>
    <w:rsid w:val="009679F9"/>
    <w:rsid w:val="00977C00"/>
    <w:rsid w:val="0099368E"/>
    <w:rsid w:val="009C46EC"/>
    <w:rsid w:val="009D5FF5"/>
    <w:rsid w:val="00A146C1"/>
    <w:rsid w:val="00A316AD"/>
    <w:rsid w:val="00A8173C"/>
    <w:rsid w:val="00AD2B49"/>
    <w:rsid w:val="00AD7EB7"/>
    <w:rsid w:val="00AF4AD6"/>
    <w:rsid w:val="00B00BD7"/>
    <w:rsid w:val="00B177C1"/>
    <w:rsid w:val="00B76A6E"/>
    <w:rsid w:val="00BA4A61"/>
    <w:rsid w:val="00BC0B8B"/>
    <w:rsid w:val="00BE73C4"/>
    <w:rsid w:val="00C166C6"/>
    <w:rsid w:val="00C30F02"/>
    <w:rsid w:val="00C603A9"/>
    <w:rsid w:val="00C7656A"/>
    <w:rsid w:val="00CC7A8E"/>
    <w:rsid w:val="00CF5B30"/>
    <w:rsid w:val="00D12C48"/>
    <w:rsid w:val="00D97715"/>
    <w:rsid w:val="00DE4DE0"/>
    <w:rsid w:val="00E51355"/>
    <w:rsid w:val="00E57F11"/>
    <w:rsid w:val="00E86B95"/>
    <w:rsid w:val="00F11963"/>
    <w:rsid w:val="00F509B1"/>
    <w:rsid w:val="00FF6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D7610"/>
  <w15:chartTrackingRefBased/>
  <w15:docId w15:val="{117B7C4A-6029-431A-B4A1-8E795FCE7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3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3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3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3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3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3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3C9"/>
    <w:rPr>
      <w:rFonts w:eastAsiaTheme="majorEastAsia" w:cstheme="majorBidi"/>
      <w:color w:val="272727" w:themeColor="text1" w:themeTint="D8"/>
    </w:rPr>
  </w:style>
  <w:style w:type="paragraph" w:styleId="Title">
    <w:name w:val="Title"/>
    <w:basedOn w:val="Normal"/>
    <w:next w:val="Normal"/>
    <w:link w:val="TitleChar"/>
    <w:uiPriority w:val="10"/>
    <w:qFormat/>
    <w:rsid w:val="00852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3C9"/>
    <w:pPr>
      <w:spacing w:before="160"/>
      <w:jc w:val="center"/>
    </w:pPr>
    <w:rPr>
      <w:i/>
      <w:iCs/>
      <w:color w:val="404040" w:themeColor="text1" w:themeTint="BF"/>
    </w:rPr>
  </w:style>
  <w:style w:type="character" w:customStyle="1" w:styleId="QuoteChar">
    <w:name w:val="Quote Char"/>
    <w:basedOn w:val="DefaultParagraphFont"/>
    <w:link w:val="Quote"/>
    <w:uiPriority w:val="29"/>
    <w:rsid w:val="008523C9"/>
    <w:rPr>
      <w:i/>
      <w:iCs/>
      <w:color w:val="404040" w:themeColor="text1" w:themeTint="BF"/>
    </w:rPr>
  </w:style>
  <w:style w:type="paragraph" w:styleId="ListParagraph">
    <w:name w:val="List Paragraph"/>
    <w:basedOn w:val="Normal"/>
    <w:uiPriority w:val="34"/>
    <w:qFormat/>
    <w:rsid w:val="008523C9"/>
    <w:pPr>
      <w:ind w:left="720"/>
      <w:contextualSpacing/>
    </w:pPr>
  </w:style>
  <w:style w:type="character" w:styleId="IntenseEmphasis">
    <w:name w:val="Intense Emphasis"/>
    <w:basedOn w:val="DefaultParagraphFont"/>
    <w:uiPriority w:val="21"/>
    <w:qFormat/>
    <w:rsid w:val="008523C9"/>
    <w:rPr>
      <w:i/>
      <w:iCs/>
      <w:color w:val="0F4761" w:themeColor="accent1" w:themeShade="BF"/>
    </w:rPr>
  </w:style>
  <w:style w:type="paragraph" w:styleId="IntenseQuote">
    <w:name w:val="Intense Quote"/>
    <w:basedOn w:val="Normal"/>
    <w:next w:val="Normal"/>
    <w:link w:val="IntenseQuoteChar"/>
    <w:uiPriority w:val="30"/>
    <w:qFormat/>
    <w:rsid w:val="00852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3C9"/>
    <w:rPr>
      <w:i/>
      <w:iCs/>
      <w:color w:val="0F4761" w:themeColor="accent1" w:themeShade="BF"/>
    </w:rPr>
  </w:style>
  <w:style w:type="character" w:styleId="IntenseReference">
    <w:name w:val="Intense Reference"/>
    <w:basedOn w:val="DefaultParagraphFont"/>
    <w:uiPriority w:val="32"/>
    <w:qFormat/>
    <w:rsid w:val="008523C9"/>
    <w:rPr>
      <w:b/>
      <w:bCs/>
      <w:smallCaps/>
      <w:color w:val="0F4761" w:themeColor="accent1" w:themeShade="BF"/>
      <w:spacing w:val="5"/>
    </w:rPr>
  </w:style>
  <w:style w:type="character" w:styleId="Hyperlink">
    <w:name w:val="Hyperlink"/>
    <w:basedOn w:val="DefaultParagraphFont"/>
    <w:uiPriority w:val="99"/>
    <w:unhideWhenUsed/>
    <w:rsid w:val="00164517"/>
    <w:rPr>
      <w:color w:val="467886" w:themeColor="hyperlink"/>
      <w:u w:val="single"/>
    </w:rPr>
  </w:style>
  <w:style w:type="character" w:styleId="UnresolvedMention">
    <w:name w:val="Unresolved Mention"/>
    <w:basedOn w:val="DefaultParagraphFont"/>
    <w:uiPriority w:val="99"/>
    <w:semiHidden/>
    <w:unhideWhenUsed/>
    <w:rsid w:val="00164517"/>
    <w:rPr>
      <w:color w:val="605E5C"/>
      <w:shd w:val="clear" w:color="auto" w:fill="E1DFDD"/>
    </w:rPr>
  </w:style>
  <w:style w:type="paragraph" w:styleId="Header">
    <w:name w:val="header"/>
    <w:basedOn w:val="Normal"/>
    <w:link w:val="HeaderChar"/>
    <w:uiPriority w:val="99"/>
    <w:unhideWhenUsed/>
    <w:rsid w:val="00C16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6C6"/>
  </w:style>
  <w:style w:type="paragraph" w:styleId="Footer">
    <w:name w:val="footer"/>
    <w:basedOn w:val="Normal"/>
    <w:link w:val="FooterChar"/>
    <w:uiPriority w:val="99"/>
    <w:unhideWhenUsed/>
    <w:rsid w:val="00C16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20/02/lessons-from-teslas-approach-to-innov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insider.com/ford-unicasting-affordable-ev-truck-tesla-gigacasting-2026-2?utm_source=chatgp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creantho.com/michael-porters-generic-strategies.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log.oxfordcollegeofmarketing.com/2016/08/01/using-ansoff-matrix-develop-marketing-strateg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stleanalysis.com/pestle-analysis-of-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F1A073-81FC-414C-868C-67FB20356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14</Pages>
  <Words>2724</Words>
  <Characters>17821</Characters>
  <Application>Microsoft Office Word</Application>
  <DocSecurity>0</DocSecurity>
  <Lines>363</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101</cp:revision>
  <dcterms:created xsi:type="dcterms:W3CDTF">2026-03-23T18:45:00Z</dcterms:created>
  <dcterms:modified xsi:type="dcterms:W3CDTF">2026-03-27T13:42:00Z</dcterms:modified>
</cp:coreProperties>
</file>