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E441E" w:rsidRDefault="00AE441E"/>
    <w:p w14:paraId="00000002" w14:textId="77777777" w:rsidR="00AE441E" w:rsidRDefault="00AE441E"/>
    <w:p w14:paraId="00000003" w14:textId="77777777" w:rsidR="00AE441E" w:rsidRDefault="00E4501B">
      <w:pPr>
        <w:pStyle w:val="Title"/>
        <w:spacing w:line="36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Assessment-2</w:t>
      </w:r>
    </w:p>
    <w:p w14:paraId="00000004" w14:textId="7B2E9769" w:rsidR="00AE441E" w:rsidRDefault="00E4501B">
      <w:pPr>
        <w:pStyle w:val="Title"/>
        <w:spacing w:line="36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Community Engagement</w:t>
      </w:r>
    </w:p>
    <w:p w14:paraId="7BDFAC7E" w14:textId="7BCBF251" w:rsidR="004E5AB9" w:rsidRDefault="004E5AB9" w:rsidP="004E5AB9">
      <w:pPr>
        <w:rPr>
          <w:b/>
        </w:rPr>
      </w:pPr>
      <w:r>
        <w:rPr>
          <w:b/>
        </w:rPr>
        <w:t xml:space="preserve">Student Name: </w:t>
      </w:r>
      <w:proofErr w:type="spellStart"/>
      <w:r>
        <w:rPr>
          <w:b/>
        </w:rPr>
        <w:t>Andra</w:t>
      </w:r>
      <w:proofErr w:type="spellEnd"/>
      <w:r>
        <w:rPr>
          <w:b/>
        </w:rPr>
        <w:t xml:space="preserve"> Maria </w:t>
      </w:r>
      <w:proofErr w:type="spellStart"/>
      <w:r>
        <w:rPr>
          <w:b/>
        </w:rPr>
        <w:t>Daniliuc</w:t>
      </w:r>
      <w:proofErr w:type="spellEnd"/>
    </w:p>
    <w:p w14:paraId="457396E6" w14:textId="5A1BF4AD" w:rsidR="006E4881" w:rsidRDefault="004E5AB9" w:rsidP="004E5AB9">
      <w:pPr>
        <w:rPr>
          <w:b/>
        </w:rPr>
      </w:pPr>
      <w:r>
        <w:rPr>
          <w:b/>
        </w:rPr>
        <w:t>Student Number:2030171</w:t>
      </w:r>
    </w:p>
    <w:p w14:paraId="7D86765F" w14:textId="2A781F70" w:rsidR="004E5AB9" w:rsidRDefault="004E5AB9" w:rsidP="004E5AB9">
      <w:pPr>
        <w:rPr>
          <w:b/>
        </w:rPr>
      </w:pPr>
    </w:p>
    <w:p w14:paraId="5D5AC827" w14:textId="7EBD7068" w:rsidR="004E5AB9" w:rsidRDefault="004E5AB9" w:rsidP="004E5AB9">
      <w:pPr>
        <w:rPr>
          <w:b/>
        </w:rPr>
      </w:pPr>
    </w:p>
    <w:p w14:paraId="448E49BB" w14:textId="21AF5FD4" w:rsidR="004E5AB9" w:rsidRDefault="004E5AB9" w:rsidP="004E5AB9">
      <w:pPr>
        <w:rPr>
          <w:b/>
        </w:rPr>
      </w:pPr>
    </w:p>
    <w:p w14:paraId="5FFC1A23" w14:textId="65838D8D" w:rsidR="004E5AB9" w:rsidRDefault="004E5AB9" w:rsidP="004E5AB9">
      <w:pPr>
        <w:rPr>
          <w:b/>
        </w:rPr>
      </w:pPr>
    </w:p>
    <w:p w14:paraId="02DA3617" w14:textId="0859B7FF" w:rsidR="004E5AB9" w:rsidRDefault="004E5AB9" w:rsidP="004E5AB9">
      <w:pPr>
        <w:rPr>
          <w:b/>
        </w:rPr>
      </w:pPr>
    </w:p>
    <w:p w14:paraId="74F4687C" w14:textId="5F594C61" w:rsidR="004E5AB9" w:rsidRDefault="004E5AB9" w:rsidP="004E5AB9">
      <w:pPr>
        <w:rPr>
          <w:b/>
        </w:rPr>
      </w:pPr>
    </w:p>
    <w:p w14:paraId="7FD41328" w14:textId="05EFD148" w:rsidR="004E5AB9" w:rsidRDefault="004E5AB9" w:rsidP="004E5AB9">
      <w:pPr>
        <w:rPr>
          <w:b/>
        </w:rPr>
      </w:pPr>
    </w:p>
    <w:p w14:paraId="5C3C726C" w14:textId="15FE8D14" w:rsidR="004E5AB9" w:rsidRDefault="004E5AB9" w:rsidP="004E5AB9">
      <w:pPr>
        <w:rPr>
          <w:b/>
        </w:rPr>
      </w:pPr>
    </w:p>
    <w:p w14:paraId="6176E4B2" w14:textId="293075DB" w:rsidR="004E5AB9" w:rsidRDefault="004E5AB9" w:rsidP="004E5AB9">
      <w:pPr>
        <w:rPr>
          <w:b/>
        </w:rPr>
      </w:pPr>
    </w:p>
    <w:p w14:paraId="43260955" w14:textId="2540D341" w:rsidR="004E5AB9" w:rsidRDefault="004E5AB9" w:rsidP="004E5AB9">
      <w:pPr>
        <w:rPr>
          <w:b/>
        </w:rPr>
      </w:pPr>
    </w:p>
    <w:p w14:paraId="42F52221" w14:textId="512B2AB2" w:rsidR="004E5AB9" w:rsidRDefault="004E5AB9" w:rsidP="004E5AB9">
      <w:pPr>
        <w:rPr>
          <w:b/>
        </w:rPr>
      </w:pPr>
    </w:p>
    <w:p w14:paraId="0011DF49" w14:textId="48AFA738" w:rsidR="004E5AB9" w:rsidRDefault="004E5AB9" w:rsidP="004E5AB9">
      <w:pPr>
        <w:rPr>
          <w:b/>
        </w:rPr>
      </w:pPr>
    </w:p>
    <w:p w14:paraId="15AEF5ED" w14:textId="741D3965" w:rsidR="004E5AB9" w:rsidRDefault="004E5AB9" w:rsidP="004E5AB9">
      <w:pPr>
        <w:rPr>
          <w:b/>
        </w:rPr>
      </w:pPr>
    </w:p>
    <w:p w14:paraId="202FCFA7" w14:textId="653E0C29" w:rsidR="004E5AB9" w:rsidRDefault="004E5AB9" w:rsidP="004E5AB9">
      <w:pPr>
        <w:rPr>
          <w:b/>
        </w:rPr>
      </w:pPr>
    </w:p>
    <w:p w14:paraId="18658093" w14:textId="09024EAA" w:rsidR="004E5AB9" w:rsidRDefault="004E5AB9" w:rsidP="004E5AB9">
      <w:pPr>
        <w:rPr>
          <w:b/>
        </w:rPr>
      </w:pPr>
    </w:p>
    <w:p w14:paraId="38907945" w14:textId="77777777" w:rsidR="004E5AB9" w:rsidRDefault="004E5AB9" w:rsidP="004E5AB9"/>
    <w:sdt>
      <w:sdtPr>
        <w:rPr>
          <w:rFonts w:ascii="Times New Roman" w:eastAsiaTheme="minorEastAsia" w:hAnsi="Times New Roman" w:cs="Times New Roman"/>
          <w:color w:val="auto"/>
          <w:sz w:val="24"/>
          <w:szCs w:val="24"/>
          <w:u w:val="none"/>
          <w:lang w:val="en-GB"/>
        </w:rPr>
        <w:id w:val="-1348172953"/>
        <w:docPartObj>
          <w:docPartGallery w:val="Table of Contents"/>
          <w:docPartUnique/>
        </w:docPartObj>
      </w:sdtPr>
      <w:sdtEndPr>
        <w:rPr>
          <w:b/>
          <w:bCs/>
          <w:noProof/>
        </w:rPr>
      </w:sdtEndPr>
      <w:sdtContent>
        <w:p w14:paraId="5D55D272" w14:textId="738FF87A" w:rsidR="006E4881" w:rsidRPr="006E4881" w:rsidRDefault="006E4881" w:rsidP="006E4881">
          <w:pPr>
            <w:pStyle w:val="TOCHeading"/>
            <w:jc w:val="center"/>
            <w:rPr>
              <w:rFonts w:ascii="Times New Roman" w:hAnsi="Times New Roman" w:cs="Times New Roman"/>
              <w:b/>
              <w:bCs/>
              <w:i/>
              <w:iCs/>
            </w:rPr>
          </w:pPr>
          <w:r w:rsidRPr="006E4881">
            <w:rPr>
              <w:rFonts w:ascii="Times New Roman" w:hAnsi="Times New Roman" w:cs="Times New Roman"/>
              <w:b/>
              <w:bCs/>
              <w:i/>
              <w:iCs/>
            </w:rPr>
            <w:t>Table of Contents</w:t>
          </w:r>
        </w:p>
        <w:p w14:paraId="0443ABAC" w14:textId="19BEDCEC" w:rsidR="006E4881" w:rsidRDefault="006E4881">
          <w:pPr>
            <w:pStyle w:val="TOC1"/>
            <w:tabs>
              <w:tab w:val="right" w:leader="dot" w:pos="9350"/>
            </w:tabs>
            <w:rPr>
              <w:rFonts w:asciiTheme="minorHAnsi" w:hAnsiTheme="minorHAnsi" w:cstheme="minorBidi"/>
              <w:noProof/>
              <w:sz w:val="22"/>
              <w:szCs w:val="22"/>
              <w:lang w:val="en-US"/>
            </w:rPr>
          </w:pPr>
          <w:r>
            <w:fldChar w:fldCharType="begin"/>
          </w:r>
          <w:r>
            <w:instrText xml:space="preserve"> TOC \o "1-3" \h \z \u </w:instrText>
          </w:r>
          <w:r>
            <w:fldChar w:fldCharType="separate"/>
          </w:r>
          <w:hyperlink w:anchor="_Toc100457051" w:history="1">
            <w:r w:rsidRPr="00711DFB">
              <w:rPr>
                <w:rStyle w:val="Hyperlink"/>
                <w:noProof/>
              </w:rPr>
              <w:t>Introduction</w:t>
            </w:r>
            <w:r>
              <w:rPr>
                <w:noProof/>
                <w:webHidden/>
              </w:rPr>
              <w:tab/>
            </w:r>
            <w:r>
              <w:rPr>
                <w:noProof/>
                <w:webHidden/>
              </w:rPr>
              <w:fldChar w:fldCharType="begin"/>
            </w:r>
            <w:r>
              <w:rPr>
                <w:noProof/>
                <w:webHidden/>
              </w:rPr>
              <w:instrText xml:space="preserve"> PAGEREF _Toc100457051 \h </w:instrText>
            </w:r>
            <w:r>
              <w:rPr>
                <w:noProof/>
                <w:webHidden/>
              </w:rPr>
            </w:r>
            <w:r>
              <w:rPr>
                <w:noProof/>
                <w:webHidden/>
              </w:rPr>
              <w:fldChar w:fldCharType="separate"/>
            </w:r>
            <w:r>
              <w:rPr>
                <w:noProof/>
                <w:webHidden/>
              </w:rPr>
              <w:t>3</w:t>
            </w:r>
            <w:r>
              <w:rPr>
                <w:noProof/>
                <w:webHidden/>
              </w:rPr>
              <w:fldChar w:fldCharType="end"/>
            </w:r>
          </w:hyperlink>
        </w:p>
        <w:p w14:paraId="331D9BBC" w14:textId="32F6A95B" w:rsidR="006E4881" w:rsidRDefault="00FC2E6D">
          <w:pPr>
            <w:pStyle w:val="TOC1"/>
            <w:tabs>
              <w:tab w:val="right" w:leader="dot" w:pos="9350"/>
            </w:tabs>
            <w:rPr>
              <w:rFonts w:asciiTheme="minorHAnsi" w:hAnsiTheme="minorHAnsi" w:cstheme="minorBidi"/>
              <w:noProof/>
              <w:sz w:val="22"/>
              <w:szCs w:val="22"/>
              <w:lang w:val="en-US"/>
            </w:rPr>
          </w:pPr>
          <w:hyperlink w:anchor="_Toc100457052" w:history="1">
            <w:r w:rsidR="006E4881" w:rsidRPr="00711DFB">
              <w:rPr>
                <w:rStyle w:val="Hyperlink"/>
                <w:noProof/>
              </w:rPr>
              <w:t>Reflection</w:t>
            </w:r>
            <w:r w:rsidR="006E4881">
              <w:rPr>
                <w:noProof/>
                <w:webHidden/>
              </w:rPr>
              <w:tab/>
            </w:r>
            <w:r w:rsidR="006E4881">
              <w:rPr>
                <w:noProof/>
                <w:webHidden/>
              </w:rPr>
              <w:fldChar w:fldCharType="begin"/>
            </w:r>
            <w:r w:rsidR="006E4881">
              <w:rPr>
                <w:noProof/>
                <w:webHidden/>
              </w:rPr>
              <w:instrText xml:space="preserve"> PAGEREF _Toc100457052 \h </w:instrText>
            </w:r>
            <w:r w:rsidR="006E4881">
              <w:rPr>
                <w:noProof/>
                <w:webHidden/>
              </w:rPr>
            </w:r>
            <w:r w:rsidR="006E4881">
              <w:rPr>
                <w:noProof/>
                <w:webHidden/>
              </w:rPr>
              <w:fldChar w:fldCharType="separate"/>
            </w:r>
            <w:r w:rsidR="006E4881">
              <w:rPr>
                <w:noProof/>
                <w:webHidden/>
              </w:rPr>
              <w:t>4</w:t>
            </w:r>
            <w:r w:rsidR="006E4881">
              <w:rPr>
                <w:noProof/>
                <w:webHidden/>
              </w:rPr>
              <w:fldChar w:fldCharType="end"/>
            </w:r>
          </w:hyperlink>
        </w:p>
        <w:p w14:paraId="11EC4242" w14:textId="566F7256" w:rsidR="006E4881" w:rsidRDefault="00FC2E6D">
          <w:pPr>
            <w:pStyle w:val="TOC2"/>
            <w:tabs>
              <w:tab w:val="right" w:leader="dot" w:pos="9350"/>
            </w:tabs>
            <w:rPr>
              <w:rFonts w:asciiTheme="minorHAnsi" w:hAnsiTheme="minorHAnsi" w:cstheme="minorBidi"/>
              <w:noProof/>
              <w:sz w:val="22"/>
              <w:szCs w:val="22"/>
              <w:lang w:val="en-US"/>
            </w:rPr>
          </w:pPr>
          <w:hyperlink w:anchor="_Toc100457053" w:history="1">
            <w:r w:rsidR="006E4881" w:rsidRPr="00711DFB">
              <w:rPr>
                <w:rStyle w:val="Hyperlink"/>
                <w:noProof/>
              </w:rPr>
              <w:t>Description</w:t>
            </w:r>
            <w:r w:rsidR="006E4881">
              <w:rPr>
                <w:noProof/>
                <w:webHidden/>
              </w:rPr>
              <w:tab/>
            </w:r>
            <w:r w:rsidR="006E4881">
              <w:rPr>
                <w:noProof/>
                <w:webHidden/>
              </w:rPr>
              <w:fldChar w:fldCharType="begin"/>
            </w:r>
            <w:r w:rsidR="006E4881">
              <w:rPr>
                <w:noProof/>
                <w:webHidden/>
              </w:rPr>
              <w:instrText xml:space="preserve"> PAGEREF _Toc100457053 \h </w:instrText>
            </w:r>
            <w:r w:rsidR="006E4881">
              <w:rPr>
                <w:noProof/>
                <w:webHidden/>
              </w:rPr>
            </w:r>
            <w:r w:rsidR="006E4881">
              <w:rPr>
                <w:noProof/>
                <w:webHidden/>
              </w:rPr>
              <w:fldChar w:fldCharType="separate"/>
            </w:r>
            <w:r w:rsidR="006E4881">
              <w:rPr>
                <w:noProof/>
                <w:webHidden/>
              </w:rPr>
              <w:t>4</w:t>
            </w:r>
            <w:r w:rsidR="006E4881">
              <w:rPr>
                <w:noProof/>
                <w:webHidden/>
              </w:rPr>
              <w:fldChar w:fldCharType="end"/>
            </w:r>
          </w:hyperlink>
        </w:p>
        <w:p w14:paraId="2FB691FA" w14:textId="4C1C6A4B" w:rsidR="006E4881" w:rsidRDefault="00FC2E6D">
          <w:pPr>
            <w:pStyle w:val="TOC2"/>
            <w:tabs>
              <w:tab w:val="right" w:leader="dot" w:pos="9350"/>
            </w:tabs>
            <w:rPr>
              <w:rFonts w:asciiTheme="minorHAnsi" w:hAnsiTheme="minorHAnsi" w:cstheme="minorBidi"/>
              <w:noProof/>
              <w:sz w:val="22"/>
              <w:szCs w:val="22"/>
              <w:lang w:val="en-US"/>
            </w:rPr>
          </w:pPr>
          <w:hyperlink w:anchor="_Toc100457054" w:history="1">
            <w:r w:rsidR="006E4881" w:rsidRPr="00711DFB">
              <w:rPr>
                <w:rStyle w:val="Hyperlink"/>
                <w:noProof/>
              </w:rPr>
              <w:t>Feelings</w:t>
            </w:r>
            <w:r w:rsidR="006E4881">
              <w:rPr>
                <w:noProof/>
                <w:webHidden/>
              </w:rPr>
              <w:tab/>
            </w:r>
            <w:r w:rsidR="006E4881">
              <w:rPr>
                <w:noProof/>
                <w:webHidden/>
              </w:rPr>
              <w:fldChar w:fldCharType="begin"/>
            </w:r>
            <w:r w:rsidR="006E4881">
              <w:rPr>
                <w:noProof/>
                <w:webHidden/>
              </w:rPr>
              <w:instrText xml:space="preserve"> PAGEREF _Toc100457054 \h </w:instrText>
            </w:r>
            <w:r w:rsidR="006E4881">
              <w:rPr>
                <w:noProof/>
                <w:webHidden/>
              </w:rPr>
            </w:r>
            <w:r w:rsidR="006E4881">
              <w:rPr>
                <w:noProof/>
                <w:webHidden/>
              </w:rPr>
              <w:fldChar w:fldCharType="separate"/>
            </w:r>
            <w:r w:rsidR="006E4881">
              <w:rPr>
                <w:noProof/>
                <w:webHidden/>
              </w:rPr>
              <w:t>4</w:t>
            </w:r>
            <w:r w:rsidR="006E4881">
              <w:rPr>
                <w:noProof/>
                <w:webHidden/>
              </w:rPr>
              <w:fldChar w:fldCharType="end"/>
            </w:r>
          </w:hyperlink>
        </w:p>
        <w:p w14:paraId="0A0AFFE9" w14:textId="274BAE66" w:rsidR="006E4881" w:rsidRDefault="00FC2E6D">
          <w:pPr>
            <w:pStyle w:val="TOC2"/>
            <w:tabs>
              <w:tab w:val="right" w:leader="dot" w:pos="9350"/>
            </w:tabs>
            <w:rPr>
              <w:rFonts w:asciiTheme="minorHAnsi" w:hAnsiTheme="minorHAnsi" w:cstheme="minorBidi"/>
              <w:noProof/>
              <w:sz w:val="22"/>
              <w:szCs w:val="22"/>
              <w:lang w:val="en-US"/>
            </w:rPr>
          </w:pPr>
          <w:hyperlink w:anchor="_Toc100457055" w:history="1">
            <w:r w:rsidR="006E4881" w:rsidRPr="00711DFB">
              <w:rPr>
                <w:rStyle w:val="Hyperlink"/>
                <w:noProof/>
              </w:rPr>
              <w:t>Evaluation</w:t>
            </w:r>
            <w:r w:rsidR="006E4881">
              <w:rPr>
                <w:noProof/>
                <w:webHidden/>
              </w:rPr>
              <w:tab/>
            </w:r>
            <w:r w:rsidR="006E4881">
              <w:rPr>
                <w:noProof/>
                <w:webHidden/>
              </w:rPr>
              <w:fldChar w:fldCharType="begin"/>
            </w:r>
            <w:r w:rsidR="006E4881">
              <w:rPr>
                <w:noProof/>
                <w:webHidden/>
              </w:rPr>
              <w:instrText xml:space="preserve"> PAGEREF _Toc100457055 \h </w:instrText>
            </w:r>
            <w:r w:rsidR="006E4881">
              <w:rPr>
                <w:noProof/>
                <w:webHidden/>
              </w:rPr>
            </w:r>
            <w:r w:rsidR="006E4881">
              <w:rPr>
                <w:noProof/>
                <w:webHidden/>
              </w:rPr>
              <w:fldChar w:fldCharType="separate"/>
            </w:r>
            <w:r w:rsidR="006E4881">
              <w:rPr>
                <w:noProof/>
                <w:webHidden/>
              </w:rPr>
              <w:t>5</w:t>
            </w:r>
            <w:r w:rsidR="006E4881">
              <w:rPr>
                <w:noProof/>
                <w:webHidden/>
              </w:rPr>
              <w:fldChar w:fldCharType="end"/>
            </w:r>
          </w:hyperlink>
        </w:p>
        <w:p w14:paraId="63084A2F" w14:textId="0B2D5DE6" w:rsidR="006E4881" w:rsidRDefault="00FC2E6D">
          <w:pPr>
            <w:pStyle w:val="TOC2"/>
            <w:tabs>
              <w:tab w:val="right" w:leader="dot" w:pos="9350"/>
            </w:tabs>
            <w:rPr>
              <w:rFonts w:asciiTheme="minorHAnsi" w:hAnsiTheme="minorHAnsi" w:cstheme="minorBidi"/>
              <w:noProof/>
              <w:sz w:val="22"/>
              <w:szCs w:val="22"/>
              <w:lang w:val="en-US"/>
            </w:rPr>
          </w:pPr>
          <w:hyperlink w:anchor="_Toc100457056" w:history="1">
            <w:r w:rsidR="006E4881" w:rsidRPr="00711DFB">
              <w:rPr>
                <w:rStyle w:val="Hyperlink"/>
                <w:noProof/>
              </w:rPr>
              <w:t>Analysis</w:t>
            </w:r>
            <w:r w:rsidR="006E4881">
              <w:rPr>
                <w:noProof/>
                <w:webHidden/>
              </w:rPr>
              <w:tab/>
            </w:r>
            <w:r w:rsidR="006E4881">
              <w:rPr>
                <w:noProof/>
                <w:webHidden/>
              </w:rPr>
              <w:fldChar w:fldCharType="begin"/>
            </w:r>
            <w:r w:rsidR="006E4881">
              <w:rPr>
                <w:noProof/>
                <w:webHidden/>
              </w:rPr>
              <w:instrText xml:space="preserve"> PAGEREF _Toc100457056 \h </w:instrText>
            </w:r>
            <w:r w:rsidR="006E4881">
              <w:rPr>
                <w:noProof/>
                <w:webHidden/>
              </w:rPr>
            </w:r>
            <w:r w:rsidR="006E4881">
              <w:rPr>
                <w:noProof/>
                <w:webHidden/>
              </w:rPr>
              <w:fldChar w:fldCharType="separate"/>
            </w:r>
            <w:r w:rsidR="006E4881">
              <w:rPr>
                <w:noProof/>
                <w:webHidden/>
              </w:rPr>
              <w:t>6</w:t>
            </w:r>
            <w:r w:rsidR="006E4881">
              <w:rPr>
                <w:noProof/>
                <w:webHidden/>
              </w:rPr>
              <w:fldChar w:fldCharType="end"/>
            </w:r>
          </w:hyperlink>
        </w:p>
        <w:p w14:paraId="5012E449" w14:textId="7206C179" w:rsidR="006E4881" w:rsidRDefault="00FC2E6D">
          <w:pPr>
            <w:pStyle w:val="TOC2"/>
            <w:tabs>
              <w:tab w:val="right" w:leader="dot" w:pos="9350"/>
            </w:tabs>
            <w:rPr>
              <w:rFonts w:asciiTheme="minorHAnsi" w:hAnsiTheme="minorHAnsi" w:cstheme="minorBidi"/>
              <w:noProof/>
              <w:sz w:val="22"/>
              <w:szCs w:val="22"/>
              <w:lang w:val="en-US"/>
            </w:rPr>
          </w:pPr>
          <w:hyperlink w:anchor="_Toc100457057" w:history="1">
            <w:r w:rsidR="006E4881" w:rsidRPr="00711DFB">
              <w:rPr>
                <w:rStyle w:val="Hyperlink"/>
                <w:noProof/>
              </w:rPr>
              <w:t>Conclusion</w:t>
            </w:r>
            <w:r w:rsidR="006E4881">
              <w:rPr>
                <w:noProof/>
                <w:webHidden/>
              </w:rPr>
              <w:tab/>
            </w:r>
            <w:r w:rsidR="006E4881">
              <w:rPr>
                <w:noProof/>
                <w:webHidden/>
              </w:rPr>
              <w:fldChar w:fldCharType="begin"/>
            </w:r>
            <w:r w:rsidR="006E4881">
              <w:rPr>
                <w:noProof/>
                <w:webHidden/>
              </w:rPr>
              <w:instrText xml:space="preserve"> PAGEREF _Toc100457057 \h </w:instrText>
            </w:r>
            <w:r w:rsidR="006E4881">
              <w:rPr>
                <w:noProof/>
                <w:webHidden/>
              </w:rPr>
            </w:r>
            <w:r w:rsidR="006E4881">
              <w:rPr>
                <w:noProof/>
                <w:webHidden/>
              </w:rPr>
              <w:fldChar w:fldCharType="separate"/>
            </w:r>
            <w:r w:rsidR="006E4881">
              <w:rPr>
                <w:noProof/>
                <w:webHidden/>
              </w:rPr>
              <w:t>7</w:t>
            </w:r>
            <w:r w:rsidR="006E4881">
              <w:rPr>
                <w:noProof/>
                <w:webHidden/>
              </w:rPr>
              <w:fldChar w:fldCharType="end"/>
            </w:r>
          </w:hyperlink>
        </w:p>
        <w:p w14:paraId="7FCC9DFB" w14:textId="1050DEBD" w:rsidR="006E4881" w:rsidRDefault="00FC2E6D">
          <w:pPr>
            <w:pStyle w:val="TOC2"/>
            <w:tabs>
              <w:tab w:val="right" w:leader="dot" w:pos="9350"/>
            </w:tabs>
            <w:rPr>
              <w:rFonts w:asciiTheme="minorHAnsi" w:hAnsiTheme="minorHAnsi" w:cstheme="minorBidi"/>
              <w:noProof/>
              <w:sz w:val="22"/>
              <w:szCs w:val="22"/>
              <w:lang w:val="en-US"/>
            </w:rPr>
          </w:pPr>
          <w:hyperlink w:anchor="_Toc100457058" w:history="1">
            <w:r w:rsidR="006E4881" w:rsidRPr="00711DFB">
              <w:rPr>
                <w:rStyle w:val="Hyperlink"/>
                <w:noProof/>
              </w:rPr>
              <w:t>Action Plan</w:t>
            </w:r>
            <w:r w:rsidR="006E4881">
              <w:rPr>
                <w:noProof/>
                <w:webHidden/>
              </w:rPr>
              <w:tab/>
            </w:r>
            <w:r w:rsidR="006E4881">
              <w:rPr>
                <w:noProof/>
                <w:webHidden/>
              </w:rPr>
              <w:fldChar w:fldCharType="begin"/>
            </w:r>
            <w:r w:rsidR="006E4881">
              <w:rPr>
                <w:noProof/>
                <w:webHidden/>
              </w:rPr>
              <w:instrText xml:space="preserve"> PAGEREF _Toc100457058 \h </w:instrText>
            </w:r>
            <w:r w:rsidR="006E4881">
              <w:rPr>
                <w:noProof/>
                <w:webHidden/>
              </w:rPr>
            </w:r>
            <w:r w:rsidR="006E4881">
              <w:rPr>
                <w:noProof/>
                <w:webHidden/>
              </w:rPr>
              <w:fldChar w:fldCharType="separate"/>
            </w:r>
            <w:r w:rsidR="006E4881">
              <w:rPr>
                <w:noProof/>
                <w:webHidden/>
              </w:rPr>
              <w:t>7</w:t>
            </w:r>
            <w:r w:rsidR="006E4881">
              <w:rPr>
                <w:noProof/>
                <w:webHidden/>
              </w:rPr>
              <w:fldChar w:fldCharType="end"/>
            </w:r>
          </w:hyperlink>
        </w:p>
        <w:p w14:paraId="67D5A1BD" w14:textId="34DEF101" w:rsidR="006E4881" w:rsidRDefault="00FC2E6D">
          <w:pPr>
            <w:pStyle w:val="TOC1"/>
            <w:tabs>
              <w:tab w:val="right" w:leader="dot" w:pos="9350"/>
            </w:tabs>
            <w:rPr>
              <w:rFonts w:asciiTheme="minorHAnsi" w:hAnsiTheme="minorHAnsi" w:cstheme="minorBidi"/>
              <w:noProof/>
              <w:sz w:val="22"/>
              <w:szCs w:val="22"/>
              <w:lang w:val="en-US"/>
            </w:rPr>
          </w:pPr>
          <w:hyperlink w:anchor="_Toc100457059" w:history="1">
            <w:r w:rsidR="006E4881" w:rsidRPr="00711DFB">
              <w:rPr>
                <w:rStyle w:val="Hyperlink"/>
                <w:noProof/>
              </w:rPr>
              <w:t>Conclusion</w:t>
            </w:r>
            <w:r w:rsidR="006E4881">
              <w:rPr>
                <w:noProof/>
                <w:webHidden/>
              </w:rPr>
              <w:tab/>
            </w:r>
            <w:r w:rsidR="006E4881">
              <w:rPr>
                <w:noProof/>
                <w:webHidden/>
              </w:rPr>
              <w:fldChar w:fldCharType="begin"/>
            </w:r>
            <w:r w:rsidR="006E4881">
              <w:rPr>
                <w:noProof/>
                <w:webHidden/>
              </w:rPr>
              <w:instrText xml:space="preserve"> PAGEREF _Toc100457059 \h </w:instrText>
            </w:r>
            <w:r w:rsidR="006E4881">
              <w:rPr>
                <w:noProof/>
                <w:webHidden/>
              </w:rPr>
            </w:r>
            <w:r w:rsidR="006E4881">
              <w:rPr>
                <w:noProof/>
                <w:webHidden/>
              </w:rPr>
              <w:fldChar w:fldCharType="separate"/>
            </w:r>
            <w:r w:rsidR="006E4881">
              <w:rPr>
                <w:noProof/>
                <w:webHidden/>
              </w:rPr>
              <w:t>8</w:t>
            </w:r>
            <w:r w:rsidR="006E4881">
              <w:rPr>
                <w:noProof/>
                <w:webHidden/>
              </w:rPr>
              <w:fldChar w:fldCharType="end"/>
            </w:r>
          </w:hyperlink>
        </w:p>
        <w:p w14:paraId="09AABDBC" w14:textId="0966F2AA" w:rsidR="006E4881" w:rsidRDefault="00FC2E6D">
          <w:pPr>
            <w:pStyle w:val="TOC1"/>
            <w:tabs>
              <w:tab w:val="right" w:leader="dot" w:pos="9350"/>
            </w:tabs>
            <w:rPr>
              <w:rFonts w:asciiTheme="minorHAnsi" w:hAnsiTheme="minorHAnsi" w:cstheme="minorBidi"/>
              <w:noProof/>
              <w:sz w:val="22"/>
              <w:szCs w:val="22"/>
              <w:lang w:val="en-US"/>
            </w:rPr>
          </w:pPr>
          <w:hyperlink w:anchor="_Toc100457060" w:history="1">
            <w:r w:rsidR="006E4881" w:rsidRPr="00711DFB">
              <w:rPr>
                <w:rStyle w:val="Hyperlink"/>
                <w:noProof/>
              </w:rPr>
              <w:t>References</w:t>
            </w:r>
            <w:r w:rsidR="006E4881">
              <w:rPr>
                <w:noProof/>
                <w:webHidden/>
              </w:rPr>
              <w:tab/>
            </w:r>
            <w:r w:rsidR="006E4881">
              <w:rPr>
                <w:noProof/>
                <w:webHidden/>
              </w:rPr>
              <w:fldChar w:fldCharType="begin"/>
            </w:r>
            <w:r w:rsidR="006E4881">
              <w:rPr>
                <w:noProof/>
                <w:webHidden/>
              </w:rPr>
              <w:instrText xml:space="preserve"> PAGEREF _Toc100457060 \h </w:instrText>
            </w:r>
            <w:r w:rsidR="006E4881">
              <w:rPr>
                <w:noProof/>
                <w:webHidden/>
              </w:rPr>
            </w:r>
            <w:r w:rsidR="006E4881">
              <w:rPr>
                <w:noProof/>
                <w:webHidden/>
              </w:rPr>
              <w:fldChar w:fldCharType="separate"/>
            </w:r>
            <w:r w:rsidR="006E4881">
              <w:rPr>
                <w:noProof/>
                <w:webHidden/>
              </w:rPr>
              <w:t>10</w:t>
            </w:r>
            <w:r w:rsidR="006E4881">
              <w:rPr>
                <w:noProof/>
                <w:webHidden/>
              </w:rPr>
              <w:fldChar w:fldCharType="end"/>
            </w:r>
          </w:hyperlink>
        </w:p>
        <w:p w14:paraId="407745FE" w14:textId="763D8240" w:rsidR="006E4881" w:rsidRDefault="006E4881">
          <w:r>
            <w:rPr>
              <w:b/>
              <w:bCs/>
              <w:noProof/>
            </w:rPr>
            <w:fldChar w:fldCharType="end"/>
          </w:r>
        </w:p>
      </w:sdtContent>
    </w:sdt>
    <w:p w14:paraId="47167B48" w14:textId="77777777" w:rsidR="006E4881" w:rsidRPr="006E4881" w:rsidRDefault="006E4881" w:rsidP="006E4881"/>
    <w:p w14:paraId="00000005" w14:textId="77777777" w:rsidR="00AE441E" w:rsidRDefault="00E4501B">
      <w:pPr>
        <w:spacing w:line="259" w:lineRule="auto"/>
        <w:jc w:val="left"/>
      </w:pPr>
      <w:r>
        <w:br w:type="page"/>
      </w:r>
    </w:p>
    <w:p w14:paraId="00000006" w14:textId="77777777" w:rsidR="00AE441E" w:rsidRDefault="00E4501B">
      <w:pPr>
        <w:pStyle w:val="Heading1"/>
      </w:pPr>
      <w:bookmarkStart w:id="0" w:name="_Toc100457051"/>
      <w:r>
        <w:lastRenderedPageBreak/>
        <w:t>Introduction</w:t>
      </w:r>
      <w:bookmarkEnd w:id="0"/>
    </w:p>
    <w:p w14:paraId="00000007" w14:textId="77777777" w:rsidR="00AE441E" w:rsidRDefault="00E4501B">
      <w:r>
        <w:t xml:space="preserve">Community engagement is the involvement of community members to achieve sustainable growth and development of society. It enables more contextualised understanding and collaboration of community members to drive a common goal.  This reflective report aims at reflecting on the practices of the charity organisation </w:t>
      </w:r>
      <w:r>
        <w:rPr>
          <w:b/>
        </w:rPr>
        <w:t>Marie Curie</w:t>
      </w:r>
      <w:r>
        <w:t xml:space="preserve"> chosen in assessment 1 and another organisation </w:t>
      </w:r>
      <w:r>
        <w:rPr>
          <w:b/>
        </w:rPr>
        <w:t>British Heart Foundation (BHF)</w:t>
      </w:r>
      <w:r>
        <w:t xml:space="preserve"> in their community engagement through running projects and programs. The report will use Gibbs reflective model to provide a reflection on the learning process. </w:t>
      </w:r>
    </w:p>
    <w:p w14:paraId="00000008" w14:textId="77777777" w:rsidR="00AE441E" w:rsidRDefault="00E4501B">
      <w:r>
        <w:t xml:space="preserve">Throughout the report it will reflect the learning process of the models, principles and standards that are implemented in community engagement. It will compare both the projects by evaluating their practices on community engagement approaches. It will also reflect the significance of effective communication and stakeholders’ participation in making successful community engagement. It will overall reflect my personal experience of the learning and skill development process. The report will furthermore include an action development after evaluating and analysing the learning process. The report will conclude with a cogent summary of the community engagement process. </w:t>
      </w:r>
    </w:p>
    <w:p w14:paraId="00000009" w14:textId="77777777" w:rsidR="00AE441E" w:rsidRDefault="00AE441E">
      <w:pPr>
        <w:pBdr>
          <w:top w:val="nil"/>
          <w:left w:val="nil"/>
          <w:bottom w:val="nil"/>
          <w:right w:val="nil"/>
          <w:between w:val="nil"/>
        </w:pBdr>
        <w:spacing w:after="0" w:line="240" w:lineRule="auto"/>
        <w:jc w:val="left"/>
        <w:rPr>
          <w:rFonts w:ascii="Arial" w:eastAsia="Arial" w:hAnsi="Arial" w:cs="Arial"/>
          <w:color w:val="000000"/>
        </w:rPr>
      </w:pPr>
    </w:p>
    <w:p w14:paraId="0000000A" w14:textId="77777777" w:rsidR="00AE441E" w:rsidRDefault="00E4501B">
      <w:r>
        <w:br w:type="page"/>
      </w:r>
    </w:p>
    <w:p w14:paraId="0000000B" w14:textId="77777777" w:rsidR="00AE441E" w:rsidRDefault="00E4501B">
      <w:pPr>
        <w:pStyle w:val="Heading1"/>
      </w:pPr>
      <w:bookmarkStart w:id="1" w:name="_Toc100457052"/>
      <w:r>
        <w:lastRenderedPageBreak/>
        <w:t>Reflection</w:t>
      </w:r>
      <w:bookmarkEnd w:id="1"/>
    </w:p>
    <w:p w14:paraId="0000000C" w14:textId="77777777" w:rsidR="00AE441E" w:rsidRDefault="00E4501B">
      <w:pPr>
        <w:pStyle w:val="Heading2"/>
      </w:pPr>
      <w:bookmarkStart w:id="2" w:name="_Toc100457053"/>
      <w:r>
        <w:t>Description</w:t>
      </w:r>
      <w:bookmarkEnd w:id="2"/>
    </w:p>
    <w:p w14:paraId="0000000D" w14:textId="77777777" w:rsidR="00AE441E" w:rsidRDefault="00E4501B">
      <w:r>
        <w:t xml:space="preserve">Throughout the module I have got an opportunity to engage myself in community welfare activities. I have chosen Marie curie Charity in my previous assessment as I have experience in working for the charity organisation. The charity organisation works for helping the patients with terminal illness. I have explored its ongoing project on providing healthcare and supports to cancer patients. To make an effective comparison of the practices and principles I have chosen another project, national cardiovascular research run by the charitable organisation British Heart Foundation (BHF). The organisation was founded in 1961 aiming at funding for research into treatment, diagnosis, causes and prevention of heart diseases (Ryan et al., 2020). It also works with other organisations to mitigate premature death and causes from cardiovascular diseases. </w:t>
      </w:r>
    </w:p>
    <w:p w14:paraId="0000000E" w14:textId="77777777" w:rsidR="00AE441E" w:rsidRDefault="00E4501B">
      <w:r>
        <w:t>While researching for both the projects I have gained knowledge about different models, principles and standards that are adopted in community engagement. I have also undergone research on the stakeholders involved in those projects. In community engagement, the participation of the stakeholders is inevitable to achieve organisational goals (</w:t>
      </w:r>
      <w:proofErr w:type="spellStart"/>
      <w:r>
        <w:t>Dahles</w:t>
      </w:r>
      <w:proofErr w:type="spellEnd"/>
      <w:r>
        <w:t xml:space="preserve"> et al., 2020). Such charitable activities are mainly run by volunteers who voluntarily participate in the social activities. I also learnt that the volunteers require skills and capabilities to serve in the organisation for the community. The volunteers of Marie Curie organisation work for patients and their families who are in distress due to their illness. Therefore, the organisation follows the principles and standards such as collaboration, communication, </w:t>
      </w:r>
      <w:proofErr w:type="gramStart"/>
      <w:r>
        <w:t>transparency</w:t>
      </w:r>
      <w:proofErr w:type="gramEnd"/>
      <w:r>
        <w:t xml:space="preserve"> and trust to support the terminally ill people. On the other hand, BHF works for the patients of heart diseases. The organisation works on the principles and standards such as integrity, brave, compassionate, </w:t>
      </w:r>
      <w:proofErr w:type="gramStart"/>
      <w:r>
        <w:t>driven</w:t>
      </w:r>
      <w:proofErr w:type="gramEnd"/>
      <w:r>
        <w:t xml:space="preserve"> and informed (Corbin et al., 2021). This module has helped me in developing my knowledge and experience of the activities of social welfare. </w:t>
      </w:r>
    </w:p>
    <w:p w14:paraId="0000000F" w14:textId="77777777" w:rsidR="00AE441E" w:rsidRDefault="00E4501B">
      <w:pPr>
        <w:pStyle w:val="Heading2"/>
      </w:pPr>
      <w:bookmarkStart w:id="3" w:name="_Toc100457054"/>
      <w:r>
        <w:t>Feelings</w:t>
      </w:r>
      <w:bookmarkEnd w:id="3"/>
    </w:p>
    <w:p w14:paraId="00000010" w14:textId="77777777" w:rsidR="00AE441E" w:rsidRDefault="00E4501B">
      <w:r>
        <w:t xml:space="preserve">From the very beginning of this module, I was excited to learn the process and practices of community engagement. As I have little experience in working as a social activist in my area, this module seems to be easy to me. However, as the activities of the chosen organisations Marie Curie charity and BHF are quite different from other social activities, the learning process was </w:t>
      </w:r>
      <w:r>
        <w:lastRenderedPageBreak/>
        <w:t>complicated (</w:t>
      </w:r>
      <w:proofErr w:type="spellStart"/>
      <w:r>
        <w:t>Satizábal</w:t>
      </w:r>
      <w:proofErr w:type="spellEnd"/>
      <w:r>
        <w:t xml:space="preserve"> et al., 2022). I had to conduct in-depth research to understand the practices and principles of community engagement. I was not aware of the significance of the participation of the stakeholders. After I had done a lot of research on both the projects, I came to know that different charitable organisations have different perspectives and principles. I have chosen the organisation on my own as their activities seemed wider and different to me. </w:t>
      </w:r>
    </w:p>
    <w:p w14:paraId="00000011" w14:textId="77777777" w:rsidR="00AE441E" w:rsidRDefault="00E4501B">
      <w:r>
        <w:t xml:space="preserve">Before researching these projects, I thought that the activities of those organisations were like other social activities. But I have come to know that the strategies, standards, fund raising, social campaigns and activities are complicated. Initially, I found difficulties in understanding the community engagement approaches. However, after conducting in-depth research I was able to understand the approaches and strategies of the projects. Moreover, the experience of working in Marie Curie helped me a lot to gain practical experience and knowledge about community engagement. This experience will help in working as a social activist in other charitable organisations like Marie Curie and BHF. </w:t>
      </w:r>
    </w:p>
    <w:p w14:paraId="00000012" w14:textId="77777777" w:rsidR="00AE441E" w:rsidRDefault="00E4501B">
      <w:pPr>
        <w:pStyle w:val="Heading2"/>
      </w:pPr>
      <w:bookmarkStart w:id="4" w:name="_Toc100457055"/>
      <w:r>
        <w:t>Evaluation</w:t>
      </w:r>
      <w:bookmarkEnd w:id="4"/>
    </w:p>
    <w:p w14:paraId="00000013" w14:textId="77777777" w:rsidR="00AE441E" w:rsidRDefault="00E4501B">
      <w:r>
        <w:t>Although there were several difficulties in the learning process, the overall experience was great to me. There were both positive and negative aspects in the learning experience of community engagement. The positive side of this assessment was that it has helped me to gather knowledge about community engagement. Community engagement is the collaboration and integration of resources to help people in their needs. It helps to transform communities by encouraging them to participate in programs that influence society and community (</w:t>
      </w:r>
      <w:proofErr w:type="spellStart"/>
      <w:r>
        <w:t>Dahles</w:t>
      </w:r>
      <w:proofErr w:type="spellEnd"/>
      <w:r>
        <w:t xml:space="preserve"> et al., 2020). It is essential for social transformation and improvement to gain sustainable outcomes. However, community engagement requires participation and integration of different stakeholder groups. It is difficult to bring collaboration among the stakeholders in an organisation especially in charitable organisations. Here, principles, standards, </w:t>
      </w:r>
      <w:proofErr w:type="gramStart"/>
      <w:r>
        <w:t>models</w:t>
      </w:r>
      <w:proofErr w:type="gramEnd"/>
      <w:r>
        <w:t xml:space="preserve"> and approaches are essential to integrate all the stakeholders in a common interest. </w:t>
      </w:r>
    </w:p>
    <w:p w14:paraId="00000014" w14:textId="77777777" w:rsidR="00AE441E" w:rsidRDefault="00E4501B">
      <w:r>
        <w:t xml:space="preserve">I have learnt different models, principles and standards that are used in community engagement. The basic principles in any organisation are collaboration, communication, </w:t>
      </w:r>
      <w:proofErr w:type="gramStart"/>
      <w:r>
        <w:t>transparency</w:t>
      </w:r>
      <w:proofErr w:type="gramEnd"/>
      <w:r>
        <w:t xml:space="preserve"> and integrity (Heggie et al., 2021). Without having these standards, the participation of the stakeholders will not be achieved. I have also come to know that several skills and competencies should be </w:t>
      </w:r>
      <w:r>
        <w:lastRenderedPageBreak/>
        <w:t>developed to attain the organisational objectives. The essential skills are the communication skills, collaboration skills, team working, problem solving and decision-making competencies (</w:t>
      </w:r>
      <w:proofErr w:type="spellStart"/>
      <w:r>
        <w:t>Bromage</w:t>
      </w:r>
      <w:proofErr w:type="spellEnd"/>
      <w:r>
        <w:t xml:space="preserve"> et al., 2020). By working in Marie Curie charitable organisation, I have developed my communication and problem-solving skills. </w:t>
      </w:r>
    </w:p>
    <w:p w14:paraId="00000015" w14:textId="77777777" w:rsidR="00AE441E" w:rsidRDefault="00E4501B">
      <w:r>
        <w:t xml:space="preserve">The negative aspect of this learning module is that I lack knowledge and skills as I lack experience in working in a large organisation. Working in different organisations will enable me to gather practical knowledge about the community engagement approaches implemented by different organisations. I have also faced challenges in choosing another project of another charity organisation. Moreover, in-depth knowledge couldn’t be achieved through the secondary research about the organisations. </w:t>
      </w:r>
    </w:p>
    <w:p w14:paraId="00000016" w14:textId="77777777" w:rsidR="00AE441E" w:rsidRDefault="00E4501B">
      <w:pPr>
        <w:pStyle w:val="Heading2"/>
      </w:pPr>
      <w:bookmarkStart w:id="5" w:name="_Toc100457056"/>
      <w:r>
        <w:t>Analysis</w:t>
      </w:r>
      <w:bookmarkEnd w:id="5"/>
    </w:p>
    <w:p w14:paraId="00000017" w14:textId="77777777" w:rsidR="00AE441E" w:rsidRDefault="00E4501B">
      <w:r>
        <w:t xml:space="preserve">This research has helped in developing my understanding about the theories, models, </w:t>
      </w:r>
      <w:proofErr w:type="gramStart"/>
      <w:r>
        <w:t>principles</w:t>
      </w:r>
      <w:proofErr w:type="gramEnd"/>
      <w:r>
        <w:t xml:space="preserve"> and standards used in community engagement. I have selected Marie Curie charity in my research which helped me better understand the approaches of the organisation. One of the effective strategies of the organisation I have encountered is that it uses social media platforms to increase participation and engagement of community members to the social activities. It arranges different social media campaigns encouraging its employees, </w:t>
      </w:r>
      <w:proofErr w:type="gramStart"/>
      <w:r>
        <w:t>volunteers</w:t>
      </w:r>
      <w:proofErr w:type="gramEnd"/>
      <w:r>
        <w:t xml:space="preserve"> and patients to expose their experience in engaging with the organisation (Lillo, 2019). It also helps the organisation to raise funds for running its activities. On the other hand, the British Heart Foundation (BHF) was struggling to raise funds during the pandemic due to its strategy. The organisation can increase its presence in digital media to encourage the donors and volunteers to participate in its campaign (Mitchell et al., 2019). For instance, it can arrange social media campaigns to raise awareness about heart diseases among the users. It can also encourage people to donate for social welfare. </w:t>
      </w:r>
    </w:p>
    <w:p w14:paraId="00000018" w14:textId="77777777" w:rsidR="00AE441E" w:rsidRDefault="00E4501B">
      <w:r>
        <w:t xml:space="preserve">Another issue I have encountered throughout my research on both the projects is that the employees, volunteers, medical </w:t>
      </w:r>
      <w:proofErr w:type="gramStart"/>
      <w:r>
        <w:t>associates</w:t>
      </w:r>
      <w:proofErr w:type="gramEnd"/>
      <w:r>
        <w:t xml:space="preserve"> and researchers are required to develop their skills and competencies to carry out their social activities. This research has helped in understanding the significance of effective communication systems for community engagement. Community members are required to bring collaboration and integration through effective communication with other stakeholders to run successful campaigns (Mercer and Carter, 2018). Digital tools can be an </w:t>
      </w:r>
      <w:r>
        <w:lastRenderedPageBreak/>
        <w:t xml:space="preserve">effective way to connect with the community members and the stakeholder groups. However, it is inevitable to increase the participation of stakeholders in social activities through effective communication. </w:t>
      </w:r>
    </w:p>
    <w:p w14:paraId="00000019" w14:textId="77777777" w:rsidR="00AE441E" w:rsidRDefault="00E4501B">
      <w:pPr>
        <w:pStyle w:val="Heading2"/>
      </w:pPr>
      <w:bookmarkStart w:id="6" w:name="_Toc100457057"/>
      <w:r>
        <w:t>Conclusion</w:t>
      </w:r>
      <w:bookmarkEnd w:id="6"/>
    </w:p>
    <w:p w14:paraId="0000001A" w14:textId="77777777" w:rsidR="00AE441E" w:rsidRDefault="00E4501B">
      <w:r>
        <w:t xml:space="preserve">This module has provided me with the opportunity to enhance my learnings and knowledge about community engagement. Although it was totally different from other learnings and a very new area to me, it encouraged me to engage myself in social activities. I can apply my knowledge and learnings from this assessment while working in any charity organisation. It also helped me to understand my responsibilities towards society. As a community member I have roles and responsibilities to work for people in terms of problems. The module also helped me to develop the understanding of the skills and capabilities that are required to work in charitable organisations. The outbreak of Covid-19 pandemic has urged the necessity of community engagement for the welfare of the people. Therefore, I can use my knowledge that I have gathered throughout the learning process to work for social wellbeing. </w:t>
      </w:r>
      <w:proofErr w:type="gramStart"/>
      <w:r>
        <w:t>In order to</w:t>
      </w:r>
      <w:proofErr w:type="gramEnd"/>
      <w:r>
        <w:t xml:space="preserve"> achieve the goals of social activities I am required to enhance my communication and collaboration skills. However, I need practical knowledge about community engagement to enhance my capabilities to serve for social welfare. </w:t>
      </w:r>
    </w:p>
    <w:p w14:paraId="0000001B" w14:textId="77777777" w:rsidR="00AE441E" w:rsidRDefault="00E4501B">
      <w:pPr>
        <w:pStyle w:val="Heading2"/>
      </w:pPr>
      <w:bookmarkStart w:id="7" w:name="_Toc100457058"/>
      <w:r>
        <w:t>Action Plan</w:t>
      </w:r>
      <w:bookmarkEnd w:id="7"/>
    </w:p>
    <w:p w14:paraId="0000001C" w14:textId="77777777" w:rsidR="00AE441E" w:rsidRDefault="00E4501B">
      <w:r>
        <w:t xml:space="preserve">Although I have gained knowledge about the importance of community engagement and the skills required to participate in social activities, I lack practical experience and knowledge. </w:t>
      </w:r>
      <w:proofErr w:type="gramStart"/>
      <w:r>
        <w:t>In order to</w:t>
      </w:r>
      <w:proofErr w:type="gramEnd"/>
      <w:r>
        <w:t xml:space="preserve"> increase my knowledge and skills, I have developed an action plan. Before developing the action </w:t>
      </w:r>
      <w:proofErr w:type="gramStart"/>
      <w:r>
        <w:t>plan</w:t>
      </w:r>
      <w:proofErr w:type="gramEnd"/>
      <w:r>
        <w:t xml:space="preserve"> I have identified several weaknesses which hinder my capabilities to engage in social activities. I will act as the following actions to improve my knowledge and capabilities in community engagement. </w:t>
      </w:r>
    </w:p>
    <w:p w14:paraId="0000001D" w14:textId="77777777" w:rsidR="00AE441E" w:rsidRDefault="00E4501B">
      <w:pPr>
        <w:numPr>
          <w:ilvl w:val="0"/>
          <w:numId w:val="2"/>
        </w:numPr>
        <w:pBdr>
          <w:top w:val="nil"/>
          <w:left w:val="nil"/>
          <w:bottom w:val="nil"/>
          <w:right w:val="nil"/>
          <w:between w:val="nil"/>
        </w:pBdr>
        <w:spacing w:after="0"/>
      </w:pPr>
      <w:r>
        <w:rPr>
          <w:rFonts w:eastAsia="Times New Roman"/>
          <w:color w:val="000000"/>
        </w:rPr>
        <w:t xml:space="preserve">I will participate in charity organisations to serve the people in their distress. It will help to gather practical knowledge about community engagement. Practical experience is very effective to increase knowledge and develop competencies. </w:t>
      </w:r>
    </w:p>
    <w:p w14:paraId="0000001E" w14:textId="77777777" w:rsidR="00AE441E" w:rsidRDefault="00E4501B">
      <w:pPr>
        <w:numPr>
          <w:ilvl w:val="0"/>
          <w:numId w:val="2"/>
        </w:numPr>
        <w:pBdr>
          <w:top w:val="nil"/>
          <w:left w:val="nil"/>
          <w:bottom w:val="nil"/>
          <w:right w:val="nil"/>
          <w:between w:val="nil"/>
        </w:pBdr>
        <w:spacing w:after="0"/>
      </w:pPr>
      <w:r>
        <w:rPr>
          <w:rFonts w:eastAsia="Times New Roman"/>
          <w:color w:val="000000"/>
        </w:rPr>
        <w:t xml:space="preserve">I will conduct in-depth research through online sources to understand about different models, </w:t>
      </w:r>
      <w:proofErr w:type="gramStart"/>
      <w:r>
        <w:rPr>
          <w:rFonts w:eastAsia="Times New Roman"/>
          <w:color w:val="000000"/>
        </w:rPr>
        <w:t>standards</w:t>
      </w:r>
      <w:proofErr w:type="gramEnd"/>
      <w:r>
        <w:rPr>
          <w:rFonts w:eastAsia="Times New Roman"/>
          <w:color w:val="000000"/>
        </w:rPr>
        <w:t xml:space="preserve"> and principles of community engagement. I can communicate with my tutors to have proper understanding about the theories. </w:t>
      </w:r>
    </w:p>
    <w:p w14:paraId="0000001F" w14:textId="77777777" w:rsidR="00AE441E" w:rsidRDefault="00E4501B">
      <w:pPr>
        <w:numPr>
          <w:ilvl w:val="0"/>
          <w:numId w:val="2"/>
        </w:numPr>
        <w:pBdr>
          <w:top w:val="nil"/>
          <w:left w:val="nil"/>
          <w:bottom w:val="nil"/>
          <w:right w:val="nil"/>
          <w:between w:val="nil"/>
        </w:pBdr>
        <w:spacing w:after="0"/>
      </w:pPr>
      <w:r>
        <w:rPr>
          <w:rFonts w:eastAsia="Times New Roman"/>
          <w:color w:val="000000"/>
        </w:rPr>
        <w:lastRenderedPageBreak/>
        <w:t>In need to enhance communication skills which is essential in community engagement. I will participate in group works and co-curricular activities to interact and collaborate with others which will also increase my communication and collaboration skills.</w:t>
      </w:r>
    </w:p>
    <w:p w14:paraId="00000020" w14:textId="77777777" w:rsidR="00AE441E" w:rsidRDefault="00E4501B">
      <w:pPr>
        <w:numPr>
          <w:ilvl w:val="0"/>
          <w:numId w:val="2"/>
        </w:numPr>
        <w:pBdr>
          <w:top w:val="nil"/>
          <w:left w:val="nil"/>
          <w:bottom w:val="nil"/>
          <w:right w:val="nil"/>
          <w:between w:val="nil"/>
        </w:pBdr>
        <w:spacing w:after="0"/>
      </w:pPr>
      <w:r>
        <w:rPr>
          <w:rFonts w:eastAsia="Times New Roman"/>
          <w:color w:val="000000"/>
        </w:rPr>
        <w:t xml:space="preserve">I will engage in social activities in my area. By acting as a volunteer, I will gather practical experience of social activities as well </w:t>
      </w:r>
      <w:r>
        <w:t>as contribute</w:t>
      </w:r>
      <w:r>
        <w:rPr>
          <w:rFonts w:eastAsia="Times New Roman"/>
          <w:color w:val="000000"/>
        </w:rPr>
        <w:t xml:space="preserve"> </w:t>
      </w:r>
      <w:proofErr w:type="gramStart"/>
      <w:r>
        <w:rPr>
          <w:rFonts w:eastAsia="Times New Roman"/>
          <w:color w:val="000000"/>
        </w:rPr>
        <w:t>in</w:t>
      </w:r>
      <w:proofErr w:type="gramEnd"/>
      <w:r>
        <w:rPr>
          <w:rFonts w:eastAsia="Times New Roman"/>
          <w:color w:val="000000"/>
        </w:rPr>
        <w:t xml:space="preserve"> social transformation and community development. </w:t>
      </w:r>
    </w:p>
    <w:p w14:paraId="00000021" w14:textId="77777777" w:rsidR="00AE441E" w:rsidRDefault="00E4501B">
      <w:pPr>
        <w:numPr>
          <w:ilvl w:val="0"/>
          <w:numId w:val="2"/>
        </w:numPr>
        <w:pBdr>
          <w:top w:val="nil"/>
          <w:left w:val="nil"/>
          <w:bottom w:val="nil"/>
          <w:right w:val="nil"/>
          <w:between w:val="nil"/>
        </w:pBdr>
      </w:pPr>
      <w:r>
        <w:rPr>
          <w:rFonts w:eastAsia="Times New Roman"/>
          <w:color w:val="000000"/>
        </w:rPr>
        <w:t xml:space="preserve">I will work on solving social issues with the community members. For instance, I can participate in blood donation, social awareness programs, helping people in their distress especially during the pandemic. </w:t>
      </w:r>
    </w:p>
    <w:p w14:paraId="00000022" w14:textId="77777777" w:rsidR="00AE441E" w:rsidRDefault="00E4501B">
      <w:pPr>
        <w:pStyle w:val="Heading1"/>
      </w:pPr>
      <w:bookmarkStart w:id="8" w:name="_Toc100457059"/>
      <w:r>
        <w:t>Conclusion</w:t>
      </w:r>
      <w:bookmarkEnd w:id="8"/>
    </w:p>
    <w:p w14:paraId="00000023" w14:textId="77777777" w:rsidR="00AE441E" w:rsidRDefault="00E4501B">
      <w:r>
        <w:t xml:space="preserve">Community engagement leads to social transformation and development. It involves creating a communicative and collaborative approach to build social systems or combating social problems. Marie curie is involved with acting as a collaboration of volunteers, employees, </w:t>
      </w:r>
      <w:proofErr w:type="gramStart"/>
      <w:r>
        <w:t>nurses</w:t>
      </w:r>
      <w:proofErr w:type="gramEnd"/>
      <w:r>
        <w:t xml:space="preserve"> and businesses to help the cancer patients whereas British Heart Foundation (BHF) is involved with pioneering research about heart diseases and improving treatment and prevention of the disease. Both the organisations work for human welfare by raising funds from people, </w:t>
      </w:r>
      <w:proofErr w:type="gramStart"/>
      <w:r>
        <w:t>donors</w:t>
      </w:r>
      <w:proofErr w:type="gramEnd"/>
      <w:r>
        <w:t xml:space="preserve"> and businesses. </w:t>
      </w:r>
    </w:p>
    <w:p w14:paraId="00000024" w14:textId="77777777" w:rsidR="00AE441E" w:rsidRDefault="00E4501B">
      <w:r>
        <w:t xml:space="preserve">The distinctive feature of these two organisations is that Marie Curie is a voluntary organisation where employees, nurses, doctors, </w:t>
      </w:r>
      <w:proofErr w:type="gramStart"/>
      <w:r>
        <w:t>volunteers</w:t>
      </w:r>
      <w:proofErr w:type="gramEnd"/>
      <w:r>
        <w:t xml:space="preserve"> and other stakeholders work collaboratively to provide healthcare and mental support to cancer patients. It raises funds from the people who trust in it and the NHS in the UK. On the other hand, BHF aims at funding medical research for combating heart diseases and raising public awareness about heart diseases. The organisation acts as an authority and funder of cardiovascular research. It also works with other organisations to raise awareness about premature death and disability from heart disease. </w:t>
      </w:r>
    </w:p>
    <w:p w14:paraId="00000025" w14:textId="77777777" w:rsidR="00AE441E" w:rsidRDefault="00E4501B">
      <w:r>
        <w:t xml:space="preserve">Marie Curie engaged itself in social activities by serving patients through its hospitals and MHF engaged itself by supporting researchers of heart diseases. Marie Curie charity uses social media platforms to raise funds from the public whereas BHF raises donations from its supporters and people who leave gifts in retail shops and by arranging challenging events such as Bike rides in different cities. However, both the organisations require to increase their social media activities to </w:t>
      </w:r>
      <w:r>
        <w:lastRenderedPageBreak/>
        <w:t xml:space="preserve">connect with more audiences in social media platforms. It will not only help them to increase people's engagement to the social activities but also help them to raise funds from larger audiences. </w:t>
      </w:r>
    </w:p>
    <w:p w14:paraId="00000026" w14:textId="77777777" w:rsidR="00AE441E" w:rsidRDefault="00E4501B">
      <w:pPr>
        <w:spacing w:line="259" w:lineRule="auto"/>
        <w:jc w:val="left"/>
      </w:pPr>
      <w:r>
        <w:br w:type="page"/>
      </w:r>
    </w:p>
    <w:p w14:paraId="00000027" w14:textId="77777777" w:rsidR="00AE441E" w:rsidRDefault="00E4501B">
      <w:pPr>
        <w:pStyle w:val="Heading1"/>
      </w:pPr>
      <w:bookmarkStart w:id="9" w:name="_Toc100457060"/>
      <w:r>
        <w:lastRenderedPageBreak/>
        <w:t>References</w:t>
      </w:r>
      <w:bookmarkEnd w:id="9"/>
    </w:p>
    <w:p w14:paraId="00000028" w14:textId="77777777" w:rsidR="00AE441E" w:rsidRDefault="00E4501B">
      <w:pPr>
        <w:numPr>
          <w:ilvl w:val="0"/>
          <w:numId w:val="1"/>
        </w:numPr>
        <w:pBdr>
          <w:top w:val="nil"/>
          <w:left w:val="nil"/>
          <w:bottom w:val="nil"/>
          <w:right w:val="nil"/>
          <w:between w:val="nil"/>
        </w:pBdr>
        <w:spacing w:after="0"/>
      </w:pPr>
      <w:proofErr w:type="spellStart"/>
      <w:r>
        <w:rPr>
          <w:rFonts w:eastAsia="Times New Roman"/>
          <w:color w:val="000000"/>
        </w:rPr>
        <w:t>Bromage</w:t>
      </w:r>
      <w:proofErr w:type="spellEnd"/>
      <w:r>
        <w:rPr>
          <w:rFonts w:eastAsia="Times New Roman"/>
          <w:color w:val="000000"/>
        </w:rPr>
        <w:t xml:space="preserve">, D.I., </w:t>
      </w:r>
      <w:proofErr w:type="spellStart"/>
      <w:r>
        <w:rPr>
          <w:rFonts w:eastAsia="Times New Roman"/>
          <w:color w:val="000000"/>
        </w:rPr>
        <w:t>Cannatà</w:t>
      </w:r>
      <w:proofErr w:type="spellEnd"/>
      <w:r>
        <w:rPr>
          <w:rFonts w:eastAsia="Times New Roman"/>
          <w:color w:val="000000"/>
        </w:rPr>
        <w:t>, A., Rind, I.A., Gregorio, C., Piper, S., Shah, A.M. and McDonagh, T.A., 2020. The impact of COVID‐19 on heart failure hospitalization and management: report from a Heart Failure Unit in London during the peak of the pandemic. European journal of heart failure, 22(6), pp.978-984.</w:t>
      </w:r>
    </w:p>
    <w:p w14:paraId="00000029" w14:textId="77777777" w:rsidR="00AE441E" w:rsidRDefault="00E4501B">
      <w:pPr>
        <w:numPr>
          <w:ilvl w:val="0"/>
          <w:numId w:val="1"/>
        </w:numPr>
        <w:pBdr>
          <w:top w:val="nil"/>
          <w:left w:val="nil"/>
          <w:bottom w:val="nil"/>
          <w:right w:val="nil"/>
          <w:between w:val="nil"/>
        </w:pBdr>
        <w:spacing w:after="0"/>
      </w:pPr>
      <w:r>
        <w:rPr>
          <w:rFonts w:eastAsia="Times New Roman"/>
          <w:color w:val="000000"/>
        </w:rPr>
        <w:t xml:space="preserve">Corbin, J.H., </w:t>
      </w:r>
      <w:proofErr w:type="spellStart"/>
      <w:r>
        <w:rPr>
          <w:rFonts w:eastAsia="Times New Roman"/>
          <w:color w:val="000000"/>
        </w:rPr>
        <w:t>Oyene</w:t>
      </w:r>
      <w:proofErr w:type="spellEnd"/>
      <w:r>
        <w:rPr>
          <w:rFonts w:eastAsia="Times New Roman"/>
          <w:color w:val="000000"/>
        </w:rPr>
        <w:t xml:space="preserve">, U.E., </w:t>
      </w:r>
      <w:proofErr w:type="spellStart"/>
      <w:r>
        <w:rPr>
          <w:rFonts w:eastAsia="Times New Roman"/>
          <w:color w:val="000000"/>
        </w:rPr>
        <w:t>Manoncourt</w:t>
      </w:r>
      <w:proofErr w:type="spellEnd"/>
      <w:r>
        <w:rPr>
          <w:rFonts w:eastAsia="Times New Roman"/>
          <w:color w:val="000000"/>
        </w:rPr>
        <w:t xml:space="preserve">, E., </w:t>
      </w:r>
      <w:proofErr w:type="spellStart"/>
      <w:r>
        <w:rPr>
          <w:rFonts w:eastAsia="Times New Roman"/>
          <w:color w:val="000000"/>
        </w:rPr>
        <w:t>Onya</w:t>
      </w:r>
      <w:proofErr w:type="spellEnd"/>
      <w:r>
        <w:rPr>
          <w:rFonts w:eastAsia="Times New Roman"/>
          <w:color w:val="000000"/>
        </w:rPr>
        <w:t xml:space="preserve">, H., </w:t>
      </w:r>
      <w:proofErr w:type="spellStart"/>
      <w:r>
        <w:rPr>
          <w:rFonts w:eastAsia="Times New Roman"/>
          <w:color w:val="000000"/>
        </w:rPr>
        <w:t>Kwamboka</w:t>
      </w:r>
      <w:proofErr w:type="spellEnd"/>
      <w:r>
        <w:rPr>
          <w:rFonts w:eastAsia="Times New Roman"/>
          <w:color w:val="000000"/>
        </w:rPr>
        <w:t xml:space="preserve">, M., </w:t>
      </w:r>
      <w:proofErr w:type="spellStart"/>
      <w:r>
        <w:rPr>
          <w:rFonts w:eastAsia="Times New Roman"/>
          <w:color w:val="000000"/>
        </w:rPr>
        <w:t>Amuyunzu-Nyamongo</w:t>
      </w:r>
      <w:proofErr w:type="spellEnd"/>
      <w:r>
        <w:rPr>
          <w:rFonts w:eastAsia="Times New Roman"/>
          <w:color w:val="000000"/>
        </w:rPr>
        <w:t xml:space="preserve">, M., </w:t>
      </w:r>
      <w:proofErr w:type="spellStart"/>
      <w:r>
        <w:rPr>
          <w:rFonts w:eastAsia="Times New Roman"/>
          <w:color w:val="000000"/>
        </w:rPr>
        <w:t>Sørensen</w:t>
      </w:r>
      <w:proofErr w:type="spellEnd"/>
      <w:r>
        <w:rPr>
          <w:rFonts w:eastAsia="Times New Roman"/>
          <w:color w:val="000000"/>
        </w:rPr>
        <w:t xml:space="preserve">, K., </w:t>
      </w:r>
      <w:proofErr w:type="spellStart"/>
      <w:r>
        <w:rPr>
          <w:rFonts w:eastAsia="Times New Roman"/>
          <w:color w:val="000000"/>
        </w:rPr>
        <w:t>Mweemba</w:t>
      </w:r>
      <w:proofErr w:type="spellEnd"/>
      <w:r>
        <w:rPr>
          <w:rFonts w:eastAsia="Times New Roman"/>
          <w:color w:val="000000"/>
        </w:rPr>
        <w:t xml:space="preserve">, O., Barry, M.M., </w:t>
      </w:r>
      <w:proofErr w:type="spellStart"/>
      <w:r>
        <w:rPr>
          <w:rFonts w:eastAsia="Times New Roman"/>
          <w:color w:val="000000"/>
        </w:rPr>
        <w:t>Munodawafa</w:t>
      </w:r>
      <w:proofErr w:type="spellEnd"/>
      <w:r>
        <w:rPr>
          <w:rFonts w:eastAsia="Times New Roman"/>
          <w:color w:val="000000"/>
        </w:rPr>
        <w:t xml:space="preserve">, D. and </w:t>
      </w:r>
      <w:proofErr w:type="spellStart"/>
      <w:r>
        <w:rPr>
          <w:rFonts w:eastAsia="Times New Roman"/>
          <w:color w:val="000000"/>
        </w:rPr>
        <w:t>Bayugo</w:t>
      </w:r>
      <w:proofErr w:type="spellEnd"/>
      <w:r>
        <w:rPr>
          <w:rFonts w:eastAsia="Times New Roman"/>
          <w:color w:val="000000"/>
        </w:rPr>
        <w:t xml:space="preserve">, Y.V., 2021. A health promotion approach to emergency management: effective community engagement strategies from five cases. Health promotion international, 36(Supplement_1), </w:t>
      </w:r>
      <w:proofErr w:type="gramStart"/>
      <w:r>
        <w:rPr>
          <w:rFonts w:eastAsia="Times New Roman"/>
          <w:color w:val="000000"/>
        </w:rPr>
        <w:t>pp.i</w:t>
      </w:r>
      <w:proofErr w:type="gramEnd"/>
      <w:r>
        <w:rPr>
          <w:rFonts w:eastAsia="Times New Roman"/>
          <w:color w:val="000000"/>
        </w:rPr>
        <w:t>24-i38.</w:t>
      </w:r>
    </w:p>
    <w:p w14:paraId="0000002A" w14:textId="77777777" w:rsidR="00AE441E" w:rsidRDefault="00E4501B">
      <w:pPr>
        <w:numPr>
          <w:ilvl w:val="0"/>
          <w:numId w:val="1"/>
        </w:numPr>
        <w:pBdr>
          <w:top w:val="nil"/>
          <w:left w:val="nil"/>
          <w:bottom w:val="nil"/>
          <w:right w:val="nil"/>
          <w:between w:val="nil"/>
        </w:pBdr>
        <w:spacing w:after="0"/>
      </w:pPr>
      <w:proofErr w:type="spellStart"/>
      <w:r>
        <w:rPr>
          <w:rFonts w:eastAsia="Times New Roman"/>
          <w:color w:val="000000"/>
        </w:rPr>
        <w:t>Dahles</w:t>
      </w:r>
      <w:proofErr w:type="spellEnd"/>
      <w:r>
        <w:rPr>
          <w:rFonts w:eastAsia="Times New Roman"/>
          <w:color w:val="000000"/>
        </w:rPr>
        <w:t xml:space="preserve">, H., </w:t>
      </w:r>
      <w:proofErr w:type="spellStart"/>
      <w:r>
        <w:rPr>
          <w:rFonts w:eastAsia="Times New Roman"/>
          <w:color w:val="000000"/>
        </w:rPr>
        <w:t>Khieng</w:t>
      </w:r>
      <w:proofErr w:type="spellEnd"/>
      <w:r>
        <w:rPr>
          <w:rFonts w:eastAsia="Times New Roman"/>
          <w:color w:val="000000"/>
        </w:rPr>
        <w:t xml:space="preserve">, S., </w:t>
      </w:r>
      <w:proofErr w:type="spellStart"/>
      <w:r>
        <w:rPr>
          <w:rFonts w:eastAsia="Times New Roman"/>
          <w:color w:val="000000"/>
        </w:rPr>
        <w:t>Verver</w:t>
      </w:r>
      <w:proofErr w:type="spellEnd"/>
      <w:r>
        <w:rPr>
          <w:rFonts w:eastAsia="Times New Roman"/>
          <w:color w:val="000000"/>
        </w:rPr>
        <w:t xml:space="preserve">, M. and </w:t>
      </w:r>
      <w:proofErr w:type="spellStart"/>
      <w:r>
        <w:rPr>
          <w:rFonts w:eastAsia="Times New Roman"/>
          <w:color w:val="000000"/>
        </w:rPr>
        <w:t>Manders</w:t>
      </w:r>
      <w:proofErr w:type="spellEnd"/>
      <w:r>
        <w:rPr>
          <w:rFonts w:eastAsia="Times New Roman"/>
          <w:color w:val="000000"/>
        </w:rPr>
        <w:t>, I., 2020. Social entrepreneurship and tourism in Cambodia: advancing community engagement. Journal of Sustainable Tourism, 28(6), pp.816-833.</w:t>
      </w:r>
    </w:p>
    <w:p w14:paraId="0000002B" w14:textId="77777777" w:rsidR="00AE441E" w:rsidRDefault="00E4501B">
      <w:pPr>
        <w:numPr>
          <w:ilvl w:val="0"/>
          <w:numId w:val="1"/>
        </w:numPr>
        <w:pBdr>
          <w:top w:val="nil"/>
          <w:left w:val="nil"/>
          <w:bottom w:val="nil"/>
          <w:right w:val="nil"/>
          <w:between w:val="nil"/>
        </w:pBdr>
        <w:spacing w:after="0"/>
      </w:pPr>
      <w:r>
        <w:rPr>
          <w:rFonts w:eastAsia="Times New Roman"/>
          <w:color w:val="000000"/>
        </w:rPr>
        <w:t xml:space="preserve">Heggie, R., Briggs, A., Stanley, B., Good, R., </w:t>
      </w:r>
      <w:proofErr w:type="spellStart"/>
      <w:r>
        <w:rPr>
          <w:rFonts w:eastAsia="Times New Roman"/>
          <w:color w:val="000000"/>
        </w:rPr>
        <w:t>Rocchiccioli</w:t>
      </w:r>
      <w:proofErr w:type="spellEnd"/>
      <w:r>
        <w:rPr>
          <w:rFonts w:eastAsia="Times New Roman"/>
          <w:color w:val="000000"/>
        </w:rPr>
        <w:t xml:space="preserve">, P., </w:t>
      </w:r>
      <w:proofErr w:type="spellStart"/>
      <w:r>
        <w:rPr>
          <w:rFonts w:eastAsia="Times New Roman"/>
          <w:color w:val="000000"/>
        </w:rPr>
        <w:t>McEntegart</w:t>
      </w:r>
      <w:proofErr w:type="spellEnd"/>
      <w:r>
        <w:rPr>
          <w:rFonts w:eastAsia="Times New Roman"/>
          <w:color w:val="000000"/>
        </w:rPr>
        <w:t xml:space="preserve">, M., Watkins, S., </w:t>
      </w:r>
      <w:proofErr w:type="spellStart"/>
      <w:r>
        <w:rPr>
          <w:rFonts w:eastAsia="Times New Roman"/>
          <w:color w:val="000000"/>
        </w:rPr>
        <w:t>Eteiba</w:t>
      </w:r>
      <w:proofErr w:type="spellEnd"/>
      <w:r>
        <w:rPr>
          <w:rFonts w:eastAsia="Times New Roman"/>
          <w:color w:val="000000"/>
        </w:rPr>
        <w:t xml:space="preserve">, H., Shaukat, A., Lindsay, M. and Robertson, K., 2021. Stratified medicine using invasive coronary function testing in angina: A cost-effectiveness analysis of the British Heart Foundation </w:t>
      </w:r>
      <w:proofErr w:type="spellStart"/>
      <w:r>
        <w:rPr>
          <w:rFonts w:eastAsia="Times New Roman"/>
          <w:color w:val="000000"/>
        </w:rPr>
        <w:t>CorMicA</w:t>
      </w:r>
      <w:proofErr w:type="spellEnd"/>
      <w:r>
        <w:rPr>
          <w:rFonts w:eastAsia="Times New Roman"/>
          <w:color w:val="000000"/>
        </w:rPr>
        <w:t xml:space="preserve"> trial. International journal of cardiology, 337, pp.44-51.</w:t>
      </w:r>
    </w:p>
    <w:p w14:paraId="0000002C" w14:textId="77777777" w:rsidR="00AE441E" w:rsidRDefault="00E4501B">
      <w:pPr>
        <w:numPr>
          <w:ilvl w:val="0"/>
          <w:numId w:val="1"/>
        </w:numPr>
        <w:pBdr>
          <w:top w:val="nil"/>
          <w:left w:val="nil"/>
          <w:bottom w:val="nil"/>
          <w:right w:val="nil"/>
          <w:between w:val="nil"/>
        </w:pBdr>
        <w:spacing w:after="0"/>
      </w:pPr>
      <w:r>
        <w:rPr>
          <w:rFonts w:eastAsia="Times New Roman"/>
          <w:color w:val="000000"/>
        </w:rPr>
        <w:t>Lillo, S.R., 2019. In pursuit of community engagement: Unpacking the knowledge and skills associated with service-learning efforts. Journal of Research in International Education, 18(1), pp.3-22.</w:t>
      </w:r>
    </w:p>
    <w:p w14:paraId="0000002D" w14:textId="77777777" w:rsidR="00AE441E" w:rsidRDefault="00E4501B">
      <w:pPr>
        <w:numPr>
          <w:ilvl w:val="0"/>
          <w:numId w:val="1"/>
        </w:numPr>
        <w:pBdr>
          <w:top w:val="nil"/>
          <w:left w:val="nil"/>
          <w:bottom w:val="nil"/>
          <w:right w:val="nil"/>
          <w:between w:val="nil"/>
        </w:pBdr>
        <w:spacing w:after="0"/>
      </w:pPr>
      <w:r>
        <w:rPr>
          <w:rFonts w:eastAsia="Times New Roman"/>
          <w:color w:val="000000"/>
        </w:rPr>
        <w:t>Mercer, L. and Carter, L., 2018. An Intercultural Curriculum in a Leadership in Community Engagement Program: Linking Theory and Practice. Journal of Professional, Continuing, and Online Education, 3.</w:t>
      </w:r>
    </w:p>
    <w:p w14:paraId="0000002E" w14:textId="77777777" w:rsidR="00AE441E" w:rsidRDefault="00E4501B">
      <w:pPr>
        <w:numPr>
          <w:ilvl w:val="0"/>
          <w:numId w:val="1"/>
        </w:numPr>
        <w:pBdr>
          <w:top w:val="nil"/>
          <w:left w:val="nil"/>
          <w:bottom w:val="nil"/>
          <w:right w:val="nil"/>
          <w:between w:val="nil"/>
        </w:pBdr>
        <w:spacing w:after="0"/>
      </w:pPr>
      <w:r>
        <w:rPr>
          <w:rFonts w:eastAsia="Times New Roman"/>
          <w:color w:val="000000"/>
        </w:rPr>
        <w:t xml:space="preserve">Mitchell, J., Cooke, P., </w:t>
      </w:r>
      <w:proofErr w:type="spellStart"/>
      <w:r>
        <w:rPr>
          <w:rFonts w:eastAsia="Times New Roman"/>
          <w:color w:val="000000"/>
        </w:rPr>
        <w:t>Baral</w:t>
      </w:r>
      <w:proofErr w:type="spellEnd"/>
      <w:r>
        <w:rPr>
          <w:rFonts w:eastAsia="Times New Roman"/>
          <w:color w:val="000000"/>
        </w:rPr>
        <w:t xml:space="preserve">, S., Bull, N., Stones, C., </w:t>
      </w:r>
      <w:proofErr w:type="spellStart"/>
      <w:r>
        <w:rPr>
          <w:rFonts w:eastAsia="Times New Roman"/>
          <w:color w:val="000000"/>
        </w:rPr>
        <w:t>Tsekleves</w:t>
      </w:r>
      <w:proofErr w:type="spellEnd"/>
      <w:r>
        <w:rPr>
          <w:rFonts w:eastAsia="Times New Roman"/>
          <w:color w:val="000000"/>
        </w:rPr>
        <w:t xml:space="preserve">, E., </w:t>
      </w:r>
      <w:proofErr w:type="spellStart"/>
      <w:r>
        <w:rPr>
          <w:rFonts w:eastAsia="Times New Roman"/>
          <w:color w:val="000000"/>
        </w:rPr>
        <w:t>Verdezoto</w:t>
      </w:r>
      <w:proofErr w:type="spellEnd"/>
      <w:r>
        <w:rPr>
          <w:rFonts w:eastAsia="Times New Roman"/>
          <w:color w:val="000000"/>
        </w:rPr>
        <w:t xml:space="preserve">, N., </w:t>
      </w:r>
      <w:proofErr w:type="spellStart"/>
      <w:r>
        <w:rPr>
          <w:rFonts w:eastAsia="Times New Roman"/>
          <w:color w:val="000000"/>
        </w:rPr>
        <w:t>Arjyal</w:t>
      </w:r>
      <w:proofErr w:type="spellEnd"/>
      <w:r>
        <w:rPr>
          <w:rFonts w:eastAsia="Times New Roman"/>
          <w:color w:val="000000"/>
        </w:rPr>
        <w:t xml:space="preserve">, A., </w:t>
      </w:r>
      <w:proofErr w:type="spellStart"/>
      <w:r>
        <w:rPr>
          <w:rFonts w:eastAsia="Times New Roman"/>
          <w:color w:val="000000"/>
        </w:rPr>
        <w:t>Giri</w:t>
      </w:r>
      <w:proofErr w:type="spellEnd"/>
      <w:r>
        <w:rPr>
          <w:rFonts w:eastAsia="Times New Roman"/>
          <w:color w:val="000000"/>
        </w:rPr>
        <w:t>, R., Shrestha, A. and King, R., 2019. The values and principles underpinning community engagement approaches to tackling antimicrobial resistance (AMR). Global Health Action, 12(sup1), p.1837484.</w:t>
      </w:r>
    </w:p>
    <w:p w14:paraId="0000002F" w14:textId="77777777" w:rsidR="00AE441E" w:rsidRDefault="00E4501B">
      <w:pPr>
        <w:numPr>
          <w:ilvl w:val="0"/>
          <w:numId w:val="1"/>
        </w:numPr>
        <w:pBdr>
          <w:top w:val="nil"/>
          <w:left w:val="nil"/>
          <w:bottom w:val="nil"/>
          <w:right w:val="nil"/>
          <w:between w:val="nil"/>
        </w:pBdr>
        <w:spacing w:after="0"/>
      </w:pPr>
      <w:r>
        <w:rPr>
          <w:rFonts w:eastAsia="Times New Roman"/>
          <w:color w:val="000000"/>
        </w:rPr>
        <w:t>Ryan, B., Johnston, K.A., Taylor, M. and McAndrew, R., 2020. Community engagement for disaster preparedness: A systematic literature review. International journal of disaster risk reduction, 49, p.101655.</w:t>
      </w:r>
    </w:p>
    <w:p w14:paraId="00000030" w14:textId="77777777" w:rsidR="00AE441E" w:rsidRDefault="00E4501B">
      <w:pPr>
        <w:numPr>
          <w:ilvl w:val="0"/>
          <w:numId w:val="1"/>
        </w:numPr>
        <w:pBdr>
          <w:top w:val="nil"/>
          <w:left w:val="nil"/>
          <w:bottom w:val="nil"/>
          <w:right w:val="nil"/>
          <w:between w:val="nil"/>
        </w:pBdr>
        <w:spacing w:after="0"/>
      </w:pPr>
      <w:proofErr w:type="spellStart"/>
      <w:r>
        <w:rPr>
          <w:rFonts w:eastAsia="Times New Roman"/>
          <w:color w:val="000000"/>
        </w:rPr>
        <w:lastRenderedPageBreak/>
        <w:t>Satizábal</w:t>
      </w:r>
      <w:proofErr w:type="spellEnd"/>
      <w:r>
        <w:rPr>
          <w:rFonts w:eastAsia="Times New Roman"/>
          <w:color w:val="000000"/>
        </w:rPr>
        <w:t xml:space="preserve">, P., </w:t>
      </w:r>
      <w:proofErr w:type="spellStart"/>
      <w:r>
        <w:rPr>
          <w:rFonts w:eastAsia="Times New Roman"/>
          <w:color w:val="000000"/>
        </w:rPr>
        <w:t>Cornes</w:t>
      </w:r>
      <w:proofErr w:type="spellEnd"/>
      <w:r>
        <w:rPr>
          <w:rFonts w:eastAsia="Times New Roman"/>
          <w:color w:val="000000"/>
        </w:rPr>
        <w:t xml:space="preserve">, I., </w:t>
      </w:r>
      <w:proofErr w:type="spellStart"/>
      <w:r>
        <w:rPr>
          <w:rFonts w:eastAsia="Times New Roman"/>
          <w:color w:val="000000"/>
        </w:rPr>
        <w:t>Zurita</w:t>
      </w:r>
      <w:proofErr w:type="spellEnd"/>
      <w:r>
        <w:rPr>
          <w:rFonts w:eastAsia="Times New Roman"/>
          <w:color w:val="000000"/>
        </w:rPr>
        <w:t>, M.D.L.M. and Cook, B.R., 2022. The power of connection: Navigating the constraints of community engagement for disaster risk reduction. International Journal of Disaster Risk Reduction, 68, p.102699.</w:t>
      </w:r>
    </w:p>
    <w:p w14:paraId="00000031" w14:textId="77777777" w:rsidR="00AE441E" w:rsidRDefault="00AE441E">
      <w:pPr>
        <w:pBdr>
          <w:top w:val="nil"/>
          <w:left w:val="nil"/>
          <w:bottom w:val="nil"/>
          <w:right w:val="nil"/>
          <w:between w:val="nil"/>
        </w:pBdr>
        <w:ind w:left="720"/>
        <w:rPr>
          <w:rFonts w:eastAsia="Times New Roman"/>
          <w:color w:val="000000"/>
        </w:rPr>
      </w:pPr>
    </w:p>
    <w:p w14:paraId="00000032" w14:textId="77777777" w:rsidR="00AE441E" w:rsidRDefault="00AE441E"/>
    <w:sectPr w:rsidR="00AE441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A90A8" w14:textId="77777777" w:rsidR="00FC2E6D" w:rsidRDefault="00FC2E6D" w:rsidP="006E4881">
      <w:pPr>
        <w:spacing w:after="0" w:line="240" w:lineRule="auto"/>
      </w:pPr>
      <w:r>
        <w:separator/>
      </w:r>
    </w:p>
  </w:endnote>
  <w:endnote w:type="continuationSeparator" w:id="0">
    <w:p w14:paraId="2C85218A" w14:textId="77777777" w:rsidR="00FC2E6D" w:rsidRDefault="00FC2E6D" w:rsidP="006E4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869405"/>
      <w:docPartObj>
        <w:docPartGallery w:val="Page Numbers (Bottom of Page)"/>
        <w:docPartUnique/>
      </w:docPartObj>
    </w:sdtPr>
    <w:sdtEndPr>
      <w:rPr>
        <w:noProof/>
      </w:rPr>
    </w:sdtEndPr>
    <w:sdtContent>
      <w:p w14:paraId="4EA973FA" w14:textId="15B26BE6" w:rsidR="006E4881" w:rsidRDefault="006E48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6C1EE7" w14:textId="77777777" w:rsidR="006E4881" w:rsidRDefault="006E4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2FFD3" w14:textId="77777777" w:rsidR="00FC2E6D" w:rsidRDefault="00FC2E6D" w:rsidP="006E4881">
      <w:pPr>
        <w:spacing w:after="0" w:line="240" w:lineRule="auto"/>
      </w:pPr>
      <w:r>
        <w:separator/>
      </w:r>
    </w:p>
  </w:footnote>
  <w:footnote w:type="continuationSeparator" w:id="0">
    <w:p w14:paraId="6A9E86A3" w14:textId="77777777" w:rsidR="00FC2E6D" w:rsidRDefault="00FC2E6D" w:rsidP="006E4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100EF"/>
    <w:multiLevelType w:val="multilevel"/>
    <w:tmpl w:val="DFE048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B99591C"/>
    <w:multiLevelType w:val="multilevel"/>
    <w:tmpl w:val="AF76BA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95435335">
    <w:abstractNumId w:val="1"/>
  </w:num>
  <w:num w:numId="2" w16cid:durableId="126814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41E"/>
    <w:rsid w:val="004E5AB9"/>
    <w:rsid w:val="006E4881"/>
    <w:rsid w:val="00AE441E"/>
    <w:rsid w:val="00E4501B"/>
    <w:rsid w:val="00FC2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05A2"/>
  <w15:docId w15:val="{99AB41A0-2B9A-466B-9FEC-4EBD8B363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C69"/>
    <w:rPr>
      <w:rFonts w:eastAsiaTheme="minorEastAsia"/>
    </w:rPr>
  </w:style>
  <w:style w:type="paragraph" w:styleId="Heading1">
    <w:name w:val="heading 1"/>
    <w:basedOn w:val="Normal"/>
    <w:next w:val="Normal"/>
    <w:link w:val="Heading1Char"/>
    <w:uiPriority w:val="9"/>
    <w:qFormat/>
    <w:rsid w:val="006E4881"/>
    <w:pPr>
      <w:keepNext/>
      <w:keepLines/>
      <w:spacing w:before="240"/>
      <w:jc w:val="center"/>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6E4881"/>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link w:val="Heading5Char"/>
    <w:uiPriority w:val="9"/>
    <w:semiHidden/>
    <w:unhideWhenUsed/>
    <w:qFormat/>
    <w:rsid w:val="001549D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391E"/>
    <w:pPr>
      <w:spacing w:after="0" w:line="240" w:lineRule="auto"/>
    </w:pPr>
    <w:rPr>
      <w:rFonts w:ascii="Cambria" w:eastAsia="Cambria" w:hAnsi="Cambria" w:cs="Cambria"/>
      <w:b/>
      <w:sz w:val="96"/>
      <w:szCs w:val="96"/>
    </w:rPr>
  </w:style>
  <w:style w:type="character" w:customStyle="1" w:styleId="Heading1Char">
    <w:name w:val="Heading 1 Char"/>
    <w:basedOn w:val="DefaultParagraphFont"/>
    <w:link w:val="Heading1"/>
    <w:uiPriority w:val="9"/>
    <w:rsid w:val="006E4881"/>
    <w:rPr>
      <w:rFonts w:eastAsiaTheme="majorEastAsia" w:cstheme="majorBidi"/>
      <w:b/>
      <w:color w:val="000000" w:themeColor="text1"/>
      <w:sz w:val="32"/>
      <w:szCs w:val="32"/>
      <w:u w:val="single"/>
    </w:rPr>
  </w:style>
  <w:style w:type="character" w:customStyle="1" w:styleId="Heading2Char">
    <w:name w:val="Heading 2 Char"/>
    <w:basedOn w:val="DefaultParagraphFont"/>
    <w:link w:val="Heading2"/>
    <w:uiPriority w:val="9"/>
    <w:rsid w:val="006E4881"/>
    <w:rPr>
      <w:rFonts w:eastAsiaTheme="majorEastAsia" w:cstheme="majorBidi"/>
      <w:b/>
      <w:color w:val="000000" w:themeColor="text1"/>
      <w:sz w:val="28"/>
      <w:szCs w:val="26"/>
    </w:rPr>
  </w:style>
  <w:style w:type="character" w:customStyle="1" w:styleId="TitleChar">
    <w:name w:val="Title Char"/>
    <w:basedOn w:val="DefaultParagraphFont"/>
    <w:link w:val="Title"/>
    <w:uiPriority w:val="10"/>
    <w:rsid w:val="0017391E"/>
    <w:rPr>
      <w:rFonts w:ascii="Cambria" w:eastAsia="Cambria" w:hAnsi="Cambria" w:cs="Cambria"/>
      <w:b/>
      <w:sz w:val="96"/>
      <w:szCs w:val="96"/>
      <w:lang w:val="en-GB"/>
    </w:rPr>
  </w:style>
  <w:style w:type="paragraph" w:styleId="NormalWeb">
    <w:name w:val="Normal (Web)"/>
    <w:basedOn w:val="Normal"/>
    <w:uiPriority w:val="99"/>
    <w:semiHidden/>
    <w:unhideWhenUsed/>
    <w:rsid w:val="0010517F"/>
    <w:pPr>
      <w:spacing w:before="100" w:beforeAutospacing="1" w:after="100" w:afterAutospacing="1" w:line="240" w:lineRule="auto"/>
      <w:jc w:val="left"/>
    </w:pPr>
    <w:rPr>
      <w:rFonts w:eastAsia="Times New Roman"/>
      <w:lang w:val="en-US"/>
    </w:rPr>
  </w:style>
  <w:style w:type="character" w:styleId="Hyperlink">
    <w:name w:val="Hyperlink"/>
    <w:basedOn w:val="DefaultParagraphFont"/>
    <w:uiPriority w:val="99"/>
    <w:unhideWhenUsed/>
    <w:rsid w:val="0010517F"/>
    <w:rPr>
      <w:color w:val="0000FF"/>
      <w:u w:val="single"/>
    </w:rPr>
  </w:style>
  <w:style w:type="character" w:customStyle="1" w:styleId="Heading5Char">
    <w:name w:val="Heading 5 Char"/>
    <w:basedOn w:val="DefaultParagraphFont"/>
    <w:link w:val="Heading5"/>
    <w:uiPriority w:val="9"/>
    <w:semiHidden/>
    <w:rsid w:val="001549DB"/>
    <w:rPr>
      <w:rFonts w:asciiTheme="majorHAnsi" w:eastAsiaTheme="majorEastAsia" w:hAnsiTheme="majorHAnsi" w:cstheme="majorBidi"/>
      <w:color w:val="2F5496" w:themeColor="accent1" w:themeShade="BF"/>
      <w:sz w:val="24"/>
      <w:lang w:val="en-GB"/>
    </w:rPr>
  </w:style>
  <w:style w:type="paragraph" w:styleId="ListParagraph">
    <w:name w:val="List Paragraph"/>
    <w:basedOn w:val="Normal"/>
    <w:uiPriority w:val="34"/>
    <w:qFormat/>
    <w:rsid w:val="00DE7106"/>
    <w:pPr>
      <w:ind w:left="720"/>
      <w:contextualSpacing/>
    </w:pPr>
  </w:style>
  <w:style w:type="character" w:customStyle="1" w:styleId="hgkelc">
    <w:name w:val="hgkelc"/>
    <w:basedOn w:val="DefaultParagraphFont"/>
    <w:rsid w:val="00435231"/>
  </w:style>
  <w:style w:type="paragraph" w:customStyle="1" w:styleId="Default">
    <w:name w:val="Default"/>
    <w:rsid w:val="00657527"/>
    <w:pPr>
      <w:autoSpaceDE w:val="0"/>
      <w:autoSpaceDN w:val="0"/>
      <w:adjustRightInd w:val="0"/>
      <w:spacing w:after="0" w:line="240" w:lineRule="auto"/>
    </w:pPr>
    <w:rPr>
      <w:rFonts w:ascii="Arial" w:hAnsi="Arial" w:cs="Arial"/>
      <w:color w:val="00000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6E4881"/>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E4881"/>
    <w:pPr>
      <w:spacing w:after="100"/>
    </w:pPr>
  </w:style>
  <w:style w:type="paragraph" w:styleId="TOC2">
    <w:name w:val="toc 2"/>
    <w:basedOn w:val="Normal"/>
    <w:next w:val="Normal"/>
    <w:autoRedefine/>
    <w:uiPriority w:val="39"/>
    <w:unhideWhenUsed/>
    <w:rsid w:val="006E4881"/>
    <w:pPr>
      <w:spacing w:after="100"/>
      <w:ind w:left="240"/>
    </w:pPr>
  </w:style>
  <w:style w:type="paragraph" w:styleId="Header">
    <w:name w:val="header"/>
    <w:basedOn w:val="Normal"/>
    <w:link w:val="HeaderChar"/>
    <w:uiPriority w:val="99"/>
    <w:unhideWhenUsed/>
    <w:rsid w:val="006E48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4881"/>
    <w:rPr>
      <w:rFonts w:eastAsiaTheme="minorEastAsia"/>
    </w:rPr>
  </w:style>
  <w:style w:type="paragraph" w:styleId="Footer">
    <w:name w:val="footer"/>
    <w:basedOn w:val="Normal"/>
    <w:link w:val="FooterChar"/>
    <w:uiPriority w:val="99"/>
    <w:unhideWhenUsed/>
    <w:rsid w:val="006E48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88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go:docsCustomData xmlns:go="http://customooxmlschemas.google.com/" roundtripDataSignature="AMtx7miuTILkHFWnGuxpKbraS4pUTmX30Q==">AMUW2mWsY9fYddpK6DZGdwnk3QwzE3QQrsLa0W1ZwcMI2uM3TnVAKmIK8aj3jbThtg5bZAbkJ9mwOoJaRSzZQULXzixwNE6yL/wU1SN+nBnqsLPzu1b7EeA=</go:docsCustomData>
</go:gDocsCustomXmlDataStorage>
</file>

<file path=customXml/itemProps1.xml><?xml version="1.0" encoding="utf-8"?>
<ds:datastoreItem xmlns:ds="http://schemas.openxmlformats.org/officeDocument/2006/customXml" ds:itemID="{9CED109A-E383-4337-AED4-33DCE1464E9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2536</Words>
  <Characters>14459</Characters>
  <Application>Microsoft Office Word</Application>
  <DocSecurity>0</DocSecurity>
  <Lines>120</Lines>
  <Paragraphs>33</Paragraphs>
  <ScaleCrop>false</ScaleCrop>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Sabrina Belcianu</cp:lastModifiedBy>
  <cp:revision>2</cp:revision>
  <dcterms:created xsi:type="dcterms:W3CDTF">2022-04-09T17:26:00Z</dcterms:created>
  <dcterms:modified xsi:type="dcterms:W3CDTF">2022-04-29T15:53:00Z</dcterms:modified>
</cp:coreProperties>
</file>