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8A2BC" w14:textId="77777777" w:rsidR="00C20870" w:rsidRPr="00C20870" w:rsidRDefault="00C20870" w:rsidP="00C20870">
      <w:pPr>
        <w:jc w:val="center"/>
        <w:rPr>
          <w:rFonts w:ascii="Times New Roman" w:hAnsi="Times New Roman" w:cs="Times New Roman"/>
          <w:b/>
          <w:bCs/>
          <w:color w:val="FF0000"/>
          <w:sz w:val="28"/>
        </w:rPr>
      </w:pPr>
      <w:r w:rsidRPr="00C20870">
        <w:rPr>
          <w:rFonts w:ascii="Times New Roman" w:hAnsi="Times New Roman" w:cs="Times New Roman"/>
          <w:b/>
          <w:bCs/>
          <w:color w:val="FF0000"/>
          <w:sz w:val="28"/>
        </w:rPr>
        <w:t xml:space="preserve">The Enlightenment of </w:t>
      </w:r>
      <w:proofErr w:type="spellStart"/>
      <w:r w:rsidRPr="00C20870">
        <w:rPr>
          <w:rFonts w:ascii="Times New Roman" w:hAnsi="Times New Roman" w:cs="Times New Roman"/>
          <w:b/>
          <w:bCs/>
          <w:color w:val="FF0000"/>
          <w:sz w:val="28"/>
        </w:rPr>
        <w:t>LeTV's</w:t>
      </w:r>
      <w:proofErr w:type="spellEnd"/>
      <w:r w:rsidRPr="00C20870">
        <w:rPr>
          <w:rFonts w:ascii="Times New Roman" w:hAnsi="Times New Roman" w:cs="Times New Roman"/>
          <w:b/>
          <w:bCs/>
          <w:color w:val="FF0000"/>
          <w:sz w:val="28"/>
        </w:rPr>
        <w:t xml:space="preserve"> </w:t>
      </w:r>
      <w:bookmarkStart w:id="0" w:name="_Hlk130844936"/>
      <w:r w:rsidRPr="00C20870">
        <w:rPr>
          <w:rFonts w:ascii="Times New Roman" w:hAnsi="Times New Roman" w:cs="Times New Roman"/>
          <w:b/>
          <w:bCs/>
          <w:color w:val="FF0000"/>
          <w:sz w:val="28"/>
        </w:rPr>
        <w:t>Earnings Management</w:t>
      </w:r>
      <w:bookmarkEnd w:id="0"/>
      <w:r w:rsidRPr="00C20870">
        <w:rPr>
          <w:rFonts w:ascii="Times New Roman" w:hAnsi="Times New Roman" w:cs="Times New Roman"/>
          <w:b/>
          <w:bCs/>
          <w:color w:val="FF0000"/>
          <w:sz w:val="28"/>
        </w:rPr>
        <w:t xml:space="preserve"> History on UK Earnings Management Governance</w:t>
      </w:r>
    </w:p>
    <w:p w14:paraId="019C73B8" w14:textId="77777777" w:rsidR="00811E6F" w:rsidRDefault="00000000">
      <w:pPr>
        <w:jc w:val="center"/>
        <w:rPr>
          <w:rFonts w:ascii="Times New Roman" w:hAnsi="Times New Roman" w:cs="Times New Roman"/>
        </w:rPr>
      </w:pPr>
      <w:r>
        <w:rPr>
          <w:rFonts w:ascii="Times New Roman" w:hAnsi="Times New Roman" w:cs="Times New Roman"/>
          <w:noProof/>
        </w:rPr>
        <w:drawing>
          <wp:inline distT="0" distB="0" distL="0" distR="0" wp14:anchorId="0B20BDAB" wp14:editId="7D1126DA">
            <wp:extent cx="3543685" cy="3676650"/>
            <wp:effectExtent l="0" t="0" r="0" b="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rotWithShape="1">
                    <a:blip r:embed="rId8"/>
                    <a:srcRect l="23384" t="11634" r="22524" b="35611"/>
                    <a:stretch/>
                  </pic:blipFill>
                  <pic:spPr bwMode="auto">
                    <a:xfrm>
                      <a:off x="0" y="0"/>
                      <a:ext cx="3558223" cy="3691733"/>
                    </a:xfrm>
                    <a:prstGeom prst="rect">
                      <a:avLst/>
                    </a:prstGeom>
                    <a:ln>
                      <a:noFill/>
                    </a:ln>
                    <a:extLst>
                      <a:ext uri="{53640926-AAD7-44D8-BBD7-CCE9431645EC}">
                        <a14:shadowObscured xmlns:a14="http://schemas.microsoft.com/office/drawing/2010/main"/>
                      </a:ext>
                    </a:extLst>
                  </pic:spPr>
                </pic:pic>
              </a:graphicData>
            </a:graphic>
          </wp:inline>
        </w:drawing>
      </w:r>
    </w:p>
    <w:p w14:paraId="6A1013D6" w14:textId="19417CD2" w:rsidR="00811E6F" w:rsidRPr="00C20870" w:rsidRDefault="00000000">
      <w:pPr>
        <w:spacing w:line="480" w:lineRule="auto"/>
        <w:jc w:val="left"/>
        <w:rPr>
          <w:rFonts w:ascii="Times New Roman" w:hAnsi="Times New Roman" w:cs="Times New Roman"/>
          <w:b/>
          <w:bCs/>
          <w:sz w:val="22"/>
          <w:lang w:val="en-GB"/>
        </w:rPr>
      </w:pPr>
      <w:r>
        <w:rPr>
          <w:rFonts w:ascii="Times New Roman" w:hAnsi="Times New Roman" w:cs="Times New Roman"/>
          <w:b/>
          <w:color w:val="FF0000"/>
          <w:sz w:val="24"/>
        </w:rPr>
        <w:t>Module name</w:t>
      </w:r>
      <w:r>
        <w:rPr>
          <w:rFonts w:ascii="Times New Roman" w:hAnsi="Times New Roman" w:cs="Times New Roman"/>
          <w:b/>
          <w:color w:val="FF0000"/>
          <w:sz w:val="24"/>
        </w:rPr>
        <w:t>：</w:t>
      </w:r>
      <w:r w:rsidR="00C20870" w:rsidRPr="00C20870">
        <w:rPr>
          <w:rFonts w:ascii="Times New Roman" w:hAnsi="Times New Roman" w:cs="Times New Roman"/>
          <w:b/>
          <w:bCs/>
          <w:sz w:val="22"/>
          <w:lang w:val="en-GB"/>
        </w:rPr>
        <w:t>Corporate Governance</w:t>
      </w:r>
      <w:r>
        <w:rPr>
          <w:rFonts w:ascii="Times New Roman" w:hAnsi="Times New Roman" w:cs="Times New Roman"/>
          <w:b/>
          <w:sz w:val="22"/>
        </w:rPr>
        <w:t xml:space="preserve"> BMMB70</w:t>
      </w:r>
      <w:r w:rsidR="00C20870">
        <w:rPr>
          <w:rFonts w:ascii="Times New Roman" w:hAnsi="Times New Roman" w:cs="Times New Roman"/>
          <w:b/>
          <w:sz w:val="22"/>
        </w:rPr>
        <w:t>18</w:t>
      </w:r>
    </w:p>
    <w:p w14:paraId="05D5E937" w14:textId="77777777" w:rsidR="00811E6F" w:rsidRDefault="00000000">
      <w:pPr>
        <w:spacing w:line="480" w:lineRule="auto"/>
        <w:jc w:val="left"/>
        <w:rPr>
          <w:rFonts w:ascii="Times New Roman" w:hAnsi="Times New Roman" w:cs="Times New Roman"/>
          <w:b/>
          <w:color w:val="FF0000"/>
          <w:sz w:val="24"/>
        </w:rPr>
      </w:pPr>
      <w:r>
        <w:rPr>
          <w:rFonts w:ascii="Times New Roman" w:hAnsi="Times New Roman" w:cs="Times New Roman"/>
          <w:b/>
          <w:color w:val="FF0000"/>
          <w:sz w:val="24"/>
        </w:rPr>
        <w:t>Name</w:t>
      </w:r>
      <w:r>
        <w:rPr>
          <w:rFonts w:ascii="Times New Roman" w:hAnsi="Times New Roman" w:cs="Times New Roman"/>
          <w:b/>
          <w:color w:val="FF0000"/>
          <w:sz w:val="24"/>
        </w:rPr>
        <w:t>：</w:t>
      </w:r>
      <w:proofErr w:type="spellStart"/>
      <w:r>
        <w:rPr>
          <w:rFonts w:ascii="Times New Roman" w:hAnsi="Times New Roman" w:cs="Times New Roman"/>
          <w:b/>
          <w:sz w:val="22"/>
        </w:rPr>
        <w:t>Nanfei</w:t>
      </w:r>
      <w:proofErr w:type="spellEnd"/>
      <w:r>
        <w:rPr>
          <w:rFonts w:ascii="Times New Roman" w:hAnsi="Times New Roman" w:cs="Times New Roman"/>
          <w:b/>
          <w:sz w:val="22"/>
        </w:rPr>
        <w:t xml:space="preserve"> Yan</w:t>
      </w:r>
    </w:p>
    <w:p w14:paraId="7A609435" w14:textId="7D3136DB" w:rsidR="00811E6F" w:rsidRDefault="00000000" w:rsidP="00EC78D8">
      <w:pPr>
        <w:tabs>
          <w:tab w:val="left" w:pos="3120"/>
        </w:tabs>
        <w:spacing w:line="480" w:lineRule="auto"/>
        <w:jc w:val="left"/>
        <w:rPr>
          <w:rFonts w:ascii="Times New Roman" w:hAnsi="Times New Roman" w:cs="Times New Roman"/>
          <w:b/>
          <w:sz w:val="22"/>
        </w:rPr>
      </w:pPr>
      <w:r>
        <w:rPr>
          <w:rFonts w:ascii="Times New Roman" w:hAnsi="Times New Roman" w:cs="Times New Roman"/>
          <w:b/>
          <w:color w:val="FF0000"/>
          <w:sz w:val="24"/>
        </w:rPr>
        <w:t>student number</w:t>
      </w:r>
      <w:r>
        <w:rPr>
          <w:rFonts w:ascii="Times New Roman" w:hAnsi="Times New Roman" w:cs="Times New Roman"/>
          <w:b/>
          <w:color w:val="FF0000"/>
          <w:sz w:val="24"/>
        </w:rPr>
        <w:t>：</w:t>
      </w:r>
      <w:r>
        <w:rPr>
          <w:rFonts w:ascii="Times New Roman" w:hAnsi="Times New Roman" w:cs="Times New Roman"/>
          <w:b/>
          <w:sz w:val="22"/>
        </w:rPr>
        <w:t>2203497</w:t>
      </w:r>
      <w:r w:rsidR="00EC78D8">
        <w:rPr>
          <w:rFonts w:ascii="Times New Roman" w:hAnsi="Times New Roman" w:cs="Times New Roman"/>
          <w:b/>
          <w:sz w:val="22"/>
        </w:rPr>
        <w:tab/>
      </w:r>
    </w:p>
    <w:p w14:paraId="66229C0E" w14:textId="77777777" w:rsidR="00811E6F" w:rsidRDefault="00000000">
      <w:pPr>
        <w:jc w:val="left"/>
        <w:rPr>
          <w:rFonts w:ascii="Times New Roman" w:hAnsi="Times New Roman" w:cs="Times New Roman"/>
          <w:b/>
          <w:color w:val="FF0000"/>
          <w:sz w:val="24"/>
        </w:rPr>
      </w:pPr>
      <w:r>
        <w:rPr>
          <w:rFonts w:ascii="Times New Roman" w:hAnsi="Times New Roman" w:cs="Times New Roman"/>
          <w:b/>
          <w:color w:val="FF0000"/>
          <w:sz w:val="24"/>
        </w:rPr>
        <w:br w:type="page"/>
      </w:r>
    </w:p>
    <w:p w14:paraId="58C9A704" w14:textId="77777777" w:rsidR="00811E6F" w:rsidRDefault="00000000">
      <w:pPr>
        <w:rPr>
          <w:rFonts w:ascii="Times New Roman" w:hAnsi="Times New Roman" w:cs="Times New Roman"/>
          <w:b/>
          <w:sz w:val="32"/>
        </w:rPr>
      </w:pPr>
      <w:r>
        <w:rPr>
          <w:rFonts w:ascii="Times New Roman" w:hAnsi="Times New Roman" w:cs="Times New Roman"/>
          <w:b/>
          <w:sz w:val="32"/>
        </w:rPr>
        <w:lastRenderedPageBreak/>
        <w:t>Table of contents</w:t>
      </w:r>
    </w:p>
    <w:p w14:paraId="5015D12A" w14:textId="62704B90" w:rsidR="00EC78D8" w:rsidRPr="00EC78D8" w:rsidRDefault="00000000">
      <w:pPr>
        <w:pStyle w:val="TOC1"/>
        <w:tabs>
          <w:tab w:val="right" w:leader="dot" w:pos="8296"/>
        </w:tabs>
        <w:rPr>
          <w:rFonts w:ascii="Times New Roman" w:hAnsi="Times New Roman" w:cs="Times New Roman"/>
          <w:noProof/>
          <w:sz w:val="24"/>
          <w:szCs w:val="28"/>
        </w:rPr>
      </w:pPr>
      <w:r w:rsidRPr="00EC78D8">
        <w:rPr>
          <w:rFonts w:ascii="Times New Roman" w:hAnsi="Times New Roman" w:cs="Times New Roman"/>
          <w:b/>
          <w:color w:val="FF0000"/>
          <w:sz w:val="24"/>
          <w:szCs w:val="24"/>
        </w:rPr>
        <w:fldChar w:fldCharType="begin"/>
      </w:r>
      <w:r w:rsidRPr="00EC78D8">
        <w:rPr>
          <w:rFonts w:ascii="Times New Roman" w:hAnsi="Times New Roman" w:cs="Times New Roman"/>
          <w:b/>
          <w:color w:val="FF0000"/>
          <w:sz w:val="24"/>
          <w:szCs w:val="24"/>
        </w:rPr>
        <w:instrText xml:space="preserve"> TOC \o "1-2" \h \z \u </w:instrText>
      </w:r>
      <w:r w:rsidRPr="00EC78D8">
        <w:rPr>
          <w:rFonts w:ascii="Times New Roman" w:hAnsi="Times New Roman" w:cs="Times New Roman"/>
          <w:b/>
          <w:color w:val="FF0000"/>
          <w:sz w:val="24"/>
          <w:szCs w:val="24"/>
        </w:rPr>
        <w:fldChar w:fldCharType="separate"/>
      </w:r>
      <w:hyperlink w:anchor="_Toc130904050" w:history="1">
        <w:r w:rsidR="00EC78D8" w:rsidRPr="00EC78D8">
          <w:rPr>
            <w:rStyle w:val="ac"/>
            <w:rFonts w:ascii="Times New Roman" w:eastAsia="Times New Roman" w:hAnsi="Times New Roman" w:cs="Times New Roman"/>
            <w:noProof/>
            <w:sz w:val="24"/>
            <w:szCs w:val="28"/>
          </w:rPr>
          <w:t>Executive summary</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_Toc130904050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w:t>
        </w:r>
        <w:r w:rsidR="00EC78D8" w:rsidRPr="00EC78D8">
          <w:rPr>
            <w:rFonts w:ascii="Times New Roman" w:hAnsi="Times New Roman" w:cs="Times New Roman"/>
            <w:noProof/>
            <w:webHidden/>
            <w:sz w:val="24"/>
            <w:szCs w:val="28"/>
          </w:rPr>
          <w:fldChar w:fldCharType="end"/>
        </w:r>
      </w:hyperlink>
    </w:p>
    <w:p w14:paraId="70060F19" w14:textId="0CBF74B4" w:rsidR="00EC78D8" w:rsidRPr="00EC78D8" w:rsidRDefault="00000000" w:rsidP="00EC78D8">
      <w:pPr>
        <w:pStyle w:val="TOC1"/>
        <w:tabs>
          <w:tab w:val="right" w:leader="dot" w:pos="8296"/>
        </w:tabs>
        <w:rPr>
          <w:rFonts w:ascii="Times New Roman" w:hAnsi="Times New Roman" w:cs="Times New Roman"/>
          <w:noProof/>
          <w:sz w:val="24"/>
          <w:szCs w:val="28"/>
        </w:rPr>
      </w:pPr>
      <w:hyperlink w:anchor="_Toc130904051" w:history="1">
        <w:r w:rsidR="00EC78D8" w:rsidRPr="00EC78D8">
          <w:rPr>
            <w:rStyle w:val="ac"/>
            <w:rFonts w:ascii="Times New Roman" w:eastAsia="Times New Roman" w:hAnsi="Times New Roman" w:cs="Times New Roman"/>
            <w:noProof/>
            <w:sz w:val="24"/>
            <w:szCs w:val="28"/>
          </w:rPr>
          <w:t>1.</w:t>
        </w:r>
        <w:r w:rsidR="00EC78D8">
          <w:rPr>
            <w:rStyle w:val="ac"/>
            <w:rFonts w:ascii="Times New Roman" w:eastAsia="Times New Roman" w:hAnsi="Times New Roman" w:cs="Times New Roman"/>
            <w:noProof/>
            <w:sz w:val="24"/>
            <w:szCs w:val="28"/>
          </w:rPr>
          <w:t xml:space="preserve"> </w:t>
        </w:r>
        <w:r w:rsidR="00EC78D8" w:rsidRPr="00EC78D8">
          <w:rPr>
            <w:rStyle w:val="ac"/>
            <w:rFonts w:ascii="Times New Roman" w:eastAsia="Times New Roman" w:hAnsi="Times New Roman" w:cs="Times New Roman"/>
            <w:noProof/>
            <w:sz w:val="24"/>
            <w:szCs w:val="28"/>
          </w:rPr>
          <w:t>Research Value and Definition of Earnings Management</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_Toc130904051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w:t>
        </w:r>
        <w:r w:rsidR="00EC78D8" w:rsidRPr="00EC78D8">
          <w:rPr>
            <w:rFonts w:ascii="Times New Roman" w:hAnsi="Times New Roman" w:cs="Times New Roman"/>
            <w:noProof/>
            <w:webHidden/>
            <w:sz w:val="24"/>
            <w:szCs w:val="28"/>
          </w:rPr>
          <w:fldChar w:fldCharType="end"/>
        </w:r>
      </w:hyperlink>
    </w:p>
    <w:p w14:paraId="337E1FEE" w14:textId="451DEEEA" w:rsidR="00EC78D8" w:rsidRPr="00EC78D8" w:rsidRDefault="00000000">
      <w:pPr>
        <w:pStyle w:val="TOC2"/>
        <w:tabs>
          <w:tab w:val="right" w:leader="dot" w:pos="8296"/>
        </w:tabs>
        <w:rPr>
          <w:rFonts w:ascii="Times New Roman" w:hAnsi="Times New Roman" w:cs="Times New Roman"/>
          <w:noProof/>
          <w:sz w:val="24"/>
          <w:szCs w:val="28"/>
        </w:rPr>
      </w:pPr>
      <w:hyperlink w:anchor="_Toc130904052" w:history="1">
        <w:r w:rsidR="00EC78D8" w:rsidRPr="00EC78D8">
          <w:rPr>
            <w:rStyle w:val="ac"/>
            <w:rFonts w:ascii="Times New Roman" w:hAnsi="Times New Roman" w:cs="Times New Roman"/>
            <w:noProof/>
            <w:sz w:val="24"/>
            <w:szCs w:val="28"/>
          </w:rPr>
          <w:t>1.1 Research Value of Earnings Management</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_Toc130904052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w:t>
        </w:r>
        <w:r w:rsidR="00EC78D8" w:rsidRPr="00EC78D8">
          <w:rPr>
            <w:rFonts w:ascii="Times New Roman" w:hAnsi="Times New Roman" w:cs="Times New Roman"/>
            <w:noProof/>
            <w:webHidden/>
            <w:sz w:val="24"/>
            <w:szCs w:val="28"/>
          </w:rPr>
          <w:fldChar w:fldCharType="end"/>
        </w:r>
      </w:hyperlink>
    </w:p>
    <w:p w14:paraId="089BAC08" w14:textId="04E974A4" w:rsidR="00EC78D8" w:rsidRPr="00EC78D8" w:rsidRDefault="00000000" w:rsidP="00EC78D8">
      <w:pPr>
        <w:pStyle w:val="TOC2"/>
        <w:tabs>
          <w:tab w:val="left" w:pos="810"/>
          <w:tab w:val="right" w:leader="dot" w:pos="8296"/>
        </w:tabs>
        <w:rPr>
          <w:rFonts w:ascii="Times New Roman" w:hAnsi="Times New Roman" w:cs="Times New Roman"/>
          <w:noProof/>
          <w:sz w:val="24"/>
          <w:szCs w:val="28"/>
        </w:rPr>
      </w:pPr>
      <w:hyperlink w:anchor="_Toc130904053" w:history="1">
        <w:r w:rsidR="00EC78D8" w:rsidRPr="00EC78D8">
          <w:rPr>
            <w:rStyle w:val="ac"/>
            <w:rFonts w:ascii="Times New Roman" w:hAnsi="Times New Roman" w:cs="Times New Roman"/>
            <w:noProof/>
            <w:sz w:val="24"/>
            <w:szCs w:val="28"/>
          </w:rPr>
          <w:t>1.2</w:t>
        </w:r>
        <w:r w:rsidR="00EC78D8" w:rsidRPr="00EC78D8">
          <w:rPr>
            <w:rFonts w:ascii="Times New Roman" w:hAnsi="Times New Roman" w:cs="Times New Roman"/>
            <w:noProof/>
            <w:sz w:val="24"/>
            <w:szCs w:val="28"/>
          </w:rPr>
          <w:tab/>
        </w:r>
        <w:r w:rsidR="00EC78D8" w:rsidRPr="00EC78D8">
          <w:rPr>
            <w:rStyle w:val="ac"/>
            <w:rFonts w:ascii="Times New Roman" w:hAnsi="Times New Roman" w:cs="Times New Roman"/>
            <w:noProof/>
            <w:sz w:val="24"/>
            <w:szCs w:val="28"/>
          </w:rPr>
          <w:t>Definition of Earnings Management</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_Toc130904053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2</w:t>
        </w:r>
        <w:r w:rsidR="00EC78D8" w:rsidRPr="00EC78D8">
          <w:rPr>
            <w:rFonts w:ascii="Times New Roman" w:hAnsi="Times New Roman" w:cs="Times New Roman"/>
            <w:noProof/>
            <w:webHidden/>
            <w:sz w:val="24"/>
            <w:szCs w:val="28"/>
          </w:rPr>
          <w:fldChar w:fldCharType="end"/>
        </w:r>
      </w:hyperlink>
    </w:p>
    <w:p w14:paraId="572355B8" w14:textId="422DA898" w:rsidR="00EC78D8" w:rsidRPr="00EC78D8" w:rsidRDefault="00000000" w:rsidP="00EC78D8">
      <w:pPr>
        <w:pStyle w:val="TOC1"/>
        <w:tabs>
          <w:tab w:val="right" w:leader="dot" w:pos="8296"/>
        </w:tabs>
        <w:rPr>
          <w:rFonts w:ascii="Times New Roman" w:hAnsi="Times New Roman" w:cs="Times New Roman"/>
          <w:noProof/>
          <w:sz w:val="24"/>
          <w:szCs w:val="28"/>
        </w:rPr>
      </w:pPr>
      <w:hyperlink w:anchor="_Toc130904054" w:history="1">
        <w:r w:rsidR="00EC78D8" w:rsidRPr="00EC78D8">
          <w:rPr>
            <w:rStyle w:val="ac"/>
            <w:rFonts w:ascii="Times New Roman" w:eastAsia="Times New Roman" w:hAnsi="Times New Roman" w:cs="Times New Roman"/>
            <w:noProof/>
            <w:sz w:val="24"/>
            <w:szCs w:val="28"/>
          </w:rPr>
          <w:t>2.</w:t>
        </w:r>
        <w:r w:rsidR="00EC78D8">
          <w:rPr>
            <w:rStyle w:val="ac"/>
            <w:rFonts w:ascii="Times New Roman" w:eastAsia="Times New Roman" w:hAnsi="Times New Roman" w:cs="Times New Roman"/>
            <w:noProof/>
            <w:sz w:val="24"/>
            <w:szCs w:val="28"/>
          </w:rPr>
          <w:t xml:space="preserve"> </w:t>
        </w:r>
        <w:r w:rsidR="00EC78D8" w:rsidRPr="00EC78D8">
          <w:rPr>
            <w:rStyle w:val="ac"/>
            <w:rFonts w:ascii="Times New Roman" w:eastAsia="Times New Roman" w:hAnsi="Times New Roman" w:cs="Times New Roman"/>
            <w:noProof/>
            <w:sz w:val="24"/>
            <w:szCs w:val="28"/>
          </w:rPr>
          <w:t>Introduction to LeTV</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_Toc130904054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3</w:t>
        </w:r>
        <w:r w:rsidR="00EC78D8" w:rsidRPr="00EC78D8">
          <w:rPr>
            <w:rFonts w:ascii="Times New Roman" w:hAnsi="Times New Roman" w:cs="Times New Roman"/>
            <w:noProof/>
            <w:webHidden/>
            <w:sz w:val="24"/>
            <w:szCs w:val="28"/>
          </w:rPr>
          <w:fldChar w:fldCharType="end"/>
        </w:r>
      </w:hyperlink>
    </w:p>
    <w:p w14:paraId="019C5122" w14:textId="43E714B3" w:rsidR="00EC78D8" w:rsidRPr="00EC78D8" w:rsidRDefault="00000000" w:rsidP="00EC78D8">
      <w:pPr>
        <w:pStyle w:val="TOC1"/>
        <w:tabs>
          <w:tab w:val="right" w:leader="dot" w:pos="8296"/>
        </w:tabs>
        <w:rPr>
          <w:rFonts w:ascii="Times New Roman" w:hAnsi="Times New Roman" w:cs="Times New Roman"/>
          <w:noProof/>
          <w:sz w:val="24"/>
          <w:szCs w:val="28"/>
        </w:rPr>
      </w:pPr>
      <w:hyperlink w:anchor="_Toc130904055" w:history="1">
        <w:r w:rsidR="00EC78D8" w:rsidRPr="00EC78D8">
          <w:rPr>
            <w:rStyle w:val="ac"/>
            <w:rFonts w:ascii="Times New Roman" w:eastAsia="Times New Roman" w:hAnsi="Times New Roman" w:cs="Times New Roman"/>
            <w:noProof/>
            <w:sz w:val="24"/>
            <w:szCs w:val="28"/>
          </w:rPr>
          <w:t>3.</w:t>
        </w:r>
        <w:r w:rsidR="00EC78D8">
          <w:rPr>
            <w:rStyle w:val="ac"/>
            <w:rFonts w:ascii="Times New Roman" w:eastAsia="Times New Roman" w:hAnsi="Times New Roman" w:cs="Times New Roman"/>
            <w:noProof/>
            <w:sz w:val="24"/>
            <w:szCs w:val="28"/>
          </w:rPr>
          <w:t xml:space="preserve"> </w:t>
        </w:r>
        <w:r w:rsidR="00EC78D8" w:rsidRPr="00EC78D8">
          <w:rPr>
            <w:rStyle w:val="ac"/>
            <w:rFonts w:ascii="Times New Roman" w:eastAsia="Times New Roman" w:hAnsi="Times New Roman" w:cs="Times New Roman"/>
            <w:noProof/>
            <w:sz w:val="24"/>
            <w:szCs w:val="28"/>
          </w:rPr>
          <w:t>LeTV's earnings management through deferred income tax</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_Toc130904055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4</w:t>
        </w:r>
        <w:r w:rsidR="00EC78D8" w:rsidRPr="00EC78D8">
          <w:rPr>
            <w:rFonts w:ascii="Times New Roman" w:hAnsi="Times New Roman" w:cs="Times New Roman"/>
            <w:noProof/>
            <w:webHidden/>
            <w:sz w:val="24"/>
            <w:szCs w:val="28"/>
          </w:rPr>
          <w:fldChar w:fldCharType="end"/>
        </w:r>
      </w:hyperlink>
    </w:p>
    <w:p w14:paraId="64E13E4C" w14:textId="313892FF" w:rsidR="00EC78D8" w:rsidRPr="00EC78D8" w:rsidRDefault="00000000" w:rsidP="00EC78D8">
      <w:pPr>
        <w:pStyle w:val="TOC2"/>
        <w:tabs>
          <w:tab w:val="left" w:pos="810"/>
          <w:tab w:val="right" w:leader="dot" w:pos="8296"/>
        </w:tabs>
        <w:rPr>
          <w:rFonts w:ascii="Times New Roman" w:hAnsi="Times New Roman" w:cs="Times New Roman"/>
          <w:noProof/>
          <w:sz w:val="24"/>
          <w:szCs w:val="28"/>
        </w:rPr>
      </w:pPr>
      <w:hyperlink w:anchor="_Toc130904056" w:history="1">
        <w:r w:rsidR="00EC78D8" w:rsidRPr="00EC78D8">
          <w:rPr>
            <w:rStyle w:val="ac"/>
            <w:rFonts w:ascii="Times New Roman" w:hAnsi="Times New Roman" w:cs="Times New Roman"/>
            <w:noProof/>
            <w:sz w:val="24"/>
            <w:szCs w:val="28"/>
          </w:rPr>
          <w:t>3.1</w:t>
        </w:r>
        <w:r w:rsidR="00EC78D8" w:rsidRPr="00EC78D8">
          <w:rPr>
            <w:rFonts w:ascii="Times New Roman" w:hAnsi="Times New Roman" w:cs="Times New Roman"/>
            <w:noProof/>
            <w:sz w:val="24"/>
            <w:szCs w:val="28"/>
          </w:rPr>
          <w:tab/>
        </w:r>
        <w:r w:rsidR="00EC78D8" w:rsidRPr="00EC78D8">
          <w:rPr>
            <w:rStyle w:val="ac"/>
            <w:rFonts w:ascii="Times New Roman" w:hAnsi="Times New Roman" w:cs="Times New Roman"/>
            <w:noProof/>
            <w:sz w:val="24"/>
            <w:szCs w:val="28"/>
          </w:rPr>
          <w:t>Motivation of LeTV for Earnings Management</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_Toc130904056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4</w:t>
        </w:r>
        <w:r w:rsidR="00EC78D8" w:rsidRPr="00EC78D8">
          <w:rPr>
            <w:rFonts w:ascii="Times New Roman" w:hAnsi="Times New Roman" w:cs="Times New Roman"/>
            <w:noProof/>
            <w:webHidden/>
            <w:sz w:val="24"/>
            <w:szCs w:val="28"/>
          </w:rPr>
          <w:fldChar w:fldCharType="end"/>
        </w:r>
      </w:hyperlink>
    </w:p>
    <w:p w14:paraId="301FC540" w14:textId="6577AC10" w:rsidR="00EC78D8" w:rsidRPr="00EC78D8" w:rsidRDefault="00000000" w:rsidP="00EC78D8">
      <w:pPr>
        <w:pStyle w:val="TOC2"/>
        <w:tabs>
          <w:tab w:val="left" w:pos="810"/>
          <w:tab w:val="right" w:leader="dot" w:pos="8296"/>
        </w:tabs>
        <w:rPr>
          <w:rFonts w:ascii="Times New Roman" w:hAnsi="Times New Roman" w:cs="Times New Roman"/>
          <w:noProof/>
          <w:sz w:val="24"/>
          <w:szCs w:val="28"/>
        </w:rPr>
      </w:pPr>
      <w:hyperlink w:anchor="_Toc130904057" w:history="1">
        <w:r w:rsidR="00EC78D8" w:rsidRPr="00EC78D8">
          <w:rPr>
            <w:rStyle w:val="ac"/>
            <w:rFonts w:ascii="Times New Roman" w:hAnsi="Times New Roman" w:cs="Times New Roman"/>
            <w:noProof/>
            <w:sz w:val="24"/>
            <w:szCs w:val="28"/>
          </w:rPr>
          <w:t>3.2</w:t>
        </w:r>
        <w:r w:rsidR="00EC78D8" w:rsidRPr="00EC78D8">
          <w:rPr>
            <w:rFonts w:ascii="Times New Roman" w:hAnsi="Times New Roman" w:cs="Times New Roman"/>
            <w:noProof/>
            <w:sz w:val="24"/>
            <w:szCs w:val="28"/>
          </w:rPr>
          <w:tab/>
        </w:r>
        <w:r w:rsidR="00EC78D8" w:rsidRPr="00EC78D8">
          <w:rPr>
            <w:rStyle w:val="ac"/>
            <w:rFonts w:ascii="Times New Roman" w:hAnsi="Times New Roman" w:cs="Times New Roman"/>
            <w:noProof/>
            <w:sz w:val="24"/>
            <w:szCs w:val="28"/>
          </w:rPr>
          <w:t>LeTV's Earnings Management Approach - Deferred Income Tax</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_Toc130904057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7</w:t>
        </w:r>
        <w:r w:rsidR="00EC78D8" w:rsidRPr="00EC78D8">
          <w:rPr>
            <w:rFonts w:ascii="Times New Roman" w:hAnsi="Times New Roman" w:cs="Times New Roman"/>
            <w:noProof/>
            <w:webHidden/>
            <w:sz w:val="24"/>
            <w:szCs w:val="28"/>
          </w:rPr>
          <w:fldChar w:fldCharType="end"/>
        </w:r>
      </w:hyperlink>
    </w:p>
    <w:p w14:paraId="4DDEECCF" w14:textId="0F995DB3" w:rsidR="00EC78D8" w:rsidRPr="00EC78D8" w:rsidRDefault="00000000" w:rsidP="00EC78D8">
      <w:pPr>
        <w:pStyle w:val="TOC2"/>
        <w:tabs>
          <w:tab w:val="left" w:pos="810"/>
          <w:tab w:val="right" w:leader="dot" w:pos="8296"/>
        </w:tabs>
        <w:rPr>
          <w:rFonts w:ascii="Times New Roman" w:hAnsi="Times New Roman" w:cs="Times New Roman"/>
          <w:noProof/>
          <w:sz w:val="24"/>
          <w:szCs w:val="28"/>
        </w:rPr>
      </w:pPr>
      <w:hyperlink w:anchor="_Toc130904058" w:history="1">
        <w:r w:rsidR="00EC78D8" w:rsidRPr="00EC78D8">
          <w:rPr>
            <w:rStyle w:val="ac"/>
            <w:rFonts w:ascii="Times New Roman" w:hAnsi="Times New Roman" w:cs="Times New Roman"/>
            <w:noProof/>
            <w:sz w:val="24"/>
            <w:szCs w:val="28"/>
          </w:rPr>
          <w:t>3.3</w:t>
        </w:r>
        <w:r w:rsidR="00EC78D8" w:rsidRPr="00EC78D8">
          <w:rPr>
            <w:rFonts w:ascii="Times New Roman" w:hAnsi="Times New Roman" w:cs="Times New Roman"/>
            <w:noProof/>
            <w:sz w:val="24"/>
            <w:szCs w:val="28"/>
          </w:rPr>
          <w:tab/>
        </w:r>
        <w:r w:rsidR="00EC78D8" w:rsidRPr="00EC78D8">
          <w:rPr>
            <w:rStyle w:val="ac"/>
            <w:rFonts w:ascii="Times New Roman" w:hAnsi="Times New Roman" w:cs="Times New Roman"/>
            <w:noProof/>
            <w:sz w:val="24"/>
            <w:szCs w:val="28"/>
          </w:rPr>
          <w:t>LeTV's Earnings Management Process</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_Toc130904058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9</w:t>
        </w:r>
        <w:r w:rsidR="00EC78D8" w:rsidRPr="00EC78D8">
          <w:rPr>
            <w:rFonts w:ascii="Times New Roman" w:hAnsi="Times New Roman" w:cs="Times New Roman"/>
            <w:noProof/>
            <w:webHidden/>
            <w:sz w:val="24"/>
            <w:szCs w:val="28"/>
          </w:rPr>
          <w:fldChar w:fldCharType="end"/>
        </w:r>
      </w:hyperlink>
    </w:p>
    <w:p w14:paraId="7C2FA2C1" w14:textId="34BD3F27" w:rsidR="00EC78D8" w:rsidRPr="00EC78D8" w:rsidRDefault="00000000" w:rsidP="00EC78D8">
      <w:pPr>
        <w:pStyle w:val="TOC2"/>
        <w:tabs>
          <w:tab w:val="left" w:pos="810"/>
          <w:tab w:val="right" w:leader="dot" w:pos="8296"/>
        </w:tabs>
        <w:rPr>
          <w:rFonts w:ascii="Times New Roman" w:hAnsi="Times New Roman" w:cs="Times New Roman"/>
          <w:noProof/>
          <w:sz w:val="24"/>
          <w:szCs w:val="28"/>
        </w:rPr>
      </w:pPr>
      <w:hyperlink w:anchor="_Toc130904059" w:history="1">
        <w:r w:rsidR="00EC78D8" w:rsidRPr="00EC78D8">
          <w:rPr>
            <w:rStyle w:val="ac"/>
            <w:rFonts w:ascii="Times New Roman" w:hAnsi="Times New Roman" w:cs="Times New Roman"/>
            <w:noProof/>
            <w:sz w:val="24"/>
            <w:szCs w:val="28"/>
          </w:rPr>
          <w:t>3.4</w:t>
        </w:r>
        <w:r w:rsidR="00EC78D8" w:rsidRPr="00EC78D8">
          <w:rPr>
            <w:rFonts w:ascii="Times New Roman" w:hAnsi="Times New Roman" w:cs="Times New Roman"/>
            <w:noProof/>
            <w:sz w:val="24"/>
            <w:szCs w:val="28"/>
          </w:rPr>
          <w:tab/>
        </w:r>
        <w:r w:rsidR="00EC78D8" w:rsidRPr="00EC78D8">
          <w:rPr>
            <w:rStyle w:val="ac"/>
            <w:rFonts w:ascii="Times New Roman" w:hAnsi="Times New Roman" w:cs="Times New Roman"/>
            <w:noProof/>
            <w:sz w:val="24"/>
            <w:szCs w:val="28"/>
          </w:rPr>
          <w:t>Evaluating LeTV's Earnings Management Based on Virtue Ethics</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_Toc130904059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10</w:t>
        </w:r>
        <w:r w:rsidR="00EC78D8" w:rsidRPr="00EC78D8">
          <w:rPr>
            <w:rFonts w:ascii="Times New Roman" w:hAnsi="Times New Roman" w:cs="Times New Roman"/>
            <w:noProof/>
            <w:webHidden/>
            <w:sz w:val="24"/>
            <w:szCs w:val="28"/>
          </w:rPr>
          <w:fldChar w:fldCharType="end"/>
        </w:r>
      </w:hyperlink>
    </w:p>
    <w:p w14:paraId="4A83B2FC" w14:textId="58CA7A7C" w:rsidR="00EC78D8" w:rsidRPr="00EC78D8" w:rsidRDefault="00000000">
      <w:pPr>
        <w:pStyle w:val="TOC1"/>
        <w:tabs>
          <w:tab w:val="right" w:leader="dot" w:pos="8296"/>
        </w:tabs>
        <w:rPr>
          <w:rFonts w:ascii="Times New Roman" w:hAnsi="Times New Roman" w:cs="Times New Roman"/>
          <w:noProof/>
          <w:sz w:val="24"/>
          <w:szCs w:val="28"/>
        </w:rPr>
      </w:pPr>
      <w:hyperlink w:anchor="_Toc130904060" w:history="1">
        <w:r w:rsidR="00EC78D8" w:rsidRPr="00EC78D8">
          <w:rPr>
            <w:rStyle w:val="ac"/>
            <w:rFonts w:ascii="Times New Roman" w:eastAsia="Times New Roman" w:hAnsi="Times New Roman" w:cs="Times New Roman"/>
            <w:noProof/>
            <w:sz w:val="24"/>
            <w:szCs w:val="28"/>
          </w:rPr>
          <w:t>4. Governance and governance recommendations for UK earnings management</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_Toc130904060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13</w:t>
        </w:r>
        <w:r w:rsidR="00EC78D8" w:rsidRPr="00EC78D8">
          <w:rPr>
            <w:rFonts w:ascii="Times New Roman" w:hAnsi="Times New Roman" w:cs="Times New Roman"/>
            <w:noProof/>
            <w:webHidden/>
            <w:sz w:val="24"/>
            <w:szCs w:val="28"/>
          </w:rPr>
          <w:fldChar w:fldCharType="end"/>
        </w:r>
      </w:hyperlink>
    </w:p>
    <w:p w14:paraId="3976448A" w14:textId="586F9C58" w:rsidR="00EC78D8" w:rsidRPr="00EC78D8" w:rsidRDefault="00000000" w:rsidP="00EC78D8">
      <w:pPr>
        <w:pStyle w:val="TOC2"/>
        <w:tabs>
          <w:tab w:val="left" w:pos="810"/>
          <w:tab w:val="right" w:leader="dot" w:pos="8296"/>
        </w:tabs>
        <w:rPr>
          <w:rFonts w:ascii="Times New Roman" w:hAnsi="Times New Roman" w:cs="Times New Roman"/>
          <w:noProof/>
          <w:sz w:val="24"/>
          <w:szCs w:val="28"/>
        </w:rPr>
      </w:pPr>
      <w:hyperlink w:anchor="_Toc130904061" w:history="1">
        <w:r w:rsidR="00EC78D8" w:rsidRPr="00EC78D8">
          <w:rPr>
            <w:rStyle w:val="ac"/>
            <w:rFonts w:ascii="Times New Roman" w:hAnsi="Times New Roman" w:cs="Times New Roman"/>
            <w:noProof/>
            <w:sz w:val="24"/>
            <w:szCs w:val="28"/>
          </w:rPr>
          <w:t>4.1</w:t>
        </w:r>
        <w:r w:rsidR="00EC78D8" w:rsidRPr="00EC78D8">
          <w:rPr>
            <w:rFonts w:ascii="Times New Roman" w:hAnsi="Times New Roman" w:cs="Times New Roman"/>
            <w:noProof/>
            <w:sz w:val="24"/>
            <w:szCs w:val="28"/>
          </w:rPr>
          <w:tab/>
        </w:r>
        <w:r w:rsidR="00EC78D8" w:rsidRPr="00EC78D8">
          <w:rPr>
            <w:rStyle w:val="ac"/>
            <w:rFonts w:ascii="Times New Roman" w:hAnsi="Times New Roman" w:cs="Times New Roman"/>
            <w:noProof/>
            <w:sz w:val="24"/>
            <w:szCs w:val="28"/>
          </w:rPr>
          <w:t>UK Corporate Governance Structure</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_Toc130904061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13</w:t>
        </w:r>
        <w:r w:rsidR="00EC78D8" w:rsidRPr="00EC78D8">
          <w:rPr>
            <w:rFonts w:ascii="Times New Roman" w:hAnsi="Times New Roman" w:cs="Times New Roman"/>
            <w:noProof/>
            <w:webHidden/>
            <w:sz w:val="24"/>
            <w:szCs w:val="28"/>
          </w:rPr>
          <w:fldChar w:fldCharType="end"/>
        </w:r>
      </w:hyperlink>
    </w:p>
    <w:p w14:paraId="0930378E" w14:textId="0B9F0E0C" w:rsidR="00EC78D8" w:rsidRPr="00EC78D8" w:rsidRDefault="00000000" w:rsidP="00EC78D8">
      <w:pPr>
        <w:pStyle w:val="TOC2"/>
        <w:tabs>
          <w:tab w:val="left" w:pos="810"/>
          <w:tab w:val="right" w:leader="dot" w:pos="8296"/>
        </w:tabs>
        <w:rPr>
          <w:rFonts w:ascii="Times New Roman" w:hAnsi="Times New Roman" w:cs="Times New Roman"/>
          <w:noProof/>
          <w:sz w:val="24"/>
          <w:szCs w:val="28"/>
        </w:rPr>
      </w:pPr>
      <w:hyperlink w:anchor="_Toc130904062" w:history="1">
        <w:r w:rsidR="00EC78D8" w:rsidRPr="00EC78D8">
          <w:rPr>
            <w:rStyle w:val="ac"/>
            <w:rFonts w:ascii="Times New Roman" w:hAnsi="Times New Roman" w:cs="Times New Roman"/>
            <w:noProof/>
            <w:sz w:val="24"/>
            <w:szCs w:val="28"/>
          </w:rPr>
          <w:t>4.2</w:t>
        </w:r>
        <w:r w:rsidR="00EC78D8" w:rsidRPr="00EC78D8">
          <w:rPr>
            <w:rFonts w:ascii="Times New Roman" w:hAnsi="Times New Roman" w:cs="Times New Roman"/>
            <w:noProof/>
            <w:sz w:val="24"/>
            <w:szCs w:val="28"/>
          </w:rPr>
          <w:tab/>
        </w:r>
        <w:r w:rsidR="00EC78D8" w:rsidRPr="00EC78D8">
          <w:rPr>
            <w:rStyle w:val="ac"/>
            <w:rFonts w:ascii="Times New Roman" w:hAnsi="Times New Roman" w:cs="Times New Roman"/>
            <w:noProof/>
            <w:sz w:val="24"/>
            <w:szCs w:val="28"/>
          </w:rPr>
          <w:t>UK Corporate Governance Structure</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_Toc130904062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14</w:t>
        </w:r>
        <w:r w:rsidR="00EC78D8" w:rsidRPr="00EC78D8">
          <w:rPr>
            <w:rFonts w:ascii="Times New Roman" w:hAnsi="Times New Roman" w:cs="Times New Roman"/>
            <w:noProof/>
            <w:webHidden/>
            <w:sz w:val="24"/>
            <w:szCs w:val="28"/>
          </w:rPr>
          <w:fldChar w:fldCharType="end"/>
        </w:r>
      </w:hyperlink>
    </w:p>
    <w:p w14:paraId="19CFF8C3" w14:textId="1480500E" w:rsidR="00EC78D8" w:rsidRPr="00EC78D8" w:rsidRDefault="00000000">
      <w:pPr>
        <w:pStyle w:val="TOC2"/>
        <w:tabs>
          <w:tab w:val="right" w:leader="dot" w:pos="8296"/>
        </w:tabs>
        <w:rPr>
          <w:rFonts w:ascii="Times New Roman" w:hAnsi="Times New Roman" w:cs="Times New Roman"/>
          <w:noProof/>
          <w:sz w:val="24"/>
          <w:szCs w:val="28"/>
        </w:rPr>
      </w:pPr>
      <w:hyperlink w:anchor="_Toc130904063" w:history="1">
        <w:r w:rsidR="00EC78D8" w:rsidRPr="00EC78D8">
          <w:rPr>
            <w:rStyle w:val="ac"/>
            <w:rFonts w:ascii="Times New Roman" w:hAnsi="Times New Roman" w:cs="Times New Roman"/>
            <w:noProof/>
            <w:sz w:val="24"/>
            <w:szCs w:val="28"/>
          </w:rPr>
          <w:t>4.3 UK earnings management governance recommendations</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_Toc130904063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15</w:t>
        </w:r>
        <w:r w:rsidR="00EC78D8" w:rsidRPr="00EC78D8">
          <w:rPr>
            <w:rFonts w:ascii="Times New Roman" w:hAnsi="Times New Roman" w:cs="Times New Roman"/>
            <w:noProof/>
            <w:webHidden/>
            <w:sz w:val="24"/>
            <w:szCs w:val="28"/>
          </w:rPr>
          <w:fldChar w:fldCharType="end"/>
        </w:r>
      </w:hyperlink>
    </w:p>
    <w:p w14:paraId="5A8710D4" w14:textId="295F2688" w:rsidR="00EC78D8" w:rsidRPr="00EC78D8" w:rsidRDefault="00000000">
      <w:pPr>
        <w:pStyle w:val="TOC1"/>
        <w:tabs>
          <w:tab w:val="right" w:leader="dot" w:pos="8296"/>
        </w:tabs>
        <w:rPr>
          <w:rFonts w:ascii="Times New Roman" w:hAnsi="Times New Roman" w:cs="Times New Roman"/>
          <w:noProof/>
        </w:rPr>
      </w:pPr>
      <w:hyperlink w:anchor="_Toc130904064" w:history="1">
        <w:r w:rsidR="00EC78D8" w:rsidRPr="00EC78D8">
          <w:rPr>
            <w:rStyle w:val="ac"/>
            <w:rFonts w:ascii="Times New Roman" w:eastAsia="Times New Roman" w:hAnsi="Times New Roman" w:cs="Times New Roman"/>
            <w:noProof/>
            <w:sz w:val="24"/>
            <w:szCs w:val="28"/>
          </w:rPr>
          <w:t>References</w:t>
        </w:r>
        <w:r w:rsidR="00EC78D8" w:rsidRPr="00EC78D8">
          <w:rPr>
            <w:rFonts w:ascii="Times New Roman" w:hAnsi="Times New Roman" w:cs="Times New Roman"/>
            <w:noProof/>
            <w:webHidden/>
            <w:sz w:val="24"/>
            <w:szCs w:val="28"/>
          </w:rPr>
          <w:tab/>
        </w:r>
        <w:r w:rsidR="00EC78D8" w:rsidRPr="00EC78D8">
          <w:rPr>
            <w:rFonts w:ascii="Times New Roman" w:hAnsi="Times New Roman" w:cs="Times New Roman"/>
            <w:noProof/>
            <w:webHidden/>
            <w:sz w:val="24"/>
            <w:szCs w:val="28"/>
          </w:rPr>
          <w:fldChar w:fldCharType="begin"/>
        </w:r>
        <w:r w:rsidR="00EC78D8" w:rsidRPr="00EC78D8">
          <w:rPr>
            <w:rFonts w:ascii="Times New Roman" w:hAnsi="Times New Roman" w:cs="Times New Roman"/>
            <w:noProof/>
            <w:webHidden/>
            <w:sz w:val="24"/>
            <w:szCs w:val="28"/>
          </w:rPr>
          <w:instrText xml:space="preserve"> PAGEREF _Toc130904064 \h </w:instrText>
        </w:r>
        <w:r w:rsidR="00EC78D8" w:rsidRPr="00EC78D8">
          <w:rPr>
            <w:rFonts w:ascii="Times New Roman" w:hAnsi="Times New Roman" w:cs="Times New Roman"/>
            <w:noProof/>
            <w:webHidden/>
            <w:sz w:val="24"/>
            <w:szCs w:val="28"/>
          </w:rPr>
        </w:r>
        <w:r w:rsidR="00EC78D8" w:rsidRPr="00EC78D8">
          <w:rPr>
            <w:rFonts w:ascii="Times New Roman" w:hAnsi="Times New Roman" w:cs="Times New Roman"/>
            <w:noProof/>
            <w:webHidden/>
            <w:sz w:val="24"/>
            <w:szCs w:val="28"/>
          </w:rPr>
          <w:fldChar w:fldCharType="separate"/>
        </w:r>
        <w:r w:rsidR="00715CF0">
          <w:rPr>
            <w:rFonts w:ascii="Times New Roman" w:hAnsi="Times New Roman" w:cs="Times New Roman"/>
            <w:noProof/>
            <w:webHidden/>
            <w:sz w:val="24"/>
            <w:szCs w:val="28"/>
          </w:rPr>
          <w:t>17</w:t>
        </w:r>
        <w:r w:rsidR="00EC78D8" w:rsidRPr="00EC78D8">
          <w:rPr>
            <w:rFonts w:ascii="Times New Roman" w:hAnsi="Times New Roman" w:cs="Times New Roman"/>
            <w:noProof/>
            <w:webHidden/>
            <w:sz w:val="24"/>
            <w:szCs w:val="28"/>
          </w:rPr>
          <w:fldChar w:fldCharType="end"/>
        </w:r>
      </w:hyperlink>
    </w:p>
    <w:p w14:paraId="2A088FA3" w14:textId="24E29E10" w:rsidR="00811E6F" w:rsidRDefault="00000000" w:rsidP="00EC78D8">
      <w:pPr>
        <w:spacing w:line="360" w:lineRule="auto"/>
        <w:jc w:val="left"/>
        <w:rPr>
          <w:rFonts w:ascii="Times New Roman" w:hAnsi="Times New Roman" w:cs="Times New Roman"/>
        </w:rPr>
      </w:pPr>
      <w:r w:rsidRPr="00EC78D8">
        <w:rPr>
          <w:rFonts w:ascii="Times New Roman" w:hAnsi="Times New Roman" w:cs="Times New Roman"/>
          <w:b/>
          <w:color w:val="FF0000"/>
          <w:sz w:val="24"/>
          <w:szCs w:val="24"/>
        </w:rPr>
        <w:fldChar w:fldCharType="end"/>
      </w:r>
      <w:r>
        <w:rPr>
          <w:rFonts w:ascii="Times New Roman" w:hAnsi="Times New Roman" w:cs="Times New Roman"/>
          <w:b/>
          <w:sz w:val="32"/>
        </w:rPr>
        <w:t>Tables</w:t>
      </w:r>
      <w:r>
        <w:rPr>
          <w:rFonts w:ascii="Times New Roman" w:hAnsi="Times New Roman" w:cs="Times New Roman"/>
          <w:b/>
          <w:color w:val="FF0000"/>
          <w:sz w:val="24"/>
        </w:rPr>
        <w:t xml:space="preserve"> </w:t>
      </w:r>
      <w:r>
        <w:rPr>
          <w:rFonts w:ascii="Times New Roman" w:hAnsi="Times New Roman" w:cs="Times New Roman"/>
          <w:b/>
          <w:color w:val="FF0000"/>
          <w:sz w:val="24"/>
        </w:rPr>
        <w:fldChar w:fldCharType="begin"/>
      </w:r>
      <w:r>
        <w:rPr>
          <w:rFonts w:ascii="Times New Roman" w:hAnsi="Times New Roman" w:cs="Times New Roman"/>
          <w:b/>
          <w:color w:val="FF0000"/>
          <w:sz w:val="24"/>
        </w:rPr>
        <w:instrText xml:space="preserve"> TOC \h \z \c "Table" </w:instrText>
      </w:r>
      <w:r>
        <w:rPr>
          <w:rFonts w:ascii="Times New Roman" w:hAnsi="Times New Roman" w:cs="Times New Roman"/>
          <w:b/>
          <w:color w:val="FF0000"/>
          <w:sz w:val="24"/>
        </w:rPr>
        <w:fldChar w:fldCharType="separate"/>
      </w:r>
    </w:p>
    <w:p w14:paraId="257B3C61" w14:textId="02D595D9" w:rsidR="00811E6F" w:rsidRDefault="00000000">
      <w:pPr>
        <w:pStyle w:val="aa"/>
        <w:tabs>
          <w:tab w:val="right" w:leader="dot" w:pos="8296"/>
        </w:tabs>
        <w:ind w:leftChars="0" w:firstLineChars="0"/>
        <w:rPr>
          <w:rFonts w:ascii="Times New Roman" w:hAnsi="Times New Roman" w:cs="Times New Roman"/>
        </w:rPr>
      </w:pPr>
      <w:hyperlink w:anchor="_Toc122108562" w:history="1">
        <w:r>
          <w:rPr>
            <w:rStyle w:val="ac"/>
            <w:rFonts w:ascii="Times New Roman" w:hAnsi="Times New Roman" w:cs="Times New Roman"/>
            <w:b/>
          </w:rPr>
          <w:t>Table 1</w:t>
        </w:r>
        <w:r>
          <w:rPr>
            <w:rStyle w:val="ac"/>
            <w:rFonts w:ascii="Times New Roman" w:hAnsi="Times New Roman" w:cs="Times New Roman"/>
          </w:rPr>
          <w:t xml:space="preserve"> </w:t>
        </w:r>
        <w:r w:rsidR="00EC78D8" w:rsidRPr="00EC78D8">
          <w:rPr>
            <w:rStyle w:val="ac"/>
            <w:rFonts w:ascii="Times New Roman" w:hAnsi="Times New Roman" w:cs="Times New Roman"/>
          </w:rPr>
          <w:t>LeTV Income Tax Expense Analysis</w:t>
        </w:r>
        <w:r>
          <w:rPr>
            <w:rFonts w:ascii="Times New Roman" w:hAnsi="Times New Roman" w:cs="Times New Roman"/>
          </w:rPr>
          <w:tab/>
        </w:r>
        <w:r w:rsidR="00EC78D8">
          <w:rPr>
            <w:rFonts w:ascii="Times New Roman" w:hAnsi="Times New Roman" w:cs="Times New Roman"/>
          </w:rPr>
          <w:t>9</w:t>
        </w:r>
      </w:hyperlink>
    </w:p>
    <w:p w14:paraId="03C818C1" w14:textId="77777777" w:rsidR="00811E6F" w:rsidRDefault="00000000">
      <w:pPr>
        <w:jc w:val="left"/>
        <w:rPr>
          <w:rFonts w:ascii="Times New Roman" w:hAnsi="Times New Roman" w:cs="Times New Roman"/>
          <w:b/>
          <w:color w:val="FF0000"/>
          <w:sz w:val="24"/>
        </w:rPr>
        <w:sectPr w:rsidR="00811E6F">
          <w:pgSz w:w="11906" w:h="16838"/>
          <w:pgMar w:top="1440" w:right="1800" w:bottom="1440" w:left="1800" w:header="851" w:footer="992" w:gutter="0"/>
          <w:cols w:space="425"/>
          <w:docGrid w:type="lines" w:linePitch="312"/>
        </w:sectPr>
      </w:pPr>
      <w:r>
        <w:rPr>
          <w:rFonts w:ascii="Times New Roman" w:hAnsi="Times New Roman" w:cs="Times New Roman"/>
          <w:b/>
          <w:color w:val="FF0000"/>
          <w:sz w:val="24"/>
        </w:rPr>
        <w:fldChar w:fldCharType="end"/>
      </w:r>
    </w:p>
    <w:p w14:paraId="2E6A4A7A" w14:textId="77777777" w:rsidR="00811E6F" w:rsidRDefault="00000000">
      <w:pPr>
        <w:pStyle w:val="1"/>
        <w:spacing w:line="240" w:lineRule="auto"/>
        <w:jc w:val="left"/>
        <w:rPr>
          <w:rFonts w:ascii="Times New Roman" w:eastAsia="Times New Roman"/>
          <w:sz w:val="32"/>
        </w:rPr>
      </w:pPr>
      <w:bookmarkStart w:id="1" w:name="_Toc130904050"/>
      <w:r>
        <w:rPr>
          <w:rFonts w:ascii="Times New Roman" w:eastAsia="Times New Roman"/>
          <w:sz w:val="32"/>
        </w:rPr>
        <w:lastRenderedPageBreak/>
        <w:t>Executive summary</w:t>
      </w:r>
      <w:bookmarkEnd w:id="1"/>
    </w:p>
    <w:p w14:paraId="7DB1CC59" w14:textId="25D7CD76" w:rsidR="00C20870" w:rsidRDefault="00C20870">
      <w:pPr>
        <w:spacing w:line="360" w:lineRule="auto"/>
        <w:ind w:firstLineChars="200" w:firstLine="480"/>
        <w:rPr>
          <w:rFonts w:ascii="Times New Roman" w:hAnsi="Times New Roman" w:cs="Times New Roman"/>
          <w:sz w:val="24"/>
          <w:szCs w:val="24"/>
        </w:rPr>
      </w:pPr>
      <w:r w:rsidRPr="00C20870">
        <w:rPr>
          <w:rFonts w:ascii="Times New Roman" w:hAnsi="Times New Roman" w:cs="Times New Roman"/>
          <w:sz w:val="24"/>
          <w:szCs w:val="24"/>
        </w:rPr>
        <w:t xml:space="preserve">Earnings management, as an accounting tool for listed companies, not only reduces the reliability of financial statements, but also affects market order. Therefore, earnings management governance is particularly important. This article analyzes the case of </w:t>
      </w:r>
      <w:proofErr w:type="spellStart"/>
      <w:r w:rsidRPr="00C20870">
        <w:rPr>
          <w:rFonts w:ascii="Times New Roman" w:hAnsi="Times New Roman" w:cs="Times New Roman"/>
          <w:sz w:val="24"/>
          <w:szCs w:val="24"/>
        </w:rPr>
        <w:t>LeTV</w:t>
      </w:r>
      <w:proofErr w:type="spellEnd"/>
      <w:r w:rsidRPr="00C20870">
        <w:rPr>
          <w:rFonts w:ascii="Times New Roman" w:hAnsi="Times New Roman" w:cs="Times New Roman"/>
          <w:sz w:val="24"/>
          <w:szCs w:val="24"/>
        </w:rPr>
        <w:t xml:space="preserve"> and finds that </w:t>
      </w:r>
      <w:proofErr w:type="spellStart"/>
      <w:r w:rsidRPr="00C20870">
        <w:rPr>
          <w:rFonts w:ascii="Times New Roman" w:hAnsi="Times New Roman" w:cs="Times New Roman"/>
          <w:sz w:val="24"/>
          <w:szCs w:val="24"/>
        </w:rPr>
        <w:t>LeTV</w:t>
      </w:r>
      <w:proofErr w:type="spellEnd"/>
      <w:r w:rsidRPr="00C20870">
        <w:rPr>
          <w:rFonts w:ascii="Times New Roman" w:hAnsi="Times New Roman" w:cs="Times New Roman"/>
          <w:sz w:val="24"/>
          <w:szCs w:val="24"/>
        </w:rPr>
        <w:t xml:space="preserve"> implements earnings management through deferred income tax. At the same time, this article also evaluates </w:t>
      </w:r>
      <w:proofErr w:type="spellStart"/>
      <w:r w:rsidRPr="00C20870">
        <w:rPr>
          <w:rFonts w:ascii="Times New Roman" w:hAnsi="Times New Roman" w:cs="Times New Roman"/>
          <w:sz w:val="24"/>
          <w:szCs w:val="24"/>
        </w:rPr>
        <w:t>LeTV's</w:t>
      </w:r>
      <w:proofErr w:type="spellEnd"/>
      <w:r w:rsidRPr="00C20870">
        <w:rPr>
          <w:rFonts w:ascii="Times New Roman" w:hAnsi="Times New Roman" w:cs="Times New Roman"/>
          <w:sz w:val="24"/>
          <w:szCs w:val="24"/>
        </w:rPr>
        <w:t xml:space="preserve"> earnings management measures under the framework of virtue ethics. Finally, based on the UK corporate governance structure, some specific measures to constrain earnings management are proposed.</w:t>
      </w:r>
    </w:p>
    <w:p w14:paraId="34846A91" w14:textId="6FE174D5" w:rsidR="00811E6F" w:rsidRDefault="00C20870" w:rsidP="00C20870">
      <w:pPr>
        <w:pStyle w:val="1"/>
        <w:numPr>
          <w:ilvl w:val="0"/>
          <w:numId w:val="1"/>
        </w:numPr>
        <w:spacing w:line="240" w:lineRule="auto"/>
        <w:jc w:val="left"/>
        <w:rPr>
          <w:rFonts w:ascii="Times New Roman" w:eastAsia="Times New Roman"/>
          <w:sz w:val="32"/>
        </w:rPr>
      </w:pPr>
      <w:bookmarkStart w:id="2" w:name="_Toc130904051"/>
      <w:r w:rsidRPr="00C20870">
        <w:rPr>
          <w:rFonts w:ascii="Times New Roman" w:eastAsia="Times New Roman"/>
          <w:sz w:val="32"/>
        </w:rPr>
        <w:t>Research Value and Definition of Earnings Management</w:t>
      </w:r>
      <w:bookmarkEnd w:id="2"/>
    </w:p>
    <w:p w14:paraId="1814C54A" w14:textId="1432F9FD" w:rsidR="00C20870" w:rsidRPr="00C20870" w:rsidRDefault="00C20870" w:rsidP="00C20870">
      <w:pPr>
        <w:pStyle w:val="2"/>
        <w:rPr>
          <w:rFonts w:eastAsiaTheme="minorEastAsia"/>
        </w:rPr>
      </w:pPr>
      <w:bookmarkStart w:id="3" w:name="_Toc130904052"/>
      <w:r>
        <w:t xml:space="preserve">1.1 </w:t>
      </w:r>
      <w:r w:rsidRPr="00C20870">
        <w:t>Research Value of Earnings Management</w:t>
      </w:r>
      <w:bookmarkEnd w:id="3"/>
    </w:p>
    <w:p w14:paraId="3A3A1913" w14:textId="6554AF71" w:rsidR="00C20870" w:rsidRDefault="00C20870" w:rsidP="00C20870">
      <w:pPr>
        <w:spacing w:line="360" w:lineRule="auto"/>
        <w:ind w:firstLineChars="200" w:firstLine="480"/>
        <w:rPr>
          <w:rFonts w:ascii="Times New Roman" w:eastAsia="宋体" w:hAnsi="Times New Roman" w:cs="Times New Roman"/>
          <w:sz w:val="24"/>
          <w:szCs w:val="28"/>
        </w:rPr>
      </w:pPr>
      <w:r w:rsidRPr="00C20870">
        <w:rPr>
          <w:rFonts w:ascii="Times New Roman" w:eastAsia="宋体" w:hAnsi="Times New Roman" w:cs="Times New Roman"/>
          <w:sz w:val="24"/>
          <w:szCs w:val="28"/>
        </w:rPr>
        <w:t xml:space="preserve">With the rapid development of the global economy, the quality of the capital market has also been significantly improved, and external information users' requirements for the quality of information publicly released by listed companies are gradually improving. In China, after more than ten years of development, listed companies have continuously enhanced their competitiveness, making a significant contribution to the growth of China's capital market. However, there are still many problems in China's listed companies, such as using earnings management more often, and some companies even resorting to financial fraud to cover up the fact that the company is losing money or operating </w:t>
      </w:r>
      <w:proofErr w:type="spellStart"/>
      <w:r w:rsidRPr="00C20870">
        <w:rPr>
          <w:rFonts w:ascii="Times New Roman" w:eastAsia="宋体" w:hAnsi="Times New Roman" w:cs="Times New Roman"/>
          <w:sz w:val="24"/>
          <w:szCs w:val="28"/>
        </w:rPr>
        <w:t>unfavourably</w:t>
      </w:r>
      <w:proofErr w:type="spellEnd"/>
      <w:r w:rsidRPr="00C20870">
        <w:rPr>
          <w:rFonts w:ascii="Times New Roman" w:eastAsia="宋体" w:hAnsi="Times New Roman" w:cs="Times New Roman"/>
          <w:sz w:val="24"/>
          <w:szCs w:val="28"/>
        </w:rPr>
        <w:t xml:space="preserve">. With the improvement of accounting related standards and systems, direct financial fraud has gradually become less frequent, but the use of accounting system itself has a certain degree of flexibility of choice or enterprises directly create some false income for earnings management has become more frequent. Earnings management is more difficult to detect than financial fraud by regulators and investors, and the results of such behavior can affect the fairness </w:t>
      </w:r>
      <w:r w:rsidRPr="00C20870">
        <w:rPr>
          <w:rFonts w:ascii="Times New Roman" w:eastAsia="宋体" w:hAnsi="Times New Roman" w:cs="Times New Roman"/>
          <w:sz w:val="24"/>
          <w:szCs w:val="28"/>
        </w:rPr>
        <w:lastRenderedPageBreak/>
        <w:t>and impartiality of financial information disclosed by enterprises, thereby affecting the judgment of information users. This type of behavior not only seriously hinders listed companies from conducting their daily business activities, but also seriously damages the rights and interests of external information users. At the same time, the concept of earnings management has been highly concerned and studied since it was proposed by relevant scholars, so it has high research value for earnings management.</w:t>
      </w:r>
    </w:p>
    <w:p w14:paraId="7CDB7117" w14:textId="364DCF24" w:rsidR="00C20870" w:rsidRDefault="00C20870" w:rsidP="00BF4A3B">
      <w:pPr>
        <w:pStyle w:val="2"/>
        <w:numPr>
          <w:ilvl w:val="1"/>
          <w:numId w:val="1"/>
        </w:numPr>
      </w:pPr>
      <w:bookmarkStart w:id="4" w:name="_Toc130904053"/>
      <w:r w:rsidRPr="00C20870">
        <w:t>Definition of Earnings Management</w:t>
      </w:r>
      <w:bookmarkEnd w:id="4"/>
    </w:p>
    <w:p w14:paraId="3B8EAA75" w14:textId="402A1105" w:rsidR="00BF4A3B" w:rsidRPr="0066669A" w:rsidRDefault="00A437CA" w:rsidP="00BF4A3B">
      <w:pPr>
        <w:spacing w:line="360" w:lineRule="auto"/>
        <w:ind w:firstLineChars="200" w:firstLine="480"/>
        <w:rPr>
          <w:rFonts w:ascii="Times New Roman" w:eastAsia="宋体" w:hAnsi="Times New Roman"/>
          <w:sz w:val="24"/>
          <w:szCs w:val="28"/>
        </w:rPr>
      </w:pPr>
      <w:r w:rsidRPr="00A437CA">
        <w:rPr>
          <w:rFonts w:ascii="Times New Roman" w:eastAsia="宋体" w:hAnsi="Times New Roman"/>
          <w:sz w:val="24"/>
          <w:szCs w:val="28"/>
        </w:rPr>
        <w:t>Despite the fact that research on earnings management spans over two decades, there is still no widely accepted definition to describe it. According to Schipper (1989), earnings management is essentially a form of "disclosure management," whereby corporate managers deliberately manipulate the external financial reporting process to attain certain private benefits. In other words, enterprise managers intentionally control external financial reporting to gain advantages that are not publicly disclosed.</w:t>
      </w:r>
      <w:r w:rsidR="00BF4A3B" w:rsidRPr="0066669A">
        <w:rPr>
          <w:rFonts w:ascii="Times New Roman" w:eastAsia="宋体" w:hAnsi="Times New Roman"/>
          <w:sz w:val="24"/>
          <w:szCs w:val="28"/>
        </w:rPr>
        <w:t xml:space="preserve"> </w:t>
      </w:r>
      <w:r w:rsidRPr="00A437CA">
        <w:rPr>
          <w:rFonts w:ascii="Times New Roman" w:eastAsia="宋体" w:hAnsi="Times New Roman"/>
          <w:sz w:val="24"/>
          <w:szCs w:val="28"/>
        </w:rPr>
        <w:t xml:space="preserve">Scott (1997) defines earnings management as the act of maximizing the benefits for the operator or the market value of the enterprise through the strategic selection of accounting policies that are within the bounds of generally accepted accounting principles. Healy and </w:t>
      </w:r>
      <w:proofErr w:type="spellStart"/>
      <w:r w:rsidRPr="00A437CA">
        <w:rPr>
          <w:rFonts w:ascii="Times New Roman" w:eastAsia="宋体" w:hAnsi="Times New Roman"/>
          <w:sz w:val="24"/>
          <w:szCs w:val="28"/>
        </w:rPr>
        <w:t>Wahlen</w:t>
      </w:r>
      <w:proofErr w:type="spellEnd"/>
      <w:r w:rsidRPr="00A437CA">
        <w:rPr>
          <w:rFonts w:ascii="Times New Roman" w:eastAsia="宋体" w:hAnsi="Times New Roman"/>
          <w:sz w:val="24"/>
          <w:szCs w:val="28"/>
        </w:rPr>
        <w:t xml:space="preserve"> (1999), on the other hand, view earnings management as a deliberate manipulation of accounting methods and transactional arrangements in order to alter financial reports and deceive stakeholders about the company's performance or to influence contracts based on reported accounting information.</w:t>
      </w:r>
      <w:r>
        <w:rPr>
          <w:rFonts w:ascii="Times New Roman" w:eastAsia="宋体" w:hAnsi="Times New Roman"/>
          <w:sz w:val="24"/>
          <w:szCs w:val="28"/>
        </w:rPr>
        <w:t xml:space="preserve"> </w:t>
      </w:r>
      <w:r w:rsidR="00BF4A3B" w:rsidRPr="0066669A">
        <w:rPr>
          <w:rFonts w:ascii="Times New Roman" w:eastAsia="宋体" w:hAnsi="Times New Roman"/>
          <w:sz w:val="24"/>
          <w:szCs w:val="28"/>
        </w:rPr>
        <w:t xml:space="preserve">Although the above descriptions of earnings management are not quite consistent, there are many similarities. Therefore, I believe that earnings management refers to a profit management method in which listed companies use reasonable and legal accounting methods to make their financial statements more beautiful and obtain marginal benefits by adjusting the distribution of corporate profits. In fact, this definition is still relatively abstract, so I will conduct a specific analysis of </w:t>
      </w:r>
      <w:proofErr w:type="spellStart"/>
      <w:r w:rsidR="00BF4A3B" w:rsidRPr="0066669A">
        <w:rPr>
          <w:rFonts w:ascii="Times New Roman" w:eastAsia="宋体" w:hAnsi="Times New Roman"/>
          <w:sz w:val="24"/>
          <w:szCs w:val="28"/>
        </w:rPr>
        <w:t>Le</w:t>
      </w:r>
      <w:r w:rsidR="00BF4A3B">
        <w:rPr>
          <w:rFonts w:ascii="Times New Roman" w:eastAsia="宋体" w:hAnsi="Times New Roman"/>
          <w:sz w:val="24"/>
          <w:szCs w:val="28"/>
        </w:rPr>
        <w:t>TV</w:t>
      </w:r>
      <w:r w:rsidR="00BF4A3B" w:rsidRPr="0066669A">
        <w:rPr>
          <w:rFonts w:ascii="Times New Roman" w:eastAsia="宋体" w:hAnsi="Times New Roman"/>
          <w:sz w:val="24"/>
          <w:szCs w:val="28"/>
        </w:rPr>
        <w:t>'s</w:t>
      </w:r>
      <w:proofErr w:type="spellEnd"/>
      <w:r w:rsidR="00BF4A3B" w:rsidRPr="0066669A">
        <w:rPr>
          <w:rFonts w:ascii="Times New Roman" w:eastAsia="宋体" w:hAnsi="Times New Roman"/>
          <w:sz w:val="24"/>
          <w:szCs w:val="28"/>
        </w:rPr>
        <w:t xml:space="preserve"> earnings management process in the future, hoping to use cases to intuitively demonstrate the connotation of earnings management.</w:t>
      </w:r>
    </w:p>
    <w:p w14:paraId="74E5FDFD" w14:textId="77777777" w:rsidR="00BF4A3B" w:rsidRPr="00BF4A3B" w:rsidRDefault="00BF4A3B" w:rsidP="00BF4A3B"/>
    <w:p w14:paraId="7282E3AC" w14:textId="04AEE8AB" w:rsidR="00811E6F" w:rsidRDefault="00BF4A3B" w:rsidP="00BF4A3B">
      <w:pPr>
        <w:pStyle w:val="1"/>
        <w:numPr>
          <w:ilvl w:val="0"/>
          <w:numId w:val="1"/>
        </w:numPr>
        <w:spacing w:line="240" w:lineRule="auto"/>
        <w:jc w:val="left"/>
        <w:rPr>
          <w:rFonts w:ascii="Times New Roman" w:eastAsia="Times New Roman"/>
          <w:sz w:val="32"/>
        </w:rPr>
      </w:pPr>
      <w:r>
        <w:rPr>
          <w:rFonts w:ascii="Times New Roman" w:eastAsia="Times New Roman"/>
          <w:sz w:val="32"/>
        </w:rPr>
        <w:t xml:space="preserve"> </w:t>
      </w:r>
      <w:bookmarkStart w:id="5" w:name="_Toc130904054"/>
      <w:r w:rsidRPr="00BF4A3B">
        <w:rPr>
          <w:rFonts w:ascii="Times New Roman" w:eastAsia="Times New Roman"/>
          <w:sz w:val="32"/>
        </w:rPr>
        <w:t xml:space="preserve">Introduction to </w:t>
      </w:r>
      <w:proofErr w:type="spellStart"/>
      <w:r w:rsidRPr="00BF4A3B">
        <w:rPr>
          <w:rFonts w:ascii="Times New Roman" w:eastAsia="Times New Roman"/>
          <w:sz w:val="32"/>
        </w:rPr>
        <w:t>LeTV</w:t>
      </w:r>
      <w:bookmarkEnd w:id="5"/>
      <w:proofErr w:type="spellEnd"/>
    </w:p>
    <w:p w14:paraId="76B3D853" w14:textId="77777777" w:rsidR="00BF4A3B" w:rsidRPr="00BF4A3B" w:rsidRDefault="00BF4A3B" w:rsidP="00BF4A3B">
      <w:pPr>
        <w:spacing w:line="360" w:lineRule="auto"/>
        <w:ind w:firstLineChars="200" w:firstLine="480"/>
        <w:rPr>
          <w:rFonts w:ascii="Times New Roman" w:hAnsi="Times New Roman" w:cs="Times New Roman"/>
          <w:sz w:val="24"/>
          <w:szCs w:val="24"/>
        </w:rPr>
      </w:pP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is a listed company from China founded by Jia </w:t>
      </w:r>
      <w:proofErr w:type="spellStart"/>
      <w:r w:rsidRPr="00BF4A3B">
        <w:rPr>
          <w:rFonts w:ascii="Times New Roman" w:hAnsi="Times New Roman" w:cs="Times New Roman"/>
          <w:sz w:val="24"/>
          <w:szCs w:val="24"/>
        </w:rPr>
        <w:t>Yueting</w:t>
      </w:r>
      <w:proofErr w:type="spellEnd"/>
      <w:r w:rsidRPr="00BF4A3B">
        <w:rPr>
          <w:rFonts w:ascii="Times New Roman" w:hAnsi="Times New Roman" w:cs="Times New Roman"/>
          <w:sz w:val="24"/>
          <w:szCs w:val="24"/>
        </w:rPr>
        <w:t xml:space="preserve">. Jia </w:t>
      </w:r>
      <w:proofErr w:type="spellStart"/>
      <w:r w:rsidRPr="00BF4A3B">
        <w:rPr>
          <w:rFonts w:ascii="Times New Roman" w:hAnsi="Times New Roman" w:cs="Times New Roman"/>
          <w:sz w:val="24"/>
          <w:szCs w:val="24"/>
        </w:rPr>
        <w:t>Yueting</w:t>
      </w:r>
      <w:proofErr w:type="spellEnd"/>
      <w:r w:rsidRPr="00BF4A3B">
        <w:rPr>
          <w:rFonts w:ascii="Times New Roman" w:hAnsi="Times New Roman" w:cs="Times New Roman"/>
          <w:sz w:val="24"/>
          <w:szCs w:val="24"/>
        </w:rPr>
        <w:t xml:space="preserve"> founded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Information Technology (Beijing) Co., Ltd. in November 2004 and was listed on the China Growth Enterprise Market on August 12, 2010. He issued 25 million A-shares at 29.20 yuan per share, raising a total of 730 million yuan and a net amount of 680 million yuan. The company is the world's first IPO listed company in the internet video industry. When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was initially established, its main business scope was basic related services for online video and value-added services for video platforms. Shortly after its establishment,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became a leading Internet high-definition video service provider in the domestic industry. At first, many other mainstream video network service providers in China, such as Youku and </w:t>
      </w:r>
      <w:proofErr w:type="spellStart"/>
      <w:r w:rsidRPr="00BF4A3B">
        <w:rPr>
          <w:rFonts w:ascii="Times New Roman" w:hAnsi="Times New Roman" w:cs="Times New Roman"/>
          <w:sz w:val="24"/>
          <w:szCs w:val="24"/>
        </w:rPr>
        <w:t>iQiyi</w:t>
      </w:r>
      <w:proofErr w:type="spellEnd"/>
      <w:r w:rsidRPr="00BF4A3B">
        <w:rPr>
          <w:rFonts w:ascii="Times New Roman" w:hAnsi="Times New Roman" w:cs="Times New Roman"/>
          <w:sz w:val="24"/>
          <w:szCs w:val="24"/>
        </w:rPr>
        <w:t>, had adopted a free service business model to attract customers, while Le.com was different. At the initial stage of its strategy, it adopted a paid and free service business model, and quickly became one of the leaders in the paid video website industry in China at that time.</w:t>
      </w:r>
    </w:p>
    <w:p w14:paraId="6C7EE97A" w14:textId="0BD23713" w:rsidR="00BF4A3B" w:rsidRPr="00BF4A3B" w:rsidRDefault="00BF4A3B" w:rsidP="00BF4A3B">
      <w:pPr>
        <w:spacing w:line="360" w:lineRule="auto"/>
        <w:ind w:firstLineChars="200" w:firstLine="480"/>
        <w:rPr>
          <w:rFonts w:ascii="Times New Roman" w:hAnsi="Times New Roman" w:cs="Times New Roman"/>
          <w:sz w:val="24"/>
          <w:szCs w:val="24"/>
        </w:rPr>
      </w:pP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is committed to creating a vertical industrial chain model of "platform + content + terminal + application", which not only includes the main businesses of the company during its initial establishment, such as Internet video and film production, but also adds distribution modules and intelligent terminals, and extends the company's development landscape to markets such as large screen applications, e-commerce, and ecological agriculture, At the same time,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has also established its own multiple profit channels of "advertising revenue + content revenue + hardware revenue + application sharing". In the ecosystem built by </w:t>
      </w:r>
      <w:proofErr w:type="spellStart"/>
      <w:r w:rsidRPr="00BF4A3B">
        <w:rPr>
          <w:rFonts w:ascii="Times New Roman" w:hAnsi="Times New Roman" w:cs="Times New Roman"/>
          <w:sz w:val="24"/>
          <w:szCs w:val="24"/>
        </w:rPr>
        <w:t>LeEco</w:t>
      </w:r>
      <w:proofErr w:type="spellEnd"/>
      <w:r w:rsidRPr="00BF4A3B">
        <w:rPr>
          <w:rFonts w:ascii="Times New Roman" w:hAnsi="Times New Roman" w:cs="Times New Roman"/>
          <w:sz w:val="24"/>
          <w:szCs w:val="24"/>
        </w:rPr>
        <w:t xml:space="preserve"> itself, although businesses such as internet video, mobile phones, and television have strong liquidity, the demand for funds in markets such as automobiles is very large and the risks are high. The cash flow provided solely by businesses with strong liquidity such as </w:t>
      </w:r>
      <w:proofErr w:type="spellStart"/>
      <w:r w:rsidRPr="00BF4A3B">
        <w:rPr>
          <w:rFonts w:ascii="Times New Roman" w:hAnsi="Times New Roman" w:cs="Times New Roman"/>
          <w:sz w:val="24"/>
          <w:szCs w:val="24"/>
        </w:rPr>
        <w:t>LeEco</w:t>
      </w:r>
      <w:proofErr w:type="spellEnd"/>
      <w:r w:rsidRPr="00BF4A3B">
        <w:rPr>
          <w:rFonts w:ascii="Times New Roman" w:hAnsi="Times New Roman" w:cs="Times New Roman"/>
          <w:sz w:val="24"/>
          <w:szCs w:val="24"/>
        </w:rPr>
        <w:t xml:space="preserve"> cannot meet the financial requirements for "crazy" expansion of enterprises, and due to the high resource copyright fees in the internet video industry, </w:t>
      </w:r>
      <w:proofErr w:type="gramStart"/>
      <w:r w:rsidRPr="00BF4A3B">
        <w:rPr>
          <w:rFonts w:ascii="Times New Roman" w:hAnsi="Times New Roman" w:cs="Times New Roman"/>
          <w:sz w:val="24"/>
          <w:szCs w:val="24"/>
        </w:rPr>
        <w:t>It</w:t>
      </w:r>
      <w:proofErr w:type="gramEnd"/>
      <w:r w:rsidRPr="00BF4A3B">
        <w:rPr>
          <w:rFonts w:ascii="Times New Roman" w:hAnsi="Times New Roman" w:cs="Times New Roman"/>
          <w:sz w:val="24"/>
          <w:szCs w:val="24"/>
        </w:rPr>
        <w:t xml:space="preserve"> also requires a very large capital </w:t>
      </w:r>
      <w:r w:rsidRPr="00BF4A3B">
        <w:rPr>
          <w:rFonts w:ascii="Times New Roman" w:hAnsi="Times New Roman" w:cs="Times New Roman"/>
          <w:sz w:val="24"/>
          <w:szCs w:val="24"/>
        </w:rPr>
        <w:lastRenderedPageBreak/>
        <w:t xml:space="preserve">flow.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currently requires a large amount of funds to maintain the continuous operation of its complete ecosystem. Although it has raised funds several times in the past few years, it still cannot meet its huge capital needs. Since its listing in 2010, </w:t>
      </w:r>
      <w:r w:rsidR="00A437CA" w:rsidRPr="00A437CA">
        <w:rPr>
          <w:rFonts w:ascii="Times New Roman" w:hAnsi="Times New Roman" w:cs="Times New Roman"/>
          <w:sz w:val="24"/>
          <w:szCs w:val="24"/>
        </w:rPr>
        <w:t xml:space="preserve">At the time of its initial listing, </w:t>
      </w:r>
      <w:proofErr w:type="spellStart"/>
      <w:r w:rsidR="00A437CA" w:rsidRPr="00A437CA">
        <w:rPr>
          <w:rFonts w:ascii="Times New Roman" w:hAnsi="Times New Roman" w:cs="Times New Roman"/>
          <w:sz w:val="24"/>
          <w:szCs w:val="24"/>
        </w:rPr>
        <w:t>LeTV</w:t>
      </w:r>
      <w:proofErr w:type="spellEnd"/>
      <w:r w:rsidR="00A437CA" w:rsidRPr="00A437CA">
        <w:rPr>
          <w:rFonts w:ascii="Times New Roman" w:hAnsi="Times New Roman" w:cs="Times New Roman"/>
          <w:sz w:val="24"/>
          <w:szCs w:val="24"/>
        </w:rPr>
        <w:t xml:space="preserve"> had a market value of 3 billion yuan which increased to over 150 billion yuan at its highest point.</w:t>
      </w:r>
      <w:r w:rsidRPr="00BF4A3B">
        <w:rPr>
          <w:rFonts w:ascii="Times New Roman" w:hAnsi="Times New Roman" w:cs="Times New Roman"/>
          <w:sz w:val="24"/>
          <w:szCs w:val="24"/>
        </w:rPr>
        <w:t xml:space="preserve"> It has repeatedly set the highest market value record for GEM companies, and was once one of the leading stocks on the GEM, dropping to about 15 billion yuan at present. Even in the 2017 consolidated statement of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the net profit loss attributable to the parent company reached 13.878 billion yuan, making it the company with the highest A-share loss in 2017. It is tempting to explore exactly what caused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to fall into this dilemma. Although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currently exists, it has announced its delisting in May 2020.</w:t>
      </w:r>
    </w:p>
    <w:p w14:paraId="1C735678" w14:textId="77777777" w:rsidR="00BF4A3B" w:rsidRDefault="00BF4A3B" w:rsidP="00BF4A3B">
      <w:pPr>
        <w:spacing w:line="360" w:lineRule="auto"/>
        <w:ind w:firstLineChars="200" w:firstLine="480"/>
        <w:rPr>
          <w:rFonts w:ascii="Times New Roman" w:hAnsi="Times New Roman" w:cs="Times New Roman"/>
          <w:sz w:val="24"/>
          <w:szCs w:val="24"/>
        </w:rPr>
      </w:pPr>
      <w:r w:rsidRPr="00BF4A3B">
        <w:rPr>
          <w:rFonts w:ascii="Times New Roman" w:hAnsi="Times New Roman" w:cs="Times New Roman"/>
          <w:sz w:val="24"/>
          <w:szCs w:val="24"/>
        </w:rPr>
        <w:t xml:space="preserve">The reasons for choosing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in this article lie in two aspects. One is that </w:t>
      </w:r>
      <w:proofErr w:type="spellStart"/>
      <w:r w:rsidRPr="00BF4A3B">
        <w:rPr>
          <w:rFonts w:ascii="Times New Roman" w:hAnsi="Times New Roman" w:cs="Times New Roman"/>
          <w:sz w:val="24"/>
          <w:szCs w:val="24"/>
        </w:rPr>
        <w:t>LeTV's</w:t>
      </w:r>
      <w:proofErr w:type="spellEnd"/>
      <w:r w:rsidRPr="00BF4A3B">
        <w:rPr>
          <w:rFonts w:ascii="Times New Roman" w:hAnsi="Times New Roman" w:cs="Times New Roman"/>
          <w:sz w:val="24"/>
          <w:szCs w:val="24"/>
        </w:rPr>
        <w:t xml:space="preserve"> earnings management cases are representative among listed companies in China, and the outcome of </w:t>
      </w:r>
      <w:proofErr w:type="spellStart"/>
      <w:r w:rsidRPr="00BF4A3B">
        <w:rPr>
          <w:rFonts w:ascii="Times New Roman" w:hAnsi="Times New Roman" w:cs="Times New Roman"/>
          <w:sz w:val="24"/>
          <w:szCs w:val="24"/>
        </w:rPr>
        <w:t>LeTV's</w:t>
      </w:r>
      <w:proofErr w:type="spellEnd"/>
      <w:r w:rsidRPr="00BF4A3B">
        <w:rPr>
          <w:rFonts w:ascii="Times New Roman" w:hAnsi="Times New Roman" w:cs="Times New Roman"/>
          <w:sz w:val="24"/>
          <w:szCs w:val="24"/>
        </w:rPr>
        <w:t xml:space="preserve"> delisting has also given other companies a better warning effect.</w:t>
      </w:r>
    </w:p>
    <w:p w14:paraId="2260D92B" w14:textId="62764273" w:rsidR="00811E6F" w:rsidRDefault="00BF4A3B" w:rsidP="00BF4A3B">
      <w:pPr>
        <w:pStyle w:val="1"/>
        <w:numPr>
          <w:ilvl w:val="0"/>
          <w:numId w:val="1"/>
        </w:numPr>
        <w:spacing w:line="240" w:lineRule="auto"/>
        <w:jc w:val="left"/>
        <w:rPr>
          <w:rFonts w:ascii="Times New Roman" w:eastAsia="Times New Roman"/>
          <w:sz w:val="32"/>
        </w:rPr>
      </w:pPr>
      <w:bookmarkStart w:id="6" w:name="_Toc130904055"/>
      <w:proofErr w:type="spellStart"/>
      <w:r w:rsidRPr="00BF4A3B">
        <w:rPr>
          <w:rFonts w:ascii="Times New Roman" w:eastAsia="Times New Roman"/>
          <w:sz w:val="32"/>
        </w:rPr>
        <w:t>LeTV's</w:t>
      </w:r>
      <w:proofErr w:type="spellEnd"/>
      <w:r w:rsidRPr="00BF4A3B">
        <w:rPr>
          <w:rFonts w:ascii="Times New Roman" w:eastAsia="Times New Roman"/>
          <w:sz w:val="32"/>
        </w:rPr>
        <w:t xml:space="preserve"> earnings management through deferred income tax</w:t>
      </w:r>
      <w:bookmarkEnd w:id="6"/>
    </w:p>
    <w:p w14:paraId="175814E5" w14:textId="4FCE1D11" w:rsidR="00BF4A3B" w:rsidRPr="00BF4A3B" w:rsidRDefault="00BF4A3B" w:rsidP="00BF4A3B">
      <w:pPr>
        <w:pStyle w:val="2"/>
        <w:numPr>
          <w:ilvl w:val="1"/>
          <w:numId w:val="2"/>
        </w:numPr>
      </w:pPr>
      <w:bookmarkStart w:id="7" w:name="_Toc130904056"/>
      <w:r w:rsidRPr="00BF4A3B">
        <w:t xml:space="preserve">Motivation of </w:t>
      </w:r>
      <w:proofErr w:type="spellStart"/>
      <w:r w:rsidRPr="00BF4A3B">
        <w:t>LeTV</w:t>
      </w:r>
      <w:proofErr w:type="spellEnd"/>
      <w:r w:rsidRPr="00BF4A3B">
        <w:t xml:space="preserve"> for Earnings Management</w:t>
      </w:r>
      <w:bookmarkEnd w:id="7"/>
    </w:p>
    <w:p w14:paraId="79B07787" w14:textId="531B3011" w:rsidR="00BF4A3B" w:rsidRPr="00BF4A3B" w:rsidRDefault="00A437CA" w:rsidP="00BF4A3B">
      <w:pPr>
        <w:spacing w:line="360" w:lineRule="auto"/>
        <w:ind w:firstLineChars="200" w:firstLine="480"/>
        <w:rPr>
          <w:rFonts w:ascii="Times New Roman" w:hAnsi="Times New Roman" w:cs="Times New Roman"/>
          <w:sz w:val="24"/>
          <w:szCs w:val="24"/>
        </w:rPr>
      </w:pPr>
      <w:r w:rsidRPr="00A437CA">
        <w:rPr>
          <w:rFonts w:ascii="Times New Roman" w:hAnsi="Times New Roman" w:cs="Times New Roman"/>
          <w:sz w:val="24"/>
          <w:szCs w:val="24"/>
        </w:rPr>
        <w:t>After reviewing the research on the motivation behind earnings management, it becomes apparent that such motivations can be broadly categorized into three types: capital market motivation, contract motivation, and tax avoidance motivation.</w:t>
      </w:r>
      <w:r w:rsidR="00BF4A3B" w:rsidRPr="00BF4A3B">
        <w:rPr>
          <w:rFonts w:ascii="Times New Roman" w:hAnsi="Times New Roman" w:cs="Times New Roman"/>
          <w:sz w:val="24"/>
          <w:szCs w:val="24"/>
        </w:rPr>
        <w:t xml:space="preserve"> Generally speaking, the fundamental purpose of listed companies' earnings management is to maximize the company's earnings as much as possible.</w:t>
      </w:r>
    </w:p>
    <w:p w14:paraId="01E65C8D" w14:textId="77777777" w:rsidR="00BF4A3B" w:rsidRPr="00BF4A3B" w:rsidRDefault="00BF4A3B" w:rsidP="00BF4A3B">
      <w:pPr>
        <w:spacing w:line="360" w:lineRule="auto"/>
        <w:ind w:firstLineChars="200" w:firstLine="480"/>
        <w:rPr>
          <w:rFonts w:ascii="Times New Roman" w:hAnsi="Times New Roman" w:cs="Times New Roman"/>
          <w:sz w:val="24"/>
          <w:szCs w:val="24"/>
        </w:rPr>
      </w:pPr>
      <w:r w:rsidRPr="00BF4A3B">
        <w:rPr>
          <w:rFonts w:ascii="Times New Roman" w:hAnsi="Times New Roman" w:cs="Times New Roman"/>
          <w:sz w:val="24"/>
          <w:szCs w:val="24"/>
        </w:rPr>
        <w:t xml:space="preserve">In the capital market motivation, it can be subdivided into the motivation to avoid delisting and the motivation to raise funds. First, avoid delisting motives. According to the relevant delisting regulations of some listed companies, listed companies will be subject to * ST if their net profit before/after deducting </w:t>
      </w:r>
      <w:proofErr w:type="spellStart"/>
      <w:r w:rsidRPr="00BF4A3B">
        <w:rPr>
          <w:rFonts w:ascii="Times New Roman" w:hAnsi="Times New Roman" w:cs="Times New Roman"/>
          <w:sz w:val="24"/>
          <w:szCs w:val="24"/>
        </w:rPr>
        <w:t>non recurring</w:t>
      </w:r>
      <w:proofErr w:type="spellEnd"/>
      <w:r w:rsidRPr="00BF4A3B">
        <w:rPr>
          <w:rFonts w:ascii="Times New Roman" w:hAnsi="Times New Roman" w:cs="Times New Roman"/>
          <w:sz w:val="24"/>
          <w:szCs w:val="24"/>
        </w:rPr>
        <w:t xml:space="preserve"> profits and losses, whichever is lower, and their operating income is less than 100 million yuan. However, </w:t>
      </w:r>
      <w:r w:rsidRPr="00BF4A3B">
        <w:rPr>
          <w:rFonts w:ascii="Times New Roman" w:hAnsi="Times New Roman" w:cs="Times New Roman"/>
          <w:sz w:val="24"/>
          <w:szCs w:val="24"/>
        </w:rPr>
        <w:lastRenderedPageBreak/>
        <w:t>if the aforementioned situation occurs for two consecutive years, they will be delisted. However, companies that terminate their listing will be greatly hindered in terms of financing or operation. Therefore, in order to avoid going to the step of delisting, companies are highly likely to choose earnings management to ensure a positive net profit. Losing listed companies are more likely to implement earnings management through real earnings management; Moreover, the stronger the motivation to turn losses into profits, the greater the degree of true earnings management. Second, motivation for raising funds. With the continuous expansion of the scale of private placement in the financial market, most scholars have noticed that private placement often has the motivation of earnings management. However, there are some differences in the views on the methods used by listed companies. In order to obtain external investment to expand their own scale, listed companies will choose the method of accrued earnings management to meet the requirements of share allotment; In addition, the lower the degree of true earnings management is when listed companies with more profits issue new shares, while the higher the probability of choosing true earnings management is when listed companies with less profits issue new shares.</w:t>
      </w:r>
    </w:p>
    <w:p w14:paraId="7D792CEA" w14:textId="77777777" w:rsidR="00BF4A3B" w:rsidRPr="00BF4A3B" w:rsidRDefault="00BF4A3B" w:rsidP="00BF4A3B">
      <w:pPr>
        <w:spacing w:line="360" w:lineRule="auto"/>
        <w:ind w:firstLineChars="200" w:firstLine="480"/>
        <w:rPr>
          <w:rFonts w:ascii="Times New Roman" w:hAnsi="Times New Roman" w:cs="Times New Roman"/>
          <w:sz w:val="24"/>
          <w:szCs w:val="24"/>
        </w:rPr>
      </w:pPr>
      <w:r w:rsidRPr="00BF4A3B">
        <w:rPr>
          <w:rFonts w:ascii="Times New Roman" w:hAnsi="Times New Roman" w:cs="Times New Roman"/>
          <w:sz w:val="24"/>
          <w:szCs w:val="24"/>
        </w:rPr>
        <w:t xml:space="preserve">In contractual motivation, it can be subdivided into debt contractual motivation and reward contractual motivation. First, the motivation of debt contracts. Watts and Zimmerman (1986) proposed the debt contract hypothesis. Two scholars believe that listed companies will use financial indicators to form a default threshold, and to avoid default, listed companies usually use accounting policies to achieve the goal. In addition, listed companies with more severe debt defaults usually conduct negative earnings management before the expiration of the default. After the default is exposed, they will increase the intensity of negative earnings management, which proves that there is a relationship between earnings management and debt default. Second, motivation of compensation contract. The compensation of corporate executives is usually determined by corporate performance. Ittner believes that although non-financial indicators can affect executive compensation to some extent, financial indicators are the key (Ittner 1997). At the same time, relevant research has shown that the higher the compensation of the management, the greater the upward adjustment of the enterprise's </w:t>
      </w:r>
      <w:r w:rsidRPr="00BF4A3B">
        <w:rPr>
          <w:rFonts w:ascii="Times New Roman" w:hAnsi="Times New Roman" w:cs="Times New Roman"/>
          <w:sz w:val="24"/>
          <w:szCs w:val="24"/>
        </w:rPr>
        <w:lastRenderedPageBreak/>
        <w:t>accrued profits, indicating that executives will conduct earnings management for more compensation.</w:t>
      </w:r>
    </w:p>
    <w:p w14:paraId="2CBD06D8" w14:textId="77777777" w:rsidR="00BF4A3B" w:rsidRPr="00BF4A3B" w:rsidRDefault="00BF4A3B" w:rsidP="00BF4A3B">
      <w:pPr>
        <w:spacing w:line="360" w:lineRule="auto"/>
        <w:ind w:firstLineChars="200" w:firstLine="480"/>
        <w:rPr>
          <w:rFonts w:ascii="Times New Roman" w:hAnsi="Times New Roman" w:cs="Times New Roman"/>
          <w:sz w:val="24"/>
          <w:szCs w:val="24"/>
        </w:rPr>
      </w:pPr>
      <w:r w:rsidRPr="00BF4A3B">
        <w:rPr>
          <w:rFonts w:ascii="Times New Roman" w:hAnsi="Times New Roman" w:cs="Times New Roman"/>
          <w:sz w:val="24"/>
          <w:szCs w:val="24"/>
        </w:rPr>
        <w:t>Among the motives for tax avoidance, there are mainly tax incentives, as well as certain regulatory motivations. First, tax incentives. The confirmation of tax avoidance motivation began with a study of the relationship between the US Tax Reform Act of 1986 and earnings management (Boynton 1992). When listed companies have tax avoidance motivation, driven by the goal of maximizing profits, they will not only use the independent choice of accounting policies to conduct earnings management on accruals to reduce tax payments, but also manipulate real trading behavior to conduct real earnings management, However, the gradual improvement of tax laws and regulations will also reduce these behaviors and play a supervisory role. Second, regulatory motivation. Watts and Zimmerman (1978) believe that listed companies that have been investigated by regulators and subjected to other political investigations are more likely to manipulate profits or engage in excessive earnings management in order to present better financial statements. Some local governments may also consider allowing local listed companies to conduct earnings management for the benefit of local enterprises.</w:t>
      </w:r>
    </w:p>
    <w:p w14:paraId="6ABC645B" w14:textId="77777777" w:rsidR="00BF4A3B" w:rsidRPr="00BF4A3B" w:rsidRDefault="00BF4A3B" w:rsidP="00BF4A3B">
      <w:pPr>
        <w:spacing w:line="360" w:lineRule="auto"/>
        <w:ind w:firstLineChars="200" w:firstLine="480"/>
        <w:rPr>
          <w:rFonts w:ascii="Times New Roman" w:hAnsi="Times New Roman" w:cs="Times New Roman"/>
          <w:sz w:val="24"/>
          <w:szCs w:val="24"/>
        </w:rPr>
      </w:pPr>
      <w:r w:rsidRPr="00BF4A3B">
        <w:rPr>
          <w:rFonts w:ascii="Times New Roman" w:hAnsi="Times New Roman" w:cs="Times New Roman"/>
          <w:sz w:val="24"/>
          <w:szCs w:val="24"/>
        </w:rPr>
        <w:t xml:space="preserve">In addition to the above three categories of motivation research, there are other motivation studies that are also interesting. </w:t>
      </w:r>
      <w:proofErr w:type="spellStart"/>
      <w:r w:rsidRPr="00BF4A3B">
        <w:rPr>
          <w:rFonts w:ascii="Times New Roman" w:hAnsi="Times New Roman" w:cs="Times New Roman"/>
          <w:sz w:val="24"/>
          <w:szCs w:val="24"/>
        </w:rPr>
        <w:t>Stockmans</w:t>
      </w:r>
      <w:proofErr w:type="spellEnd"/>
      <w:r w:rsidRPr="00BF4A3B">
        <w:rPr>
          <w:rFonts w:ascii="Times New Roman" w:hAnsi="Times New Roman" w:cs="Times New Roman"/>
          <w:sz w:val="24"/>
          <w:szCs w:val="24"/>
        </w:rPr>
        <w:t xml:space="preserve"> believes that social emotional wealth may also be the motivation for earnings management. When a company's performance is poor, social emotional wealth may become the motivation for upward earnings management (</w:t>
      </w:r>
      <w:proofErr w:type="spellStart"/>
      <w:r w:rsidRPr="00BF4A3B">
        <w:rPr>
          <w:rFonts w:ascii="Times New Roman" w:hAnsi="Times New Roman" w:cs="Times New Roman"/>
          <w:sz w:val="24"/>
          <w:szCs w:val="24"/>
        </w:rPr>
        <w:t>Stockmans</w:t>
      </w:r>
      <w:proofErr w:type="spellEnd"/>
      <w:r w:rsidRPr="00BF4A3B">
        <w:rPr>
          <w:rFonts w:ascii="Times New Roman" w:hAnsi="Times New Roman" w:cs="Times New Roman"/>
          <w:sz w:val="24"/>
          <w:szCs w:val="24"/>
        </w:rPr>
        <w:t xml:space="preserve"> 2010). In this context, private family businesses led by the first generation and founders seem to have a greater incentive to engage in upward revenue management, as their social and emotional wealth is protected. In addition, Holthausen (1990) believes that some opportunists also conduct earnings management. From the perspective of information transmission, Ali (2012) believes that appropriate earnings management for enterprises with high R&amp;D investment intensity can help timely transmit good news that is not allowed to be disclosed by accounting standards to the capital market, thereby improving the efficiency of enterprise stock pricing. In short, earnings management motivations may be diverse, </w:t>
      </w:r>
      <w:r w:rsidRPr="00BF4A3B">
        <w:rPr>
          <w:rFonts w:ascii="Times New Roman" w:hAnsi="Times New Roman" w:cs="Times New Roman"/>
          <w:sz w:val="24"/>
          <w:szCs w:val="24"/>
        </w:rPr>
        <w:lastRenderedPageBreak/>
        <w:t>but most of them fall within the scope of three major motivations: capital market motivation, contractual motivation, and tax avoidance motivation.</w:t>
      </w:r>
    </w:p>
    <w:p w14:paraId="318BDBEC" w14:textId="5B5346B1" w:rsidR="00BF4A3B" w:rsidRDefault="00BF4A3B" w:rsidP="00BF4A3B">
      <w:pPr>
        <w:spacing w:line="360" w:lineRule="auto"/>
        <w:ind w:firstLineChars="200" w:firstLine="480"/>
        <w:rPr>
          <w:rFonts w:ascii="Times New Roman" w:hAnsi="Times New Roman" w:cs="Times New Roman"/>
          <w:sz w:val="24"/>
          <w:szCs w:val="24"/>
        </w:rPr>
      </w:pPr>
      <w:r w:rsidRPr="00BF4A3B">
        <w:rPr>
          <w:rFonts w:ascii="Times New Roman" w:hAnsi="Times New Roman" w:cs="Times New Roman"/>
          <w:sz w:val="24"/>
          <w:szCs w:val="24"/>
        </w:rPr>
        <w:t xml:space="preserve">As the research object of this article, </w:t>
      </w:r>
      <w:proofErr w:type="spellStart"/>
      <w:r w:rsidRPr="00BF4A3B">
        <w:rPr>
          <w:rFonts w:ascii="Times New Roman" w:hAnsi="Times New Roman" w:cs="Times New Roman"/>
          <w:sz w:val="24"/>
          <w:szCs w:val="24"/>
        </w:rPr>
        <w:t>LeTV's</w:t>
      </w:r>
      <w:proofErr w:type="spellEnd"/>
      <w:r w:rsidRPr="00BF4A3B">
        <w:rPr>
          <w:rFonts w:ascii="Times New Roman" w:hAnsi="Times New Roman" w:cs="Times New Roman"/>
          <w:sz w:val="24"/>
          <w:szCs w:val="24"/>
        </w:rPr>
        <w:t xml:space="preserve"> earnings motivation is mainly divided into three points: debt contract motivation, major shareholders' motivation to seek private ownership, and motivation to maintain listing. The demand points for the three motivations are also described below. Firstly,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is bound to require a large amount of funds to support its diversified business types, so it has a high debt contractual motivation to support debt financing; Secondly,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has absolute control and discourse power over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xml:space="preserve"> with Jia </w:t>
      </w:r>
      <w:proofErr w:type="spellStart"/>
      <w:r w:rsidRPr="00BF4A3B">
        <w:rPr>
          <w:rFonts w:ascii="Times New Roman" w:hAnsi="Times New Roman" w:cs="Times New Roman"/>
          <w:sz w:val="24"/>
          <w:szCs w:val="24"/>
        </w:rPr>
        <w:t>Yueting</w:t>
      </w:r>
      <w:proofErr w:type="spellEnd"/>
      <w:r w:rsidRPr="00BF4A3B">
        <w:rPr>
          <w:rFonts w:ascii="Times New Roman" w:hAnsi="Times New Roman" w:cs="Times New Roman"/>
          <w:sz w:val="24"/>
          <w:szCs w:val="24"/>
        </w:rPr>
        <w:t xml:space="preserve"> as its largest shareholder, which is likely to prevent major shareholders from pursuing personal interests, so there is a possibility that major shareholders may seek personal interests; Third, </w:t>
      </w:r>
      <w:proofErr w:type="spellStart"/>
      <w:r w:rsidRPr="00BF4A3B">
        <w:rPr>
          <w:rFonts w:ascii="Times New Roman" w:hAnsi="Times New Roman" w:cs="Times New Roman"/>
          <w:sz w:val="24"/>
          <w:szCs w:val="24"/>
        </w:rPr>
        <w:t>LeTV's</w:t>
      </w:r>
      <w:proofErr w:type="spellEnd"/>
      <w:r w:rsidRPr="00BF4A3B">
        <w:rPr>
          <w:rFonts w:ascii="Times New Roman" w:hAnsi="Times New Roman" w:cs="Times New Roman"/>
          <w:sz w:val="24"/>
          <w:szCs w:val="24"/>
        </w:rPr>
        <w:t xml:space="preserve"> operating condition is unfavorable three years after its listing. However, to avoid delisting, listed companies must maintain a positive net profit. Therefore, there is a need to maintain the listing and adjust the income statement. Therefore, according to the detailed situation of </w:t>
      </w:r>
      <w:proofErr w:type="spellStart"/>
      <w:r w:rsidRPr="00BF4A3B">
        <w:rPr>
          <w:rFonts w:ascii="Times New Roman" w:hAnsi="Times New Roman" w:cs="Times New Roman"/>
          <w:sz w:val="24"/>
          <w:szCs w:val="24"/>
        </w:rPr>
        <w:t>LeTV</w:t>
      </w:r>
      <w:proofErr w:type="spellEnd"/>
      <w:r w:rsidRPr="00BF4A3B">
        <w:rPr>
          <w:rFonts w:ascii="Times New Roman" w:hAnsi="Times New Roman" w:cs="Times New Roman"/>
          <w:sz w:val="24"/>
          <w:szCs w:val="24"/>
        </w:rPr>
        <w:t>, the motivation for earnings management is mainly the above three motivations.</w:t>
      </w:r>
    </w:p>
    <w:p w14:paraId="24CBD6E9" w14:textId="4ED1B66F" w:rsidR="00BF4A3B" w:rsidRPr="003A658F" w:rsidRDefault="00BF4A3B" w:rsidP="003A658F">
      <w:pPr>
        <w:pStyle w:val="2"/>
        <w:numPr>
          <w:ilvl w:val="1"/>
          <w:numId w:val="2"/>
        </w:numPr>
      </w:pPr>
      <w:bookmarkStart w:id="8" w:name="_Toc130904057"/>
      <w:proofErr w:type="spellStart"/>
      <w:r w:rsidRPr="00BF4A3B">
        <w:t>LeTV's</w:t>
      </w:r>
      <w:proofErr w:type="spellEnd"/>
      <w:r w:rsidRPr="00BF4A3B">
        <w:t xml:space="preserve"> Earnings Management Approach - Deferred Income Tax</w:t>
      </w:r>
      <w:bookmarkEnd w:id="8"/>
    </w:p>
    <w:p w14:paraId="79D04863" w14:textId="77777777" w:rsidR="003A658F" w:rsidRP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Through literature review, it is found that scholars divide the means of earnings management into accrued earnings management means and real earnings management means. Accrued earnings management represents a major change in accruals for a company, while real earnings management is the use of real activities such as the company's living activities, sales activities, and discretionary expenses.</w:t>
      </w:r>
    </w:p>
    <w:p w14:paraId="4675EB83" w14:textId="77777777" w:rsidR="003A658F" w:rsidRP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Accrued earnings management tools. Healy (1999) found that the common methods of accrued earnings management are the selection and change of accounting estimates and policies for enterprises and the selection and change of asset impairment provisions. In addition, Jones (1991) and McNichols and Wilson (1988) believe that the way to recognize revenue in advance and expenses in delay, manipulate future profits, and obtain the best current profit is also an accrual earnings management tool.</w:t>
      </w:r>
    </w:p>
    <w:p w14:paraId="34D8C9A5" w14:textId="77777777" w:rsidR="003A658F" w:rsidRP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 xml:space="preserve">Real earnings management tools. Real earnings management behavior revolves </w:t>
      </w:r>
      <w:r w:rsidRPr="003A658F">
        <w:rPr>
          <w:rFonts w:ascii="Times New Roman" w:hAnsi="Times New Roman" w:cs="Times New Roman"/>
          <w:sz w:val="24"/>
          <w:szCs w:val="24"/>
        </w:rPr>
        <w:lastRenderedPageBreak/>
        <w:t xml:space="preserve">around the process of producing, selling, and generating expenses, sometimes including some other real earnings management behaviors. From the perspective of controlling a company's production activities, research by </w:t>
      </w:r>
      <w:proofErr w:type="spellStart"/>
      <w:r w:rsidRPr="003A658F">
        <w:rPr>
          <w:rFonts w:ascii="Times New Roman" w:hAnsi="Times New Roman" w:cs="Times New Roman"/>
          <w:sz w:val="24"/>
          <w:szCs w:val="24"/>
        </w:rPr>
        <w:t>Royshowdhury</w:t>
      </w:r>
      <w:proofErr w:type="spellEnd"/>
      <w:r w:rsidRPr="003A658F">
        <w:rPr>
          <w:rFonts w:ascii="Times New Roman" w:hAnsi="Times New Roman" w:cs="Times New Roman"/>
          <w:sz w:val="24"/>
          <w:szCs w:val="24"/>
        </w:rPr>
        <w:t xml:space="preserve"> shows that, based on the composition of finished products, the higher the quantity of production, the lower the unit cost. In order to reduce costs and improve product profits, management often increases the production scale, which can also achieve the goal of improving the company's performance in the short term (</w:t>
      </w:r>
      <w:proofErr w:type="spellStart"/>
      <w:r w:rsidRPr="003A658F">
        <w:rPr>
          <w:rFonts w:ascii="Times New Roman" w:hAnsi="Times New Roman" w:cs="Times New Roman"/>
          <w:sz w:val="24"/>
          <w:szCs w:val="24"/>
        </w:rPr>
        <w:t>Royshowdhury</w:t>
      </w:r>
      <w:proofErr w:type="spellEnd"/>
      <w:r w:rsidRPr="003A658F">
        <w:rPr>
          <w:rFonts w:ascii="Times New Roman" w:hAnsi="Times New Roman" w:cs="Times New Roman"/>
          <w:sz w:val="24"/>
          <w:szCs w:val="24"/>
        </w:rPr>
        <w:t xml:space="preserve"> 2006). From the perspective of controlling the company's sales activities, management controls sales activities mainly by adjusting credit policies and granting commercial discounts to customers to minimize the sales cycle, quickly recover funds, improve capital turnover, and strive for better operating results for the current period. However, selecting methods such as commodity promotions can indeed achieve the goal of increasing profits for the current period (Chapman 2011). From the perspective of manipulating company expense activities, Zhang (2012) Cohen et al. (2010) and others believe that listed companies can manipulate their own discretionary expenses through independent management, such as corporate research and development expenses, employee training expenses, and advertising expenses.</w:t>
      </w:r>
    </w:p>
    <w:p w14:paraId="68AA8442" w14:textId="7BBC9C99" w:rsidR="00BF4A3B"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 xml:space="preserve">In addition to the above-mentioned means of earnings management, there are many phenomena of earnings management through deferred income tax. The </w:t>
      </w:r>
      <w:proofErr w:type="spellStart"/>
      <w:r w:rsidRPr="003A658F">
        <w:rPr>
          <w:rFonts w:ascii="Times New Roman" w:hAnsi="Times New Roman" w:cs="Times New Roman"/>
          <w:sz w:val="24"/>
          <w:szCs w:val="24"/>
        </w:rPr>
        <w:t>LeTV</w:t>
      </w:r>
      <w:proofErr w:type="spellEnd"/>
      <w:r w:rsidRPr="003A658F">
        <w:rPr>
          <w:rFonts w:ascii="Times New Roman" w:hAnsi="Times New Roman" w:cs="Times New Roman"/>
          <w:sz w:val="24"/>
          <w:szCs w:val="24"/>
        </w:rPr>
        <w:t xml:space="preserve"> network studied in this article implements earnings management through deferred income tax. Deferred income tax refers to the difference between the amount of deferred income tax assets and deferred income tax liabilities that should be recognized at the end of the period and the originally recognized amount, which is the comprehensive result of the current amount of deferred income tax assets and deferred income tax liabilities. Most scholars believe that deferred income tax assets have become a hotbed for companies to manipulate profits, and their excessive proportion in assets can reduce the quality of corporate assets. "Even if a loss-making enterprise cannot obtain sufficient taxable income during its operating period in the next few years, in order to cover up its actual financial situation, it still recognizes the portion of the loss as deferred income tax assets, and finally beautifies its financial statements."; Profitable </w:t>
      </w:r>
      <w:r w:rsidRPr="003A658F">
        <w:rPr>
          <w:rFonts w:ascii="Times New Roman" w:hAnsi="Times New Roman" w:cs="Times New Roman"/>
          <w:sz w:val="24"/>
          <w:szCs w:val="24"/>
        </w:rPr>
        <w:lastRenderedPageBreak/>
        <w:t>enterprises are unwilling to make excessive profits and also choose to recognize deferred income tax assets to reduce net profits. After recognizing excessive deferred income tax assets to inflate net profits, it has driven up stock prices and inflated market capitalization, harming the interests of multiple investors.</w:t>
      </w:r>
    </w:p>
    <w:p w14:paraId="16F34268" w14:textId="3B77797B" w:rsidR="003A658F" w:rsidRPr="003A658F" w:rsidRDefault="003A658F" w:rsidP="003A658F">
      <w:pPr>
        <w:pStyle w:val="2"/>
        <w:numPr>
          <w:ilvl w:val="1"/>
          <w:numId w:val="2"/>
        </w:numPr>
      </w:pPr>
      <w:bookmarkStart w:id="9" w:name="_Toc130904058"/>
      <w:proofErr w:type="spellStart"/>
      <w:r w:rsidRPr="003A658F">
        <w:t>LeTV's</w:t>
      </w:r>
      <w:proofErr w:type="spellEnd"/>
      <w:r w:rsidRPr="003A658F">
        <w:t xml:space="preserve"> Earnings Management Process</w:t>
      </w:r>
      <w:bookmarkEnd w:id="9"/>
    </w:p>
    <w:p w14:paraId="560BC55C" w14:textId="2A95CBD0" w:rsidR="003A658F" w:rsidRPr="003A658F" w:rsidRDefault="003A658F" w:rsidP="00BF4A3B">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 xml:space="preserve">This article analyzes </w:t>
      </w:r>
      <w:proofErr w:type="spellStart"/>
      <w:r w:rsidRPr="003A658F">
        <w:rPr>
          <w:rFonts w:ascii="Times New Roman" w:hAnsi="Times New Roman" w:cs="Times New Roman"/>
          <w:sz w:val="24"/>
          <w:szCs w:val="24"/>
        </w:rPr>
        <w:t>LeTV's</w:t>
      </w:r>
      <w:proofErr w:type="spellEnd"/>
      <w:r w:rsidRPr="003A658F">
        <w:rPr>
          <w:rFonts w:ascii="Times New Roman" w:hAnsi="Times New Roman" w:cs="Times New Roman"/>
          <w:sz w:val="24"/>
          <w:szCs w:val="24"/>
        </w:rPr>
        <w:t xml:space="preserve"> income tax expenses to explore the process of </w:t>
      </w:r>
      <w:proofErr w:type="spellStart"/>
      <w:r w:rsidRPr="003A658F">
        <w:rPr>
          <w:rFonts w:ascii="Times New Roman" w:hAnsi="Times New Roman" w:cs="Times New Roman"/>
          <w:sz w:val="24"/>
          <w:szCs w:val="24"/>
        </w:rPr>
        <w:t>LeTV's</w:t>
      </w:r>
      <w:proofErr w:type="spellEnd"/>
      <w:r w:rsidRPr="003A658F">
        <w:rPr>
          <w:rFonts w:ascii="Times New Roman" w:hAnsi="Times New Roman" w:cs="Times New Roman"/>
          <w:sz w:val="24"/>
          <w:szCs w:val="24"/>
        </w:rPr>
        <w:t xml:space="preserve"> earnings management. Corporate income tax expenses include current income tax and deferred income tax. First of all, observing </w:t>
      </w:r>
      <w:proofErr w:type="spellStart"/>
      <w:r w:rsidRPr="003A658F">
        <w:rPr>
          <w:rFonts w:ascii="Times New Roman" w:hAnsi="Times New Roman" w:cs="Times New Roman"/>
          <w:sz w:val="24"/>
          <w:szCs w:val="24"/>
        </w:rPr>
        <w:t>LeTV's</w:t>
      </w:r>
      <w:proofErr w:type="spellEnd"/>
      <w:r w:rsidRPr="003A658F">
        <w:rPr>
          <w:rFonts w:ascii="Times New Roman" w:hAnsi="Times New Roman" w:cs="Times New Roman"/>
          <w:sz w:val="24"/>
          <w:szCs w:val="24"/>
        </w:rPr>
        <w:t xml:space="preserve"> income tax expenses, it can be seen from Table 1 that the income tax expenses changed significantly from 2014 to 2018, with negative numbers from 2014 to 2016, respectively - 0.59 billion, - 143 million, and - 107 million. In 2017, they suddenly rose to 720 million, a year-on-year increase of 7.72 times, and in 2018, they fell to 55 million, a year-on-year decrease of 92.36%. Secondly, the change in deferred income tax is the reason for the change in income tax expenses. The current income tax of enterprises changed little from 2014 to 2016, dropping to 14.4055 million yuan in 2017, a year-on-year decrease of 9.6 times. However, the deferred income tax increased to 708.1725 million yuan in 2017, a year-on-year increase of 3.72 times. Finally, in absolute terms, changes in deferred income tax are greater than changes in current income tax, and have a significant impact on corporate income tax expenses.</w:t>
      </w:r>
    </w:p>
    <w:p w14:paraId="511EE313" w14:textId="77777777" w:rsidR="003A658F" w:rsidRPr="0031001C" w:rsidRDefault="003A658F" w:rsidP="003A658F">
      <w:pPr>
        <w:spacing w:beforeLines="50" w:before="156" w:afterLines="50" w:after="156" w:line="360" w:lineRule="auto"/>
        <w:ind w:firstLineChars="200" w:firstLine="422"/>
        <w:jc w:val="center"/>
        <w:rPr>
          <w:rFonts w:ascii="Times New Roman" w:eastAsia="黑体" w:hAnsi="Times New Roman" w:cs="Times New Roman"/>
          <w:b/>
          <w:bCs/>
        </w:rPr>
      </w:pPr>
      <w:r w:rsidRPr="0031001C">
        <w:rPr>
          <w:rFonts w:ascii="Times New Roman" w:eastAsia="黑体" w:hAnsi="Times New Roman" w:cs="Times New Roman"/>
          <w:b/>
          <w:bCs/>
        </w:rPr>
        <w:t xml:space="preserve">Table 1 </w:t>
      </w:r>
      <w:bookmarkStart w:id="10" w:name="_Hlk130904415"/>
      <w:proofErr w:type="spellStart"/>
      <w:r w:rsidRPr="0031001C">
        <w:rPr>
          <w:rFonts w:ascii="Times New Roman" w:eastAsia="黑体" w:hAnsi="Times New Roman" w:cs="Times New Roman"/>
          <w:b/>
          <w:bCs/>
        </w:rPr>
        <w:t>LeTV</w:t>
      </w:r>
      <w:proofErr w:type="spellEnd"/>
      <w:r w:rsidRPr="0031001C">
        <w:rPr>
          <w:rFonts w:ascii="Times New Roman" w:eastAsia="黑体" w:hAnsi="Times New Roman" w:cs="Times New Roman"/>
          <w:b/>
          <w:bCs/>
        </w:rPr>
        <w:t xml:space="preserve"> Income Tax Expense Analysis</w:t>
      </w:r>
      <w:bookmarkEnd w:id="10"/>
    </w:p>
    <w:tbl>
      <w:tblPr>
        <w:tblW w:w="7920" w:type="dxa"/>
        <w:jc w:val="center"/>
        <w:tblLook w:val="04A0" w:firstRow="1" w:lastRow="0" w:firstColumn="1" w:lastColumn="0" w:noHBand="0" w:noVBand="1"/>
      </w:tblPr>
      <w:tblGrid>
        <w:gridCol w:w="2835"/>
        <w:gridCol w:w="925"/>
        <w:gridCol w:w="1040"/>
        <w:gridCol w:w="1040"/>
        <w:gridCol w:w="1040"/>
        <w:gridCol w:w="1040"/>
      </w:tblGrid>
      <w:tr w:rsidR="003A658F" w:rsidRPr="004335E5" w14:paraId="698CA8E6" w14:textId="77777777" w:rsidTr="003A658F">
        <w:trPr>
          <w:trHeight w:val="499"/>
          <w:jc w:val="center"/>
        </w:trPr>
        <w:tc>
          <w:tcPr>
            <w:tcW w:w="2835" w:type="dxa"/>
            <w:tcBorders>
              <w:top w:val="single" w:sz="12" w:space="0" w:color="auto"/>
              <w:left w:val="nil"/>
              <w:bottom w:val="single" w:sz="6" w:space="0" w:color="auto"/>
              <w:right w:val="nil"/>
            </w:tcBorders>
            <w:shd w:val="clear" w:color="auto" w:fill="auto"/>
            <w:noWrap/>
            <w:vAlign w:val="center"/>
            <w:hideMark/>
          </w:tcPr>
          <w:p w14:paraId="28FA3F9F"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Year</w:t>
            </w:r>
          </w:p>
        </w:tc>
        <w:tc>
          <w:tcPr>
            <w:tcW w:w="925" w:type="dxa"/>
            <w:tcBorders>
              <w:top w:val="single" w:sz="12" w:space="0" w:color="auto"/>
              <w:left w:val="nil"/>
              <w:bottom w:val="single" w:sz="6" w:space="0" w:color="auto"/>
              <w:right w:val="nil"/>
            </w:tcBorders>
            <w:shd w:val="clear" w:color="auto" w:fill="auto"/>
            <w:noWrap/>
            <w:vAlign w:val="center"/>
            <w:hideMark/>
          </w:tcPr>
          <w:p w14:paraId="236789EF"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2014</w:t>
            </w:r>
          </w:p>
        </w:tc>
        <w:tc>
          <w:tcPr>
            <w:tcW w:w="1040" w:type="dxa"/>
            <w:tcBorders>
              <w:top w:val="single" w:sz="12" w:space="0" w:color="auto"/>
              <w:left w:val="nil"/>
              <w:bottom w:val="single" w:sz="6" w:space="0" w:color="auto"/>
              <w:right w:val="nil"/>
            </w:tcBorders>
            <w:shd w:val="clear" w:color="auto" w:fill="auto"/>
            <w:noWrap/>
            <w:vAlign w:val="center"/>
            <w:hideMark/>
          </w:tcPr>
          <w:p w14:paraId="56236120"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2015</w:t>
            </w:r>
          </w:p>
        </w:tc>
        <w:tc>
          <w:tcPr>
            <w:tcW w:w="1040" w:type="dxa"/>
            <w:tcBorders>
              <w:top w:val="single" w:sz="12" w:space="0" w:color="auto"/>
              <w:left w:val="nil"/>
              <w:bottom w:val="single" w:sz="6" w:space="0" w:color="auto"/>
              <w:right w:val="nil"/>
            </w:tcBorders>
            <w:shd w:val="clear" w:color="auto" w:fill="auto"/>
            <w:noWrap/>
            <w:vAlign w:val="center"/>
            <w:hideMark/>
          </w:tcPr>
          <w:p w14:paraId="2651F785"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2016</w:t>
            </w:r>
          </w:p>
        </w:tc>
        <w:tc>
          <w:tcPr>
            <w:tcW w:w="1040" w:type="dxa"/>
            <w:tcBorders>
              <w:top w:val="single" w:sz="12" w:space="0" w:color="auto"/>
              <w:left w:val="nil"/>
              <w:bottom w:val="single" w:sz="6" w:space="0" w:color="auto"/>
              <w:right w:val="nil"/>
            </w:tcBorders>
            <w:shd w:val="clear" w:color="auto" w:fill="auto"/>
            <w:noWrap/>
            <w:vAlign w:val="center"/>
            <w:hideMark/>
          </w:tcPr>
          <w:p w14:paraId="31917C90"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2017</w:t>
            </w:r>
          </w:p>
        </w:tc>
        <w:tc>
          <w:tcPr>
            <w:tcW w:w="1040" w:type="dxa"/>
            <w:tcBorders>
              <w:top w:val="single" w:sz="12" w:space="0" w:color="auto"/>
              <w:left w:val="nil"/>
              <w:bottom w:val="single" w:sz="6" w:space="0" w:color="auto"/>
              <w:right w:val="nil"/>
            </w:tcBorders>
            <w:shd w:val="clear" w:color="auto" w:fill="auto"/>
            <w:noWrap/>
            <w:vAlign w:val="center"/>
            <w:hideMark/>
          </w:tcPr>
          <w:p w14:paraId="35647296"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2018</w:t>
            </w:r>
          </w:p>
        </w:tc>
      </w:tr>
      <w:tr w:rsidR="003A658F" w:rsidRPr="004335E5" w14:paraId="5D34D55F" w14:textId="77777777" w:rsidTr="003A658F">
        <w:trPr>
          <w:trHeight w:val="499"/>
          <w:jc w:val="center"/>
        </w:trPr>
        <w:tc>
          <w:tcPr>
            <w:tcW w:w="2835" w:type="dxa"/>
            <w:tcBorders>
              <w:top w:val="single" w:sz="6" w:space="0" w:color="auto"/>
              <w:left w:val="nil"/>
              <w:bottom w:val="nil"/>
              <w:right w:val="nil"/>
            </w:tcBorders>
            <w:shd w:val="clear" w:color="auto" w:fill="auto"/>
            <w:noWrap/>
            <w:vAlign w:val="center"/>
            <w:hideMark/>
          </w:tcPr>
          <w:p w14:paraId="54387989"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Current income tax(million)</w:t>
            </w:r>
          </w:p>
        </w:tc>
        <w:tc>
          <w:tcPr>
            <w:tcW w:w="925" w:type="dxa"/>
            <w:tcBorders>
              <w:top w:val="single" w:sz="6" w:space="0" w:color="auto"/>
              <w:left w:val="nil"/>
              <w:bottom w:val="nil"/>
              <w:right w:val="nil"/>
            </w:tcBorders>
            <w:shd w:val="clear" w:color="auto" w:fill="auto"/>
            <w:noWrap/>
            <w:vAlign w:val="center"/>
            <w:hideMark/>
          </w:tcPr>
          <w:p w14:paraId="159B71E3"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113.23</w:t>
            </w:r>
          </w:p>
        </w:tc>
        <w:tc>
          <w:tcPr>
            <w:tcW w:w="1040" w:type="dxa"/>
            <w:tcBorders>
              <w:top w:val="single" w:sz="6" w:space="0" w:color="auto"/>
              <w:left w:val="nil"/>
              <w:bottom w:val="nil"/>
              <w:right w:val="nil"/>
            </w:tcBorders>
            <w:shd w:val="clear" w:color="auto" w:fill="auto"/>
            <w:noWrap/>
            <w:vAlign w:val="center"/>
            <w:hideMark/>
          </w:tcPr>
          <w:p w14:paraId="076CC146"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161.60</w:t>
            </w:r>
          </w:p>
        </w:tc>
        <w:tc>
          <w:tcPr>
            <w:tcW w:w="1040" w:type="dxa"/>
            <w:tcBorders>
              <w:top w:val="single" w:sz="6" w:space="0" w:color="auto"/>
              <w:left w:val="nil"/>
              <w:bottom w:val="nil"/>
              <w:right w:val="nil"/>
            </w:tcBorders>
            <w:shd w:val="clear" w:color="auto" w:fill="auto"/>
            <w:noWrap/>
            <w:vAlign w:val="center"/>
            <w:hideMark/>
          </w:tcPr>
          <w:p w14:paraId="723F498F"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152.73</w:t>
            </w:r>
          </w:p>
        </w:tc>
        <w:tc>
          <w:tcPr>
            <w:tcW w:w="1040" w:type="dxa"/>
            <w:tcBorders>
              <w:top w:val="single" w:sz="6" w:space="0" w:color="auto"/>
              <w:left w:val="nil"/>
              <w:bottom w:val="nil"/>
              <w:right w:val="nil"/>
            </w:tcBorders>
            <w:shd w:val="clear" w:color="auto" w:fill="auto"/>
            <w:noWrap/>
            <w:vAlign w:val="center"/>
            <w:hideMark/>
          </w:tcPr>
          <w:p w14:paraId="00F5D675"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14.01</w:t>
            </w:r>
          </w:p>
        </w:tc>
        <w:tc>
          <w:tcPr>
            <w:tcW w:w="1040" w:type="dxa"/>
            <w:tcBorders>
              <w:top w:val="single" w:sz="6" w:space="0" w:color="auto"/>
              <w:left w:val="nil"/>
              <w:bottom w:val="nil"/>
              <w:right w:val="nil"/>
            </w:tcBorders>
            <w:shd w:val="clear" w:color="auto" w:fill="auto"/>
            <w:noWrap/>
            <w:vAlign w:val="center"/>
            <w:hideMark/>
          </w:tcPr>
          <w:p w14:paraId="7231025E"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3.91</w:t>
            </w:r>
          </w:p>
        </w:tc>
      </w:tr>
      <w:tr w:rsidR="003A658F" w:rsidRPr="004335E5" w14:paraId="1226E46D" w14:textId="77777777" w:rsidTr="003A658F">
        <w:trPr>
          <w:trHeight w:val="499"/>
          <w:jc w:val="center"/>
        </w:trPr>
        <w:tc>
          <w:tcPr>
            <w:tcW w:w="2835" w:type="dxa"/>
            <w:tcBorders>
              <w:top w:val="nil"/>
              <w:left w:val="nil"/>
              <w:bottom w:val="nil"/>
              <w:right w:val="nil"/>
            </w:tcBorders>
            <w:shd w:val="clear" w:color="auto" w:fill="auto"/>
            <w:noWrap/>
            <w:vAlign w:val="center"/>
            <w:hideMark/>
          </w:tcPr>
          <w:p w14:paraId="4EEA813E"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Deferred income tax(million)</w:t>
            </w:r>
          </w:p>
        </w:tc>
        <w:tc>
          <w:tcPr>
            <w:tcW w:w="925" w:type="dxa"/>
            <w:tcBorders>
              <w:top w:val="nil"/>
              <w:left w:val="nil"/>
              <w:bottom w:val="nil"/>
              <w:right w:val="nil"/>
            </w:tcBorders>
            <w:shd w:val="clear" w:color="auto" w:fill="auto"/>
            <w:noWrap/>
            <w:vAlign w:val="center"/>
            <w:hideMark/>
          </w:tcPr>
          <w:p w14:paraId="156CF84D"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-169.13</w:t>
            </w:r>
          </w:p>
        </w:tc>
        <w:tc>
          <w:tcPr>
            <w:tcW w:w="1040" w:type="dxa"/>
            <w:tcBorders>
              <w:top w:val="nil"/>
              <w:left w:val="nil"/>
              <w:bottom w:val="nil"/>
              <w:right w:val="nil"/>
            </w:tcBorders>
            <w:shd w:val="clear" w:color="auto" w:fill="auto"/>
            <w:noWrap/>
            <w:vAlign w:val="center"/>
            <w:hideMark/>
          </w:tcPr>
          <w:p w14:paraId="107E4E1C"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-304.54</w:t>
            </w:r>
          </w:p>
        </w:tc>
        <w:tc>
          <w:tcPr>
            <w:tcW w:w="1040" w:type="dxa"/>
            <w:tcBorders>
              <w:top w:val="nil"/>
              <w:left w:val="nil"/>
              <w:bottom w:val="nil"/>
              <w:right w:val="nil"/>
            </w:tcBorders>
            <w:shd w:val="clear" w:color="auto" w:fill="auto"/>
            <w:noWrap/>
            <w:vAlign w:val="center"/>
            <w:hideMark/>
          </w:tcPr>
          <w:p w14:paraId="58873B1F"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-259.54</w:t>
            </w:r>
          </w:p>
        </w:tc>
        <w:tc>
          <w:tcPr>
            <w:tcW w:w="1040" w:type="dxa"/>
            <w:tcBorders>
              <w:top w:val="nil"/>
              <w:left w:val="nil"/>
              <w:bottom w:val="nil"/>
              <w:right w:val="nil"/>
            </w:tcBorders>
            <w:shd w:val="clear" w:color="auto" w:fill="auto"/>
            <w:noWrap/>
            <w:vAlign w:val="center"/>
            <w:hideMark/>
          </w:tcPr>
          <w:p w14:paraId="56F401E1"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708.17</w:t>
            </w:r>
          </w:p>
        </w:tc>
        <w:tc>
          <w:tcPr>
            <w:tcW w:w="1040" w:type="dxa"/>
            <w:tcBorders>
              <w:top w:val="nil"/>
              <w:left w:val="nil"/>
              <w:bottom w:val="nil"/>
              <w:right w:val="nil"/>
            </w:tcBorders>
            <w:shd w:val="clear" w:color="auto" w:fill="auto"/>
            <w:noWrap/>
            <w:vAlign w:val="center"/>
            <w:hideMark/>
          </w:tcPr>
          <w:p w14:paraId="69F90AF9"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51.51</w:t>
            </w:r>
          </w:p>
        </w:tc>
      </w:tr>
      <w:tr w:rsidR="003A658F" w:rsidRPr="004335E5" w14:paraId="1282BC40" w14:textId="77777777" w:rsidTr="003A658F">
        <w:trPr>
          <w:trHeight w:val="499"/>
          <w:jc w:val="center"/>
        </w:trPr>
        <w:tc>
          <w:tcPr>
            <w:tcW w:w="2835" w:type="dxa"/>
            <w:tcBorders>
              <w:top w:val="nil"/>
              <w:left w:val="nil"/>
              <w:bottom w:val="single" w:sz="12" w:space="0" w:color="auto"/>
              <w:right w:val="nil"/>
            </w:tcBorders>
            <w:shd w:val="clear" w:color="auto" w:fill="auto"/>
            <w:noWrap/>
            <w:vAlign w:val="center"/>
            <w:hideMark/>
          </w:tcPr>
          <w:p w14:paraId="7915E7A3"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Income tax expenses(million)</w:t>
            </w:r>
          </w:p>
        </w:tc>
        <w:tc>
          <w:tcPr>
            <w:tcW w:w="925" w:type="dxa"/>
            <w:tcBorders>
              <w:top w:val="nil"/>
              <w:left w:val="nil"/>
              <w:bottom w:val="single" w:sz="12" w:space="0" w:color="auto"/>
              <w:right w:val="nil"/>
            </w:tcBorders>
            <w:shd w:val="clear" w:color="auto" w:fill="auto"/>
            <w:noWrap/>
            <w:vAlign w:val="center"/>
            <w:hideMark/>
          </w:tcPr>
          <w:p w14:paraId="58644157"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-55.90</w:t>
            </w:r>
          </w:p>
        </w:tc>
        <w:tc>
          <w:tcPr>
            <w:tcW w:w="1040" w:type="dxa"/>
            <w:tcBorders>
              <w:top w:val="nil"/>
              <w:left w:val="nil"/>
              <w:bottom w:val="single" w:sz="12" w:space="0" w:color="auto"/>
              <w:right w:val="nil"/>
            </w:tcBorders>
            <w:shd w:val="clear" w:color="auto" w:fill="auto"/>
            <w:noWrap/>
            <w:vAlign w:val="center"/>
            <w:hideMark/>
          </w:tcPr>
          <w:p w14:paraId="192B7A74"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-142.94</w:t>
            </w:r>
          </w:p>
        </w:tc>
        <w:tc>
          <w:tcPr>
            <w:tcW w:w="1040" w:type="dxa"/>
            <w:tcBorders>
              <w:top w:val="nil"/>
              <w:left w:val="nil"/>
              <w:bottom w:val="single" w:sz="12" w:space="0" w:color="auto"/>
              <w:right w:val="nil"/>
            </w:tcBorders>
            <w:shd w:val="clear" w:color="auto" w:fill="auto"/>
            <w:noWrap/>
            <w:vAlign w:val="center"/>
            <w:hideMark/>
          </w:tcPr>
          <w:p w14:paraId="3405716F"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-106.81</w:t>
            </w:r>
          </w:p>
        </w:tc>
        <w:tc>
          <w:tcPr>
            <w:tcW w:w="1040" w:type="dxa"/>
            <w:tcBorders>
              <w:top w:val="nil"/>
              <w:left w:val="nil"/>
              <w:bottom w:val="single" w:sz="12" w:space="0" w:color="auto"/>
              <w:right w:val="nil"/>
            </w:tcBorders>
            <w:shd w:val="clear" w:color="auto" w:fill="auto"/>
            <w:noWrap/>
            <w:vAlign w:val="center"/>
            <w:hideMark/>
          </w:tcPr>
          <w:p w14:paraId="4FDD7921"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722.58</w:t>
            </w:r>
          </w:p>
        </w:tc>
        <w:tc>
          <w:tcPr>
            <w:tcW w:w="1040" w:type="dxa"/>
            <w:tcBorders>
              <w:top w:val="nil"/>
              <w:left w:val="nil"/>
              <w:bottom w:val="single" w:sz="12" w:space="0" w:color="auto"/>
              <w:right w:val="nil"/>
            </w:tcBorders>
            <w:shd w:val="clear" w:color="auto" w:fill="auto"/>
            <w:noWrap/>
            <w:vAlign w:val="center"/>
            <w:hideMark/>
          </w:tcPr>
          <w:p w14:paraId="7E7CBD9A" w14:textId="77777777" w:rsidR="003A658F" w:rsidRPr="004335E5" w:rsidRDefault="003A658F" w:rsidP="00EE4170">
            <w:pPr>
              <w:widowControl/>
              <w:jc w:val="center"/>
              <w:rPr>
                <w:rFonts w:ascii="Times New Roman" w:eastAsia="等线" w:hAnsi="Times New Roman" w:cs="Times New Roman"/>
                <w:color w:val="000000"/>
                <w:kern w:val="0"/>
                <w:sz w:val="22"/>
              </w:rPr>
            </w:pPr>
            <w:r w:rsidRPr="004335E5">
              <w:rPr>
                <w:rFonts w:ascii="Times New Roman" w:eastAsia="等线" w:hAnsi="Times New Roman" w:cs="Times New Roman"/>
                <w:color w:val="000000"/>
                <w:kern w:val="0"/>
                <w:sz w:val="22"/>
              </w:rPr>
              <w:t>55.42</w:t>
            </w:r>
          </w:p>
        </w:tc>
      </w:tr>
    </w:tbl>
    <w:p w14:paraId="3C7CAE1B" w14:textId="77777777" w:rsidR="003A658F" w:rsidRPr="0043662E" w:rsidRDefault="003A658F" w:rsidP="003A658F">
      <w:pPr>
        <w:spacing w:beforeLines="50" w:before="156" w:line="360" w:lineRule="auto"/>
        <w:ind w:firstLineChars="200" w:firstLine="480"/>
        <w:rPr>
          <w:rFonts w:ascii="Times New Roman" w:eastAsia="宋体" w:hAnsi="Times New Roman"/>
          <w:sz w:val="24"/>
          <w:szCs w:val="28"/>
        </w:rPr>
      </w:pPr>
      <w:r w:rsidRPr="0043662E">
        <w:rPr>
          <w:rFonts w:ascii="Times New Roman" w:eastAsia="宋体" w:hAnsi="Times New Roman"/>
          <w:sz w:val="24"/>
          <w:szCs w:val="28"/>
        </w:rPr>
        <w:t xml:space="preserve">Through the analysis of </w:t>
      </w:r>
      <w:proofErr w:type="spellStart"/>
      <w:r w:rsidRPr="0043662E">
        <w:rPr>
          <w:rFonts w:ascii="Times New Roman" w:eastAsia="宋体" w:hAnsi="Times New Roman"/>
          <w:sz w:val="24"/>
          <w:szCs w:val="28"/>
        </w:rPr>
        <w:t>LeTV's</w:t>
      </w:r>
      <w:proofErr w:type="spellEnd"/>
      <w:r w:rsidRPr="0043662E">
        <w:rPr>
          <w:rFonts w:ascii="Times New Roman" w:eastAsia="宋体" w:hAnsi="Times New Roman"/>
          <w:sz w:val="24"/>
          <w:szCs w:val="28"/>
        </w:rPr>
        <w:t xml:space="preserve"> income tax expenses from 2014 to 2018, it can be seen that the deferred income tax remained below zero in 2014 to 2016, and the absolute value was greater than the current income tax, resulting in a negative income tax </w:t>
      </w:r>
      <w:r w:rsidRPr="0043662E">
        <w:rPr>
          <w:rFonts w:ascii="Times New Roman" w:eastAsia="宋体" w:hAnsi="Times New Roman"/>
          <w:sz w:val="24"/>
          <w:szCs w:val="28"/>
        </w:rPr>
        <w:lastRenderedPageBreak/>
        <w:t xml:space="preserve">expense for the entire enterprise. Let's compare its income tax expense and deferred income tax with the industry average and observe whether </w:t>
      </w:r>
      <w:proofErr w:type="spellStart"/>
      <w:r w:rsidRPr="0043662E">
        <w:rPr>
          <w:rFonts w:ascii="Times New Roman" w:eastAsia="宋体" w:hAnsi="Times New Roman"/>
          <w:sz w:val="24"/>
          <w:szCs w:val="28"/>
        </w:rPr>
        <w:t>LeTV's</w:t>
      </w:r>
      <w:proofErr w:type="spellEnd"/>
      <w:r w:rsidRPr="0043662E">
        <w:rPr>
          <w:rFonts w:ascii="Times New Roman" w:eastAsia="宋体" w:hAnsi="Times New Roman"/>
          <w:sz w:val="24"/>
          <w:szCs w:val="28"/>
        </w:rPr>
        <w:t xml:space="preserve"> data is at a normal level. First, the average value of income tax expenses in the Internet service industry generally remains between 10 million and 20 million. </w:t>
      </w:r>
      <w:proofErr w:type="spellStart"/>
      <w:r w:rsidRPr="0043662E">
        <w:rPr>
          <w:rFonts w:ascii="Times New Roman" w:eastAsia="宋体" w:hAnsi="Times New Roman"/>
          <w:sz w:val="24"/>
          <w:szCs w:val="28"/>
        </w:rPr>
        <w:t>LeTV</w:t>
      </w:r>
      <w:proofErr w:type="spellEnd"/>
      <w:r w:rsidRPr="0043662E">
        <w:rPr>
          <w:rFonts w:ascii="Times New Roman" w:eastAsia="宋体" w:hAnsi="Times New Roman"/>
          <w:sz w:val="24"/>
          <w:szCs w:val="28"/>
        </w:rPr>
        <w:t xml:space="preserve"> was significantly lower than the industry average in 2014-2016, but in 2017, it exceeded the industry average by 14.65 times, resulting in abnormal changes in income tax expenses. Secondly, comparing the years when the deferred income tax is less than zero with the average value of the deferred income tax in the Internet service industry, it can be seen that the industry average was - 32.7 million yuan, - 2.4 million yuan, and - 8.26 million yuan in 2014-2016, respectively. </w:t>
      </w:r>
      <w:proofErr w:type="spellStart"/>
      <w:r w:rsidRPr="0043662E">
        <w:rPr>
          <w:rFonts w:ascii="Times New Roman" w:eastAsia="宋体" w:hAnsi="Times New Roman"/>
          <w:sz w:val="24"/>
          <w:szCs w:val="28"/>
        </w:rPr>
        <w:t>LeTV</w:t>
      </w:r>
      <w:proofErr w:type="spellEnd"/>
      <w:r w:rsidRPr="0043662E">
        <w:rPr>
          <w:rFonts w:ascii="Times New Roman" w:eastAsia="宋体" w:hAnsi="Times New Roman"/>
          <w:sz w:val="24"/>
          <w:szCs w:val="28"/>
        </w:rPr>
        <w:t xml:space="preserve"> exceeded the industry average by 50 times, 126 times, and 30 times, respectively. The deferred income tax is extremely low, which can be seen that </w:t>
      </w:r>
      <w:proofErr w:type="spellStart"/>
      <w:r w:rsidRPr="0043662E">
        <w:rPr>
          <w:rFonts w:ascii="Times New Roman" w:eastAsia="宋体" w:hAnsi="Times New Roman"/>
          <w:sz w:val="24"/>
          <w:szCs w:val="28"/>
        </w:rPr>
        <w:t>LeTV</w:t>
      </w:r>
      <w:proofErr w:type="spellEnd"/>
      <w:r w:rsidRPr="0043662E">
        <w:rPr>
          <w:rFonts w:ascii="Times New Roman" w:eastAsia="宋体" w:hAnsi="Times New Roman"/>
          <w:sz w:val="24"/>
          <w:szCs w:val="28"/>
        </w:rPr>
        <w:t xml:space="preserve"> is trying to manipulate the final income tax expenses of the entire enterprise through the deferred income tax.</w:t>
      </w:r>
    </w:p>
    <w:p w14:paraId="22DE3D6D" w14:textId="739BB884" w:rsidR="003A658F" w:rsidRPr="003A658F" w:rsidRDefault="003A658F" w:rsidP="003A658F">
      <w:pPr>
        <w:pStyle w:val="2"/>
        <w:numPr>
          <w:ilvl w:val="1"/>
          <w:numId w:val="2"/>
        </w:numPr>
      </w:pPr>
      <w:bookmarkStart w:id="11" w:name="_Toc130904059"/>
      <w:bookmarkStart w:id="12" w:name="_Hlk130903728"/>
      <w:r w:rsidRPr="003A658F">
        <w:t>E</w:t>
      </w:r>
      <w:r w:rsidRPr="00735077">
        <w:t>valuat</w:t>
      </w:r>
      <w:r w:rsidRPr="003A658F">
        <w:t xml:space="preserve">ing </w:t>
      </w:r>
      <w:proofErr w:type="spellStart"/>
      <w:r w:rsidRPr="003A658F">
        <w:t>LeTV's</w:t>
      </w:r>
      <w:proofErr w:type="spellEnd"/>
      <w:r w:rsidRPr="003A658F">
        <w:t xml:space="preserve"> Earnings Management Based on Virtue Ethics</w:t>
      </w:r>
      <w:bookmarkEnd w:id="11"/>
    </w:p>
    <w:bookmarkEnd w:id="12"/>
    <w:p w14:paraId="3A824D5E" w14:textId="6B4D9298" w:rsidR="00735077" w:rsidRPr="00735077" w:rsidRDefault="00735077" w:rsidP="00735077">
      <w:pPr>
        <w:spacing w:line="360" w:lineRule="auto"/>
        <w:ind w:firstLineChars="200" w:firstLine="480"/>
        <w:rPr>
          <w:rFonts w:ascii="Times New Roman" w:hAnsi="Times New Roman" w:cs="Times New Roman" w:hint="eastAsia"/>
          <w:sz w:val="24"/>
          <w:szCs w:val="24"/>
        </w:rPr>
      </w:pPr>
      <w:r w:rsidRPr="00735077">
        <w:rPr>
          <w:rFonts w:ascii="Times New Roman" w:hAnsi="Times New Roman" w:cs="Times New Roman"/>
          <w:sz w:val="24"/>
          <w:szCs w:val="24"/>
        </w:rPr>
        <w:t>Accounting ethics, also known as ethics, is a non-institutional constraint that places more emphasis on value orientation compared to institutional constraints. It requires management and financial personnel to adhere to legal regulations, enhance their ethical knowledge, and improve their accounting ethics quality to establish a positive social image and enhance social recognition.</w:t>
      </w:r>
    </w:p>
    <w:p w14:paraId="0B8F77D9" w14:textId="0F9F3F56" w:rsidR="003A658F" w:rsidRPr="003A658F" w:rsidRDefault="00735077" w:rsidP="00735077">
      <w:pPr>
        <w:spacing w:line="360" w:lineRule="auto"/>
        <w:ind w:firstLineChars="200" w:firstLine="480"/>
        <w:rPr>
          <w:rFonts w:ascii="Times New Roman" w:hAnsi="Times New Roman" w:cs="Times New Roman"/>
          <w:sz w:val="24"/>
          <w:szCs w:val="24"/>
        </w:rPr>
      </w:pPr>
      <w:r w:rsidRPr="00735077">
        <w:rPr>
          <w:rFonts w:ascii="Times New Roman" w:hAnsi="Times New Roman" w:cs="Times New Roman"/>
          <w:sz w:val="24"/>
          <w:szCs w:val="24"/>
        </w:rPr>
        <w:t xml:space="preserve">Virtue ethics is one of the main approaches in normative ethics that emphasizes moral virtues or qualities, in contrast to approaches that focus on rules or consequences of behavior. Utilitarians would argue that helping those in need would lead to the maximization of happiness, while a virtue ethicist would view such actions as charitable or benevolent. Virtue ethics has its roots in the works of Plato and Aristotle in the West and Mencius and Confucius in the East. It was the dominant approach in Western moral philosophy until the Enlightenment and underwent a brief decline in the 19th century before re-emerging in British and American philosophy in the late 1950s. Elizabeth Anscombe's influential article "Modern Moral Philosophy" (1958) critiqued prevailing </w:t>
      </w:r>
      <w:r w:rsidRPr="00735077">
        <w:rPr>
          <w:rFonts w:ascii="Times New Roman" w:hAnsi="Times New Roman" w:cs="Times New Roman"/>
          <w:sz w:val="24"/>
          <w:szCs w:val="24"/>
        </w:rPr>
        <w:lastRenderedPageBreak/>
        <w:t>forms of deontology and utilitarianism and predicted a resurgence of virtue ethics. This approach explores topics such as virtue and vice, motivation and moral character, moral education, moral insight and intelligence, friendship and family relations, and the deeper aspects of happiness.</w:t>
      </w:r>
    </w:p>
    <w:p w14:paraId="19F58392" w14:textId="77777777" w:rsidR="003A658F" w:rsidRP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 xml:space="preserve">Obviously, through the above analysis of </w:t>
      </w:r>
      <w:proofErr w:type="spellStart"/>
      <w:r w:rsidRPr="003A658F">
        <w:rPr>
          <w:rFonts w:ascii="Times New Roman" w:hAnsi="Times New Roman" w:cs="Times New Roman"/>
          <w:sz w:val="24"/>
          <w:szCs w:val="24"/>
        </w:rPr>
        <w:t>LeTV's</w:t>
      </w:r>
      <w:proofErr w:type="spellEnd"/>
      <w:r w:rsidRPr="003A658F">
        <w:rPr>
          <w:rFonts w:ascii="Times New Roman" w:hAnsi="Times New Roman" w:cs="Times New Roman"/>
          <w:sz w:val="24"/>
          <w:szCs w:val="24"/>
        </w:rPr>
        <w:t xml:space="preserve"> earnings management, </w:t>
      </w:r>
      <w:proofErr w:type="spellStart"/>
      <w:r w:rsidRPr="003A658F">
        <w:rPr>
          <w:rFonts w:ascii="Times New Roman" w:hAnsi="Times New Roman" w:cs="Times New Roman"/>
          <w:sz w:val="24"/>
          <w:szCs w:val="24"/>
        </w:rPr>
        <w:t>LeTV</w:t>
      </w:r>
      <w:proofErr w:type="spellEnd"/>
      <w:r w:rsidRPr="003A658F">
        <w:rPr>
          <w:rFonts w:ascii="Times New Roman" w:hAnsi="Times New Roman" w:cs="Times New Roman"/>
          <w:sz w:val="24"/>
          <w:szCs w:val="24"/>
        </w:rPr>
        <w:t xml:space="preserve"> violates the basic ethical principles of virtue. Among the basic forms of virtue ethics, goal centered ethics can be well applied to earnings management situations. In 2003, Christine Swanton developed a goal centered perspective that began with our existing view of virtue, believing that a virtue "is a tendency to respond or acknowledge projects in its field or domain in an excellent or sufficiently good manner" (Christine Swanton 2003). In addition, Smith further discussed this kind of virtue ethics and believed that a more responsible approach should be taken, advocating the importance of some quieter and gentler virtues (Smith 2016).</w:t>
      </w:r>
    </w:p>
    <w:p w14:paraId="7AC5334E" w14:textId="51986122" w:rsidR="003A658F" w:rsidRP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 xml:space="preserve">In contrast, </w:t>
      </w:r>
      <w:proofErr w:type="spellStart"/>
      <w:r w:rsidRPr="003A658F">
        <w:rPr>
          <w:rFonts w:ascii="Times New Roman" w:hAnsi="Times New Roman" w:cs="Times New Roman"/>
          <w:sz w:val="24"/>
          <w:szCs w:val="24"/>
        </w:rPr>
        <w:t>LeTV</w:t>
      </w:r>
      <w:proofErr w:type="spellEnd"/>
      <w:r w:rsidRPr="003A658F">
        <w:rPr>
          <w:rFonts w:ascii="Times New Roman" w:hAnsi="Times New Roman" w:cs="Times New Roman"/>
          <w:sz w:val="24"/>
          <w:szCs w:val="24"/>
        </w:rPr>
        <w:t xml:space="preserve"> has posed the following challenges to accounting ethics. With a high R&amp;D capitalization rate, does </w:t>
      </w:r>
      <w:proofErr w:type="spellStart"/>
      <w:r w:rsidRPr="003A658F">
        <w:rPr>
          <w:rFonts w:ascii="Times New Roman" w:hAnsi="Times New Roman" w:cs="Times New Roman"/>
          <w:sz w:val="24"/>
          <w:szCs w:val="24"/>
        </w:rPr>
        <w:t>LeTV</w:t>
      </w:r>
      <w:proofErr w:type="spellEnd"/>
      <w:r w:rsidRPr="003A658F">
        <w:rPr>
          <w:rFonts w:ascii="Times New Roman" w:hAnsi="Times New Roman" w:cs="Times New Roman"/>
          <w:sz w:val="24"/>
          <w:szCs w:val="24"/>
        </w:rPr>
        <w:t xml:space="preserve"> have far more R&amp;D capabilities than its peers? </w:t>
      </w:r>
      <w:r w:rsidR="00F5462F" w:rsidRPr="00F5462F">
        <w:rPr>
          <w:rFonts w:ascii="Times New Roman" w:hAnsi="Times New Roman" w:cs="Times New Roman"/>
          <w:sz w:val="24"/>
          <w:szCs w:val="24"/>
        </w:rPr>
        <w:t xml:space="preserve">However, </w:t>
      </w:r>
      <w:proofErr w:type="spellStart"/>
      <w:r w:rsidR="00F5462F" w:rsidRPr="00F5462F">
        <w:rPr>
          <w:rFonts w:ascii="Times New Roman" w:hAnsi="Times New Roman" w:cs="Times New Roman"/>
          <w:sz w:val="24"/>
          <w:szCs w:val="24"/>
        </w:rPr>
        <w:t>LeTV</w:t>
      </w:r>
      <w:proofErr w:type="spellEnd"/>
      <w:r w:rsidR="00F5462F" w:rsidRPr="00F5462F">
        <w:rPr>
          <w:rFonts w:ascii="Times New Roman" w:hAnsi="Times New Roman" w:cs="Times New Roman"/>
          <w:sz w:val="24"/>
          <w:szCs w:val="24"/>
        </w:rPr>
        <w:t xml:space="preserve"> did not disclose it in the notes to the annual report. The lack of this key information makes it possible for managers to abuse the intangible resources of research and development within the company, thereby manipulating the company's profits.</w:t>
      </w:r>
      <w:r w:rsidRPr="003A658F">
        <w:rPr>
          <w:rFonts w:ascii="Times New Roman" w:hAnsi="Times New Roman" w:cs="Times New Roman"/>
          <w:sz w:val="24"/>
          <w:szCs w:val="24"/>
        </w:rPr>
        <w:t xml:space="preserve"> It also raises questions and concerns among investors about the authenticity of net profits in </w:t>
      </w:r>
      <w:proofErr w:type="spellStart"/>
      <w:r w:rsidRPr="003A658F">
        <w:rPr>
          <w:rFonts w:ascii="Times New Roman" w:hAnsi="Times New Roman" w:cs="Times New Roman"/>
          <w:sz w:val="24"/>
          <w:szCs w:val="24"/>
        </w:rPr>
        <w:t>LeTV's</w:t>
      </w:r>
      <w:proofErr w:type="spellEnd"/>
      <w:r w:rsidRPr="003A658F">
        <w:rPr>
          <w:rFonts w:ascii="Times New Roman" w:hAnsi="Times New Roman" w:cs="Times New Roman"/>
          <w:sz w:val="24"/>
          <w:szCs w:val="24"/>
        </w:rPr>
        <w:t xml:space="preserve"> annual report. In addition, there are related party transactions. In </w:t>
      </w:r>
      <w:proofErr w:type="spellStart"/>
      <w:r w:rsidRPr="003A658F">
        <w:rPr>
          <w:rFonts w:ascii="Times New Roman" w:hAnsi="Times New Roman" w:cs="Times New Roman"/>
          <w:sz w:val="24"/>
          <w:szCs w:val="24"/>
        </w:rPr>
        <w:t>LeTV's</w:t>
      </w:r>
      <w:proofErr w:type="spellEnd"/>
      <w:r w:rsidRPr="003A658F">
        <w:rPr>
          <w:rFonts w:ascii="Times New Roman" w:hAnsi="Times New Roman" w:cs="Times New Roman"/>
          <w:sz w:val="24"/>
          <w:szCs w:val="24"/>
        </w:rPr>
        <w:t xml:space="preserve"> financial statements, the data that has the greatest impact on the net profit attributable to the parent company is the negative minority shareholders' equity. In 2015 and 2016, there was a serious split between net profit attributable to the parent company and minority shareholders' equity, with net profit attributable to the parent company increasing positively and minority shareholders' profit and loss increasing. Of course, and most importantly, deferred income tax. Despite the continuous expansion of losses in its subsidiaries in the past few years, </w:t>
      </w:r>
      <w:proofErr w:type="spellStart"/>
      <w:r w:rsidRPr="003A658F">
        <w:rPr>
          <w:rFonts w:ascii="Times New Roman" w:hAnsi="Times New Roman" w:cs="Times New Roman"/>
          <w:sz w:val="24"/>
          <w:szCs w:val="24"/>
        </w:rPr>
        <w:t>LeTV</w:t>
      </w:r>
      <w:proofErr w:type="spellEnd"/>
      <w:r w:rsidRPr="003A658F">
        <w:rPr>
          <w:rFonts w:ascii="Times New Roman" w:hAnsi="Times New Roman" w:cs="Times New Roman"/>
          <w:sz w:val="24"/>
          <w:szCs w:val="24"/>
        </w:rPr>
        <w:t xml:space="preserve"> still believes that losses can be covered by future profits. This treatment of deferred income tax assets recognized in deductible losses does not comply with the principle of prudence required by the Accounting Standards for Business Enterprises, and there is a suspicion of inflated assets or even </w:t>
      </w:r>
      <w:r w:rsidRPr="003A658F">
        <w:rPr>
          <w:rFonts w:ascii="Times New Roman" w:hAnsi="Times New Roman" w:cs="Times New Roman"/>
          <w:sz w:val="24"/>
          <w:szCs w:val="24"/>
        </w:rPr>
        <w:lastRenderedPageBreak/>
        <w:t xml:space="preserve">whitewashing the financial statements. The reasonableness of the auditor's opinion is questionable. To sum up, it can be seen that </w:t>
      </w:r>
      <w:proofErr w:type="spellStart"/>
      <w:r w:rsidRPr="003A658F">
        <w:rPr>
          <w:rFonts w:ascii="Times New Roman" w:hAnsi="Times New Roman" w:cs="Times New Roman"/>
          <w:sz w:val="24"/>
          <w:szCs w:val="24"/>
        </w:rPr>
        <w:t>LeTV's</w:t>
      </w:r>
      <w:proofErr w:type="spellEnd"/>
      <w:r w:rsidRPr="003A658F">
        <w:rPr>
          <w:rFonts w:ascii="Times New Roman" w:hAnsi="Times New Roman" w:cs="Times New Roman"/>
          <w:sz w:val="24"/>
          <w:szCs w:val="24"/>
        </w:rPr>
        <w:t xml:space="preserve"> use of earnings management methods poses challenges to existing institutional norms and impacts on ethics.</w:t>
      </w:r>
    </w:p>
    <w:p w14:paraId="61940352" w14:textId="7345890D" w:rsidR="00BF4A3B" w:rsidRDefault="00097774" w:rsidP="00097774">
      <w:pPr>
        <w:spacing w:line="360" w:lineRule="auto"/>
        <w:ind w:firstLine="420"/>
        <w:rPr>
          <w:rFonts w:ascii="Times New Roman" w:hAnsi="Times New Roman" w:cs="Times New Roman"/>
          <w:sz w:val="24"/>
          <w:szCs w:val="24"/>
        </w:rPr>
      </w:pPr>
      <w:r w:rsidRPr="00097774">
        <w:rPr>
          <w:rFonts w:ascii="Times New Roman" w:hAnsi="Times New Roman" w:cs="Times New Roman"/>
          <w:sz w:val="24"/>
          <w:szCs w:val="24"/>
        </w:rPr>
        <w:t xml:space="preserve">To prevent accounting chaos and foster a suitable business environment, </w:t>
      </w:r>
      <w:proofErr w:type="spellStart"/>
      <w:r w:rsidRPr="00097774">
        <w:rPr>
          <w:rFonts w:ascii="Times New Roman" w:hAnsi="Times New Roman" w:cs="Times New Roman"/>
          <w:sz w:val="24"/>
          <w:szCs w:val="24"/>
        </w:rPr>
        <w:t>LeTV</w:t>
      </w:r>
      <w:proofErr w:type="spellEnd"/>
      <w:r w:rsidRPr="00097774">
        <w:rPr>
          <w:rFonts w:ascii="Times New Roman" w:hAnsi="Times New Roman" w:cs="Times New Roman"/>
          <w:sz w:val="24"/>
          <w:szCs w:val="24"/>
        </w:rPr>
        <w:t xml:space="preserve"> should establish an ethical restraint system. At an ethical level, the following measures should be taken. First, develop ethical information disclosure standards for accounting practices. </w:t>
      </w:r>
      <w:r w:rsidR="00F5462F" w:rsidRPr="00F5462F">
        <w:rPr>
          <w:rFonts w:ascii="Times New Roman" w:hAnsi="Times New Roman" w:cs="Times New Roman"/>
          <w:sz w:val="24"/>
          <w:szCs w:val="24"/>
        </w:rPr>
        <w:t>The standards for information disclosure are based on a comprehensive and systematic information disclosure system for accounting ethics. There are clear regulations on the form, content and specific operation methods of information disclosure, especially in some cases that require professional judgment. on important issues.</w:t>
      </w:r>
      <w:r w:rsidRPr="00097774">
        <w:rPr>
          <w:rFonts w:ascii="Times New Roman" w:hAnsi="Times New Roman" w:cs="Times New Roman"/>
          <w:sz w:val="24"/>
          <w:szCs w:val="24"/>
        </w:rPr>
        <w:t xml:space="preserve"> Mandatory regulatory requirements are necessary to ensure enterprises comply with the law and produce authentic financial reports. Second, enhance the ethical level of management. Corporate credit ethics culture is highly dependent on management. Managers play a key role in ensuring whether a company's behavior is ethical or unethical. The quality of managers determines whether the enterprise's operation and development conform to disciplines, laws, and ethics. </w:t>
      </w:r>
      <w:r w:rsidR="00F5462F" w:rsidRPr="00F5462F">
        <w:rPr>
          <w:rFonts w:ascii="Times New Roman" w:hAnsi="Times New Roman" w:cs="Times New Roman"/>
          <w:sz w:val="24"/>
          <w:szCs w:val="24"/>
        </w:rPr>
        <w:t>In view of the fact that the behavior of earnings management must be allowed by the operator, it is of great significance to strengthen the professional ethics of the operator to prevent the financial chaos of the enterprise.</w:t>
      </w:r>
      <w:r w:rsidRPr="00097774">
        <w:rPr>
          <w:rFonts w:ascii="Times New Roman" w:hAnsi="Times New Roman" w:cs="Times New Roman"/>
          <w:sz w:val="24"/>
          <w:szCs w:val="24"/>
        </w:rPr>
        <w:t xml:space="preserve"> Third, strengthen accounting ethics education. While formulating accounting ethics information disclosure standards and improving the level of accounting ethics of management is necessary to promote ethical behavior, </w:t>
      </w:r>
      <w:r w:rsidR="00F5462F">
        <w:rPr>
          <w:rFonts w:ascii="Times New Roman" w:hAnsi="Times New Roman" w:cs="Times New Roman" w:hint="eastAsia"/>
          <w:sz w:val="24"/>
          <w:szCs w:val="24"/>
        </w:rPr>
        <w:t>a</w:t>
      </w:r>
      <w:r w:rsidR="00F5462F" w:rsidRPr="00F5462F">
        <w:rPr>
          <w:rFonts w:ascii="Times New Roman" w:hAnsi="Times New Roman" w:cs="Times New Roman"/>
          <w:sz w:val="24"/>
          <w:szCs w:val="24"/>
        </w:rPr>
        <w:t>t the same time, it is necessary to strengthen the cultivation of professional ethics of accounting practitioners. Professional ethics training for employees, case analysis, professional ethics knowledge competition,</w:t>
      </w:r>
      <w:r w:rsidR="008D5D1E">
        <w:rPr>
          <w:rFonts w:ascii="Times New Roman" w:hAnsi="Times New Roman" w:cs="Times New Roman"/>
          <w:sz w:val="24"/>
          <w:szCs w:val="24"/>
        </w:rPr>
        <w:t xml:space="preserve"> </w:t>
      </w:r>
      <w:r w:rsidR="00F5462F" w:rsidRPr="00F5462F">
        <w:rPr>
          <w:rFonts w:ascii="Times New Roman" w:hAnsi="Times New Roman" w:cs="Times New Roman"/>
          <w:sz w:val="24"/>
          <w:szCs w:val="24"/>
        </w:rPr>
        <w:t>etc.</w:t>
      </w:r>
      <w:r w:rsidR="008D5D1E">
        <w:rPr>
          <w:rFonts w:ascii="Times New Roman" w:hAnsi="Times New Roman" w:cs="Times New Roman"/>
          <w:sz w:val="24"/>
          <w:szCs w:val="24"/>
        </w:rPr>
        <w:t xml:space="preserve"> </w:t>
      </w:r>
      <w:r w:rsidR="00F5462F" w:rsidRPr="00F5462F">
        <w:rPr>
          <w:rFonts w:ascii="Times New Roman" w:hAnsi="Times New Roman" w:cs="Times New Roman"/>
          <w:sz w:val="24"/>
          <w:szCs w:val="24"/>
        </w:rPr>
        <w:t xml:space="preserve">can effectively improve the professional ethics of accountants, and then improve the accounting professional ethics level of the entire enterprise, and then fundamentally solve the problem of accounting problems at the operational level. confusing </w:t>
      </w:r>
      <w:proofErr w:type="gramStart"/>
      <w:r w:rsidR="00F5462F" w:rsidRPr="00F5462F">
        <w:rPr>
          <w:rFonts w:ascii="Times New Roman" w:hAnsi="Times New Roman" w:cs="Times New Roman"/>
          <w:sz w:val="24"/>
          <w:szCs w:val="24"/>
        </w:rPr>
        <w:t>question.</w:t>
      </w:r>
      <w:r w:rsidRPr="00097774">
        <w:rPr>
          <w:rFonts w:ascii="Times New Roman" w:hAnsi="Times New Roman" w:cs="Times New Roman"/>
          <w:sz w:val="24"/>
          <w:szCs w:val="24"/>
        </w:rPr>
        <w:t>.</w:t>
      </w:r>
      <w:proofErr w:type="gramEnd"/>
    </w:p>
    <w:p w14:paraId="4D59BDF1" w14:textId="5C8CC593" w:rsidR="00811E6F" w:rsidRDefault="00000000">
      <w:pPr>
        <w:pStyle w:val="1"/>
        <w:spacing w:line="240" w:lineRule="auto"/>
        <w:jc w:val="left"/>
        <w:rPr>
          <w:rFonts w:ascii="Times New Roman" w:eastAsia="Times New Roman"/>
          <w:sz w:val="32"/>
        </w:rPr>
      </w:pPr>
      <w:bookmarkStart w:id="13" w:name="_Toc130904060"/>
      <w:r>
        <w:rPr>
          <w:rFonts w:ascii="Times New Roman" w:eastAsia="Times New Roman"/>
          <w:sz w:val="32"/>
        </w:rPr>
        <w:lastRenderedPageBreak/>
        <w:t xml:space="preserve">4. </w:t>
      </w:r>
      <w:r w:rsidR="003A658F" w:rsidRPr="003A658F">
        <w:rPr>
          <w:rFonts w:ascii="Times New Roman" w:eastAsia="Times New Roman"/>
          <w:sz w:val="32"/>
        </w:rPr>
        <w:t>Governance and governance recommendations for UK earnings management</w:t>
      </w:r>
      <w:bookmarkEnd w:id="13"/>
    </w:p>
    <w:p w14:paraId="396FAB8E" w14:textId="218A5417" w:rsidR="003A658F" w:rsidRDefault="003A658F" w:rsidP="003A658F">
      <w:pPr>
        <w:pStyle w:val="2"/>
      </w:pPr>
      <w:bookmarkStart w:id="14" w:name="_Toc130904061"/>
      <w:r>
        <w:t>4</w:t>
      </w:r>
      <w:r w:rsidRPr="003A658F">
        <w:t>.</w:t>
      </w:r>
      <w:r>
        <w:t>1</w:t>
      </w:r>
      <w:bookmarkStart w:id="15" w:name="_Hlk130903821"/>
      <w:r w:rsidRPr="003A658F">
        <w:tab/>
        <w:t>UK Corporate Governance Structure</w:t>
      </w:r>
      <w:bookmarkEnd w:id="14"/>
      <w:bookmarkEnd w:id="15"/>
    </w:p>
    <w:p w14:paraId="69C57BCC" w14:textId="2571B0DD" w:rsidR="00A437CA" w:rsidRPr="00A437CA" w:rsidRDefault="00A437CA" w:rsidP="00A437CA">
      <w:pPr>
        <w:spacing w:line="360" w:lineRule="auto"/>
        <w:ind w:firstLineChars="200" w:firstLine="480"/>
        <w:rPr>
          <w:rFonts w:ascii="Times New Roman" w:hAnsi="Times New Roman" w:cs="Times New Roman" w:hint="eastAsia"/>
          <w:sz w:val="24"/>
          <w:szCs w:val="24"/>
        </w:rPr>
      </w:pPr>
      <w:r w:rsidRPr="00A437CA">
        <w:rPr>
          <w:rFonts w:ascii="Times New Roman" w:hAnsi="Times New Roman" w:cs="Times New Roman"/>
          <w:sz w:val="24"/>
          <w:szCs w:val="24"/>
        </w:rPr>
        <w:t xml:space="preserve">The UK, known as the birthplace of modern companies, has established one of the world's oldest, most rigorous, and widely disseminated corporate governance systems over the course of more than 100 years of development, accumulation, and evolution. </w:t>
      </w:r>
      <w:r w:rsidR="00D80295" w:rsidRPr="00D80295">
        <w:rPr>
          <w:rFonts w:ascii="Times New Roman" w:hAnsi="Times New Roman" w:cs="Times New Roman"/>
          <w:sz w:val="24"/>
          <w:szCs w:val="24"/>
        </w:rPr>
        <w:t>An enterprise is the product of a country's economic and social development. The corporate governance structure is formed under a certain historical, political, economic and cultural background, and is inextricably linked with a country's national conditions, traditions and culture.</w:t>
      </w:r>
      <w:r w:rsidR="00D80295">
        <w:rPr>
          <w:rFonts w:ascii="Times New Roman" w:hAnsi="Times New Roman" w:cs="Times New Roman"/>
          <w:sz w:val="24"/>
          <w:szCs w:val="24"/>
        </w:rPr>
        <w:t xml:space="preserve"> </w:t>
      </w:r>
      <w:r w:rsidRPr="00A437CA">
        <w:rPr>
          <w:rFonts w:ascii="Times New Roman" w:hAnsi="Times New Roman" w:cs="Times New Roman"/>
          <w:sz w:val="24"/>
          <w:szCs w:val="24"/>
        </w:rPr>
        <w:t>There are mainly two global corporate governance models: shareholder governance models that focus on external market monitoring, and joint governance models that focus on stakeholder monitoring.</w:t>
      </w:r>
      <w:r w:rsidR="00D80295" w:rsidRPr="00D80295">
        <w:t xml:space="preserve"> </w:t>
      </w:r>
      <w:r w:rsidR="00D80295" w:rsidRPr="00D80295">
        <w:rPr>
          <w:rFonts w:ascii="Times New Roman" w:hAnsi="Times New Roman" w:cs="Times New Roman"/>
          <w:sz w:val="24"/>
          <w:szCs w:val="24"/>
        </w:rPr>
        <w:t>Britain is a country with contracts at its core. Its purpose is to protect the rights and interests of shareholders, and it emphasizes the value orientation and value orientation of enterprises. The corporate governance structure in the UK is mainly manifested in: first, the diversity of ownership structure, high liquidity, perfect external control and dominant position in the capital market; second, the management purpose of the company is to maximize the interests of shareholders; Third, weak shareholders and strong managers.</w:t>
      </w:r>
    </w:p>
    <w:p w14:paraId="0EAEE927" w14:textId="70038174" w:rsidR="00A437CA" w:rsidRPr="00A437CA" w:rsidRDefault="00F5462F" w:rsidP="00A437CA">
      <w:pPr>
        <w:spacing w:line="360" w:lineRule="auto"/>
        <w:ind w:firstLineChars="200" w:firstLine="480"/>
        <w:rPr>
          <w:rFonts w:ascii="Times New Roman" w:hAnsi="Times New Roman" w:cs="Times New Roman" w:hint="eastAsia"/>
          <w:sz w:val="24"/>
          <w:szCs w:val="24"/>
        </w:rPr>
      </w:pPr>
      <w:r w:rsidRPr="00F5462F">
        <w:rPr>
          <w:rFonts w:ascii="Times New Roman" w:hAnsi="Times New Roman" w:cs="Times New Roman"/>
          <w:sz w:val="24"/>
          <w:szCs w:val="24"/>
        </w:rPr>
        <w:t xml:space="preserve">The corporate governance standard currently adopted in the UK is the 2016 Revolution Security Standard, which was formulated under the leadership of the Financial Services Authority (FCA), with the aim of establishing a comprehensive corporate governance standard for companies listed on the London Stock </w:t>
      </w:r>
      <w:proofErr w:type="gramStart"/>
      <w:r w:rsidRPr="00F5462F">
        <w:rPr>
          <w:rFonts w:ascii="Times New Roman" w:hAnsi="Times New Roman" w:cs="Times New Roman"/>
          <w:sz w:val="24"/>
          <w:szCs w:val="24"/>
        </w:rPr>
        <w:t>Exchange .</w:t>
      </w:r>
      <w:proofErr w:type="gramEnd"/>
      <w:r w:rsidRPr="00F5462F">
        <w:rPr>
          <w:rFonts w:ascii="Times New Roman" w:hAnsi="Times New Roman" w:cs="Times New Roman"/>
          <w:sz w:val="24"/>
          <w:szCs w:val="24"/>
        </w:rPr>
        <w:t xml:space="preserve"> Although this standard is not a mandatory regulation, most companies that can apply this standard will follow its rules. This is because of the sound market structure in the UK and the pressure from companies. The "Code" adopts the principle of "non-compliance means non-compliance", that is, when a listed company fails to meet the conditions, it must provide a reasonable explanation for the behavior that does not meet </w:t>
      </w:r>
      <w:r w:rsidRPr="00F5462F">
        <w:rPr>
          <w:rFonts w:ascii="Times New Roman" w:hAnsi="Times New Roman" w:cs="Times New Roman"/>
          <w:sz w:val="24"/>
          <w:szCs w:val="24"/>
        </w:rPr>
        <w:lastRenderedPageBreak/>
        <w:t>the conditions. In the 2016 "Company Management Guide", the five basic principles of corporate management are elaborated, namely: leadership, efficiency, accountability, salary management, and handling of shareholder relations</w:t>
      </w:r>
      <w:r>
        <w:rPr>
          <w:rFonts w:ascii="Times New Roman" w:hAnsi="Times New Roman" w:cs="Times New Roman" w:hint="eastAsia"/>
          <w:sz w:val="24"/>
          <w:szCs w:val="24"/>
        </w:rPr>
        <w:t>hips</w:t>
      </w:r>
      <w:r w:rsidR="00A437CA" w:rsidRPr="00A437CA">
        <w:rPr>
          <w:rFonts w:ascii="Times New Roman" w:hAnsi="Times New Roman" w:cs="Times New Roman"/>
          <w:sz w:val="24"/>
          <w:szCs w:val="24"/>
        </w:rPr>
        <w:t>.</w:t>
      </w:r>
    </w:p>
    <w:p w14:paraId="3E92AE48" w14:textId="4A6E8E42" w:rsidR="003A658F" w:rsidRDefault="00A437CA" w:rsidP="00A437CA">
      <w:pPr>
        <w:spacing w:line="360" w:lineRule="auto"/>
        <w:ind w:firstLineChars="200" w:firstLine="480"/>
        <w:rPr>
          <w:rFonts w:ascii="Times New Roman" w:hAnsi="Times New Roman" w:cs="Times New Roman"/>
          <w:sz w:val="24"/>
          <w:szCs w:val="24"/>
        </w:rPr>
      </w:pPr>
      <w:r w:rsidRPr="00A437CA">
        <w:rPr>
          <w:rFonts w:ascii="Times New Roman" w:hAnsi="Times New Roman" w:cs="Times New Roman"/>
          <w:sz w:val="24"/>
          <w:szCs w:val="24"/>
        </w:rPr>
        <w:t xml:space="preserve">The governance structure of British companies has significant characteristics such as development and formation rooted in the historical and cultural environment, keeping pace with changes in the internal and external environment, a sound corporate governance system, a diversified corporate equity structure, the central role of the board of directors in corporate governance, the separation of the chairman and CEO, clear definition of responsibilities, and the government's emphasis on supervision of corporate governance. These characteristics and nature will play a certain role in the governance of earnings </w:t>
      </w:r>
      <w:proofErr w:type="gramStart"/>
      <w:r w:rsidRPr="00A437CA">
        <w:rPr>
          <w:rFonts w:ascii="Times New Roman" w:hAnsi="Times New Roman" w:cs="Times New Roman"/>
          <w:sz w:val="24"/>
          <w:szCs w:val="24"/>
        </w:rPr>
        <w:t>management.</w:t>
      </w:r>
      <w:r w:rsidR="003A658F" w:rsidRPr="003A658F">
        <w:rPr>
          <w:rFonts w:ascii="Times New Roman" w:hAnsi="Times New Roman" w:cs="Times New Roman"/>
          <w:sz w:val="24"/>
          <w:szCs w:val="24"/>
        </w:rPr>
        <w:t>.</w:t>
      </w:r>
      <w:proofErr w:type="gramEnd"/>
    </w:p>
    <w:p w14:paraId="1B051BE8" w14:textId="0A478B7D" w:rsidR="00811E6F" w:rsidRPr="003A658F" w:rsidRDefault="003A658F" w:rsidP="003A658F">
      <w:pPr>
        <w:pStyle w:val="2"/>
      </w:pPr>
      <w:bookmarkStart w:id="16" w:name="_Toc130904062"/>
      <w:r>
        <w:t>4</w:t>
      </w:r>
      <w:r w:rsidRPr="003A658F">
        <w:t>.</w:t>
      </w:r>
      <w:r>
        <w:t>2</w:t>
      </w:r>
      <w:r w:rsidRPr="003A658F">
        <w:tab/>
        <w:t>UK Corporate Governance Structure</w:t>
      </w:r>
      <w:bookmarkEnd w:id="16"/>
    </w:p>
    <w:p w14:paraId="515DCDE0" w14:textId="5AB86176" w:rsidR="003A658F" w:rsidRDefault="00097774" w:rsidP="003A658F">
      <w:pPr>
        <w:spacing w:line="360" w:lineRule="auto"/>
        <w:ind w:firstLineChars="200" w:firstLine="480"/>
        <w:rPr>
          <w:rFonts w:ascii="Times New Roman" w:hAnsi="Times New Roman" w:cs="Times New Roman"/>
          <w:sz w:val="24"/>
          <w:szCs w:val="24"/>
        </w:rPr>
      </w:pPr>
      <w:r w:rsidRPr="00097774">
        <w:rPr>
          <w:rFonts w:ascii="Times New Roman" w:hAnsi="Times New Roman" w:cs="Times New Roman"/>
          <w:sz w:val="24"/>
          <w:szCs w:val="24"/>
        </w:rPr>
        <w:t xml:space="preserve">Earnings management, as a form of manipulative management, is believed to be driven by explicit and implicit contracts, the relationship between the company and the capital market, the need for external financing, the political and regulatory environment, or other specific circumstances, according to Vander </w:t>
      </w:r>
      <w:proofErr w:type="spellStart"/>
      <w:r w:rsidRPr="00097774">
        <w:rPr>
          <w:rFonts w:ascii="Times New Roman" w:hAnsi="Times New Roman" w:cs="Times New Roman"/>
          <w:sz w:val="24"/>
          <w:szCs w:val="24"/>
        </w:rPr>
        <w:t>Bauwhede</w:t>
      </w:r>
      <w:proofErr w:type="spellEnd"/>
      <w:r w:rsidRPr="00097774">
        <w:rPr>
          <w:rFonts w:ascii="Times New Roman" w:hAnsi="Times New Roman" w:cs="Times New Roman"/>
          <w:sz w:val="24"/>
          <w:szCs w:val="24"/>
        </w:rPr>
        <w:t xml:space="preserve"> (2001). However, the distortion of accounting information and earnings by managers can lead to investors receiving inaccurate information about the true economic performance of the company, resulting in decision-making errors and a demand for higher returns to compensate for the risk of misinformation. This, in turn, can lead to impaired earnings quality, as noted by Bhattacharya et al. (2003</w:t>
      </w:r>
      <w:proofErr w:type="gramStart"/>
      <w:r w:rsidRPr="00097774">
        <w:rPr>
          <w:rFonts w:ascii="Times New Roman" w:hAnsi="Times New Roman" w:cs="Times New Roman"/>
          <w:sz w:val="24"/>
          <w:szCs w:val="24"/>
        </w:rPr>
        <w:t>).</w:t>
      </w:r>
      <w:r w:rsidR="003A658F" w:rsidRPr="003A658F">
        <w:rPr>
          <w:rFonts w:ascii="Times New Roman" w:hAnsi="Times New Roman" w:cs="Times New Roman"/>
          <w:sz w:val="24"/>
          <w:szCs w:val="24"/>
        </w:rPr>
        <w:t>To</w:t>
      </w:r>
      <w:proofErr w:type="gramEnd"/>
      <w:r w:rsidR="003A658F" w:rsidRPr="003A658F">
        <w:rPr>
          <w:rFonts w:ascii="Times New Roman" w:hAnsi="Times New Roman" w:cs="Times New Roman"/>
          <w:sz w:val="24"/>
          <w:szCs w:val="24"/>
        </w:rPr>
        <w:t xml:space="preserve"> constrain this type of earnings management, different companies have set up different internal and external mechanisms. </w:t>
      </w:r>
      <w:r w:rsidRPr="00097774">
        <w:rPr>
          <w:rFonts w:ascii="Times New Roman" w:hAnsi="Times New Roman" w:cs="Times New Roman"/>
          <w:sz w:val="24"/>
          <w:szCs w:val="24"/>
        </w:rPr>
        <w:t>According to Cornett, the primary responsibility of the board of directors is to oversee the company's management in the interest of shareholders, aiming to minimize the information gap between managers and shareholders, thus safeguarding the shareholders' benefits.</w:t>
      </w:r>
      <w:r w:rsidR="003A658F" w:rsidRPr="003A658F">
        <w:rPr>
          <w:rFonts w:ascii="Times New Roman" w:hAnsi="Times New Roman" w:cs="Times New Roman"/>
          <w:sz w:val="24"/>
          <w:szCs w:val="24"/>
        </w:rPr>
        <w:t xml:space="preserve"> (Cornett et al. 2008). Scholars such as Xie believe that the board of directors, audit committee, and executive committee have a certain constraint on earnings management (Xie et al. 2003). In addition, Holm and Schøler believe that the quality of disclosure </w:t>
      </w:r>
      <w:r w:rsidR="003A658F" w:rsidRPr="003A658F">
        <w:rPr>
          <w:rFonts w:ascii="Times New Roman" w:hAnsi="Times New Roman" w:cs="Times New Roman"/>
          <w:sz w:val="24"/>
          <w:szCs w:val="24"/>
        </w:rPr>
        <w:lastRenderedPageBreak/>
        <w:t xml:space="preserve">may be superior to other corporate governance variables in the system when constraining earnings management (Holm and Schøler 2010). In addition, through comparison, </w:t>
      </w:r>
      <w:proofErr w:type="spellStart"/>
      <w:r w:rsidR="003A658F" w:rsidRPr="003A658F">
        <w:rPr>
          <w:rFonts w:ascii="Times New Roman" w:hAnsi="Times New Roman" w:cs="Times New Roman"/>
          <w:sz w:val="24"/>
          <w:szCs w:val="24"/>
        </w:rPr>
        <w:t>Katmon</w:t>
      </w:r>
      <w:proofErr w:type="spellEnd"/>
      <w:r w:rsidR="003A658F" w:rsidRPr="003A658F">
        <w:rPr>
          <w:rFonts w:ascii="Times New Roman" w:hAnsi="Times New Roman" w:cs="Times New Roman"/>
          <w:sz w:val="24"/>
          <w:szCs w:val="24"/>
        </w:rPr>
        <w:t xml:space="preserve"> and Farooque found that the constraint of disclosure quality on earnings management is superior to internal governance mechanisms (</w:t>
      </w:r>
      <w:proofErr w:type="spellStart"/>
      <w:r w:rsidR="003A658F" w:rsidRPr="003A658F">
        <w:rPr>
          <w:rFonts w:ascii="Times New Roman" w:hAnsi="Times New Roman" w:cs="Times New Roman"/>
          <w:sz w:val="24"/>
          <w:szCs w:val="24"/>
        </w:rPr>
        <w:t>Katmon</w:t>
      </w:r>
      <w:proofErr w:type="spellEnd"/>
      <w:r w:rsidR="003A658F" w:rsidRPr="003A658F">
        <w:rPr>
          <w:rFonts w:ascii="Times New Roman" w:hAnsi="Times New Roman" w:cs="Times New Roman"/>
          <w:sz w:val="24"/>
          <w:szCs w:val="24"/>
        </w:rPr>
        <w:t xml:space="preserve"> and Farooque 2017). In summary, the above scholars' research on earnings management governance provides a good idea for specific practice.</w:t>
      </w:r>
    </w:p>
    <w:p w14:paraId="75851BA2" w14:textId="39A4913D" w:rsidR="003A658F" w:rsidRPr="003A658F" w:rsidRDefault="003A658F" w:rsidP="003A658F">
      <w:pPr>
        <w:pStyle w:val="2"/>
      </w:pPr>
      <w:bookmarkStart w:id="17" w:name="_Toc130904063"/>
      <w:r>
        <w:t>4</w:t>
      </w:r>
      <w:r w:rsidRPr="003A658F">
        <w:t>.</w:t>
      </w:r>
      <w:r>
        <w:t xml:space="preserve">3 </w:t>
      </w:r>
      <w:r w:rsidRPr="003A658F">
        <w:t>UK earnings management governance recommendations</w:t>
      </w:r>
      <w:bookmarkEnd w:id="17"/>
    </w:p>
    <w:p w14:paraId="3E22862C" w14:textId="77777777" w:rsidR="003A658F" w:rsidRP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Although the UK corporate governance structure can better constrain earnings management to a certain extent, there is still room for improvement. Below are three optimization suggestions.</w:t>
      </w:r>
    </w:p>
    <w:p w14:paraId="4D820FA3" w14:textId="77777777" w:rsidR="003A658F" w:rsidRP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First, improve the disclosure of enterprise off balance sheet information. Enterprises can adopt original accounting policies to conduct earnings management. Accounting information is mostly explained in the form of notes to accounting statements, and subsequent analysis of key items to ensure their authenticity is particularly important for related party transactions. If analyzing related party transactions, it is necessary to attach importance to the legal relationship between enterprises. Many enterprises conduct business in the form of control, but they do not meet the equity participation standards. At the same time, the report does not have all the functions. It only processes bill information, especially transactions outside the balance sheet, so many large enterprises use related party forms for income management.</w:t>
      </w:r>
    </w:p>
    <w:p w14:paraId="119ECF43" w14:textId="77777777" w:rsidR="003A658F" w:rsidRP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 xml:space="preserve">Secondly, improve the accounting standards system to restrain the company. Accounting standards require the reasonable processing of accounting information, but the current accounting system is not perfect enough to achieve the effect of accounting supervision, so there are deficiencies in earnings management. In addition, the use of appropriate accounting standards to do a comprehensive constraint on enterprises, so in the context of inadequate traditional accounting standards, it is necessary to analyze accounting theory and operability, so as to properly handle them. In the context of </w:t>
      </w:r>
      <w:r w:rsidRPr="003A658F">
        <w:rPr>
          <w:rFonts w:ascii="Times New Roman" w:hAnsi="Times New Roman" w:cs="Times New Roman"/>
          <w:sz w:val="24"/>
          <w:szCs w:val="24"/>
        </w:rPr>
        <w:lastRenderedPageBreak/>
        <w:t>ensuring the normal operation of enterprises, attention should be paid to international standards to prevent conflicts between the descriptions of accounting standards, prevent information distortion, and have an impact on enterprise policies.</w:t>
      </w:r>
    </w:p>
    <w:p w14:paraId="58A08785" w14:textId="49784570" w:rsidR="003A658F" w:rsidRDefault="003A658F" w:rsidP="003A658F">
      <w:pPr>
        <w:spacing w:line="360" w:lineRule="auto"/>
        <w:ind w:firstLineChars="200" w:firstLine="480"/>
        <w:rPr>
          <w:rFonts w:ascii="Times New Roman" w:hAnsi="Times New Roman" w:cs="Times New Roman"/>
          <w:sz w:val="24"/>
          <w:szCs w:val="24"/>
        </w:rPr>
      </w:pPr>
      <w:r w:rsidRPr="003A658F">
        <w:rPr>
          <w:rFonts w:ascii="Times New Roman" w:hAnsi="Times New Roman" w:cs="Times New Roman"/>
          <w:sz w:val="24"/>
          <w:szCs w:val="24"/>
        </w:rPr>
        <w:t>Third, improve the corporate governance structure. In the internal governance structure of an enterprise, the management system is contractual in nature, which will have an impact on the enterprise management process. This governance structure is characterized by rights, responsibilities, and interests. Currently, many enterprises have unreasonable situations, especially state-owned enterprises and asset owners as a whole. In the company law, the internal management system of enterprises cannot effectively play its role, and many boards of directors and supervisors are mere formality. For example, managers control the accounting system because they are responsible for it based on their own interests, so they can provide false information and manipulate financial reports. Therefore, in order to avoid this situation, it is necessary to improve the corporate governance structure, avoid earnings management, clarify the functions and obligations of the shareholders' meeting and the board of directors, and coordinate operations.</w:t>
      </w:r>
    </w:p>
    <w:p w14:paraId="260CAC7C" w14:textId="4F41DFDF" w:rsidR="0060608D" w:rsidRDefault="0060608D" w:rsidP="003A658F">
      <w:pPr>
        <w:spacing w:line="360" w:lineRule="auto"/>
        <w:ind w:firstLineChars="200" w:firstLine="480"/>
        <w:rPr>
          <w:rFonts w:ascii="Times New Roman" w:hAnsi="Times New Roman" w:cs="Times New Roman"/>
          <w:sz w:val="24"/>
          <w:szCs w:val="24"/>
        </w:rPr>
      </w:pPr>
    </w:p>
    <w:p w14:paraId="2D364B26" w14:textId="222ABBC8" w:rsidR="0060608D" w:rsidRDefault="0060608D" w:rsidP="003A658F">
      <w:pPr>
        <w:spacing w:line="360" w:lineRule="auto"/>
        <w:ind w:firstLineChars="200" w:firstLine="480"/>
        <w:rPr>
          <w:rFonts w:ascii="Times New Roman" w:hAnsi="Times New Roman" w:cs="Times New Roman"/>
          <w:sz w:val="24"/>
          <w:szCs w:val="24"/>
        </w:rPr>
      </w:pPr>
    </w:p>
    <w:p w14:paraId="5C72B1E9" w14:textId="0D4210E9" w:rsidR="0060608D" w:rsidRDefault="0060608D" w:rsidP="003A658F">
      <w:pPr>
        <w:spacing w:line="360" w:lineRule="auto"/>
        <w:ind w:firstLineChars="200" w:firstLine="480"/>
        <w:rPr>
          <w:rFonts w:ascii="Times New Roman" w:hAnsi="Times New Roman" w:cs="Times New Roman"/>
          <w:sz w:val="24"/>
          <w:szCs w:val="24"/>
        </w:rPr>
      </w:pPr>
    </w:p>
    <w:p w14:paraId="3A8F63A2" w14:textId="72D3BDD1" w:rsidR="0060608D" w:rsidRDefault="0060608D" w:rsidP="003A658F">
      <w:pPr>
        <w:spacing w:line="360" w:lineRule="auto"/>
        <w:ind w:firstLineChars="200" w:firstLine="480"/>
        <w:rPr>
          <w:rFonts w:ascii="Times New Roman" w:hAnsi="Times New Roman" w:cs="Times New Roman"/>
          <w:sz w:val="24"/>
          <w:szCs w:val="24"/>
        </w:rPr>
      </w:pPr>
    </w:p>
    <w:p w14:paraId="4025E759" w14:textId="52E39F9B" w:rsidR="0060608D" w:rsidRDefault="0060608D" w:rsidP="003A658F">
      <w:pPr>
        <w:spacing w:line="360" w:lineRule="auto"/>
        <w:ind w:firstLineChars="200" w:firstLine="480"/>
        <w:rPr>
          <w:rFonts w:ascii="Times New Roman" w:hAnsi="Times New Roman" w:cs="Times New Roman"/>
          <w:sz w:val="24"/>
          <w:szCs w:val="24"/>
        </w:rPr>
      </w:pPr>
    </w:p>
    <w:p w14:paraId="016ED26E" w14:textId="41F76E12" w:rsidR="0060608D" w:rsidRDefault="0060608D" w:rsidP="003A658F">
      <w:pPr>
        <w:spacing w:line="360" w:lineRule="auto"/>
        <w:ind w:firstLineChars="200" w:firstLine="480"/>
        <w:rPr>
          <w:rFonts w:ascii="Times New Roman" w:hAnsi="Times New Roman" w:cs="Times New Roman"/>
          <w:sz w:val="24"/>
          <w:szCs w:val="24"/>
        </w:rPr>
      </w:pPr>
    </w:p>
    <w:p w14:paraId="4C467AA9" w14:textId="17A84A9D" w:rsidR="0060608D" w:rsidRDefault="0060608D" w:rsidP="003A658F">
      <w:pPr>
        <w:spacing w:line="360" w:lineRule="auto"/>
        <w:ind w:firstLineChars="200" w:firstLine="480"/>
        <w:rPr>
          <w:rFonts w:ascii="Times New Roman" w:hAnsi="Times New Roman" w:cs="Times New Roman"/>
          <w:sz w:val="24"/>
          <w:szCs w:val="24"/>
        </w:rPr>
      </w:pPr>
    </w:p>
    <w:p w14:paraId="2E431FE2" w14:textId="64263B48" w:rsidR="0060608D" w:rsidRDefault="0060608D" w:rsidP="003A658F">
      <w:pPr>
        <w:spacing w:line="360" w:lineRule="auto"/>
        <w:ind w:firstLineChars="200" w:firstLine="480"/>
        <w:rPr>
          <w:rFonts w:ascii="Times New Roman" w:hAnsi="Times New Roman" w:cs="Times New Roman"/>
          <w:sz w:val="24"/>
          <w:szCs w:val="24"/>
        </w:rPr>
      </w:pPr>
    </w:p>
    <w:p w14:paraId="29BD2654" w14:textId="4CCBA6E5" w:rsidR="0060608D" w:rsidRDefault="0060608D" w:rsidP="003A658F">
      <w:pPr>
        <w:spacing w:line="360" w:lineRule="auto"/>
        <w:ind w:firstLineChars="200" w:firstLine="480"/>
        <w:rPr>
          <w:rFonts w:ascii="Times New Roman" w:hAnsi="Times New Roman" w:cs="Times New Roman"/>
          <w:sz w:val="24"/>
          <w:szCs w:val="24"/>
        </w:rPr>
      </w:pPr>
    </w:p>
    <w:p w14:paraId="3BCE773C" w14:textId="223453F8" w:rsidR="0060608D" w:rsidRDefault="0060608D" w:rsidP="003A658F">
      <w:pPr>
        <w:spacing w:line="360" w:lineRule="auto"/>
        <w:ind w:firstLineChars="200" w:firstLine="480"/>
        <w:rPr>
          <w:rFonts w:ascii="Times New Roman" w:hAnsi="Times New Roman" w:cs="Times New Roman"/>
          <w:sz w:val="24"/>
          <w:szCs w:val="24"/>
        </w:rPr>
      </w:pPr>
    </w:p>
    <w:p w14:paraId="4C7C5A4A" w14:textId="77777777" w:rsidR="0060608D" w:rsidRDefault="0060608D" w:rsidP="003A658F">
      <w:pPr>
        <w:spacing w:line="360" w:lineRule="auto"/>
        <w:ind w:firstLineChars="200" w:firstLine="480"/>
        <w:rPr>
          <w:rFonts w:ascii="Times New Roman" w:hAnsi="Times New Roman" w:cs="Times New Roman" w:hint="eastAsia"/>
          <w:sz w:val="24"/>
          <w:szCs w:val="24"/>
        </w:rPr>
      </w:pPr>
    </w:p>
    <w:p w14:paraId="2E0C53A5" w14:textId="77777777" w:rsidR="00811E6F" w:rsidRDefault="00000000">
      <w:pPr>
        <w:pStyle w:val="1"/>
        <w:spacing w:line="240" w:lineRule="auto"/>
        <w:jc w:val="left"/>
        <w:rPr>
          <w:rFonts w:ascii="Times New Roman" w:eastAsia="Times New Roman"/>
          <w:sz w:val="32"/>
        </w:rPr>
      </w:pPr>
      <w:bookmarkStart w:id="18" w:name="_Toc130904064"/>
      <w:r>
        <w:rPr>
          <w:rFonts w:ascii="Times New Roman" w:eastAsia="Times New Roman"/>
          <w:sz w:val="32"/>
        </w:rPr>
        <w:lastRenderedPageBreak/>
        <w:t>References</w:t>
      </w:r>
      <w:bookmarkEnd w:id="18"/>
    </w:p>
    <w:p w14:paraId="20BABF7D" w14:textId="77777777" w:rsidR="00EC78D8" w:rsidRPr="0043662E" w:rsidRDefault="00EC78D8" w:rsidP="00EC78D8">
      <w:pPr>
        <w:spacing w:line="360" w:lineRule="auto"/>
        <w:rPr>
          <w:rFonts w:ascii="Times New Roman" w:eastAsia="宋体" w:hAnsi="Times New Roman"/>
        </w:rPr>
      </w:pPr>
      <w:bookmarkStart w:id="19" w:name="_Hlk130841198"/>
      <w:r>
        <w:rPr>
          <w:rFonts w:ascii="Times New Roman" w:eastAsia="宋体" w:hAnsi="Times New Roman"/>
        </w:rPr>
        <w:t xml:space="preserve">1.  </w:t>
      </w:r>
      <w:r w:rsidRPr="0043662E">
        <w:rPr>
          <w:rFonts w:ascii="Times New Roman" w:eastAsia="宋体" w:hAnsi="Times New Roman"/>
        </w:rPr>
        <w:t>Schipper, K. (1989) Commentary on Earnings Management. Accounting Horizons, 3, 91-102.</w:t>
      </w:r>
    </w:p>
    <w:p w14:paraId="3750E0DF" w14:textId="77777777" w:rsidR="00EC78D8" w:rsidRPr="0043662E" w:rsidRDefault="00EC78D8" w:rsidP="00EC78D8">
      <w:pPr>
        <w:spacing w:line="360" w:lineRule="auto"/>
        <w:rPr>
          <w:rFonts w:ascii="Times New Roman" w:eastAsia="宋体" w:hAnsi="Times New Roman"/>
        </w:rPr>
      </w:pPr>
      <w:r>
        <w:rPr>
          <w:rFonts w:ascii="Times New Roman" w:eastAsia="宋体" w:hAnsi="Times New Roman"/>
        </w:rPr>
        <w:t xml:space="preserve">2.  </w:t>
      </w:r>
      <w:r w:rsidRPr="0043662E">
        <w:rPr>
          <w:rFonts w:ascii="Times New Roman" w:eastAsia="宋体" w:hAnsi="Times New Roman"/>
        </w:rPr>
        <w:t>Scott, W. R.</w:t>
      </w:r>
      <w:r>
        <w:rPr>
          <w:rFonts w:ascii="Times New Roman" w:eastAsia="宋体" w:hAnsi="Times New Roman"/>
        </w:rPr>
        <w:t xml:space="preserve"> (1997)</w:t>
      </w:r>
      <w:r w:rsidRPr="0043662E">
        <w:rPr>
          <w:rFonts w:ascii="Times New Roman" w:eastAsia="宋体" w:hAnsi="Times New Roman"/>
        </w:rPr>
        <w:t xml:space="preserve"> Financial Accounting Theory. Prentice-Hall, Ine.</w:t>
      </w:r>
    </w:p>
    <w:p w14:paraId="34CFA946" w14:textId="77777777" w:rsidR="00EC78D8" w:rsidRPr="0043662E" w:rsidRDefault="00EC78D8" w:rsidP="00EC78D8">
      <w:pPr>
        <w:spacing w:line="360" w:lineRule="auto"/>
        <w:ind w:left="420" w:hangingChars="200" w:hanging="420"/>
        <w:rPr>
          <w:rFonts w:ascii="Times New Roman" w:eastAsia="宋体" w:hAnsi="Times New Roman"/>
        </w:rPr>
      </w:pPr>
      <w:r>
        <w:rPr>
          <w:rFonts w:ascii="Times New Roman" w:eastAsia="宋体" w:hAnsi="Times New Roman"/>
        </w:rPr>
        <w:t xml:space="preserve">3.  </w:t>
      </w:r>
      <w:r w:rsidRPr="0043662E">
        <w:rPr>
          <w:rFonts w:ascii="Times New Roman" w:eastAsia="宋体" w:hAnsi="Times New Roman"/>
        </w:rPr>
        <w:t>Healy, P. M.</w:t>
      </w:r>
      <w:r>
        <w:rPr>
          <w:rFonts w:ascii="Times New Roman" w:eastAsia="宋体" w:hAnsi="Times New Roman"/>
        </w:rPr>
        <w:t xml:space="preserve"> (1999) </w:t>
      </w:r>
      <w:r w:rsidRPr="0043662E">
        <w:rPr>
          <w:rFonts w:ascii="Times New Roman" w:eastAsia="宋体" w:hAnsi="Times New Roman"/>
        </w:rPr>
        <w:t>and J. M. Wahlen. A Review of Earnings Management Literature and</w:t>
      </w:r>
      <w:r>
        <w:rPr>
          <w:rFonts w:ascii="Times New Roman" w:eastAsia="宋体" w:hAnsi="Times New Roman"/>
        </w:rPr>
        <w:t xml:space="preserve"> </w:t>
      </w:r>
      <w:r w:rsidRPr="0043662E">
        <w:rPr>
          <w:rFonts w:ascii="Times New Roman" w:eastAsia="宋体" w:hAnsi="Times New Roman"/>
        </w:rPr>
        <w:t>its</w:t>
      </w:r>
      <w:r>
        <w:rPr>
          <w:rFonts w:ascii="Times New Roman" w:eastAsia="宋体" w:hAnsi="Times New Roman"/>
        </w:rPr>
        <w:t xml:space="preserve"> </w:t>
      </w:r>
      <w:r w:rsidRPr="0043662E">
        <w:rPr>
          <w:rFonts w:ascii="Times New Roman" w:eastAsia="宋体" w:hAnsi="Times New Roman"/>
        </w:rPr>
        <w:t>Implications for Standard Setting, Accounting Horizons, 12:365-283.</w:t>
      </w:r>
    </w:p>
    <w:p w14:paraId="1D9DA93D" w14:textId="77777777" w:rsidR="00EC78D8" w:rsidRPr="0043662E" w:rsidRDefault="00EC78D8" w:rsidP="00EC78D8">
      <w:pPr>
        <w:spacing w:line="360" w:lineRule="auto"/>
        <w:ind w:left="420" w:hangingChars="200" w:hanging="420"/>
        <w:rPr>
          <w:rFonts w:ascii="Times New Roman" w:eastAsia="宋体" w:hAnsi="Times New Roman"/>
        </w:rPr>
      </w:pPr>
      <w:r>
        <w:rPr>
          <w:rFonts w:ascii="Times New Roman" w:eastAsia="宋体" w:hAnsi="Times New Roman"/>
        </w:rPr>
        <w:t xml:space="preserve">4.  </w:t>
      </w:r>
      <w:r w:rsidRPr="0043662E">
        <w:rPr>
          <w:rFonts w:ascii="Times New Roman" w:eastAsia="宋体" w:hAnsi="Times New Roman"/>
        </w:rPr>
        <w:t>Watts, R. L., &amp; Zimmerman, J. L. (1986). Positive accounting theory, Englewood Cliffs, NJ: Prentice-Hall.</w:t>
      </w:r>
    </w:p>
    <w:p w14:paraId="44725596" w14:textId="77777777" w:rsidR="00EC78D8" w:rsidRDefault="00EC78D8" w:rsidP="00EC78D8">
      <w:pPr>
        <w:spacing w:line="360" w:lineRule="auto"/>
        <w:rPr>
          <w:rFonts w:ascii="Times New Roman" w:eastAsia="宋体" w:hAnsi="Times New Roman"/>
        </w:rPr>
      </w:pPr>
      <w:r>
        <w:rPr>
          <w:rFonts w:ascii="Times New Roman" w:eastAsia="宋体" w:hAnsi="Times New Roman"/>
        </w:rPr>
        <w:t xml:space="preserve">5.  </w:t>
      </w:r>
      <w:r w:rsidRPr="0043662E">
        <w:rPr>
          <w:rFonts w:ascii="Times New Roman" w:eastAsia="宋体" w:hAnsi="Times New Roman"/>
        </w:rPr>
        <w:t>Ittner, C. D., Larcker, D. F., &amp; Rajan, M. V. (1997). The choice of performance measures in</w:t>
      </w:r>
    </w:p>
    <w:p w14:paraId="714A3FD2" w14:textId="77777777" w:rsidR="00EC78D8" w:rsidRPr="0043662E" w:rsidRDefault="00EC78D8" w:rsidP="00EC78D8">
      <w:pPr>
        <w:spacing w:line="360" w:lineRule="auto"/>
        <w:ind w:firstLineChars="200" w:firstLine="420"/>
        <w:rPr>
          <w:rFonts w:ascii="Times New Roman" w:eastAsia="宋体" w:hAnsi="Times New Roman"/>
        </w:rPr>
      </w:pPr>
      <w:r w:rsidRPr="0043662E">
        <w:rPr>
          <w:rFonts w:ascii="Times New Roman" w:eastAsia="宋体" w:hAnsi="Times New Roman"/>
        </w:rPr>
        <w:t>annual</w:t>
      </w:r>
      <w:r>
        <w:rPr>
          <w:rFonts w:ascii="Times New Roman" w:eastAsia="宋体" w:hAnsi="Times New Roman"/>
        </w:rPr>
        <w:t xml:space="preserve"> </w:t>
      </w:r>
      <w:r w:rsidRPr="0043662E">
        <w:rPr>
          <w:rFonts w:ascii="Times New Roman" w:eastAsia="宋体" w:hAnsi="Times New Roman"/>
        </w:rPr>
        <w:t>bonus contracts. The Accounting Review, 72, 231-255.</w:t>
      </w:r>
    </w:p>
    <w:p w14:paraId="487F3D72" w14:textId="77777777" w:rsidR="00EC78D8" w:rsidRPr="0043662E" w:rsidRDefault="00EC78D8" w:rsidP="00EC78D8">
      <w:pPr>
        <w:spacing w:line="360" w:lineRule="auto"/>
        <w:ind w:left="420" w:hangingChars="200" w:hanging="420"/>
        <w:rPr>
          <w:rFonts w:ascii="Times New Roman" w:eastAsia="宋体" w:hAnsi="Times New Roman"/>
        </w:rPr>
      </w:pPr>
      <w:r>
        <w:rPr>
          <w:rFonts w:ascii="Times New Roman" w:eastAsia="宋体" w:hAnsi="Times New Roman"/>
        </w:rPr>
        <w:t xml:space="preserve">6. </w:t>
      </w:r>
      <w:r w:rsidRPr="0043662E">
        <w:rPr>
          <w:rFonts w:ascii="Times New Roman" w:eastAsia="宋体" w:hAnsi="Times New Roman"/>
        </w:rPr>
        <w:t xml:space="preserve"> Boynton C.E., Dobbins P.S., and Plesko G.A. </w:t>
      </w:r>
      <w:r>
        <w:rPr>
          <w:rFonts w:ascii="Times New Roman" w:eastAsia="宋体" w:hAnsi="Times New Roman"/>
        </w:rPr>
        <w:t>(</w:t>
      </w:r>
      <w:r w:rsidRPr="0043662E">
        <w:rPr>
          <w:rFonts w:ascii="Times New Roman" w:eastAsia="宋体" w:hAnsi="Times New Roman"/>
        </w:rPr>
        <w:t>1992</w:t>
      </w:r>
      <w:r>
        <w:rPr>
          <w:rFonts w:ascii="Times New Roman" w:eastAsia="宋体" w:hAnsi="Times New Roman"/>
        </w:rPr>
        <w:t>)</w:t>
      </w:r>
      <w:r w:rsidRPr="0043662E">
        <w:rPr>
          <w:rFonts w:ascii="Times New Roman" w:eastAsia="宋体" w:hAnsi="Times New Roman"/>
        </w:rPr>
        <w:t>. Earnings Management and the Corporate Alternative Minimum Tax. Journal of Accounting Research 30(Supplement): 131-153.</w:t>
      </w:r>
    </w:p>
    <w:p w14:paraId="54651674" w14:textId="77777777" w:rsidR="00EC78D8" w:rsidRPr="0043662E" w:rsidRDefault="00EC78D8" w:rsidP="00EC78D8">
      <w:pPr>
        <w:spacing w:line="360" w:lineRule="auto"/>
        <w:ind w:left="420" w:hangingChars="200" w:hanging="420"/>
        <w:rPr>
          <w:rFonts w:ascii="Times New Roman" w:eastAsia="宋体" w:hAnsi="Times New Roman"/>
        </w:rPr>
      </w:pPr>
      <w:r>
        <w:rPr>
          <w:rFonts w:ascii="Times New Roman" w:eastAsia="宋体" w:hAnsi="Times New Roman"/>
        </w:rPr>
        <w:t xml:space="preserve">7.  </w:t>
      </w:r>
      <w:r w:rsidRPr="0043662E">
        <w:rPr>
          <w:rFonts w:ascii="Times New Roman" w:eastAsia="宋体" w:hAnsi="Times New Roman"/>
        </w:rPr>
        <w:t>Watts, R.L. and Zimmerman, J.L. (1978) Towards a Positive Theory of the Determination of Accounting Standards. The Accounting Review, 53, 112-134.</w:t>
      </w:r>
    </w:p>
    <w:p w14:paraId="451B4A64" w14:textId="77777777" w:rsidR="00EC78D8" w:rsidRPr="0043662E" w:rsidRDefault="00EC78D8" w:rsidP="00EC78D8">
      <w:pPr>
        <w:spacing w:line="360" w:lineRule="auto"/>
        <w:ind w:left="420" w:hangingChars="200" w:hanging="420"/>
        <w:rPr>
          <w:rFonts w:ascii="Times New Roman" w:eastAsia="宋体" w:hAnsi="Times New Roman"/>
        </w:rPr>
      </w:pPr>
      <w:bookmarkStart w:id="20" w:name="_Hlk130736560"/>
      <w:r>
        <w:rPr>
          <w:rFonts w:ascii="Times New Roman" w:eastAsia="宋体" w:hAnsi="Times New Roman"/>
        </w:rPr>
        <w:t xml:space="preserve">8.  </w:t>
      </w:r>
      <w:proofErr w:type="spellStart"/>
      <w:r w:rsidRPr="0043662E">
        <w:rPr>
          <w:rFonts w:ascii="Times New Roman" w:eastAsia="宋体" w:hAnsi="Times New Roman"/>
        </w:rPr>
        <w:t>Stockmans</w:t>
      </w:r>
      <w:bookmarkEnd w:id="20"/>
      <w:proofErr w:type="spellEnd"/>
      <w:r w:rsidRPr="0043662E">
        <w:rPr>
          <w:rFonts w:ascii="Times New Roman" w:eastAsia="宋体" w:hAnsi="Times New Roman"/>
        </w:rPr>
        <w:t xml:space="preserve">, A., Lybaert, N., &amp; </w:t>
      </w:r>
      <w:proofErr w:type="spellStart"/>
      <w:r w:rsidRPr="0043662E">
        <w:rPr>
          <w:rFonts w:ascii="Times New Roman" w:eastAsia="宋体" w:hAnsi="Times New Roman"/>
        </w:rPr>
        <w:t>Voordeckers</w:t>
      </w:r>
      <w:proofErr w:type="spellEnd"/>
      <w:r w:rsidRPr="0043662E">
        <w:rPr>
          <w:rFonts w:ascii="Times New Roman" w:eastAsia="宋体" w:hAnsi="Times New Roman"/>
        </w:rPr>
        <w:t>, W. (2010). Socioemotional Wealth and Earnings Management in Private Family Firms. Family Business Review, 23(3), 280–294.</w:t>
      </w:r>
    </w:p>
    <w:p w14:paraId="4301A789" w14:textId="77777777" w:rsidR="00EC78D8" w:rsidRPr="0043662E" w:rsidRDefault="00EC78D8" w:rsidP="00EC78D8">
      <w:pPr>
        <w:spacing w:line="360" w:lineRule="auto"/>
        <w:ind w:left="420" w:hangingChars="200" w:hanging="420"/>
        <w:rPr>
          <w:rFonts w:ascii="Times New Roman" w:eastAsia="宋体" w:hAnsi="Times New Roman"/>
        </w:rPr>
      </w:pPr>
      <w:r w:rsidRPr="0043662E">
        <w:rPr>
          <w:rFonts w:ascii="Times New Roman" w:eastAsia="宋体" w:hAnsi="Times New Roman"/>
        </w:rPr>
        <w:t>9</w:t>
      </w:r>
      <w:r>
        <w:rPr>
          <w:rFonts w:ascii="Times New Roman" w:eastAsia="宋体" w:hAnsi="Times New Roman"/>
        </w:rPr>
        <w:t>.</w:t>
      </w:r>
      <w:r w:rsidRPr="0043662E">
        <w:rPr>
          <w:rFonts w:ascii="Times New Roman" w:eastAsia="宋体" w:hAnsi="Times New Roman"/>
        </w:rPr>
        <w:t xml:space="preserve"> </w:t>
      </w:r>
      <w:r>
        <w:rPr>
          <w:rFonts w:ascii="Times New Roman" w:eastAsia="宋体" w:hAnsi="Times New Roman"/>
        </w:rPr>
        <w:t xml:space="preserve"> </w:t>
      </w:r>
      <w:r w:rsidRPr="0043662E">
        <w:rPr>
          <w:rFonts w:ascii="Times New Roman" w:eastAsia="宋体" w:hAnsi="Times New Roman"/>
        </w:rPr>
        <w:t>Holthausen, R. W. (1990). Accounting method choice: Opportunistic behavior, efficient contracting, and information perspectives. Journal of accounting and economics, 12(1-3), 207-218.</w:t>
      </w:r>
    </w:p>
    <w:p w14:paraId="3184F801" w14:textId="77777777" w:rsidR="00EC78D8" w:rsidRPr="0043662E" w:rsidRDefault="00EC78D8" w:rsidP="00EC78D8">
      <w:pPr>
        <w:spacing w:line="360" w:lineRule="auto"/>
        <w:ind w:left="420" w:hangingChars="200" w:hanging="420"/>
        <w:rPr>
          <w:rFonts w:ascii="Times New Roman" w:eastAsia="宋体" w:hAnsi="Times New Roman"/>
        </w:rPr>
      </w:pPr>
      <w:r w:rsidRPr="0043662E">
        <w:rPr>
          <w:rFonts w:ascii="Times New Roman" w:eastAsia="宋体" w:hAnsi="Times New Roman"/>
        </w:rPr>
        <w:t>10</w:t>
      </w:r>
      <w:r>
        <w:rPr>
          <w:rFonts w:ascii="Times New Roman" w:eastAsia="宋体" w:hAnsi="Times New Roman"/>
        </w:rPr>
        <w:t>.</w:t>
      </w:r>
      <w:r w:rsidRPr="0043662E">
        <w:rPr>
          <w:rFonts w:ascii="Times New Roman" w:eastAsia="宋体" w:hAnsi="Times New Roman"/>
        </w:rPr>
        <w:t xml:space="preserve"> </w:t>
      </w:r>
      <w:r>
        <w:rPr>
          <w:rFonts w:ascii="Times New Roman" w:eastAsia="宋体" w:hAnsi="Times New Roman"/>
        </w:rPr>
        <w:t xml:space="preserve"> </w:t>
      </w:r>
      <w:r w:rsidRPr="0043662E">
        <w:rPr>
          <w:rFonts w:ascii="Times New Roman" w:eastAsia="宋体" w:hAnsi="Times New Roman"/>
        </w:rPr>
        <w:t xml:space="preserve">Ali .M. </w:t>
      </w:r>
      <w:proofErr w:type="spellStart"/>
      <w:r w:rsidRPr="0043662E">
        <w:rPr>
          <w:rFonts w:ascii="Times New Roman" w:eastAsia="宋体" w:hAnsi="Times New Roman"/>
        </w:rPr>
        <w:t>Ciftci</w:t>
      </w:r>
      <w:proofErr w:type="spellEnd"/>
      <w:r w:rsidRPr="0043662E">
        <w:rPr>
          <w:rFonts w:ascii="Times New Roman" w:eastAsia="宋体" w:hAnsi="Times New Roman"/>
        </w:rPr>
        <w:t xml:space="preserve"> .</w:t>
      </w:r>
      <w:proofErr w:type="spellStart"/>
      <w:r w:rsidRPr="0043662E">
        <w:rPr>
          <w:rFonts w:ascii="Times New Roman" w:eastAsia="宋体" w:hAnsi="Times New Roman"/>
        </w:rPr>
        <w:t>M.cread</w:t>
      </w:r>
      <w:proofErr w:type="spellEnd"/>
      <w:r w:rsidRPr="0043662E">
        <w:rPr>
          <w:rFonts w:ascii="Times New Roman" w:eastAsia="宋体" w:hAnsi="Times New Roman"/>
        </w:rPr>
        <w:t>.</w:t>
      </w:r>
      <w:r w:rsidRPr="0043662E">
        <w:rPr>
          <w:rFonts w:ascii="Times New Roman" w:eastAsia="宋体" w:hAnsi="Times New Roman" w:hint="eastAsia"/>
        </w:rPr>
        <w:t>(</w:t>
      </w:r>
      <w:r w:rsidRPr="0043662E">
        <w:rPr>
          <w:rFonts w:ascii="Times New Roman" w:eastAsia="宋体" w:hAnsi="Times New Roman"/>
        </w:rPr>
        <w:t>2012).</w:t>
      </w:r>
      <w:proofErr w:type="spellStart"/>
      <w:r w:rsidRPr="0043662E">
        <w:rPr>
          <w:rFonts w:ascii="Times New Roman" w:eastAsia="宋体" w:hAnsi="Times New Roman"/>
        </w:rPr>
        <w:t>Maket</w:t>
      </w:r>
      <w:proofErr w:type="spellEnd"/>
      <w:r w:rsidRPr="0043662E">
        <w:rPr>
          <w:rFonts w:ascii="Times New Roman" w:eastAsia="宋体" w:hAnsi="Times New Roman"/>
        </w:rPr>
        <w:t xml:space="preserve"> Underestimation of the Implications of P&amp;D Increases for Future earnings The US Evidence. Journal f Business Finance and Accounting 39(3-4):289~314</w:t>
      </w:r>
    </w:p>
    <w:p w14:paraId="552B11E8"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 xml:space="preserve">11.  </w:t>
      </w:r>
      <w:r w:rsidRPr="0043662E">
        <w:rPr>
          <w:rFonts w:ascii="Times New Roman" w:eastAsia="宋体" w:hAnsi="Times New Roman"/>
        </w:rPr>
        <w:t>Healy, P.M. and Wahlen, J.M. (1999) A Review of the Earnings Management Literature and</w:t>
      </w:r>
      <w:r>
        <w:rPr>
          <w:rFonts w:ascii="Times New Roman" w:eastAsia="宋体" w:hAnsi="Times New Roman"/>
        </w:rPr>
        <w:t xml:space="preserve"> </w:t>
      </w:r>
      <w:r w:rsidRPr="0043662E">
        <w:rPr>
          <w:rFonts w:ascii="Times New Roman" w:eastAsia="宋体" w:hAnsi="Times New Roman"/>
        </w:rPr>
        <w:t>Its</w:t>
      </w:r>
      <w:r>
        <w:rPr>
          <w:rFonts w:ascii="Times New Roman" w:eastAsia="宋体" w:hAnsi="Times New Roman"/>
        </w:rPr>
        <w:t xml:space="preserve"> </w:t>
      </w:r>
      <w:r w:rsidRPr="0043662E">
        <w:rPr>
          <w:rFonts w:ascii="Times New Roman" w:eastAsia="宋体" w:hAnsi="Times New Roman"/>
        </w:rPr>
        <w:t>Implications for Standard Setting. Accounting Horizons, 13, 365-383.</w:t>
      </w:r>
    </w:p>
    <w:p w14:paraId="705ADF6C"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 xml:space="preserve">12.  </w:t>
      </w:r>
      <w:r w:rsidRPr="0043662E">
        <w:rPr>
          <w:rFonts w:ascii="Times New Roman" w:eastAsia="宋体" w:hAnsi="Times New Roman"/>
        </w:rPr>
        <w:t>Jones, J. (1991) Earnings Management during Import Relief Investigations. Journal of</w:t>
      </w:r>
      <w:r>
        <w:rPr>
          <w:rFonts w:ascii="Times New Roman" w:eastAsia="宋体" w:hAnsi="Times New Roman"/>
        </w:rPr>
        <w:t xml:space="preserve"> </w:t>
      </w:r>
      <w:r w:rsidRPr="0043662E">
        <w:rPr>
          <w:rFonts w:ascii="Times New Roman" w:eastAsia="宋体" w:hAnsi="Times New Roman"/>
        </w:rPr>
        <w:t>Accounting Research, 29, 193-228.</w:t>
      </w:r>
    </w:p>
    <w:p w14:paraId="693A32E2" w14:textId="77777777" w:rsidR="00EC78D8" w:rsidRPr="0043662E" w:rsidRDefault="00EC78D8" w:rsidP="00EC78D8">
      <w:pPr>
        <w:spacing w:line="360" w:lineRule="auto"/>
        <w:ind w:left="483" w:hangingChars="230" w:hanging="483"/>
        <w:rPr>
          <w:rFonts w:ascii="Times New Roman" w:eastAsia="宋体" w:hAnsi="Times New Roman"/>
        </w:rPr>
      </w:pPr>
      <w:r>
        <w:rPr>
          <w:rFonts w:ascii="Times New Roman" w:eastAsia="宋体" w:hAnsi="Times New Roman"/>
        </w:rPr>
        <w:t xml:space="preserve">13.  </w:t>
      </w:r>
      <w:r w:rsidRPr="0043662E">
        <w:rPr>
          <w:rFonts w:ascii="Times New Roman" w:eastAsia="宋体" w:hAnsi="Times New Roman"/>
        </w:rPr>
        <w:t>McNichols, M., &amp; Wilson, G. P. (1988). Evidence of earnings management from the provision for bad debts. Journal of accounting research, 1-31.</w:t>
      </w:r>
    </w:p>
    <w:p w14:paraId="78BF03A8" w14:textId="77777777" w:rsidR="00EC78D8" w:rsidRDefault="00EC78D8" w:rsidP="00EC78D8">
      <w:pPr>
        <w:spacing w:line="360" w:lineRule="auto"/>
        <w:ind w:left="420" w:hangingChars="200" w:hanging="420"/>
        <w:rPr>
          <w:rFonts w:ascii="Times New Roman" w:eastAsia="宋体" w:hAnsi="Times New Roman"/>
        </w:rPr>
      </w:pPr>
      <w:r>
        <w:rPr>
          <w:rFonts w:ascii="Times New Roman" w:eastAsia="宋体" w:hAnsi="Times New Roman"/>
        </w:rPr>
        <w:t xml:space="preserve">14.  </w:t>
      </w:r>
      <w:r w:rsidRPr="0043662E">
        <w:rPr>
          <w:rFonts w:ascii="Times New Roman" w:eastAsia="宋体" w:hAnsi="Times New Roman"/>
        </w:rPr>
        <w:t>Roychowdhury, S. (2006) Earnings Management through real Activities Manipulation.</w:t>
      </w:r>
    </w:p>
    <w:p w14:paraId="52FC3206" w14:textId="77777777" w:rsidR="00EC78D8" w:rsidRPr="0043662E" w:rsidRDefault="00EC78D8" w:rsidP="00EC78D8">
      <w:pPr>
        <w:spacing w:line="360" w:lineRule="auto"/>
        <w:ind w:firstLineChars="220" w:firstLine="462"/>
        <w:rPr>
          <w:rFonts w:ascii="Times New Roman" w:eastAsia="宋体" w:hAnsi="Times New Roman"/>
        </w:rPr>
      </w:pPr>
      <w:r w:rsidRPr="0043662E">
        <w:rPr>
          <w:rFonts w:ascii="Times New Roman" w:eastAsia="宋体" w:hAnsi="Times New Roman"/>
        </w:rPr>
        <w:t>Journal</w:t>
      </w:r>
      <w:r>
        <w:rPr>
          <w:rFonts w:ascii="Times New Roman" w:eastAsia="宋体" w:hAnsi="Times New Roman"/>
        </w:rPr>
        <w:t xml:space="preserve"> </w:t>
      </w:r>
      <w:r w:rsidRPr="0043662E">
        <w:rPr>
          <w:rFonts w:ascii="Times New Roman" w:eastAsia="宋体" w:hAnsi="Times New Roman"/>
        </w:rPr>
        <w:t>of Accounting and Economics, 42, 335-370.</w:t>
      </w:r>
    </w:p>
    <w:p w14:paraId="301802E5"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lastRenderedPageBreak/>
        <w:t xml:space="preserve">15.  </w:t>
      </w:r>
      <w:r w:rsidRPr="0043662E">
        <w:rPr>
          <w:rFonts w:ascii="Times New Roman" w:eastAsia="宋体" w:hAnsi="Times New Roman"/>
        </w:rPr>
        <w:t>Chapman, C. J. (2011). The effects of real earnings management on the firm, its competitors and subsequent reporting periods. Available at SSRN 1747151.</w:t>
      </w:r>
    </w:p>
    <w:p w14:paraId="2433E88E"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16.</w:t>
      </w:r>
      <w:r w:rsidRPr="0043662E">
        <w:rPr>
          <w:rFonts w:ascii="Times New Roman" w:eastAsia="宋体" w:hAnsi="Times New Roman"/>
        </w:rPr>
        <w:t xml:space="preserve"> </w:t>
      </w:r>
      <w:r>
        <w:rPr>
          <w:rFonts w:ascii="Times New Roman" w:eastAsia="宋体" w:hAnsi="Times New Roman"/>
        </w:rPr>
        <w:t xml:space="preserve"> </w:t>
      </w:r>
      <w:r w:rsidRPr="0043662E">
        <w:rPr>
          <w:rFonts w:ascii="Times New Roman" w:eastAsia="宋体" w:hAnsi="Times New Roman"/>
        </w:rPr>
        <w:t>Zang, A. Y. (2012). Evidence on the Trade-Off between Real Activities Manipulation and Accrual-Based Earnings Management. The Accounting Review, 87, 675-703.</w:t>
      </w:r>
    </w:p>
    <w:p w14:paraId="766D4F7F"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17.</w:t>
      </w:r>
      <w:r w:rsidRPr="0043662E">
        <w:rPr>
          <w:rFonts w:ascii="Times New Roman" w:eastAsia="宋体" w:hAnsi="Times New Roman"/>
        </w:rPr>
        <w:t xml:space="preserve"> </w:t>
      </w:r>
      <w:r>
        <w:rPr>
          <w:rFonts w:ascii="Times New Roman" w:eastAsia="宋体" w:hAnsi="Times New Roman"/>
        </w:rPr>
        <w:t xml:space="preserve"> </w:t>
      </w:r>
      <w:r w:rsidRPr="0043662E">
        <w:rPr>
          <w:rFonts w:ascii="Times New Roman" w:eastAsia="宋体" w:hAnsi="Times New Roman"/>
        </w:rPr>
        <w:t xml:space="preserve">Cohen, D., </w:t>
      </w:r>
      <w:proofErr w:type="spellStart"/>
      <w:r w:rsidRPr="0043662E">
        <w:rPr>
          <w:rFonts w:ascii="Times New Roman" w:eastAsia="宋体" w:hAnsi="Times New Roman"/>
        </w:rPr>
        <w:t>Mashruwala</w:t>
      </w:r>
      <w:proofErr w:type="spellEnd"/>
      <w:r w:rsidRPr="0043662E">
        <w:rPr>
          <w:rFonts w:ascii="Times New Roman" w:eastAsia="宋体" w:hAnsi="Times New Roman"/>
        </w:rPr>
        <w:t>, R., &amp; Zach, T. (2010). The use of advertising activities to meet earnings benchmarks: Evidence from monthly data. Review of Accounting Studies, 15, 808-832.</w:t>
      </w:r>
    </w:p>
    <w:p w14:paraId="5A8FB904" w14:textId="77777777" w:rsidR="00EC78D8" w:rsidRPr="0043662E" w:rsidRDefault="00EC78D8" w:rsidP="00EC78D8">
      <w:pPr>
        <w:spacing w:line="360" w:lineRule="auto"/>
        <w:rPr>
          <w:rFonts w:ascii="Times New Roman" w:eastAsia="宋体" w:hAnsi="Times New Roman"/>
        </w:rPr>
      </w:pPr>
      <w:r>
        <w:rPr>
          <w:rFonts w:ascii="Times New Roman" w:eastAsia="宋体" w:hAnsi="Times New Roman"/>
        </w:rPr>
        <w:t xml:space="preserve">18. </w:t>
      </w:r>
      <w:r w:rsidRPr="0043662E">
        <w:rPr>
          <w:rFonts w:ascii="Times New Roman" w:eastAsia="宋体" w:hAnsi="Times New Roman"/>
        </w:rPr>
        <w:t xml:space="preserve"> Anscombe, G. E. M. (1958). Modern moral philosophy1. Philosophy, 33(124), 1-19.</w:t>
      </w:r>
    </w:p>
    <w:p w14:paraId="56B9AE49" w14:textId="77777777" w:rsidR="00EC78D8" w:rsidRPr="0043662E" w:rsidRDefault="00EC78D8" w:rsidP="00EC78D8">
      <w:pPr>
        <w:spacing w:line="360" w:lineRule="auto"/>
        <w:rPr>
          <w:rFonts w:ascii="Times New Roman" w:eastAsia="宋体" w:hAnsi="Times New Roman"/>
        </w:rPr>
      </w:pPr>
      <w:r>
        <w:rPr>
          <w:rFonts w:ascii="Times New Roman" w:eastAsia="宋体" w:hAnsi="Times New Roman"/>
        </w:rPr>
        <w:t xml:space="preserve">19.  </w:t>
      </w:r>
      <w:r w:rsidRPr="0043662E">
        <w:rPr>
          <w:rFonts w:ascii="Times New Roman" w:eastAsia="宋体" w:hAnsi="Times New Roman"/>
        </w:rPr>
        <w:t>Swanton, C. (2003). Virtue ethics: A pluralistic view. Clarendon Press.</w:t>
      </w:r>
    </w:p>
    <w:p w14:paraId="2C600C93"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 xml:space="preserve">20. </w:t>
      </w:r>
      <w:r w:rsidRPr="0043662E">
        <w:rPr>
          <w:rFonts w:ascii="Times New Roman" w:eastAsia="宋体" w:hAnsi="Times New Roman"/>
        </w:rPr>
        <w:t xml:space="preserve"> Smith, R. (2016). The virtues of unknowing. Journal of Philosophy of Education, 50(2), 272-284.</w:t>
      </w:r>
    </w:p>
    <w:p w14:paraId="7BCF2603" w14:textId="77777777" w:rsidR="00EC78D8" w:rsidRPr="0043662E" w:rsidRDefault="00EC78D8" w:rsidP="00EC78D8">
      <w:pPr>
        <w:spacing w:line="360" w:lineRule="auto"/>
        <w:ind w:left="462" w:hangingChars="220" w:hanging="462"/>
        <w:rPr>
          <w:rFonts w:ascii="Times New Roman" w:eastAsia="宋体" w:hAnsi="Times New Roman"/>
        </w:rPr>
      </w:pPr>
      <w:bookmarkStart w:id="21" w:name="_Hlk130831695"/>
      <w:r>
        <w:rPr>
          <w:rFonts w:ascii="Times New Roman" w:eastAsia="宋体" w:hAnsi="Times New Roman"/>
        </w:rPr>
        <w:t xml:space="preserve">21.  </w:t>
      </w:r>
      <w:r w:rsidRPr="0043662E">
        <w:rPr>
          <w:rFonts w:ascii="Times New Roman" w:eastAsia="宋体" w:hAnsi="Times New Roman"/>
        </w:rPr>
        <w:t xml:space="preserve">Vander </w:t>
      </w:r>
      <w:proofErr w:type="spellStart"/>
      <w:r w:rsidRPr="0043662E">
        <w:rPr>
          <w:rFonts w:ascii="Times New Roman" w:eastAsia="宋体" w:hAnsi="Times New Roman"/>
        </w:rPr>
        <w:t>Bauwhede</w:t>
      </w:r>
      <w:bookmarkEnd w:id="21"/>
      <w:proofErr w:type="spellEnd"/>
      <w:r w:rsidRPr="0043662E">
        <w:rPr>
          <w:rFonts w:ascii="Times New Roman" w:eastAsia="宋体" w:hAnsi="Times New Roman"/>
        </w:rPr>
        <w:t xml:space="preserve">, H. (2001). Earnings management in a non-Anglo-Saxon environment: the impact of audit quality, public ownership and stakeholders (Doctoral dissertation, </w:t>
      </w:r>
      <w:proofErr w:type="spellStart"/>
      <w:r w:rsidRPr="0043662E">
        <w:rPr>
          <w:rFonts w:ascii="Times New Roman" w:eastAsia="宋体" w:hAnsi="Times New Roman"/>
        </w:rPr>
        <w:t>Katholieke</w:t>
      </w:r>
      <w:proofErr w:type="spellEnd"/>
      <w:r w:rsidRPr="0043662E">
        <w:rPr>
          <w:rFonts w:ascii="Times New Roman" w:eastAsia="宋体" w:hAnsi="Times New Roman"/>
        </w:rPr>
        <w:t xml:space="preserve"> Universiteit Leuven, </w:t>
      </w:r>
      <w:proofErr w:type="spellStart"/>
      <w:r w:rsidRPr="0043662E">
        <w:rPr>
          <w:rFonts w:ascii="Times New Roman" w:eastAsia="宋体" w:hAnsi="Times New Roman"/>
        </w:rPr>
        <w:t>Faculteit</w:t>
      </w:r>
      <w:proofErr w:type="spellEnd"/>
      <w:r w:rsidRPr="0043662E">
        <w:rPr>
          <w:rFonts w:ascii="Times New Roman" w:eastAsia="宋体" w:hAnsi="Times New Roman"/>
        </w:rPr>
        <w:t xml:space="preserve"> </w:t>
      </w:r>
      <w:proofErr w:type="spellStart"/>
      <w:r w:rsidRPr="0043662E">
        <w:rPr>
          <w:rFonts w:ascii="Times New Roman" w:eastAsia="宋体" w:hAnsi="Times New Roman"/>
        </w:rPr>
        <w:t>Economische</w:t>
      </w:r>
      <w:proofErr w:type="spellEnd"/>
      <w:r w:rsidRPr="0043662E">
        <w:rPr>
          <w:rFonts w:ascii="Times New Roman" w:eastAsia="宋体" w:hAnsi="Times New Roman"/>
        </w:rPr>
        <w:t xml:space="preserve"> </w:t>
      </w:r>
      <w:proofErr w:type="spellStart"/>
      <w:r w:rsidRPr="0043662E">
        <w:rPr>
          <w:rFonts w:ascii="Times New Roman" w:eastAsia="宋体" w:hAnsi="Times New Roman"/>
        </w:rPr>
        <w:t>en</w:t>
      </w:r>
      <w:proofErr w:type="spellEnd"/>
      <w:r w:rsidRPr="0043662E">
        <w:rPr>
          <w:rFonts w:ascii="Times New Roman" w:eastAsia="宋体" w:hAnsi="Times New Roman"/>
        </w:rPr>
        <w:t xml:space="preserve"> </w:t>
      </w:r>
      <w:proofErr w:type="spellStart"/>
      <w:r w:rsidRPr="0043662E">
        <w:rPr>
          <w:rFonts w:ascii="Times New Roman" w:eastAsia="宋体" w:hAnsi="Times New Roman"/>
        </w:rPr>
        <w:t>Toegepaste</w:t>
      </w:r>
      <w:proofErr w:type="spellEnd"/>
      <w:r w:rsidRPr="0043662E">
        <w:rPr>
          <w:rFonts w:ascii="Times New Roman" w:eastAsia="宋体" w:hAnsi="Times New Roman"/>
        </w:rPr>
        <w:t xml:space="preserve"> </w:t>
      </w:r>
      <w:proofErr w:type="spellStart"/>
      <w:r w:rsidRPr="0043662E">
        <w:rPr>
          <w:rFonts w:ascii="Times New Roman" w:eastAsia="宋体" w:hAnsi="Times New Roman"/>
        </w:rPr>
        <w:t>Economische</w:t>
      </w:r>
      <w:proofErr w:type="spellEnd"/>
      <w:r w:rsidRPr="0043662E">
        <w:rPr>
          <w:rFonts w:ascii="Times New Roman" w:eastAsia="宋体" w:hAnsi="Times New Roman"/>
        </w:rPr>
        <w:t xml:space="preserve"> </w:t>
      </w:r>
      <w:proofErr w:type="spellStart"/>
      <w:r w:rsidRPr="0043662E">
        <w:rPr>
          <w:rFonts w:ascii="Times New Roman" w:eastAsia="宋体" w:hAnsi="Times New Roman"/>
        </w:rPr>
        <w:t>Wetenschappen</w:t>
      </w:r>
      <w:proofErr w:type="spellEnd"/>
      <w:r w:rsidRPr="0043662E">
        <w:rPr>
          <w:rFonts w:ascii="Times New Roman" w:eastAsia="宋体" w:hAnsi="Times New Roman"/>
        </w:rPr>
        <w:t>).</w:t>
      </w:r>
    </w:p>
    <w:p w14:paraId="54F22D49"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 xml:space="preserve">22. </w:t>
      </w:r>
      <w:r w:rsidRPr="0043662E">
        <w:rPr>
          <w:rFonts w:ascii="Times New Roman" w:eastAsia="宋体" w:hAnsi="Times New Roman"/>
        </w:rPr>
        <w:t xml:space="preserve"> Bhattacharya, U., </w:t>
      </w:r>
      <w:proofErr w:type="spellStart"/>
      <w:r w:rsidRPr="0043662E">
        <w:rPr>
          <w:rFonts w:ascii="Times New Roman" w:eastAsia="宋体" w:hAnsi="Times New Roman"/>
        </w:rPr>
        <w:t>Daouk</w:t>
      </w:r>
      <w:proofErr w:type="spellEnd"/>
      <w:r w:rsidRPr="0043662E">
        <w:rPr>
          <w:rFonts w:ascii="Times New Roman" w:eastAsia="宋体" w:hAnsi="Times New Roman"/>
        </w:rPr>
        <w:t>, H., &amp; Welker, M. (2003). The world price of earnings opacity. The accounting review, 78(3), 641-678.</w:t>
      </w:r>
    </w:p>
    <w:p w14:paraId="69C02E72"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 xml:space="preserve">23. </w:t>
      </w:r>
      <w:r w:rsidRPr="0043662E">
        <w:rPr>
          <w:rFonts w:ascii="Times New Roman" w:eastAsia="宋体" w:hAnsi="Times New Roman"/>
        </w:rPr>
        <w:t xml:space="preserve"> Cornett, M. M., Marcus, A. J., &amp; Tehranian, H. (2008). Corporate governance and pay-for-performance: The impact of earnings management. Journal of financial economics, 87(2), 357-373.</w:t>
      </w:r>
    </w:p>
    <w:p w14:paraId="0CC2BEF5"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 xml:space="preserve">24. </w:t>
      </w:r>
      <w:r w:rsidRPr="0043662E">
        <w:rPr>
          <w:rFonts w:ascii="Times New Roman" w:eastAsia="宋体" w:hAnsi="Times New Roman"/>
        </w:rPr>
        <w:t xml:space="preserve"> Xie, B., Davidson III, W. N., &amp; DaDalt, P. J. (2003). Earnings management and corporate governance: the role of the board and the audit committee. Journal of corporate finance, </w:t>
      </w:r>
      <w:r w:rsidRPr="0043662E">
        <w:rPr>
          <w:rFonts w:ascii="Times New Roman" w:eastAsia="宋体" w:hAnsi="Times New Roman"/>
          <w:i/>
          <w:iCs/>
        </w:rPr>
        <w:t>9</w:t>
      </w:r>
      <w:r w:rsidRPr="0043662E">
        <w:rPr>
          <w:rFonts w:ascii="Times New Roman" w:eastAsia="宋体" w:hAnsi="Times New Roman"/>
        </w:rPr>
        <w:t>(3), 295-316.</w:t>
      </w:r>
    </w:p>
    <w:p w14:paraId="262473EE" w14:textId="77777777" w:rsidR="00EC78D8" w:rsidRPr="0043662E"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 xml:space="preserve">25. </w:t>
      </w:r>
      <w:r w:rsidRPr="0043662E">
        <w:rPr>
          <w:rFonts w:ascii="Times New Roman" w:eastAsia="宋体" w:hAnsi="Times New Roman"/>
        </w:rPr>
        <w:t xml:space="preserve"> Holm, C., &amp; Schøler, F. (2010). Reduction of asymmetric information through corporate governance mechanisms–the importance of ownership dispersion and exposure toward the international capital market. Corporate Governance: An International Review, 18(1), 32-47.</w:t>
      </w:r>
    </w:p>
    <w:p w14:paraId="49959923" w14:textId="58A07461" w:rsidR="00811E6F" w:rsidRPr="00EC78D8" w:rsidRDefault="00EC78D8" w:rsidP="00EC78D8">
      <w:pPr>
        <w:spacing w:line="360" w:lineRule="auto"/>
        <w:ind w:left="462" w:hangingChars="220" w:hanging="462"/>
        <w:rPr>
          <w:rFonts w:ascii="Times New Roman" w:eastAsia="宋体" w:hAnsi="Times New Roman"/>
        </w:rPr>
      </w:pPr>
      <w:r>
        <w:rPr>
          <w:rFonts w:ascii="Times New Roman" w:eastAsia="宋体" w:hAnsi="Times New Roman"/>
        </w:rPr>
        <w:t xml:space="preserve">26. </w:t>
      </w:r>
      <w:r w:rsidRPr="0043662E">
        <w:rPr>
          <w:rFonts w:ascii="Times New Roman" w:eastAsia="宋体" w:hAnsi="Times New Roman"/>
        </w:rPr>
        <w:t xml:space="preserve"> </w:t>
      </w:r>
      <w:proofErr w:type="spellStart"/>
      <w:r w:rsidRPr="0043662E">
        <w:rPr>
          <w:rFonts w:ascii="Times New Roman" w:eastAsia="宋体" w:hAnsi="Times New Roman"/>
        </w:rPr>
        <w:t>Katmon</w:t>
      </w:r>
      <w:proofErr w:type="spellEnd"/>
      <w:r w:rsidRPr="0043662E">
        <w:rPr>
          <w:rFonts w:ascii="Times New Roman" w:eastAsia="宋体" w:hAnsi="Times New Roman"/>
        </w:rPr>
        <w:t>, N., &amp; Farooque, O. A. (2017). Exploring the impact of internal corporate governance on the relation between disclosure quality and earnings management in the UK listed companies. Journal of Business Ethics, 142, 345-367.</w:t>
      </w:r>
      <w:bookmarkEnd w:id="19"/>
    </w:p>
    <w:sectPr w:rsidR="00811E6F" w:rsidRPr="00EC78D8">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15BCA" w14:textId="77777777" w:rsidR="00A86E4A" w:rsidRDefault="00A86E4A">
      <w:r>
        <w:separator/>
      </w:r>
    </w:p>
  </w:endnote>
  <w:endnote w:type="continuationSeparator" w:id="0">
    <w:p w14:paraId="4E041BA2" w14:textId="77777777" w:rsidR="00A86E4A" w:rsidRDefault="00A86E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2088269"/>
      <w:docPartObj>
        <w:docPartGallery w:val="AutoText"/>
      </w:docPartObj>
    </w:sdtPr>
    <w:sdtContent>
      <w:p w14:paraId="5342294F" w14:textId="77777777" w:rsidR="00811E6F" w:rsidRDefault="00000000">
        <w:pPr>
          <w:pStyle w:val="a4"/>
          <w:jc w:val="center"/>
        </w:pPr>
        <w:r>
          <w:fldChar w:fldCharType="begin"/>
        </w:r>
        <w:r>
          <w:instrText>PAGE   \* MERGEFORMAT</w:instrText>
        </w:r>
        <w:r>
          <w:fldChar w:fldCharType="separate"/>
        </w:r>
        <w:r>
          <w:rPr>
            <w:lang w:val="zh-CN"/>
          </w:rPr>
          <w:t>5</w:t>
        </w:r>
        <w:r>
          <w:fldChar w:fldCharType="end"/>
        </w:r>
      </w:p>
    </w:sdtContent>
  </w:sdt>
  <w:p w14:paraId="2C37AD38" w14:textId="77777777" w:rsidR="00811E6F" w:rsidRDefault="00811E6F">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6C945" w14:textId="77777777" w:rsidR="00A86E4A" w:rsidRDefault="00A86E4A">
      <w:r>
        <w:separator/>
      </w:r>
    </w:p>
  </w:footnote>
  <w:footnote w:type="continuationSeparator" w:id="0">
    <w:p w14:paraId="7FC0F3EB" w14:textId="77777777" w:rsidR="00A86E4A" w:rsidRDefault="00A86E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B795F"/>
    <w:multiLevelType w:val="multilevel"/>
    <w:tmpl w:val="7A8E2E74"/>
    <w:lvl w:ilvl="0">
      <w:start w:val="1"/>
      <w:numFmt w:val="decimal"/>
      <w:lvlText w:val="%1."/>
      <w:lvlJc w:val="left"/>
      <w:pPr>
        <w:ind w:left="360" w:hanging="360"/>
      </w:pPr>
      <w:rPr>
        <w:rFonts w:hint="default"/>
      </w:rPr>
    </w:lvl>
    <w:lvl w:ilvl="1">
      <w:start w:val="2"/>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69AC3315"/>
    <w:multiLevelType w:val="multilevel"/>
    <w:tmpl w:val="DFDE0804"/>
    <w:lvl w:ilvl="0">
      <w:start w:val="3"/>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16cid:durableId="319576888">
    <w:abstractNumId w:val="0"/>
  </w:num>
  <w:num w:numId="2" w16cid:durableId="8257109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F10"/>
    <w:rsid w:val="000724CF"/>
    <w:rsid w:val="00076358"/>
    <w:rsid w:val="00097774"/>
    <w:rsid w:val="000A730C"/>
    <w:rsid w:val="000B2812"/>
    <w:rsid w:val="000C3F2A"/>
    <w:rsid w:val="000E2294"/>
    <w:rsid w:val="0019792D"/>
    <w:rsid w:val="0020212C"/>
    <w:rsid w:val="002236A6"/>
    <w:rsid w:val="00241B3E"/>
    <w:rsid w:val="00247AF6"/>
    <w:rsid w:val="00262796"/>
    <w:rsid w:val="00293D87"/>
    <w:rsid w:val="002F3492"/>
    <w:rsid w:val="0037372C"/>
    <w:rsid w:val="00395B75"/>
    <w:rsid w:val="003A658F"/>
    <w:rsid w:val="00417155"/>
    <w:rsid w:val="004175F0"/>
    <w:rsid w:val="004C1FD7"/>
    <w:rsid w:val="004D6C6E"/>
    <w:rsid w:val="005269E8"/>
    <w:rsid w:val="005A4021"/>
    <w:rsid w:val="005B47C7"/>
    <w:rsid w:val="005D3E9D"/>
    <w:rsid w:val="005E04A0"/>
    <w:rsid w:val="0060608D"/>
    <w:rsid w:val="00617EDF"/>
    <w:rsid w:val="006C53D8"/>
    <w:rsid w:val="006E27D6"/>
    <w:rsid w:val="006E382C"/>
    <w:rsid w:val="006E5294"/>
    <w:rsid w:val="00715CF0"/>
    <w:rsid w:val="00735077"/>
    <w:rsid w:val="007E0299"/>
    <w:rsid w:val="007F05BD"/>
    <w:rsid w:val="00811E6F"/>
    <w:rsid w:val="00824DC3"/>
    <w:rsid w:val="008C2F6E"/>
    <w:rsid w:val="008C4D23"/>
    <w:rsid w:val="008D5D1E"/>
    <w:rsid w:val="008E6BBE"/>
    <w:rsid w:val="00905E94"/>
    <w:rsid w:val="00915427"/>
    <w:rsid w:val="0092011D"/>
    <w:rsid w:val="0092217A"/>
    <w:rsid w:val="00927DCA"/>
    <w:rsid w:val="00972C38"/>
    <w:rsid w:val="009B157F"/>
    <w:rsid w:val="009B1977"/>
    <w:rsid w:val="009B6208"/>
    <w:rsid w:val="009C0A68"/>
    <w:rsid w:val="009F4AF4"/>
    <w:rsid w:val="00A437CA"/>
    <w:rsid w:val="00A45671"/>
    <w:rsid w:val="00A751D1"/>
    <w:rsid w:val="00A829BE"/>
    <w:rsid w:val="00A86E4A"/>
    <w:rsid w:val="00A910FE"/>
    <w:rsid w:val="00AC39B6"/>
    <w:rsid w:val="00AE7595"/>
    <w:rsid w:val="00B015E3"/>
    <w:rsid w:val="00B513B0"/>
    <w:rsid w:val="00BB6C58"/>
    <w:rsid w:val="00BC1BCC"/>
    <w:rsid w:val="00BF4A3B"/>
    <w:rsid w:val="00C2071F"/>
    <w:rsid w:val="00C20870"/>
    <w:rsid w:val="00D03EEC"/>
    <w:rsid w:val="00D10E62"/>
    <w:rsid w:val="00D40B90"/>
    <w:rsid w:val="00D80295"/>
    <w:rsid w:val="00DE4249"/>
    <w:rsid w:val="00E40445"/>
    <w:rsid w:val="00EA5C34"/>
    <w:rsid w:val="00EC78D8"/>
    <w:rsid w:val="00F0539E"/>
    <w:rsid w:val="00F308ED"/>
    <w:rsid w:val="00F31DEC"/>
    <w:rsid w:val="00F5462F"/>
    <w:rsid w:val="00F63870"/>
    <w:rsid w:val="00FA5F10"/>
    <w:rsid w:val="7C497A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C876AF"/>
  <w15:docId w15:val="{A3D9540F-6BE8-442A-AA18-0044D5613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pPr>
      <w:keepNext/>
      <w:keepLines/>
      <w:spacing w:before="260" w:after="260"/>
      <w:jc w:val="left"/>
      <w:outlineLvl w:val="1"/>
    </w:pPr>
    <w:rPr>
      <w:rFonts w:ascii="Times New Roman" w:eastAsia="Times New Roman" w:hAnsiTheme="majorHAnsi" w:cstheme="majorBidi"/>
      <w:b/>
      <w:bCs/>
      <w:sz w:val="28"/>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rPr>
      <w:rFonts w:asciiTheme="majorHAnsi" w:eastAsia="黑体" w:hAnsiTheme="majorHAnsi" w:cstheme="majorBidi"/>
      <w:sz w:val="20"/>
      <w:szCs w:val="20"/>
    </w:rPr>
  </w:style>
  <w:style w:type="paragraph" w:styleId="a4">
    <w:name w:val="footer"/>
    <w:basedOn w:val="a"/>
    <w:link w:val="a5"/>
    <w:uiPriority w:val="99"/>
    <w:unhideWhenUsed/>
    <w:pPr>
      <w:tabs>
        <w:tab w:val="center" w:pos="4153"/>
        <w:tab w:val="right" w:pos="8306"/>
      </w:tabs>
      <w:snapToGrid w:val="0"/>
      <w:jc w:val="left"/>
    </w:pPr>
    <w:rPr>
      <w:sz w:val="18"/>
      <w:szCs w:val="18"/>
    </w:rPr>
  </w:style>
  <w:style w:type="paragraph" w:styleId="a6">
    <w:name w:val="header"/>
    <w:basedOn w:val="a"/>
    <w:link w:val="a7"/>
    <w:uiPriority w:val="99"/>
    <w:unhideWhenUsed/>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style>
  <w:style w:type="paragraph" w:styleId="a8">
    <w:name w:val="footnote text"/>
    <w:basedOn w:val="a"/>
    <w:link w:val="a9"/>
    <w:uiPriority w:val="99"/>
    <w:semiHidden/>
    <w:unhideWhenUsed/>
    <w:pPr>
      <w:snapToGrid w:val="0"/>
      <w:jc w:val="left"/>
    </w:pPr>
    <w:rPr>
      <w:sz w:val="18"/>
      <w:szCs w:val="18"/>
    </w:rPr>
  </w:style>
  <w:style w:type="paragraph" w:styleId="aa">
    <w:name w:val="table of figures"/>
    <w:basedOn w:val="a"/>
    <w:next w:val="a"/>
    <w:uiPriority w:val="99"/>
    <w:unhideWhenUsed/>
    <w:pPr>
      <w:ind w:leftChars="200" w:left="200" w:hangingChars="200" w:hanging="200"/>
    </w:pPr>
  </w:style>
  <w:style w:type="paragraph" w:styleId="TOC2">
    <w:name w:val="toc 2"/>
    <w:basedOn w:val="a"/>
    <w:next w:val="a"/>
    <w:uiPriority w:val="39"/>
    <w:unhideWhenUsed/>
    <w:pPr>
      <w:ind w:leftChars="200" w:left="420"/>
    </w:pPr>
  </w:style>
  <w:style w:type="table" w:styleId="ab">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Hyperlink"/>
    <w:basedOn w:val="a0"/>
    <w:uiPriority w:val="99"/>
    <w:unhideWhenUsed/>
    <w:rPr>
      <w:color w:val="0563C1" w:themeColor="hyperlink"/>
      <w:u w:val="single"/>
    </w:rPr>
  </w:style>
  <w:style w:type="character" w:styleId="ad">
    <w:name w:val="footnote reference"/>
    <w:basedOn w:val="a0"/>
    <w:uiPriority w:val="99"/>
    <w:semiHidden/>
    <w:unhideWhenUsed/>
    <w:rPr>
      <w:vertAlign w:val="superscript"/>
    </w:rPr>
  </w:style>
  <w:style w:type="character" w:customStyle="1" w:styleId="a7">
    <w:name w:val="页眉 字符"/>
    <w:basedOn w:val="a0"/>
    <w:link w:val="a6"/>
    <w:uiPriority w:val="99"/>
    <w:rPr>
      <w:sz w:val="18"/>
      <w:szCs w:val="18"/>
    </w:rPr>
  </w:style>
  <w:style w:type="character" w:customStyle="1" w:styleId="a5">
    <w:name w:val="页脚 字符"/>
    <w:basedOn w:val="a0"/>
    <w:link w:val="a4"/>
    <w:uiPriority w:val="99"/>
    <w:rPr>
      <w:sz w:val="18"/>
      <w:szCs w:val="18"/>
    </w:rPr>
  </w:style>
  <w:style w:type="character" w:customStyle="1" w:styleId="11">
    <w:name w:val="不明显强调1"/>
    <w:basedOn w:val="a0"/>
    <w:uiPriority w:val="19"/>
    <w:qFormat/>
    <w:rPr>
      <w:i/>
      <w:iCs/>
      <w:color w:val="404040" w:themeColor="text1" w:themeTint="BF"/>
    </w:rPr>
  </w:style>
  <w:style w:type="character" w:customStyle="1" w:styleId="10">
    <w:name w:val="标题 1 字符"/>
    <w:basedOn w:val="a0"/>
    <w:link w:val="1"/>
    <w:uiPriority w:val="9"/>
    <w:rPr>
      <w:b/>
      <w:bCs/>
      <w:kern w:val="44"/>
      <w:sz w:val="44"/>
      <w:szCs w:val="44"/>
    </w:rPr>
  </w:style>
  <w:style w:type="character" w:customStyle="1" w:styleId="20">
    <w:name w:val="标题 2 字符"/>
    <w:basedOn w:val="a0"/>
    <w:link w:val="2"/>
    <w:uiPriority w:val="9"/>
    <w:rPr>
      <w:rFonts w:ascii="Times New Roman" w:eastAsia="Times New Roman" w:hAnsiTheme="majorHAnsi" w:cstheme="majorBidi"/>
      <w:b/>
      <w:bCs/>
      <w:sz w:val="28"/>
      <w:szCs w:val="32"/>
    </w:rPr>
  </w:style>
  <w:style w:type="character" w:customStyle="1" w:styleId="a9">
    <w:name w:val="脚注文本 字符"/>
    <w:basedOn w:val="a0"/>
    <w:link w:val="a8"/>
    <w:uiPriority w:val="99"/>
    <w:semiHidden/>
    <w:rPr>
      <w:sz w:val="18"/>
      <w:szCs w:val="18"/>
    </w:rPr>
  </w:style>
  <w:style w:type="paragraph" w:styleId="ae">
    <w:name w:val="List Paragraph"/>
    <w:basedOn w:val="a"/>
    <w:uiPriority w:val="34"/>
    <w:qFormat/>
    <w:pPr>
      <w:ind w:firstLineChars="200" w:firstLine="420"/>
    </w:pPr>
  </w:style>
  <w:style w:type="paragraph" w:styleId="af">
    <w:name w:val="Title"/>
    <w:basedOn w:val="a"/>
    <w:next w:val="a"/>
    <w:link w:val="af0"/>
    <w:uiPriority w:val="10"/>
    <w:qFormat/>
    <w:rsid w:val="00C20870"/>
    <w:pPr>
      <w:spacing w:before="240" w:after="60"/>
      <w:jc w:val="center"/>
      <w:outlineLvl w:val="0"/>
    </w:pPr>
    <w:rPr>
      <w:rFonts w:asciiTheme="majorHAnsi" w:eastAsiaTheme="majorEastAsia" w:hAnsiTheme="majorHAnsi" w:cstheme="majorBidi"/>
      <w:b/>
      <w:bCs/>
      <w:sz w:val="32"/>
      <w:szCs w:val="32"/>
    </w:rPr>
  </w:style>
  <w:style w:type="character" w:customStyle="1" w:styleId="af0">
    <w:name w:val="标题 字符"/>
    <w:basedOn w:val="a0"/>
    <w:link w:val="af"/>
    <w:uiPriority w:val="10"/>
    <w:rsid w:val="00C20870"/>
    <w:rPr>
      <w:rFonts w:asciiTheme="majorHAnsi" w:eastAsiaTheme="majorEastAsia" w:hAnsiTheme="majorHAnsi" w:cstheme="majorBidi"/>
      <w:b/>
      <w:bCs/>
      <w:kern w:val="2"/>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246991">
      <w:bodyDiv w:val="1"/>
      <w:marLeft w:val="0"/>
      <w:marRight w:val="0"/>
      <w:marTop w:val="0"/>
      <w:marBottom w:val="0"/>
      <w:divBdr>
        <w:top w:val="none" w:sz="0" w:space="0" w:color="auto"/>
        <w:left w:val="none" w:sz="0" w:space="0" w:color="auto"/>
        <w:bottom w:val="none" w:sz="0" w:space="0" w:color="auto"/>
        <w:right w:val="none" w:sz="0" w:space="0" w:color="auto"/>
      </w:divBdr>
    </w:div>
    <w:div w:id="1935506172">
      <w:bodyDiv w:val="1"/>
      <w:marLeft w:val="0"/>
      <w:marRight w:val="0"/>
      <w:marTop w:val="0"/>
      <w:marBottom w:val="0"/>
      <w:divBdr>
        <w:top w:val="none" w:sz="0" w:space="0" w:color="auto"/>
        <w:left w:val="none" w:sz="0" w:space="0" w:color="auto"/>
        <w:bottom w:val="none" w:sz="0" w:space="0" w:color="auto"/>
        <w:right w:val="none" w:sz="0" w:space="0" w:color="auto"/>
      </w:divBdr>
      <w:divsChild>
        <w:div w:id="1782871548">
          <w:marLeft w:val="0"/>
          <w:marRight w:val="0"/>
          <w:marTop w:val="0"/>
          <w:marBottom w:val="0"/>
          <w:divBdr>
            <w:top w:val="single" w:sz="2" w:space="0" w:color="auto"/>
            <w:left w:val="single" w:sz="2" w:space="0" w:color="auto"/>
            <w:bottom w:val="single" w:sz="6" w:space="0" w:color="auto"/>
            <w:right w:val="single" w:sz="2" w:space="0" w:color="auto"/>
          </w:divBdr>
          <w:divsChild>
            <w:div w:id="615136059">
              <w:marLeft w:val="0"/>
              <w:marRight w:val="0"/>
              <w:marTop w:val="100"/>
              <w:marBottom w:val="100"/>
              <w:divBdr>
                <w:top w:val="single" w:sz="2" w:space="0" w:color="D9D9E3"/>
                <w:left w:val="single" w:sz="2" w:space="0" w:color="D9D9E3"/>
                <w:bottom w:val="single" w:sz="2" w:space="0" w:color="D9D9E3"/>
                <w:right w:val="single" w:sz="2" w:space="0" w:color="D9D9E3"/>
              </w:divBdr>
              <w:divsChild>
                <w:div w:id="1593390942">
                  <w:marLeft w:val="0"/>
                  <w:marRight w:val="0"/>
                  <w:marTop w:val="0"/>
                  <w:marBottom w:val="0"/>
                  <w:divBdr>
                    <w:top w:val="single" w:sz="2" w:space="0" w:color="D9D9E3"/>
                    <w:left w:val="single" w:sz="2" w:space="0" w:color="D9D9E3"/>
                    <w:bottom w:val="single" w:sz="2" w:space="0" w:color="D9D9E3"/>
                    <w:right w:val="single" w:sz="2" w:space="0" w:color="D9D9E3"/>
                  </w:divBdr>
                  <w:divsChild>
                    <w:div w:id="1160850050">
                      <w:marLeft w:val="0"/>
                      <w:marRight w:val="0"/>
                      <w:marTop w:val="0"/>
                      <w:marBottom w:val="0"/>
                      <w:divBdr>
                        <w:top w:val="single" w:sz="2" w:space="0" w:color="D9D9E3"/>
                        <w:left w:val="single" w:sz="2" w:space="0" w:color="D9D9E3"/>
                        <w:bottom w:val="single" w:sz="2" w:space="0" w:color="D9D9E3"/>
                        <w:right w:val="single" w:sz="2" w:space="0" w:color="D9D9E3"/>
                      </w:divBdr>
                      <w:divsChild>
                        <w:div w:id="885529824">
                          <w:marLeft w:val="0"/>
                          <w:marRight w:val="0"/>
                          <w:marTop w:val="0"/>
                          <w:marBottom w:val="0"/>
                          <w:divBdr>
                            <w:top w:val="single" w:sz="2" w:space="0" w:color="D9D9E3"/>
                            <w:left w:val="single" w:sz="2" w:space="0" w:color="D9D9E3"/>
                            <w:bottom w:val="single" w:sz="2" w:space="0" w:color="D9D9E3"/>
                            <w:right w:val="single" w:sz="2" w:space="0" w:color="D9D9E3"/>
                          </w:divBdr>
                          <w:divsChild>
                            <w:div w:id="301158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A01ECCD0-3C08-49B9-BBC9-31E1E95D1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6102</Words>
  <Characters>34784</Characters>
  <Application>Microsoft Office Word</Application>
  <DocSecurity>0</DocSecurity>
  <Lines>289</Lines>
  <Paragraphs>81</Paragraphs>
  <ScaleCrop>false</ScaleCrop>
  <Company>MS</Company>
  <LinksUpToDate>false</LinksUpToDate>
  <CharactersWithSpaces>40805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李 静松</cp:lastModifiedBy>
  <cp:revision>16</cp:revision>
  <cp:lastPrinted>2023-03-29T04:22:00Z</cp:lastPrinted>
  <dcterms:created xsi:type="dcterms:W3CDTF">2023-03-28T06:05:00Z</dcterms:created>
  <dcterms:modified xsi:type="dcterms:W3CDTF">2023-03-29T04:22:00Z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8C050F73E740442E8465FDA1CE32D7FD</vt:lpwstr>
  </property>
</Properties>
</file>