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72A6659" w14:textId="55062770" w:rsidR="00B322E0" w:rsidRPr="00F0665D" w:rsidRDefault="00B322E0" w:rsidP="009C2D59">
      <w:pPr>
        <w:rPr>
          <w:rFonts w:cs="Arial"/>
          <w:b/>
          <w:i/>
          <w:color w:val="auto"/>
        </w:rPr>
      </w:pPr>
    </w:p>
    <w:p w14:paraId="0A37501D" w14:textId="77777777" w:rsidR="00B322E0" w:rsidRPr="002242E6" w:rsidRDefault="00B322E0">
      <w:pPr>
        <w:jc w:val="center"/>
        <w:rPr>
          <w:rFonts w:cs="Arial"/>
          <w:b/>
          <w:i/>
          <w:color w:val="auto"/>
          <w:sz w:val="88"/>
          <w:szCs w:val="88"/>
        </w:rPr>
      </w:pPr>
    </w:p>
    <w:p w14:paraId="1E5A1BB3" w14:textId="5462BECD" w:rsidR="00793373" w:rsidRPr="002242E6" w:rsidRDefault="00793373" w:rsidP="003927C2">
      <w:pPr>
        <w:rPr>
          <w:rFonts w:cs="Arial"/>
          <w:b/>
          <w:i/>
          <w:color w:val="auto"/>
          <w:sz w:val="72"/>
          <w:szCs w:val="72"/>
        </w:rPr>
      </w:pPr>
    </w:p>
    <w:p w14:paraId="3D7B0DF2" w14:textId="77777777" w:rsidR="00DF764C" w:rsidRDefault="00201216">
      <w:pPr>
        <w:pStyle w:val="ContentsHeading"/>
        <w:pageBreakBefore/>
        <w:rPr>
          <w:rFonts w:ascii="Arial" w:hAnsi="Arial" w:cs="Arial"/>
          <w:color w:val="auto"/>
        </w:rPr>
      </w:pPr>
      <w:r>
        <w:rPr>
          <w:rFonts w:ascii="Arial" w:hAnsi="Arial" w:cs="Arial"/>
          <w:color w:val="auto"/>
        </w:rPr>
        <w:t>Dominique Heath 250</w:t>
      </w:r>
      <w:r w:rsidR="00DF764C">
        <w:rPr>
          <w:rFonts w:ascii="Arial" w:hAnsi="Arial" w:cs="Arial"/>
          <w:color w:val="auto"/>
        </w:rPr>
        <w:t>5637</w:t>
      </w:r>
    </w:p>
    <w:p w14:paraId="22E0FC93" w14:textId="47846748" w:rsidR="00793373" w:rsidRDefault="00F0665D">
      <w:pPr>
        <w:pStyle w:val="ContentsHeading"/>
        <w:pageBreakBefore/>
        <w:rPr>
          <w:rFonts w:ascii="Arial" w:hAnsi="Arial" w:cs="Arial"/>
          <w:color w:val="auto"/>
        </w:rPr>
      </w:pPr>
      <w:r>
        <w:rPr>
          <w:rFonts w:ascii="Arial" w:hAnsi="Arial" w:cs="Arial"/>
          <w:color w:val="auto"/>
        </w:rPr>
        <w:t>In</w:t>
      </w:r>
      <w:r w:rsidR="0034645D">
        <w:rPr>
          <w:rFonts w:ascii="Arial" w:hAnsi="Arial" w:cs="Arial"/>
          <w:color w:val="auto"/>
        </w:rPr>
        <w:t>troduction to Health and Social Care</w:t>
      </w:r>
    </w:p>
    <w:p w14:paraId="2FA8C9A1" w14:textId="58C35E59" w:rsidR="00066C5E" w:rsidRDefault="00066C5E">
      <w:pPr>
        <w:pStyle w:val="ContentsHeading"/>
        <w:pageBreakBefore/>
        <w:rPr>
          <w:rFonts w:ascii="Arial" w:hAnsi="Arial" w:cs="Arial"/>
          <w:color w:val="auto"/>
        </w:rPr>
      </w:pPr>
      <w:r>
        <w:rPr>
          <w:rFonts w:ascii="Arial" w:hAnsi="Arial" w:cs="Arial"/>
          <w:color w:val="auto"/>
        </w:rPr>
        <w:t>LCHS4003</w:t>
      </w:r>
    </w:p>
    <w:p w14:paraId="67E8F77D" w14:textId="64440E95" w:rsidR="00066C5E" w:rsidRDefault="00066C5E">
      <w:pPr>
        <w:pStyle w:val="ContentsHeading"/>
        <w:pageBreakBefore/>
        <w:rPr>
          <w:rFonts w:ascii="Arial" w:hAnsi="Arial" w:cs="Arial"/>
          <w:color w:val="auto"/>
        </w:rPr>
      </w:pPr>
      <w:r>
        <w:rPr>
          <w:rFonts w:ascii="Arial" w:hAnsi="Arial" w:cs="Arial"/>
          <w:color w:val="auto"/>
        </w:rPr>
        <w:t>Lecturer Daniel</w:t>
      </w:r>
      <w:r w:rsidR="001C47DE">
        <w:rPr>
          <w:rFonts w:ascii="Arial" w:hAnsi="Arial" w:cs="Arial"/>
          <w:color w:val="auto"/>
        </w:rPr>
        <w:t xml:space="preserve"> </w:t>
      </w:r>
      <w:proofErr w:type="spellStart"/>
      <w:r w:rsidR="001C47DE">
        <w:rPr>
          <w:rFonts w:ascii="Arial" w:hAnsi="Arial" w:cs="Arial"/>
          <w:color w:val="auto"/>
        </w:rPr>
        <w:t>Haruna</w:t>
      </w:r>
      <w:proofErr w:type="spellEnd"/>
    </w:p>
    <w:p w14:paraId="5BF77640" w14:textId="3C12ECBD" w:rsidR="00F0665D" w:rsidRDefault="00F0665D" w:rsidP="00F0665D">
      <w:pPr>
        <w:pStyle w:val="ContentsHeading"/>
        <w:pageBreakBefore/>
        <w:jc w:val="both"/>
        <w:rPr>
          <w:rFonts w:ascii="Arial" w:hAnsi="Arial" w:cs="Arial"/>
          <w:color w:val="auto"/>
        </w:rPr>
      </w:pPr>
    </w:p>
    <w:p w14:paraId="2C0FAC74" w14:textId="77777777" w:rsidR="00C63587" w:rsidRDefault="00C63587" w:rsidP="00F0665D">
      <w:pPr>
        <w:pStyle w:val="ContentsHeading"/>
        <w:pageBreakBefore/>
        <w:jc w:val="both"/>
        <w:rPr>
          <w:rFonts w:ascii="Arial" w:hAnsi="Arial" w:cs="Arial"/>
          <w:color w:val="auto"/>
        </w:rPr>
      </w:pPr>
    </w:p>
    <w:p w14:paraId="6F7392C7" w14:textId="77777777" w:rsidR="00C63587" w:rsidRDefault="00C63587" w:rsidP="00F0665D">
      <w:pPr>
        <w:pStyle w:val="ContentsHeading"/>
        <w:pageBreakBefore/>
        <w:jc w:val="both"/>
        <w:rPr>
          <w:rFonts w:ascii="Arial" w:hAnsi="Arial" w:cs="Arial"/>
          <w:color w:val="auto"/>
        </w:rPr>
      </w:pPr>
    </w:p>
    <w:p w14:paraId="13F22D76" w14:textId="2D23C744" w:rsidR="00C63587" w:rsidRPr="002242E6" w:rsidRDefault="00C63587" w:rsidP="00F0665D">
      <w:pPr>
        <w:pStyle w:val="ContentsHeading"/>
        <w:pageBreakBefore/>
        <w:jc w:val="both"/>
        <w:rPr>
          <w:rFonts w:ascii="Arial" w:hAnsi="Arial" w:cs="Arial"/>
          <w:color w:val="auto"/>
        </w:rPr>
      </w:pPr>
      <w:r>
        <w:rPr>
          <w:rFonts w:ascii="Arial" w:hAnsi="Arial" w:cs="Arial"/>
          <w:color w:val="auto"/>
        </w:rPr>
        <w:t>Table of contents</w:t>
      </w:r>
    </w:p>
    <w:p w14:paraId="06BDC010" w14:textId="77777777" w:rsidR="00416077" w:rsidRPr="002242E6" w:rsidRDefault="00793373">
      <w:pPr>
        <w:pStyle w:val="TOC1"/>
        <w:rPr>
          <w:rFonts w:eastAsia="Times New Roman" w:cs="Arial"/>
          <w:noProof/>
          <w:color w:val="auto"/>
          <w:lang w:eastAsia="en-GB"/>
        </w:rPr>
      </w:pPr>
      <w:r w:rsidRPr="002242E6">
        <w:rPr>
          <w:rFonts w:cs="Arial"/>
          <w:color w:val="auto"/>
        </w:rPr>
        <w:fldChar w:fldCharType="begin"/>
      </w:r>
      <w:r w:rsidRPr="002242E6">
        <w:rPr>
          <w:rFonts w:cs="Arial"/>
          <w:color w:val="auto"/>
        </w:rPr>
        <w:instrText xml:space="preserve"> TOC \f \o "1-9" \o "1-9" </w:instrText>
      </w:r>
      <w:r w:rsidRPr="002242E6">
        <w:rPr>
          <w:rFonts w:cs="Arial"/>
          <w:color w:val="auto"/>
        </w:rPr>
        <w:fldChar w:fldCharType="separate"/>
      </w:r>
      <w:r w:rsidR="00416077" w:rsidRPr="002242E6">
        <w:rPr>
          <w:rFonts w:cs="Arial"/>
          <w:noProof/>
        </w:rPr>
        <w:t>Introduction</w:t>
      </w:r>
      <w:r w:rsidR="00416077" w:rsidRPr="002242E6">
        <w:rPr>
          <w:rFonts w:cs="Arial"/>
          <w:noProof/>
        </w:rPr>
        <w:tab/>
      </w:r>
      <w:r w:rsidR="00416077" w:rsidRPr="002242E6">
        <w:rPr>
          <w:rFonts w:cs="Arial"/>
          <w:noProof/>
        </w:rPr>
        <w:fldChar w:fldCharType="begin"/>
      </w:r>
      <w:r w:rsidR="00416077" w:rsidRPr="002242E6">
        <w:rPr>
          <w:rFonts w:cs="Arial"/>
          <w:noProof/>
        </w:rPr>
        <w:instrText xml:space="preserve"> PAGEREF _Toc225256537 \h </w:instrText>
      </w:r>
      <w:r w:rsidR="00416077" w:rsidRPr="002242E6">
        <w:rPr>
          <w:rFonts w:cs="Arial"/>
          <w:noProof/>
        </w:rPr>
      </w:r>
      <w:r w:rsidR="00416077" w:rsidRPr="002242E6">
        <w:rPr>
          <w:rFonts w:cs="Arial"/>
          <w:noProof/>
        </w:rPr>
        <w:fldChar w:fldCharType="separate"/>
      </w:r>
      <w:r w:rsidR="00416077" w:rsidRPr="002242E6">
        <w:rPr>
          <w:rFonts w:cs="Arial"/>
          <w:noProof/>
        </w:rPr>
        <w:t>3</w:t>
      </w:r>
      <w:r w:rsidR="00416077" w:rsidRPr="002242E6">
        <w:rPr>
          <w:rFonts w:cs="Arial"/>
          <w:noProof/>
        </w:rPr>
        <w:fldChar w:fldCharType="end"/>
      </w:r>
    </w:p>
    <w:p w14:paraId="33A39FC3" w14:textId="77777777" w:rsidR="00416077" w:rsidRPr="002242E6" w:rsidRDefault="00416077">
      <w:pPr>
        <w:pStyle w:val="TOC1"/>
        <w:rPr>
          <w:rFonts w:eastAsia="Times New Roman" w:cs="Arial"/>
          <w:noProof/>
          <w:color w:val="auto"/>
          <w:lang w:eastAsia="en-GB"/>
        </w:rPr>
      </w:pPr>
      <w:r w:rsidRPr="002242E6">
        <w:rPr>
          <w:rFonts w:cs="Arial"/>
          <w:noProof/>
        </w:rPr>
        <w:t>Task 1: Effective Communication</w:t>
      </w:r>
      <w:r w:rsidRPr="002242E6">
        <w:rPr>
          <w:rFonts w:cs="Arial"/>
          <w:noProof/>
        </w:rPr>
        <w:tab/>
      </w:r>
      <w:r w:rsidRPr="002242E6">
        <w:rPr>
          <w:rFonts w:cs="Arial"/>
          <w:noProof/>
        </w:rPr>
        <w:fldChar w:fldCharType="begin"/>
      </w:r>
      <w:r w:rsidRPr="002242E6">
        <w:rPr>
          <w:rFonts w:cs="Arial"/>
          <w:noProof/>
        </w:rPr>
        <w:instrText xml:space="preserve"> PAGEREF _Toc225256538 \h </w:instrText>
      </w:r>
      <w:r w:rsidRPr="002242E6">
        <w:rPr>
          <w:rFonts w:cs="Arial"/>
          <w:noProof/>
        </w:rPr>
      </w:r>
      <w:r w:rsidRPr="002242E6">
        <w:rPr>
          <w:rFonts w:cs="Arial"/>
          <w:noProof/>
        </w:rPr>
        <w:fldChar w:fldCharType="separate"/>
      </w:r>
      <w:r w:rsidRPr="002242E6">
        <w:rPr>
          <w:rFonts w:cs="Arial"/>
          <w:noProof/>
        </w:rPr>
        <w:t>3</w:t>
      </w:r>
      <w:r w:rsidRPr="002242E6">
        <w:rPr>
          <w:rFonts w:cs="Arial"/>
          <w:noProof/>
        </w:rPr>
        <w:fldChar w:fldCharType="end"/>
      </w:r>
    </w:p>
    <w:p w14:paraId="0450A544" w14:textId="77777777" w:rsidR="00416077" w:rsidRPr="002242E6" w:rsidRDefault="00416077">
      <w:pPr>
        <w:pStyle w:val="TOC1"/>
        <w:rPr>
          <w:rFonts w:eastAsia="Times New Roman" w:cs="Arial"/>
          <w:noProof/>
          <w:color w:val="auto"/>
          <w:lang w:eastAsia="en-GB"/>
        </w:rPr>
      </w:pPr>
      <w:r w:rsidRPr="002242E6">
        <w:rPr>
          <w:rFonts w:cs="Arial"/>
          <w:noProof/>
        </w:rPr>
        <w:t>Task 2: Administrative Skills</w:t>
      </w:r>
      <w:r w:rsidRPr="002242E6">
        <w:rPr>
          <w:rFonts w:cs="Arial"/>
          <w:noProof/>
        </w:rPr>
        <w:tab/>
      </w:r>
      <w:r w:rsidRPr="002242E6">
        <w:rPr>
          <w:rFonts w:cs="Arial"/>
          <w:noProof/>
        </w:rPr>
        <w:fldChar w:fldCharType="begin"/>
      </w:r>
      <w:r w:rsidRPr="002242E6">
        <w:rPr>
          <w:rFonts w:cs="Arial"/>
          <w:noProof/>
        </w:rPr>
        <w:instrText xml:space="preserve"> PAGEREF _Toc225256539 \h </w:instrText>
      </w:r>
      <w:r w:rsidRPr="002242E6">
        <w:rPr>
          <w:rFonts w:cs="Arial"/>
          <w:noProof/>
        </w:rPr>
      </w:r>
      <w:r w:rsidRPr="002242E6">
        <w:rPr>
          <w:rFonts w:cs="Arial"/>
          <w:noProof/>
        </w:rPr>
        <w:fldChar w:fldCharType="separate"/>
      </w:r>
      <w:r w:rsidRPr="002242E6">
        <w:rPr>
          <w:rFonts w:cs="Arial"/>
          <w:noProof/>
        </w:rPr>
        <w:t>4</w:t>
      </w:r>
      <w:r w:rsidRPr="002242E6">
        <w:rPr>
          <w:rFonts w:cs="Arial"/>
          <w:noProof/>
        </w:rPr>
        <w:fldChar w:fldCharType="end"/>
      </w:r>
    </w:p>
    <w:p w14:paraId="1F3E8916" w14:textId="77777777" w:rsidR="00416077" w:rsidRPr="002242E6" w:rsidRDefault="00416077">
      <w:pPr>
        <w:pStyle w:val="TOC1"/>
        <w:rPr>
          <w:rFonts w:eastAsia="Times New Roman" w:cs="Arial"/>
          <w:noProof/>
          <w:color w:val="auto"/>
          <w:lang w:eastAsia="en-GB"/>
        </w:rPr>
      </w:pPr>
      <w:r w:rsidRPr="002242E6">
        <w:rPr>
          <w:rFonts w:cs="Arial"/>
          <w:noProof/>
        </w:rPr>
        <w:t>Task 3: Collaboration with Professionals</w:t>
      </w:r>
      <w:r w:rsidRPr="002242E6">
        <w:rPr>
          <w:rFonts w:cs="Arial"/>
          <w:noProof/>
        </w:rPr>
        <w:tab/>
      </w:r>
      <w:r w:rsidRPr="002242E6">
        <w:rPr>
          <w:rFonts w:cs="Arial"/>
          <w:noProof/>
        </w:rPr>
        <w:fldChar w:fldCharType="begin"/>
      </w:r>
      <w:r w:rsidRPr="002242E6">
        <w:rPr>
          <w:rFonts w:cs="Arial"/>
          <w:noProof/>
        </w:rPr>
        <w:instrText xml:space="preserve"> PAGEREF _Toc225256540 \h </w:instrText>
      </w:r>
      <w:r w:rsidRPr="002242E6">
        <w:rPr>
          <w:rFonts w:cs="Arial"/>
          <w:noProof/>
        </w:rPr>
      </w:r>
      <w:r w:rsidRPr="002242E6">
        <w:rPr>
          <w:rFonts w:cs="Arial"/>
          <w:noProof/>
        </w:rPr>
        <w:fldChar w:fldCharType="separate"/>
      </w:r>
      <w:r w:rsidRPr="002242E6">
        <w:rPr>
          <w:rFonts w:cs="Arial"/>
          <w:noProof/>
        </w:rPr>
        <w:t>5</w:t>
      </w:r>
      <w:r w:rsidRPr="002242E6">
        <w:rPr>
          <w:rFonts w:cs="Arial"/>
          <w:noProof/>
        </w:rPr>
        <w:fldChar w:fldCharType="end"/>
      </w:r>
    </w:p>
    <w:p w14:paraId="0DBE7510" w14:textId="77777777" w:rsidR="00416077" w:rsidRPr="002242E6" w:rsidRDefault="00416077">
      <w:pPr>
        <w:pStyle w:val="TOC1"/>
        <w:rPr>
          <w:rFonts w:eastAsia="Times New Roman" w:cs="Arial"/>
          <w:noProof/>
          <w:color w:val="auto"/>
          <w:lang w:eastAsia="en-GB"/>
        </w:rPr>
      </w:pPr>
      <w:r w:rsidRPr="002242E6">
        <w:rPr>
          <w:rFonts w:cs="Arial"/>
          <w:noProof/>
        </w:rPr>
        <w:t>Conclusion</w:t>
      </w:r>
      <w:r w:rsidRPr="002242E6">
        <w:rPr>
          <w:rFonts w:cs="Arial"/>
          <w:noProof/>
        </w:rPr>
        <w:tab/>
      </w:r>
      <w:r w:rsidRPr="002242E6">
        <w:rPr>
          <w:rFonts w:cs="Arial"/>
          <w:noProof/>
        </w:rPr>
        <w:fldChar w:fldCharType="begin"/>
      </w:r>
      <w:r w:rsidRPr="002242E6">
        <w:rPr>
          <w:rFonts w:cs="Arial"/>
          <w:noProof/>
        </w:rPr>
        <w:instrText xml:space="preserve"> PAGEREF _Toc225256541 \h </w:instrText>
      </w:r>
      <w:r w:rsidRPr="002242E6">
        <w:rPr>
          <w:rFonts w:cs="Arial"/>
          <w:noProof/>
        </w:rPr>
      </w:r>
      <w:r w:rsidRPr="002242E6">
        <w:rPr>
          <w:rFonts w:cs="Arial"/>
          <w:noProof/>
        </w:rPr>
        <w:fldChar w:fldCharType="separate"/>
      </w:r>
      <w:r w:rsidRPr="002242E6">
        <w:rPr>
          <w:rFonts w:cs="Arial"/>
          <w:noProof/>
        </w:rPr>
        <w:t>7</w:t>
      </w:r>
      <w:r w:rsidRPr="002242E6">
        <w:rPr>
          <w:rFonts w:cs="Arial"/>
          <w:noProof/>
        </w:rPr>
        <w:fldChar w:fldCharType="end"/>
      </w:r>
    </w:p>
    <w:p w14:paraId="1F708016" w14:textId="77777777" w:rsidR="00416077" w:rsidRPr="002242E6" w:rsidRDefault="00416077">
      <w:pPr>
        <w:pStyle w:val="TOC1"/>
        <w:rPr>
          <w:rFonts w:eastAsia="Times New Roman" w:cs="Arial"/>
          <w:noProof/>
          <w:color w:val="auto"/>
          <w:lang w:eastAsia="en-GB"/>
        </w:rPr>
      </w:pPr>
      <w:r w:rsidRPr="002242E6">
        <w:rPr>
          <w:rFonts w:cs="Arial"/>
          <w:noProof/>
        </w:rPr>
        <w:t>References</w:t>
      </w:r>
      <w:r w:rsidRPr="002242E6">
        <w:rPr>
          <w:rFonts w:cs="Arial"/>
          <w:noProof/>
        </w:rPr>
        <w:tab/>
      </w:r>
      <w:r w:rsidRPr="002242E6">
        <w:rPr>
          <w:rFonts w:cs="Arial"/>
          <w:noProof/>
        </w:rPr>
        <w:fldChar w:fldCharType="begin"/>
      </w:r>
      <w:r w:rsidRPr="002242E6">
        <w:rPr>
          <w:rFonts w:cs="Arial"/>
          <w:noProof/>
        </w:rPr>
        <w:instrText xml:space="preserve"> PAGEREF _Toc225256542 \h </w:instrText>
      </w:r>
      <w:r w:rsidRPr="002242E6">
        <w:rPr>
          <w:rFonts w:cs="Arial"/>
          <w:noProof/>
        </w:rPr>
      </w:r>
      <w:r w:rsidRPr="002242E6">
        <w:rPr>
          <w:rFonts w:cs="Arial"/>
          <w:noProof/>
        </w:rPr>
        <w:fldChar w:fldCharType="separate"/>
      </w:r>
      <w:r w:rsidRPr="002242E6">
        <w:rPr>
          <w:rFonts w:cs="Arial"/>
          <w:noProof/>
        </w:rPr>
        <w:t>8</w:t>
      </w:r>
      <w:r w:rsidRPr="002242E6">
        <w:rPr>
          <w:rFonts w:cs="Arial"/>
          <w:noProof/>
        </w:rPr>
        <w:fldChar w:fldCharType="end"/>
      </w:r>
    </w:p>
    <w:p w14:paraId="5DAB6C7B" w14:textId="77777777" w:rsidR="005901D0" w:rsidRPr="002242E6" w:rsidRDefault="00793373" w:rsidP="005901D0">
      <w:pPr>
        <w:pStyle w:val="TOC1"/>
        <w:rPr>
          <w:rFonts w:cs="Arial"/>
          <w:color w:val="auto"/>
          <w:szCs w:val="24"/>
        </w:rPr>
      </w:pPr>
      <w:r w:rsidRPr="002242E6">
        <w:rPr>
          <w:rFonts w:cs="Arial"/>
          <w:color w:val="auto"/>
        </w:rPr>
        <w:fldChar w:fldCharType="end"/>
      </w:r>
    </w:p>
    <w:p w14:paraId="02EB378F" w14:textId="77777777" w:rsidR="00793373" w:rsidRPr="002242E6" w:rsidRDefault="00793373">
      <w:pPr>
        <w:rPr>
          <w:rFonts w:cs="Arial"/>
          <w:color w:val="auto"/>
          <w:szCs w:val="24"/>
        </w:rPr>
      </w:pPr>
    </w:p>
    <w:p w14:paraId="6A05A809" w14:textId="77777777" w:rsidR="00FA3835" w:rsidRPr="002242E6" w:rsidRDefault="00FA3835">
      <w:pPr>
        <w:rPr>
          <w:rFonts w:cs="Arial"/>
          <w:color w:val="auto"/>
          <w:szCs w:val="24"/>
        </w:rPr>
      </w:pPr>
    </w:p>
    <w:p w14:paraId="5A39BBE3" w14:textId="77777777" w:rsidR="00FA3835" w:rsidRPr="002242E6" w:rsidRDefault="00FA3835">
      <w:pPr>
        <w:rPr>
          <w:rFonts w:cs="Arial"/>
          <w:color w:val="auto"/>
          <w:szCs w:val="24"/>
        </w:rPr>
      </w:pPr>
    </w:p>
    <w:p w14:paraId="3E7A9F1C" w14:textId="77777777" w:rsidR="0093725C" w:rsidRPr="002242E6" w:rsidRDefault="006407FE" w:rsidP="00607926">
      <w:pPr>
        <w:pStyle w:val="Heading1"/>
        <w:rPr>
          <w:rFonts w:cs="Arial"/>
        </w:rPr>
      </w:pPr>
      <w:r w:rsidRPr="002242E6">
        <w:rPr>
          <w:rFonts w:cs="Arial"/>
        </w:rPr>
        <w:br w:type="page"/>
      </w:r>
      <w:bookmarkStart w:id="0" w:name="_Toc225256537"/>
      <w:r w:rsidR="00607926" w:rsidRPr="002242E6">
        <w:rPr>
          <w:rFonts w:cs="Arial"/>
        </w:rPr>
        <w:t>Introduction</w:t>
      </w:r>
      <w:bookmarkEnd w:id="0"/>
    </w:p>
    <w:p w14:paraId="79B35B52" w14:textId="77777777" w:rsidR="00A654E6" w:rsidRPr="002242E6" w:rsidRDefault="004424C7" w:rsidP="00A654E6">
      <w:pPr>
        <w:rPr>
          <w:rFonts w:cs="Arial"/>
        </w:rPr>
      </w:pPr>
      <w:r w:rsidRPr="002242E6">
        <w:rPr>
          <w:rFonts w:cs="Arial"/>
        </w:rPr>
        <w:t>Mr. Ahmed is a complex care service user who needs a coordinated intervention or support to ensure his safety, dignity, and wellbeing, which involves effective interaction, precise administrative practise, and multidisciplinary integration. Person-centred practise in health and social care is based on effective communication by facilitating the understanding and respect of the preferences and needs of individuals accordingly, which positively impact the final care results and eliminates mistakes.  Closure of care and legal regulations require administration skills that include accurate records and information management</w:t>
      </w:r>
      <w:r w:rsidR="00470FCC" w:rsidRPr="002242E6">
        <w:rPr>
          <w:rFonts w:cs="Arial"/>
        </w:rPr>
        <w:t xml:space="preserve"> (O’Leary, 2024)</w:t>
      </w:r>
      <w:r w:rsidRPr="002242E6">
        <w:rPr>
          <w:rFonts w:cs="Arial"/>
        </w:rPr>
        <w:t>. Inter</w:t>
      </w:r>
      <w:r w:rsidR="00470FCC" w:rsidRPr="002242E6">
        <w:rPr>
          <w:rFonts w:cs="Arial"/>
        </w:rPr>
        <w:t xml:space="preserve"> </w:t>
      </w:r>
      <w:r w:rsidRPr="002242E6">
        <w:rPr>
          <w:rFonts w:cs="Arial"/>
        </w:rPr>
        <w:t xml:space="preserve">professional cooperation enhances joint decision-making and joint planning of care, leading to better quality of support. This report discusses these areas, including how they are relevant, applicable and applicable in the case of Mr. Ahmed. </w:t>
      </w:r>
    </w:p>
    <w:p w14:paraId="41C8F396" w14:textId="77777777" w:rsidR="004424C7" w:rsidRPr="002242E6" w:rsidRDefault="004424C7" w:rsidP="00A654E6">
      <w:pPr>
        <w:rPr>
          <w:rFonts w:cs="Arial"/>
        </w:rPr>
      </w:pPr>
    </w:p>
    <w:p w14:paraId="2B669130" w14:textId="77777777" w:rsidR="00F17CBC" w:rsidRPr="002242E6" w:rsidRDefault="004424C7" w:rsidP="00607926">
      <w:pPr>
        <w:pStyle w:val="Heading1"/>
        <w:rPr>
          <w:rFonts w:cs="Arial"/>
        </w:rPr>
      </w:pPr>
      <w:bookmarkStart w:id="1" w:name="_Toc225256538"/>
      <w:r w:rsidRPr="002242E6">
        <w:rPr>
          <w:rFonts w:cs="Arial"/>
        </w:rPr>
        <w:t>Task 1: Effective Communication</w:t>
      </w:r>
      <w:bookmarkEnd w:id="1"/>
    </w:p>
    <w:p w14:paraId="404850F8" w14:textId="77777777" w:rsidR="004424C7" w:rsidRPr="002242E6" w:rsidRDefault="004424C7" w:rsidP="004424C7">
      <w:pPr>
        <w:rPr>
          <w:rFonts w:cs="Arial"/>
        </w:rPr>
      </w:pPr>
      <w:r w:rsidRPr="002242E6">
        <w:rPr>
          <w:rFonts w:cs="Arial"/>
        </w:rPr>
        <w:t xml:space="preserve">Health and social care effective communication entails the intentional and precise transfer of information, emotions and requirements between professionals, service users and households in ways, which are understood and respected by the individuals involved. It includes comprehension, compassion, listening, and understanding personalities, in such a way that the person should feel listened to and his or her preferences substantially influence the delivery of care. Person-centred care highly relies on communication as it aids the providers to perceive and adequately address the needs of the service users, develop dignity and autonomy, and avoid misunderstandings that may negatively impact safety or health. </w:t>
      </w:r>
    </w:p>
    <w:p w14:paraId="141B2770" w14:textId="77777777" w:rsidR="004424C7" w:rsidRPr="002242E6" w:rsidRDefault="004424C7" w:rsidP="004424C7">
      <w:pPr>
        <w:ind w:firstLine="432"/>
        <w:rPr>
          <w:rFonts w:cs="Arial"/>
        </w:rPr>
      </w:pPr>
      <w:r w:rsidRPr="002242E6">
        <w:rPr>
          <w:rFonts w:cs="Arial"/>
        </w:rPr>
        <w:t>Care communication could be of various types. Verbal communication entails verbal communication which includes explaining to Mr. Ahmed the medications or the care regimens in a jargon-free language that is easy to understand and maintain. Nonverbal communication has facial expressions and gestures as well as the tone of voice that can be used to reassure individuals who may be anxious or confused especially where there is less understanding of verbal communication</w:t>
      </w:r>
      <w:r w:rsidR="00470FCC" w:rsidRPr="002242E6">
        <w:rPr>
          <w:rFonts w:cs="Arial"/>
        </w:rPr>
        <w:t xml:space="preserve"> (</w:t>
      </w:r>
      <w:proofErr w:type="spellStart"/>
      <w:r w:rsidR="00470FCC" w:rsidRPr="002242E6">
        <w:rPr>
          <w:rFonts w:cs="Arial"/>
        </w:rPr>
        <w:t>Toersen</w:t>
      </w:r>
      <w:proofErr w:type="spellEnd"/>
      <w:r w:rsidR="00470FCC" w:rsidRPr="002242E6">
        <w:rPr>
          <w:rFonts w:cs="Arial"/>
        </w:rPr>
        <w:t>, 2023)</w:t>
      </w:r>
      <w:r w:rsidRPr="002242E6">
        <w:rPr>
          <w:rFonts w:cs="Arial"/>
        </w:rPr>
        <w:t xml:space="preserve">. Written communication means records, notes, care plans and discharge summaries that record needs, preferences and changes in condition which make continuity and accuracy in care across care shifts. </w:t>
      </w:r>
    </w:p>
    <w:p w14:paraId="61E1ED19" w14:textId="77777777" w:rsidR="004424C7" w:rsidRPr="002242E6" w:rsidRDefault="004424C7" w:rsidP="004424C7">
      <w:pPr>
        <w:ind w:firstLine="432"/>
        <w:rPr>
          <w:rFonts w:cs="Arial"/>
        </w:rPr>
      </w:pPr>
      <w:r w:rsidRPr="002242E6">
        <w:rPr>
          <w:rFonts w:cs="Arial"/>
        </w:rPr>
        <w:t>Nevertheless, there are potential communication obstacles and these may weaken care. Linguistic issues between Mr. Ahmed and providers may result in a communication breakdown or half interaction. The cultural requirements might dictate the interpretation of information and demand sensitivity and accommodation</w:t>
      </w:r>
      <w:r w:rsidR="00470FCC" w:rsidRPr="002242E6">
        <w:rPr>
          <w:rFonts w:cs="Arial"/>
        </w:rPr>
        <w:t xml:space="preserve"> (Health Literacy Solutions </w:t>
      </w:r>
      <w:proofErr w:type="spellStart"/>
      <w:r w:rsidR="00470FCC" w:rsidRPr="002242E6">
        <w:rPr>
          <w:rFonts w:cs="Arial"/>
        </w:rPr>
        <w:t>Center</w:t>
      </w:r>
      <w:proofErr w:type="spellEnd"/>
      <w:r w:rsidR="00470FCC" w:rsidRPr="002242E6">
        <w:rPr>
          <w:rFonts w:cs="Arial"/>
        </w:rPr>
        <w:t>, 2023)</w:t>
      </w:r>
      <w:r w:rsidRPr="002242E6">
        <w:rPr>
          <w:rFonts w:cs="Arial"/>
        </w:rPr>
        <w:t xml:space="preserve">. Comprehension can also be impairs due to emotional or mental problems like anxiety, distress or memory loss. Such environmental elements as noise or distractions even lessen the quality of interaction. </w:t>
      </w:r>
    </w:p>
    <w:p w14:paraId="384F5830" w14:textId="77777777" w:rsidR="004424C7" w:rsidRPr="002242E6" w:rsidRDefault="004424C7" w:rsidP="004424C7">
      <w:pPr>
        <w:ind w:firstLine="432"/>
        <w:rPr>
          <w:rFonts w:cs="Arial"/>
        </w:rPr>
      </w:pPr>
      <w:r w:rsidRPr="002242E6">
        <w:rPr>
          <w:rFonts w:cs="Arial"/>
        </w:rPr>
        <w:t>Health and social care workers should use specific strategies in order to eliminate these barriers. Interpreters or translation services come in handy when communication between two parties is unequal</w:t>
      </w:r>
      <w:r w:rsidR="00470FCC" w:rsidRPr="002242E6">
        <w:rPr>
          <w:rFonts w:cs="Arial"/>
        </w:rPr>
        <w:t xml:space="preserve"> (Squires, 2018)</w:t>
      </w:r>
      <w:r w:rsidRPr="002242E6">
        <w:rPr>
          <w:rFonts w:cs="Arial"/>
        </w:rPr>
        <w:t xml:space="preserve">. Languages must be simple, respectful, ensure the practitioners clarify by asking questions through teach-back methods, and show activeness by listening by displaying concerns and confirming what is said. When there is some sort of privacy and discussions are being done in a quiet setting, it also enhances clarity and interest. </w:t>
      </w:r>
    </w:p>
    <w:p w14:paraId="061418B3" w14:textId="77777777" w:rsidR="004424C7" w:rsidRPr="002242E6" w:rsidRDefault="004424C7" w:rsidP="004424C7">
      <w:pPr>
        <w:ind w:firstLine="432"/>
        <w:rPr>
          <w:rFonts w:cs="Arial"/>
        </w:rPr>
      </w:pPr>
      <w:r w:rsidRPr="002242E6">
        <w:rPr>
          <w:rFonts w:cs="Arial"/>
        </w:rPr>
        <w:t>Interaction among these can be seen through the help of the communication theory. The transactional model of communication holds that meaning will be constructed actively by the sender and receiver as both prov</w:t>
      </w:r>
      <w:r w:rsidR="00470FCC" w:rsidRPr="002242E6">
        <w:rPr>
          <w:rFonts w:cs="Arial"/>
        </w:rPr>
        <w:t>ide feedback and shared context</w:t>
      </w:r>
      <w:r w:rsidRPr="002242E6">
        <w:rPr>
          <w:rFonts w:cs="Arial"/>
        </w:rPr>
        <w:t xml:space="preserve"> consequently, good communication is an ongoing process which occurs between a sender and a receiver. This model indicates the need to tailor messages according to the responses and to be able to make sure that at every interaction it is understood. The ethical aspect of communication is supported by legislations, like the Equality Act 2010, which positively provides fairness, respect, and non-discrimination of the communicational process</w:t>
      </w:r>
      <w:r w:rsidR="00470FCC" w:rsidRPr="002242E6">
        <w:rPr>
          <w:rFonts w:cs="Arial"/>
        </w:rPr>
        <w:t xml:space="preserve"> (GOV.UK, 2013)</w:t>
      </w:r>
      <w:r w:rsidRPr="002242E6">
        <w:rPr>
          <w:rFonts w:cs="Arial"/>
        </w:rPr>
        <w:t>.</w:t>
      </w:r>
    </w:p>
    <w:p w14:paraId="72A3D3EC" w14:textId="77777777" w:rsidR="004424C7" w:rsidRPr="002242E6" w:rsidRDefault="004424C7" w:rsidP="004424C7">
      <w:pPr>
        <w:rPr>
          <w:rFonts w:cs="Arial"/>
        </w:rPr>
      </w:pPr>
    </w:p>
    <w:p w14:paraId="64063896" w14:textId="77777777" w:rsidR="004424C7" w:rsidRPr="002242E6" w:rsidRDefault="004424C7" w:rsidP="004424C7">
      <w:pPr>
        <w:pStyle w:val="Heading1"/>
        <w:rPr>
          <w:rFonts w:cs="Arial"/>
        </w:rPr>
      </w:pPr>
      <w:bookmarkStart w:id="2" w:name="_Toc225256539"/>
      <w:r w:rsidRPr="002242E6">
        <w:rPr>
          <w:rFonts w:cs="Arial"/>
        </w:rPr>
        <w:t>Task 2: Administrative Skills</w:t>
      </w:r>
      <w:bookmarkEnd w:id="2"/>
    </w:p>
    <w:p w14:paraId="791CCA3B" w14:textId="77777777" w:rsidR="004424C7" w:rsidRPr="002242E6" w:rsidRDefault="004424C7" w:rsidP="004424C7">
      <w:pPr>
        <w:rPr>
          <w:rFonts w:cs="Arial"/>
        </w:rPr>
      </w:pPr>
      <w:r w:rsidRPr="002242E6">
        <w:rPr>
          <w:rFonts w:cs="Arial"/>
        </w:rPr>
        <w:t>Administrative health and social care skills entail the methodical, ordered administration of documentation, information flow, and care steps that are the grounds of safe and effective support. It is a good administrative practise since it makes sure that the care records are accurate, complete and accessible so that care teams can make informed decisions and a reliable account of the history of a service user, his/her needs and interventions, and responses</w:t>
      </w:r>
      <w:r w:rsidR="00470FCC" w:rsidRPr="002242E6">
        <w:rPr>
          <w:rFonts w:cs="Arial"/>
        </w:rPr>
        <w:t xml:space="preserve"> (Dunbar, Keyes and Browne, 2023)</w:t>
      </w:r>
      <w:r w:rsidRPr="002242E6">
        <w:rPr>
          <w:rFonts w:cs="Arial"/>
        </w:rPr>
        <w:t>. Those practises help to promote clinical safety through avoiding errors, defining responsibilities, and enabling continuity of care across settings and over time. Such standards and frameworks as NHS Records Management Code of Practise underline the importance of proper and uninterrupted record keeping in order to fulfil legal, professional, and organisational obligations</w:t>
      </w:r>
      <w:r w:rsidR="00470FCC" w:rsidRPr="002242E6">
        <w:rPr>
          <w:rFonts w:cs="Arial"/>
        </w:rPr>
        <w:t xml:space="preserve"> (NHS England, 2023)</w:t>
      </w:r>
      <w:r w:rsidRPr="002242E6">
        <w:rPr>
          <w:rFonts w:cs="Arial"/>
        </w:rPr>
        <w:t xml:space="preserve">. </w:t>
      </w:r>
    </w:p>
    <w:p w14:paraId="43DF0695" w14:textId="50B6F4A2" w:rsidR="004424C7" w:rsidRPr="002242E6" w:rsidRDefault="004424C7" w:rsidP="004424C7">
      <w:pPr>
        <w:ind w:firstLine="720"/>
        <w:rPr>
          <w:rFonts w:cs="Arial"/>
        </w:rPr>
      </w:pPr>
      <w:r w:rsidRPr="002242E6">
        <w:rPr>
          <w:rFonts w:cs="Arial"/>
        </w:rPr>
        <w:t xml:space="preserve">The basics of quality care are record keeping. Good records make sure that the information on the needs, preferences, </w:t>
      </w:r>
      <w:r w:rsidR="002A7037" w:rsidRPr="002242E6">
        <w:rPr>
          <w:rFonts w:cs="Arial"/>
        </w:rPr>
        <w:t>risks,</w:t>
      </w:r>
      <w:r w:rsidRPr="002242E6">
        <w:rPr>
          <w:rFonts w:cs="Arial"/>
        </w:rPr>
        <w:t xml:space="preserve"> and goals should be available to all the professionals dealing with a person to provide personalised safe, and responsive assistance</w:t>
      </w:r>
      <w:r w:rsidR="00470FCC" w:rsidRPr="002242E6">
        <w:rPr>
          <w:rFonts w:cs="Arial"/>
        </w:rPr>
        <w:t xml:space="preserve"> (</w:t>
      </w:r>
      <w:proofErr w:type="spellStart"/>
      <w:r w:rsidR="00470FCC" w:rsidRPr="002242E6">
        <w:rPr>
          <w:rFonts w:cs="Arial"/>
        </w:rPr>
        <w:t>Mathioudakis</w:t>
      </w:r>
      <w:proofErr w:type="spellEnd"/>
      <w:r w:rsidR="00470FCC" w:rsidRPr="002242E6">
        <w:rPr>
          <w:rFonts w:cs="Arial"/>
        </w:rPr>
        <w:t>, 2016)</w:t>
      </w:r>
      <w:r w:rsidRPr="002242E6">
        <w:rPr>
          <w:rFonts w:cs="Arial"/>
        </w:rPr>
        <w:t>. There are also records that can be conducted in relation to referrals and changes of the serves so that the details that are essential will not be lost on the transfer of services and that the treatment plan will be consistent, and current. In addition, precise records give proof of the services provided and reasons behind the decision, which are vital in keeping track of improvement, assessment of results, and review of reactions in case of incident or response adjustments</w:t>
      </w:r>
      <w:r w:rsidR="00003A02" w:rsidRPr="002242E6">
        <w:rPr>
          <w:rFonts w:cs="Arial"/>
        </w:rPr>
        <w:t xml:space="preserve"> (</w:t>
      </w:r>
      <w:proofErr w:type="spellStart"/>
      <w:r w:rsidR="00003A02" w:rsidRPr="002242E6">
        <w:rPr>
          <w:rFonts w:cs="Arial"/>
        </w:rPr>
        <w:t>Demsash</w:t>
      </w:r>
      <w:proofErr w:type="spellEnd"/>
      <w:r w:rsidR="00003A02" w:rsidRPr="002242E6">
        <w:rPr>
          <w:rFonts w:cs="Arial"/>
        </w:rPr>
        <w:t xml:space="preserve"> et al., 2023)</w:t>
      </w:r>
      <w:r w:rsidRPr="002242E6">
        <w:rPr>
          <w:rFonts w:cs="Arial"/>
        </w:rPr>
        <w:t>.</w:t>
      </w:r>
      <w:r w:rsidR="00003A02" w:rsidRPr="002242E6">
        <w:rPr>
          <w:rFonts w:cs="Arial"/>
        </w:rPr>
        <w:t xml:space="preserve"> </w:t>
      </w:r>
      <w:r w:rsidRPr="002242E6">
        <w:rPr>
          <w:rFonts w:cs="Arial"/>
        </w:rPr>
        <w:t xml:space="preserve"> </w:t>
      </w:r>
    </w:p>
    <w:p w14:paraId="15011CF1" w14:textId="77777777" w:rsidR="004424C7" w:rsidRPr="002242E6" w:rsidRDefault="004424C7" w:rsidP="004424C7">
      <w:pPr>
        <w:ind w:firstLine="720"/>
        <w:rPr>
          <w:rFonts w:cs="Arial"/>
        </w:rPr>
      </w:pPr>
      <w:r w:rsidRPr="002242E6">
        <w:rPr>
          <w:rFonts w:cs="Arial"/>
        </w:rPr>
        <w:t xml:space="preserve">The legal framework of processing, storing, and sharing of personal and sensitive information in health and social care is the legal foundation presented by the Data Protection Act 2018 </w:t>
      </w:r>
      <w:r w:rsidR="00003A02" w:rsidRPr="002242E6">
        <w:rPr>
          <w:rFonts w:cs="Arial"/>
        </w:rPr>
        <w:t>(GOV.UK, 2018)</w:t>
      </w:r>
      <w:r w:rsidRPr="002242E6">
        <w:rPr>
          <w:rFonts w:cs="Arial"/>
        </w:rPr>
        <w:t>. Being the UK legislation, which coincides with the General Data Protection Regulation (GDPR), it means that organisations should find a clear course of action and policies on how to manage data, i.e. to train employees on proper data management and provide adequate security measures. The Act respects the rights of the individuals over their information such as the right to transparency regarding the use of the data as well as the right of access and correction of data and to protect against its illegal release but to share data in general to direct care</w:t>
      </w:r>
      <w:r w:rsidR="00003A02" w:rsidRPr="002242E6">
        <w:rPr>
          <w:rFonts w:cs="Arial"/>
        </w:rPr>
        <w:t xml:space="preserve"> (Jones et al., 2023)</w:t>
      </w:r>
      <w:r w:rsidRPr="002242E6">
        <w:rPr>
          <w:rFonts w:cs="Arial"/>
        </w:rPr>
        <w:t xml:space="preserve">. </w:t>
      </w:r>
    </w:p>
    <w:p w14:paraId="1180E0AA" w14:textId="5BFAC9F0" w:rsidR="004424C7" w:rsidRPr="002242E6" w:rsidRDefault="004424C7" w:rsidP="004424C7">
      <w:pPr>
        <w:ind w:firstLine="432"/>
        <w:rPr>
          <w:rFonts w:cs="Arial"/>
        </w:rPr>
      </w:pPr>
      <w:r w:rsidRPr="002242E6">
        <w:rPr>
          <w:rFonts w:cs="Arial"/>
        </w:rPr>
        <w:t xml:space="preserve">Good administrative capabilities thus have a direct impact on care quality, testing the risk of misjudging, facilitating </w:t>
      </w:r>
      <w:r w:rsidR="00A04D68" w:rsidRPr="002242E6">
        <w:rPr>
          <w:rFonts w:cs="Arial"/>
        </w:rPr>
        <w:t>effective communication</w:t>
      </w:r>
      <w:r w:rsidRPr="002242E6">
        <w:rPr>
          <w:rFonts w:cs="Arial"/>
        </w:rPr>
        <w:t xml:space="preserve"> among and between multidisciplinary teams, and making sure that there are no legal issues to take into account. Clearly structured records allow continuity of care and promote trust and confidence in the service users and make coordinated decision-making timely. By doing this, strict administration is not a peripheral support mechanism but a core element of safe, person-centred, and high-quality health and social care provision, which </w:t>
      </w:r>
      <w:r w:rsidR="00A04D68" w:rsidRPr="002242E6">
        <w:rPr>
          <w:rFonts w:cs="Arial"/>
        </w:rPr>
        <w:t>can meet</w:t>
      </w:r>
      <w:r w:rsidRPr="002242E6">
        <w:rPr>
          <w:rFonts w:cs="Arial"/>
        </w:rPr>
        <w:t xml:space="preserve"> statutory and professional standards. </w:t>
      </w:r>
    </w:p>
    <w:p w14:paraId="0D0B940D" w14:textId="77777777" w:rsidR="004424C7" w:rsidRPr="002242E6" w:rsidRDefault="004424C7" w:rsidP="004424C7">
      <w:pPr>
        <w:rPr>
          <w:rFonts w:cs="Arial"/>
        </w:rPr>
      </w:pPr>
    </w:p>
    <w:p w14:paraId="5901662C" w14:textId="77777777" w:rsidR="004424C7" w:rsidRPr="002242E6" w:rsidRDefault="004424C7" w:rsidP="004424C7">
      <w:pPr>
        <w:pStyle w:val="Heading1"/>
        <w:rPr>
          <w:rFonts w:cs="Arial"/>
        </w:rPr>
      </w:pPr>
      <w:bookmarkStart w:id="3" w:name="_Toc225256540"/>
      <w:r w:rsidRPr="002242E6">
        <w:rPr>
          <w:rFonts w:cs="Arial"/>
        </w:rPr>
        <w:t>Task 3: Collaboration with Professionals</w:t>
      </w:r>
      <w:bookmarkEnd w:id="3"/>
    </w:p>
    <w:p w14:paraId="0CCBE940" w14:textId="48CE2990" w:rsidR="004424C7" w:rsidRPr="002242E6" w:rsidRDefault="004424C7" w:rsidP="004424C7">
      <w:pPr>
        <w:rPr>
          <w:rFonts w:cs="Arial"/>
        </w:rPr>
      </w:pPr>
      <w:r w:rsidRPr="002242E6">
        <w:rPr>
          <w:rFonts w:cs="Arial"/>
        </w:rPr>
        <w:t xml:space="preserve">Multidisciplinary collaboration in addressing the needs of people with complex needs like Mr. Ahmed is vital because it is the assurance that a combination of professional </w:t>
      </w:r>
      <w:r w:rsidR="00A04D68" w:rsidRPr="002242E6">
        <w:rPr>
          <w:rFonts w:cs="Arial"/>
        </w:rPr>
        <w:t>ability</w:t>
      </w:r>
      <w:r w:rsidRPr="002242E6">
        <w:rPr>
          <w:rFonts w:cs="Arial"/>
        </w:rPr>
        <w:t xml:space="preserve"> that leads to the complete wellbeing of the patient. The GP is a medical supervisor who offers symptom evaluation and medication, organises referrals and follow-ups of diseases</w:t>
      </w:r>
      <w:r w:rsidR="00003A02" w:rsidRPr="002242E6">
        <w:rPr>
          <w:rFonts w:cs="Arial"/>
        </w:rPr>
        <w:t xml:space="preserve"> (</w:t>
      </w:r>
      <w:proofErr w:type="spellStart"/>
      <w:r w:rsidR="00003A02" w:rsidRPr="002242E6">
        <w:rPr>
          <w:rFonts w:cs="Arial"/>
        </w:rPr>
        <w:t>Dellafiore</w:t>
      </w:r>
      <w:proofErr w:type="spellEnd"/>
      <w:r w:rsidR="00003A02" w:rsidRPr="002242E6">
        <w:rPr>
          <w:rFonts w:cs="Arial"/>
        </w:rPr>
        <w:t xml:space="preserve"> et al., 2025)</w:t>
      </w:r>
      <w:r w:rsidRPr="002242E6">
        <w:rPr>
          <w:rFonts w:cs="Arial"/>
        </w:rPr>
        <w:t xml:space="preserve">. Community nurses provide direct clinical care at the home, assess any change in condition, assist in wound care or long term disease management, and play a pivotal role of communication between the service and other clinicians. Under the homestead daily activities, domiciliary care workers facilitate and enhance safety and independence in care homes and offer observational insights that collaborate in informing the care planning. Communication and swallowing problems are evaluated and treated by the speech and language </w:t>
      </w:r>
      <w:r w:rsidR="003866A7" w:rsidRPr="002242E6">
        <w:rPr>
          <w:rFonts w:cs="Arial"/>
        </w:rPr>
        <w:t>therapist,</w:t>
      </w:r>
      <w:r w:rsidRPr="002242E6">
        <w:rPr>
          <w:rFonts w:cs="Arial"/>
        </w:rPr>
        <w:t xml:space="preserve"> and this </w:t>
      </w:r>
      <w:r w:rsidR="003866A7" w:rsidRPr="002242E6">
        <w:rPr>
          <w:rFonts w:cs="Arial"/>
        </w:rPr>
        <w:t>directly influences</w:t>
      </w:r>
      <w:r w:rsidRPr="002242E6">
        <w:rPr>
          <w:rFonts w:cs="Arial"/>
        </w:rPr>
        <w:t xml:space="preserve"> the nutrition, </w:t>
      </w:r>
      <w:r w:rsidR="003866A7" w:rsidRPr="002242E6">
        <w:rPr>
          <w:rFonts w:cs="Arial"/>
        </w:rPr>
        <w:t>dignity,</w:t>
      </w:r>
      <w:r w:rsidRPr="002242E6">
        <w:rPr>
          <w:rFonts w:cs="Arial"/>
        </w:rPr>
        <w:t xml:space="preserve"> and quality of life. Both roles play the unique yet dependent information to improve the wellbeing of Mr. Ahmed</w:t>
      </w:r>
      <w:r w:rsidR="00003A02" w:rsidRPr="002242E6">
        <w:rPr>
          <w:rFonts w:cs="Arial"/>
        </w:rPr>
        <w:t xml:space="preserve"> (Social care institute for excellence, 2023)</w:t>
      </w:r>
      <w:r w:rsidRPr="002242E6">
        <w:rPr>
          <w:rFonts w:cs="Arial"/>
        </w:rPr>
        <w:t xml:space="preserve">. </w:t>
      </w:r>
    </w:p>
    <w:p w14:paraId="5A6C17F9" w14:textId="1FD4A9FB" w:rsidR="004424C7" w:rsidRPr="002242E6" w:rsidRDefault="004424C7" w:rsidP="004424C7">
      <w:pPr>
        <w:ind w:firstLine="720"/>
        <w:rPr>
          <w:rFonts w:cs="Arial"/>
        </w:rPr>
      </w:pPr>
      <w:r w:rsidRPr="002242E6">
        <w:rPr>
          <w:rFonts w:cs="Arial"/>
        </w:rPr>
        <w:t xml:space="preserve">At the same time, continuity and responsiveness of care are enhanced by collaboration practise via shared decisions making, formal gatherings, and meaningful sharing of information. As an example, multidisciplinary team (MDT) meetings will enable the group of professionals to discuss the condition of Mr. Ahmed and compare their care </w:t>
      </w:r>
      <w:r w:rsidR="009A12BC" w:rsidRPr="002242E6">
        <w:rPr>
          <w:rFonts w:cs="Arial"/>
        </w:rPr>
        <w:t>aims</w:t>
      </w:r>
      <w:r w:rsidRPr="002242E6">
        <w:rPr>
          <w:rFonts w:cs="Arial"/>
        </w:rPr>
        <w:t xml:space="preserve">, routine adjustment to the actual needs, and minimise the risk of conflicting actions. This teamwork will improve the provision of person-centred care and potentially help to improve the outcomes because it will improve the coordination in the agencies and settings. </w:t>
      </w:r>
    </w:p>
    <w:p w14:paraId="603A68EC" w14:textId="77777777" w:rsidR="004424C7" w:rsidRPr="002242E6" w:rsidRDefault="004424C7" w:rsidP="004424C7">
      <w:pPr>
        <w:ind w:firstLine="720"/>
        <w:rPr>
          <w:rFonts w:cs="Arial"/>
        </w:rPr>
      </w:pPr>
      <w:r w:rsidRPr="002242E6">
        <w:rPr>
          <w:rFonts w:cs="Arial"/>
        </w:rPr>
        <w:t xml:space="preserve">Although these advantages are experienced, obstacles to successful partnership may arise. Failure of communication, </w:t>
      </w:r>
      <w:proofErr w:type="spellStart"/>
      <w:r w:rsidRPr="002242E6">
        <w:rPr>
          <w:rFonts w:cs="Arial"/>
        </w:rPr>
        <w:t>irregularised</w:t>
      </w:r>
      <w:proofErr w:type="spellEnd"/>
      <w:r w:rsidRPr="002242E6">
        <w:rPr>
          <w:rFonts w:cs="Arial"/>
        </w:rPr>
        <w:t xml:space="preserve"> documentation and other scheduling challenges in occurrence because of varied organisational structures may be a barrier to the flow of information and coordinated action. Team functioning is also strained by resource constraints which may be the lack of staff or a time constraint. </w:t>
      </w:r>
    </w:p>
    <w:p w14:paraId="67A5E6E1" w14:textId="65A9656B" w:rsidR="004424C7" w:rsidRPr="002242E6" w:rsidRDefault="004424C7" w:rsidP="004424C7">
      <w:pPr>
        <w:ind w:firstLine="432"/>
        <w:rPr>
          <w:rFonts w:cs="Arial"/>
        </w:rPr>
      </w:pPr>
      <w:r w:rsidRPr="3781AD07">
        <w:rPr>
          <w:rFonts w:cs="Arial"/>
        </w:rPr>
        <w:t xml:space="preserve">In response to such issues, health and social care teams are recommended to adopt a routine briefing, take up shared care </w:t>
      </w:r>
      <w:r w:rsidR="002B0D9B" w:rsidRPr="3781AD07">
        <w:rPr>
          <w:rFonts w:cs="Arial"/>
        </w:rPr>
        <w:t>records,</w:t>
      </w:r>
      <w:r w:rsidRPr="3781AD07">
        <w:rPr>
          <w:rFonts w:cs="Arial"/>
        </w:rPr>
        <w:t xml:space="preserve"> or secure electronic systems to </w:t>
      </w:r>
      <w:r w:rsidR="002B0D9B" w:rsidRPr="3781AD07">
        <w:rPr>
          <w:rFonts w:cs="Arial"/>
        </w:rPr>
        <w:t>ease</w:t>
      </w:r>
      <w:r w:rsidRPr="3781AD07">
        <w:rPr>
          <w:rFonts w:cs="Arial"/>
        </w:rPr>
        <w:t xml:space="preserve"> on-time access to information and take up clear roles and responsibilities among the professionals. </w:t>
      </w:r>
    </w:p>
    <w:p w14:paraId="0E27B00A" w14:textId="77777777" w:rsidR="004424C7" w:rsidRPr="002242E6" w:rsidRDefault="004424C7" w:rsidP="004424C7">
      <w:pPr>
        <w:rPr>
          <w:rFonts w:cs="Arial"/>
        </w:rPr>
      </w:pPr>
    </w:p>
    <w:p w14:paraId="2B2A7A39" w14:textId="77777777" w:rsidR="000824D7" w:rsidRPr="002242E6" w:rsidRDefault="004424C7" w:rsidP="00F87E3F">
      <w:pPr>
        <w:pStyle w:val="Heading1"/>
        <w:ind w:left="0" w:firstLine="0"/>
        <w:rPr>
          <w:rFonts w:cs="Arial"/>
        </w:rPr>
      </w:pPr>
      <w:bookmarkStart w:id="4" w:name="_Toc225256541"/>
      <w:r w:rsidRPr="3781AD07">
        <w:rPr>
          <w:rFonts w:cs="Arial"/>
        </w:rPr>
        <w:t>Conclusion</w:t>
      </w:r>
      <w:bookmarkEnd w:id="4"/>
    </w:p>
    <w:p w14:paraId="15A3DD7C" w14:textId="176F898D" w:rsidR="16B658C9" w:rsidRDefault="16B658C9" w:rsidP="3781AD07">
      <w:pPr>
        <w:rPr>
          <w:rFonts w:cs="Arial"/>
        </w:rPr>
      </w:pPr>
      <w:r w:rsidRPr="3781AD07">
        <w:rPr>
          <w:rFonts w:cs="Arial"/>
        </w:rPr>
        <w:t xml:space="preserve">Other principles issues include the high-quality health and social care offered to Mr. Ahmed, which involves </w:t>
      </w:r>
      <w:r w:rsidR="002B0D9B" w:rsidRPr="3781AD07">
        <w:rPr>
          <w:rFonts w:cs="Arial"/>
        </w:rPr>
        <w:t>effective communication</w:t>
      </w:r>
      <w:r w:rsidRPr="3781AD07">
        <w:rPr>
          <w:rFonts w:cs="Arial"/>
        </w:rPr>
        <w:t xml:space="preserve">; good administrative virtues; and good cooperation among professionals. Simple exchanges between the care providers and Mr. Ahmed positively influence the exchange of essential information and </w:t>
      </w:r>
      <w:r w:rsidR="006575D4" w:rsidRPr="3781AD07">
        <w:rPr>
          <w:rFonts w:cs="Arial"/>
        </w:rPr>
        <w:t>minimisation</w:t>
      </w:r>
      <w:r w:rsidRPr="3781AD07">
        <w:rPr>
          <w:rFonts w:cs="Arial"/>
        </w:rPr>
        <w:t xml:space="preserve"> of the number of occurrences of errors, which causes the service user to feel in control of the situation leading to </w:t>
      </w:r>
      <w:r w:rsidR="00DE0A4A" w:rsidRPr="3781AD07">
        <w:rPr>
          <w:rFonts w:cs="Arial"/>
        </w:rPr>
        <w:t>elevated levels</w:t>
      </w:r>
      <w:r w:rsidRPr="3781AD07">
        <w:rPr>
          <w:rFonts w:cs="Arial"/>
        </w:rPr>
        <w:t xml:space="preserve"> of safety and satisfaction. The constant of the health care continuity, legality and legality of decision making and </w:t>
      </w:r>
      <w:r w:rsidR="006575D4" w:rsidRPr="3781AD07">
        <w:rPr>
          <w:rFonts w:cs="Arial"/>
        </w:rPr>
        <w:t>multidisciplinary</w:t>
      </w:r>
      <w:r w:rsidRPr="3781AD07">
        <w:rPr>
          <w:rFonts w:cs="Arial"/>
        </w:rPr>
        <w:t xml:space="preserve"> concepts guarantee continuity of health care delivered in the health care facility. The concept of coherent management increases hypocrisy and interdisciplinary planning and responsiveness. The combination of them preserves dignity of Mr. Ahmed, enables him to receive personalised continuous, safe, and continuous help, and are the embodiments of a care approach as a whole, which is the root of high-quality and personalised care.</w:t>
      </w:r>
    </w:p>
    <w:p w14:paraId="071E4E01" w14:textId="77777777" w:rsidR="00003A02" w:rsidRPr="002242E6" w:rsidRDefault="00003A02" w:rsidP="00003A02">
      <w:pPr>
        <w:pStyle w:val="Heading1"/>
        <w:rPr>
          <w:rFonts w:cs="Arial"/>
        </w:rPr>
      </w:pPr>
      <w:r w:rsidRPr="002242E6">
        <w:rPr>
          <w:rFonts w:cs="Arial"/>
        </w:rPr>
        <w:br w:type="page"/>
      </w:r>
      <w:bookmarkStart w:id="5" w:name="_Toc225256542"/>
      <w:r w:rsidRPr="002242E6">
        <w:rPr>
          <w:rFonts w:cs="Arial"/>
        </w:rPr>
        <w:t>References</w:t>
      </w:r>
      <w:bookmarkEnd w:id="5"/>
    </w:p>
    <w:p w14:paraId="1A8BA12B"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proofErr w:type="spellStart"/>
      <w:r w:rsidRPr="002242E6">
        <w:rPr>
          <w:rFonts w:eastAsia="Times New Roman" w:cs="Arial"/>
          <w:color w:val="auto"/>
          <w:szCs w:val="24"/>
          <w:lang w:eastAsia="en-GB"/>
        </w:rPr>
        <w:t>Dellafiore</w:t>
      </w:r>
      <w:proofErr w:type="spellEnd"/>
      <w:r w:rsidRPr="002242E6">
        <w:rPr>
          <w:rFonts w:eastAsia="Times New Roman" w:cs="Arial"/>
          <w:color w:val="auto"/>
          <w:szCs w:val="24"/>
          <w:lang w:eastAsia="en-GB"/>
        </w:rPr>
        <w:t xml:space="preserve">, F., </w:t>
      </w:r>
      <w:proofErr w:type="spellStart"/>
      <w:r w:rsidRPr="002242E6">
        <w:rPr>
          <w:rFonts w:eastAsia="Times New Roman" w:cs="Arial"/>
          <w:color w:val="auto"/>
          <w:szCs w:val="24"/>
          <w:lang w:eastAsia="en-GB"/>
        </w:rPr>
        <w:t>Guardamagna</w:t>
      </w:r>
      <w:proofErr w:type="spellEnd"/>
      <w:r w:rsidRPr="002242E6">
        <w:rPr>
          <w:rFonts w:eastAsia="Times New Roman" w:cs="Arial"/>
          <w:color w:val="auto"/>
          <w:szCs w:val="24"/>
          <w:lang w:eastAsia="en-GB"/>
        </w:rPr>
        <w:t xml:space="preserve">, L., </w:t>
      </w:r>
      <w:proofErr w:type="spellStart"/>
      <w:r w:rsidRPr="002242E6">
        <w:rPr>
          <w:rFonts w:eastAsia="Times New Roman" w:cs="Arial"/>
          <w:color w:val="auto"/>
          <w:szCs w:val="24"/>
          <w:lang w:eastAsia="en-GB"/>
        </w:rPr>
        <w:t>Haoufadi</w:t>
      </w:r>
      <w:proofErr w:type="spellEnd"/>
      <w:r w:rsidRPr="002242E6">
        <w:rPr>
          <w:rFonts w:eastAsia="Times New Roman" w:cs="Arial"/>
          <w:color w:val="auto"/>
          <w:szCs w:val="24"/>
          <w:lang w:eastAsia="en-GB"/>
        </w:rPr>
        <w:t xml:space="preserve">, S., </w:t>
      </w:r>
      <w:proofErr w:type="spellStart"/>
      <w:r w:rsidRPr="002242E6">
        <w:rPr>
          <w:rFonts w:eastAsia="Times New Roman" w:cs="Arial"/>
          <w:color w:val="auto"/>
          <w:szCs w:val="24"/>
          <w:lang w:eastAsia="en-GB"/>
        </w:rPr>
        <w:t>Cicognani</w:t>
      </w:r>
      <w:proofErr w:type="spellEnd"/>
      <w:r w:rsidRPr="002242E6">
        <w:rPr>
          <w:rFonts w:eastAsia="Times New Roman" w:cs="Arial"/>
          <w:color w:val="auto"/>
          <w:szCs w:val="24"/>
          <w:lang w:eastAsia="en-GB"/>
        </w:rPr>
        <w:t xml:space="preserve">, A., Mola, A.D., </w:t>
      </w:r>
      <w:proofErr w:type="spellStart"/>
      <w:r w:rsidRPr="002242E6">
        <w:rPr>
          <w:rFonts w:eastAsia="Times New Roman" w:cs="Arial"/>
          <w:color w:val="auto"/>
          <w:szCs w:val="24"/>
          <w:lang w:eastAsia="en-GB"/>
        </w:rPr>
        <w:t>Mazzone</w:t>
      </w:r>
      <w:proofErr w:type="spellEnd"/>
      <w:r w:rsidRPr="002242E6">
        <w:rPr>
          <w:rFonts w:eastAsia="Times New Roman" w:cs="Arial"/>
          <w:color w:val="auto"/>
          <w:szCs w:val="24"/>
          <w:lang w:eastAsia="en-GB"/>
        </w:rPr>
        <w:t xml:space="preserve">, B., </w:t>
      </w:r>
      <w:proofErr w:type="spellStart"/>
      <w:r w:rsidRPr="002242E6">
        <w:rPr>
          <w:rFonts w:eastAsia="Times New Roman" w:cs="Arial"/>
          <w:color w:val="auto"/>
          <w:szCs w:val="24"/>
          <w:lang w:eastAsia="en-GB"/>
        </w:rPr>
        <w:t>Occhini</w:t>
      </w:r>
      <w:proofErr w:type="spellEnd"/>
      <w:r w:rsidRPr="002242E6">
        <w:rPr>
          <w:rFonts w:eastAsia="Times New Roman" w:cs="Arial"/>
          <w:color w:val="auto"/>
          <w:szCs w:val="24"/>
          <w:lang w:eastAsia="en-GB"/>
        </w:rPr>
        <w:t xml:space="preserve">, G., </w:t>
      </w:r>
      <w:proofErr w:type="spellStart"/>
      <w:r w:rsidRPr="002242E6">
        <w:rPr>
          <w:rFonts w:eastAsia="Times New Roman" w:cs="Arial"/>
          <w:color w:val="auto"/>
          <w:szCs w:val="24"/>
          <w:lang w:eastAsia="en-GB"/>
        </w:rPr>
        <w:t>Brusini</w:t>
      </w:r>
      <w:proofErr w:type="spellEnd"/>
      <w:r w:rsidRPr="002242E6">
        <w:rPr>
          <w:rFonts w:eastAsia="Times New Roman" w:cs="Arial"/>
          <w:color w:val="auto"/>
          <w:szCs w:val="24"/>
          <w:lang w:eastAsia="en-GB"/>
        </w:rPr>
        <w:t xml:space="preserve">, A. and </w:t>
      </w:r>
      <w:proofErr w:type="spellStart"/>
      <w:r w:rsidRPr="002242E6">
        <w:rPr>
          <w:rFonts w:eastAsia="Times New Roman" w:cs="Arial"/>
          <w:color w:val="auto"/>
          <w:szCs w:val="24"/>
          <w:lang w:eastAsia="en-GB"/>
        </w:rPr>
        <w:t>Artioli</w:t>
      </w:r>
      <w:proofErr w:type="spellEnd"/>
      <w:r w:rsidRPr="002242E6">
        <w:rPr>
          <w:rFonts w:eastAsia="Times New Roman" w:cs="Arial"/>
          <w:color w:val="auto"/>
          <w:szCs w:val="24"/>
          <w:lang w:eastAsia="en-GB"/>
        </w:rPr>
        <w:t xml:space="preserve">, G. (2025). </w:t>
      </w:r>
      <w:proofErr w:type="spellStart"/>
      <w:r w:rsidRPr="002242E6">
        <w:rPr>
          <w:rFonts w:eastAsia="Times New Roman" w:cs="Arial"/>
          <w:color w:val="auto"/>
          <w:szCs w:val="24"/>
          <w:lang w:eastAsia="en-GB"/>
        </w:rPr>
        <w:t>Interprofessional</w:t>
      </w:r>
      <w:proofErr w:type="spellEnd"/>
      <w:r w:rsidRPr="002242E6">
        <w:rPr>
          <w:rFonts w:eastAsia="Times New Roman" w:cs="Arial"/>
          <w:color w:val="auto"/>
          <w:szCs w:val="24"/>
          <w:lang w:eastAsia="en-GB"/>
        </w:rPr>
        <w:t xml:space="preserve"> Collaboration in Primary Healthcare: A Qualitative Study of General Practitioners’ and Family and Community Nurses’ Perspectives in Italy. </w:t>
      </w:r>
      <w:r w:rsidRPr="002242E6">
        <w:rPr>
          <w:rFonts w:eastAsia="Times New Roman" w:cs="Arial"/>
          <w:i/>
          <w:iCs/>
          <w:color w:val="auto"/>
          <w:szCs w:val="24"/>
          <w:lang w:eastAsia="en-GB"/>
        </w:rPr>
        <w:t>Healthcare</w:t>
      </w:r>
      <w:r w:rsidRPr="002242E6">
        <w:rPr>
          <w:rFonts w:eastAsia="Times New Roman" w:cs="Arial"/>
          <w:color w:val="auto"/>
          <w:szCs w:val="24"/>
          <w:lang w:eastAsia="en-GB"/>
        </w:rPr>
        <w:t xml:space="preserve">, 13(21), pp.2794–2794. </w:t>
      </w:r>
      <w:proofErr w:type="spellStart"/>
      <w:r w:rsidRPr="002242E6">
        <w:rPr>
          <w:rFonts w:eastAsia="Times New Roman" w:cs="Arial"/>
          <w:color w:val="auto"/>
          <w:szCs w:val="24"/>
          <w:lang w:eastAsia="en-GB"/>
        </w:rPr>
        <w:t>doi</w:t>
      </w:r>
      <w:proofErr w:type="spellEnd"/>
      <w:r w:rsidRPr="002242E6">
        <w:rPr>
          <w:rFonts w:eastAsia="Times New Roman" w:cs="Arial"/>
          <w:color w:val="auto"/>
          <w:szCs w:val="24"/>
          <w:lang w:eastAsia="en-GB"/>
        </w:rPr>
        <w:t xml:space="preserve">: </w:t>
      </w:r>
      <w:hyperlink r:id="rId8" w:history="1">
        <w:r w:rsidRPr="002242E6">
          <w:rPr>
            <w:rStyle w:val="Hyperlink"/>
            <w:rFonts w:eastAsia="Times New Roman" w:cs="Arial"/>
            <w:szCs w:val="24"/>
            <w:lang w:eastAsia="en-GB"/>
          </w:rPr>
          <w:t>https://doi.org/10.3390/healthcare13212794</w:t>
        </w:r>
      </w:hyperlink>
      <w:r w:rsidRPr="002242E6">
        <w:rPr>
          <w:rFonts w:eastAsia="Times New Roman" w:cs="Arial"/>
          <w:color w:val="auto"/>
          <w:szCs w:val="24"/>
          <w:lang w:eastAsia="en-GB"/>
        </w:rPr>
        <w:t xml:space="preserve">. </w:t>
      </w:r>
    </w:p>
    <w:p w14:paraId="2D8CBD3F"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proofErr w:type="spellStart"/>
      <w:r w:rsidRPr="002242E6">
        <w:rPr>
          <w:rFonts w:eastAsia="Times New Roman" w:cs="Arial"/>
          <w:color w:val="auto"/>
          <w:szCs w:val="24"/>
          <w:lang w:eastAsia="en-GB"/>
        </w:rPr>
        <w:t>Demsash</w:t>
      </w:r>
      <w:proofErr w:type="spellEnd"/>
      <w:r w:rsidRPr="002242E6">
        <w:rPr>
          <w:rFonts w:eastAsia="Times New Roman" w:cs="Arial"/>
          <w:color w:val="auto"/>
          <w:szCs w:val="24"/>
          <w:lang w:eastAsia="en-GB"/>
        </w:rPr>
        <w:t xml:space="preserve">, A.W., </w:t>
      </w:r>
      <w:proofErr w:type="spellStart"/>
      <w:r w:rsidRPr="002242E6">
        <w:rPr>
          <w:rFonts w:eastAsia="Times New Roman" w:cs="Arial"/>
          <w:color w:val="auto"/>
          <w:szCs w:val="24"/>
          <w:lang w:eastAsia="en-GB"/>
        </w:rPr>
        <w:t>Kassie</w:t>
      </w:r>
      <w:proofErr w:type="spellEnd"/>
      <w:r w:rsidRPr="002242E6">
        <w:rPr>
          <w:rFonts w:eastAsia="Times New Roman" w:cs="Arial"/>
          <w:color w:val="auto"/>
          <w:szCs w:val="24"/>
          <w:lang w:eastAsia="en-GB"/>
        </w:rPr>
        <w:t xml:space="preserve">, S.Y., </w:t>
      </w:r>
      <w:proofErr w:type="spellStart"/>
      <w:r w:rsidRPr="002242E6">
        <w:rPr>
          <w:rFonts w:eastAsia="Times New Roman" w:cs="Arial"/>
          <w:color w:val="auto"/>
          <w:szCs w:val="24"/>
          <w:lang w:eastAsia="en-GB"/>
        </w:rPr>
        <w:t>Dubale</w:t>
      </w:r>
      <w:proofErr w:type="spellEnd"/>
      <w:r w:rsidRPr="002242E6">
        <w:rPr>
          <w:rFonts w:eastAsia="Times New Roman" w:cs="Arial"/>
          <w:color w:val="auto"/>
          <w:szCs w:val="24"/>
          <w:lang w:eastAsia="en-GB"/>
        </w:rPr>
        <w:t xml:space="preserve">, A.T., </w:t>
      </w:r>
      <w:proofErr w:type="spellStart"/>
      <w:r w:rsidRPr="002242E6">
        <w:rPr>
          <w:rFonts w:eastAsia="Times New Roman" w:cs="Arial"/>
          <w:color w:val="auto"/>
          <w:szCs w:val="24"/>
          <w:lang w:eastAsia="en-GB"/>
        </w:rPr>
        <w:t>Chereka</w:t>
      </w:r>
      <w:proofErr w:type="spellEnd"/>
      <w:r w:rsidRPr="002242E6">
        <w:rPr>
          <w:rFonts w:eastAsia="Times New Roman" w:cs="Arial"/>
          <w:color w:val="auto"/>
          <w:szCs w:val="24"/>
          <w:lang w:eastAsia="en-GB"/>
        </w:rPr>
        <w:t xml:space="preserve">, A.A., </w:t>
      </w:r>
      <w:proofErr w:type="spellStart"/>
      <w:r w:rsidRPr="002242E6">
        <w:rPr>
          <w:rFonts w:eastAsia="Times New Roman" w:cs="Arial"/>
          <w:color w:val="auto"/>
          <w:szCs w:val="24"/>
          <w:lang w:eastAsia="en-GB"/>
        </w:rPr>
        <w:t>Ngusie</w:t>
      </w:r>
      <w:proofErr w:type="spellEnd"/>
      <w:r w:rsidRPr="002242E6">
        <w:rPr>
          <w:rFonts w:eastAsia="Times New Roman" w:cs="Arial"/>
          <w:color w:val="auto"/>
          <w:szCs w:val="24"/>
          <w:lang w:eastAsia="en-GB"/>
        </w:rPr>
        <w:t xml:space="preserve">, H.S., </w:t>
      </w:r>
      <w:proofErr w:type="spellStart"/>
      <w:r w:rsidRPr="002242E6">
        <w:rPr>
          <w:rFonts w:eastAsia="Times New Roman" w:cs="Arial"/>
          <w:color w:val="auto"/>
          <w:szCs w:val="24"/>
          <w:lang w:eastAsia="en-GB"/>
        </w:rPr>
        <w:t>Hunde</w:t>
      </w:r>
      <w:proofErr w:type="spellEnd"/>
      <w:r w:rsidRPr="002242E6">
        <w:rPr>
          <w:rFonts w:eastAsia="Times New Roman" w:cs="Arial"/>
          <w:color w:val="auto"/>
          <w:szCs w:val="24"/>
          <w:lang w:eastAsia="en-GB"/>
        </w:rPr>
        <w:t xml:space="preserve">, M.K., </w:t>
      </w:r>
      <w:proofErr w:type="spellStart"/>
      <w:r w:rsidRPr="002242E6">
        <w:rPr>
          <w:rFonts w:eastAsia="Times New Roman" w:cs="Arial"/>
          <w:color w:val="auto"/>
          <w:szCs w:val="24"/>
          <w:lang w:eastAsia="en-GB"/>
        </w:rPr>
        <w:t>Emanu</w:t>
      </w:r>
      <w:proofErr w:type="spellEnd"/>
      <w:r w:rsidRPr="002242E6">
        <w:rPr>
          <w:rFonts w:eastAsia="Times New Roman" w:cs="Arial"/>
          <w:color w:val="auto"/>
          <w:szCs w:val="24"/>
          <w:lang w:eastAsia="en-GB"/>
        </w:rPr>
        <w:t xml:space="preserve">, M.D., </w:t>
      </w:r>
      <w:proofErr w:type="spellStart"/>
      <w:r w:rsidRPr="002242E6">
        <w:rPr>
          <w:rFonts w:eastAsia="Times New Roman" w:cs="Arial"/>
          <w:color w:val="auto"/>
          <w:szCs w:val="24"/>
          <w:lang w:eastAsia="en-GB"/>
        </w:rPr>
        <w:t>Shibabaw</w:t>
      </w:r>
      <w:proofErr w:type="spellEnd"/>
      <w:r w:rsidRPr="002242E6">
        <w:rPr>
          <w:rFonts w:eastAsia="Times New Roman" w:cs="Arial"/>
          <w:color w:val="auto"/>
          <w:szCs w:val="24"/>
          <w:lang w:eastAsia="en-GB"/>
        </w:rPr>
        <w:t xml:space="preserve">, A.A. and Walle, A.D. (2023). Health professionals’ routine practice documentation and its associated factors in a resource-limited setting: a cross-sectional study. </w:t>
      </w:r>
      <w:r w:rsidRPr="002242E6">
        <w:rPr>
          <w:rFonts w:eastAsia="Times New Roman" w:cs="Arial"/>
          <w:i/>
          <w:iCs/>
          <w:color w:val="auto"/>
          <w:szCs w:val="24"/>
          <w:lang w:eastAsia="en-GB"/>
        </w:rPr>
        <w:t>BMJ Health &amp; Care Informatics</w:t>
      </w:r>
      <w:r w:rsidRPr="002242E6">
        <w:rPr>
          <w:rFonts w:eastAsia="Times New Roman" w:cs="Arial"/>
          <w:color w:val="auto"/>
          <w:szCs w:val="24"/>
          <w:lang w:eastAsia="en-GB"/>
        </w:rPr>
        <w:t xml:space="preserve">, [online] 30(1), pp.1–7. </w:t>
      </w:r>
      <w:proofErr w:type="spellStart"/>
      <w:r w:rsidRPr="002242E6">
        <w:rPr>
          <w:rFonts w:eastAsia="Times New Roman" w:cs="Arial"/>
          <w:color w:val="auto"/>
          <w:szCs w:val="24"/>
          <w:lang w:eastAsia="en-GB"/>
        </w:rPr>
        <w:t>doi</w:t>
      </w:r>
      <w:proofErr w:type="spellEnd"/>
      <w:r w:rsidRPr="002242E6">
        <w:rPr>
          <w:rFonts w:eastAsia="Times New Roman" w:cs="Arial"/>
          <w:color w:val="auto"/>
          <w:szCs w:val="24"/>
          <w:lang w:eastAsia="en-GB"/>
        </w:rPr>
        <w:t xml:space="preserve">: </w:t>
      </w:r>
      <w:hyperlink r:id="rId9" w:history="1">
        <w:r w:rsidRPr="002242E6">
          <w:rPr>
            <w:rStyle w:val="Hyperlink"/>
            <w:rFonts w:eastAsia="Times New Roman" w:cs="Arial"/>
            <w:szCs w:val="24"/>
            <w:lang w:eastAsia="en-GB"/>
          </w:rPr>
          <w:t>https://doi.org/10.1136/bmjhci-2022-100699</w:t>
        </w:r>
      </w:hyperlink>
      <w:r w:rsidRPr="002242E6">
        <w:rPr>
          <w:rFonts w:eastAsia="Times New Roman" w:cs="Arial"/>
          <w:color w:val="auto"/>
          <w:szCs w:val="24"/>
          <w:lang w:eastAsia="en-GB"/>
        </w:rPr>
        <w:t xml:space="preserve">. </w:t>
      </w:r>
    </w:p>
    <w:p w14:paraId="048F5DA4"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Dunbar, P., Keyes, L.M. and Browne, J.P. (2023). Determinants of regulatory compliance in health and social care services: A systematic review using the Consolidated Framework for Implementation Research. </w:t>
      </w:r>
      <w:r w:rsidRPr="002242E6">
        <w:rPr>
          <w:rFonts w:eastAsia="Times New Roman" w:cs="Arial"/>
          <w:i/>
          <w:iCs/>
          <w:color w:val="auto"/>
          <w:szCs w:val="24"/>
          <w:lang w:eastAsia="en-GB"/>
        </w:rPr>
        <w:t>PLOS ONE</w:t>
      </w:r>
      <w:r w:rsidRPr="002242E6">
        <w:rPr>
          <w:rFonts w:eastAsia="Times New Roman" w:cs="Arial"/>
          <w:color w:val="auto"/>
          <w:szCs w:val="24"/>
          <w:lang w:eastAsia="en-GB"/>
        </w:rPr>
        <w:t xml:space="preserve">, 18(4), pp.1–46. </w:t>
      </w:r>
      <w:proofErr w:type="spellStart"/>
      <w:r w:rsidRPr="002242E6">
        <w:rPr>
          <w:rFonts w:eastAsia="Times New Roman" w:cs="Arial"/>
          <w:color w:val="auto"/>
          <w:szCs w:val="24"/>
          <w:lang w:eastAsia="en-GB"/>
        </w:rPr>
        <w:t>doi</w:t>
      </w:r>
      <w:proofErr w:type="spellEnd"/>
      <w:r w:rsidRPr="002242E6">
        <w:rPr>
          <w:rFonts w:eastAsia="Times New Roman" w:cs="Arial"/>
          <w:color w:val="auto"/>
          <w:szCs w:val="24"/>
          <w:lang w:eastAsia="en-GB"/>
        </w:rPr>
        <w:t xml:space="preserve">: </w:t>
      </w:r>
      <w:hyperlink r:id="rId10" w:history="1">
        <w:r w:rsidRPr="002242E6">
          <w:rPr>
            <w:rStyle w:val="Hyperlink"/>
            <w:rFonts w:eastAsia="Times New Roman" w:cs="Arial"/>
            <w:szCs w:val="24"/>
            <w:lang w:eastAsia="en-GB"/>
          </w:rPr>
          <w:t>https://doi.org/10.1371/journal.pone.0278007</w:t>
        </w:r>
      </w:hyperlink>
      <w:r w:rsidRPr="002242E6">
        <w:rPr>
          <w:rFonts w:eastAsia="Times New Roman" w:cs="Arial"/>
          <w:color w:val="auto"/>
          <w:szCs w:val="24"/>
          <w:lang w:eastAsia="en-GB"/>
        </w:rPr>
        <w:t xml:space="preserve">. </w:t>
      </w:r>
    </w:p>
    <w:p w14:paraId="48EE1841"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GOV.UK (2013). </w:t>
      </w:r>
      <w:r w:rsidRPr="002242E6">
        <w:rPr>
          <w:rFonts w:eastAsia="Times New Roman" w:cs="Arial"/>
          <w:i/>
          <w:iCs/>
          <w:color w:val="auto"/>
          <w:szCs w:val="24"/>
          <w:lang w:eastAsia="en-GB"/>
        </w:rPr>
        <w:t>Equality Act 2010</w:t>
      </w:r>
      <w:r w:rsidRPr="002242E6">
        <w:rPr>
          <w:rFonts w:eastAsia="Times New Roman" w:cs="Arial"/>
          <w:color w:val="auto"/>
          <w:szCs w:val="24"/>
          <w:lang w:eastAsia="en-GB"/>
        </w:rPr>
        <w:t xml:space="preserve">. [online] GOV.UK. Available at: </w:t>
      </w:r>
      <w:hyperlink r:id="rId11" w:history="1">
        <w:r w:rsidRPr="002242E6">
          <w:rPr>
            <w:rStyle w:val="Hyperlink"/>
            <w:rFonts w:eastAsia="Times New Roman" w:cs="Arial"/>
            <w:szCs w:val="24"/>
            <w:lang w:eastAsia="en-GB"/>
          </w:rPr>
          <w:t>https://www.gov.uk/guidance/equality-act-2010-guidance</w:t>
        </w:r>
      </w:hyperlink>
      <w:r w:rsidRPr="002242E6">
        <w:rPr>
          <w:rFonts w:eastAsia="Times New Roman" w:cs="Arial"/>
          <w:color w:val="auto"/>
          <w:szCs w:val="24"/>
          <w:lang w:eastAsia="en-GB"/>
        </w:rPr>
        <w:t xml:space="preserve">. </w:t>
      </w:r>
    </w:p>
    <w:p w14:paraId="7A57449C"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GOV.UK (2018). </w:t>
      </w:r>
      <w:r w:rsidRPr="002242E6">
        <w:rPr>
          <w:rFonts w:eastAsia="Times New Roman" w:cs="Arial"/>
          <w:i/>
          <w:iCs/>
          <w:color w:val="auto"/>
          <w:szCs w:val="24"/>
          <w:lang w:eastAsia="en-GB"/>
        </w:rPr>
        <w:t>Data Protection Act 2018</w:t>
      </w:r>
      <w:r w:rsidRPr="002242E6">
        <w:rPr>
          <w:rFonts w:eastAsia="Times New Roman" w:cs="Arial"/>
          <w:color w:val="auto"/>
          <w:szCs w:val="24"/>
          <w:lang w:eastAsia="en-GB"/>
        </w:rPr>
        <w:t xml:space="preserve">. [online] legislation.gov.uk. Available at: </w:t>
      </w:r>
      <w:hyperlink r:id="rId12" w:history="1">
        <w:r w:rsidRPr="002242E6">
          <w:rPr>
            <w:rStyle w:val="Hyperlink"/>
            <w:rFonts w:eastAsia="Times New Roman" w:cs="Arial"/>
            <w:szCs w:val="24"/>
            <w:lang w:eastAsia="en-GB"/>
          </w:rPr>
          <w:t>https://www.legislation.gov.uk/ukpga/2018/12/contents</w:t>
        </w:r>
      </w:hyperlink>
      <w:r w:rsidRPr="002242E6">
        <w:rPr>
          <w:rFonts w:eastAsia="Times New Roman" w:cs="Arial"/>
          <w:color w:val="auto"/>
          <w:szCs w:val="24"/>
          <w:lang w:eastAsia="en-GB"/>
        </w:rPr>
        <w:t xml:space="preserve">. </w:t>
      </w:r>
    </w:p>
    <w:p w14:paraId="5A5CA40C"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Health Literacy Solutions </w:t>
      </w:r>
      <w:proofErr w:type="spellStart"/>
      <w:r w:rsidRPr="002242E6">
        <w:rPr>
          <w:rFonts w:eastAsia="Times New Roman" w:cs="Arial"/>
          <w:color w:val="auto"/>
          <w:szCs w:val="24"/>
          <w:lang w:eastAsia="en-GB"/>
        </w:rPr>
        <w:t>Center</w:t>
      </w:r>
      <w:proofErr w:type="spellEnd"/>
      <w:r w:rsidRPr="002242E6">
        <w:rPr>
          <w:rFonts w:eastAsia="Times New Roman" w:cs="Arial"/>
          <w:color w:val="auto"/>
          <w:szCs w:val="24"/>
          <w:lang w:eastAsia="en-GB"/>
        </w:rPr>
        <w:t xml:space="preserve"> (2023). </w:t>
      </w:r>
      <w:r w:rsidRPr="002242E6">
        <w:rPr>
          <w:rFonts w:eastAsia="Times New Roman" w:cs="Arial"/>
          <w:i/>
          <w:iCs/>
          <w:color w:val="auto"/>
          <w:szCs w:val="24"/>
          <w:lang w:eastAsia="en-GB"/>
        </w:rPr>
        <w:t>7 barriers to effective communication in healthcare</w:t>
      </w:r>
      <w:r w:rsidRPr="002242E6">
        <w:rPr>
          <w:rFonts w:eastAsia="Times New Roman" w:cs="Arial"/>
          <w:color w:val="auto"/>
          <w:szCs w:val="24"/>
          <w:lang w:eastAsia="en-GB"/>
        </w:rPr>
        <w:t xml:space="preserve">. [online] www.healthliteracysolutions.org. Available at: </w:t>
      </w:r>
      <w:hyperlink r:id="rId13" w:history="1">
        <w:r w:rsidRPr="002242E6">
          <w:rPr>
            <w:rStyle w:val="Hyperlink"/>
            <w:rFonts w:eastAsia="Times New Roman" w:cs="Arial"/>
            <w:szCs w:val="24"/>
            <w:lang w:eastAsia="en-GB"/>
          </w:rPr>
          <w:t>https://www.healthliteracysolutions.org/blogs/iha-staff1/2023/07/19/7-barriers-to-effective-communication-in-healthcar</w:t>
        </w:r>
      </w:hyperlink>
      <w:r w:rsidRPr="002242E6">
        <w:rPr>
          <w:rFonts w:eastAsia="Times New Roman" w:cs="Arial"/>
          <w:color w:val="auto"/>
          <w:szCs w:val="24"/>
          <w:lang w:eastAsia="en-GB"/>
        </w:rPr>
        <w:t xml:space="preserve">. </w:t>
      </w:r>
    </w:p>
    <w:p w14:paraId="1D4A1C7C"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Jones, M.C., Stone, T., Mason, S.M., Eames, A. and Franklin, M. (2023). Navigating data governance associated with real-world data for public benefit: an overview in the UK and future considerations. </w:t>
      </w:r>
      <w:r w:rsidRPr="002242E6">
        <w:rPr>
          <w:rFonts w:eastAsia="Times New Roman" w:cs="Arial"/>
          <w:i/>
          <w:iCs/>
          <w:color w:val="auto"/>
          <w:szCs w:val="24"/>
          <w:lang w:eastAsia="en-GB"/>
        </w:rPr>
        <w:t>BMJ Open</w:t>
      </w:r>
      <w:r w:rsidRPr="002242E6">
        <w:rPr>
          <w:rFonts w:eastAsia="Times New Roman" w:cs="Arial"/>
          <w:color w:val="auto"/>
          <w:szCs w:val="24"/>
          <w:lang w:eastAsia="en-GB"/>
        </w:rPr>
        <w:t xml:space="preserve">, [online] 13(10), pp.1–9. </w:t>
      </w:r>
      <w:proofErr w:type="spellStart"/>
      <w:r w:rsidRPr="002242E6">
        <w:rPr>
          <w:rFonts w:eastAsia="Times New Roman" w:cs="Arial"/>
          <w:color w:val="auto"/>
          <w:szCs w:val="24"/>
          <w:lang w:eastAsia="en-GB"/>
        </w:rPr>
        <w:t>doi</w:t>
      </w:r>
      <w:proofErr w:type="spellEnd"/>
      <w:r w:rsidRPr="002242E6">
        <w:rPr>
          <w:rFonts w:eastAsia="Times New Roman" w:cs="Arial"/>
          <w:color w:val="auto"/>
          <w:szCs w:val="24"/>
          <w:lang w:eastAsia="en-GB"/>
        </w:rPr>
        <w:t xml:space="preserve">: </w:t>
      </w:r>
      <w:hyperlink r:id="rId14" w:history="1">
        <w:r w:rsidRPr="002242E6">
          <w:rPr>
            <w:rStyle w:val="Hyperlink"/>
            <w:rFonts w:eastAsia="Times New Roman" w:cs="Arial"/>
            <w:szCs w:val="24"/>
            <w:lang w:eastAsia="en-GB"/>
          </w:rPr>
          <w:t>https://doi.org/10.1136/bmjopen-2022-069925</w:t>
        </w:r>
      </w:hyperlink>
      <w:r w:rsidRPr="002242E6">
        <w:rPr>
          <w:rFonts w:eastAsia="Times New Roman" w:cs="Arial"/>
          <w:color w:val="auto"/>
          <w:szCs w:val="24"/>
          <w:lang w:eastAsia="en-GB"/>
        </w:rPr>
        <w:t xml:space="preserve">. </w:t>
      </w:r>
    </w:p>
    <w:p w14:paraId="3693E491"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proofErr w:type="spellStart"/>
      <w:r w:rsidRPr="002242E6">
        <w:rPr>
          <w:rFonts w:eastAsia="Times New Roman" w:cs="Arial"/>
          <w:color w:val="auto"/>
          <w:szCs w:val="24"/>
          <w:lang w:eastAsia="en-GB"/>
        </w:rPr>
        <w:t>Mathioudakis</w:t>
      </w:r>
      <w:proofErr w:type="spellEnd"/>
      <w:r w:rsidRPr="002242E6">
        <w:rPr>
          <w:rFonts w:eastAsia="Times New Roman" w:cs="Arial"/>
          <w:color w:val="auto"/>
          <w:szCs w:val="24"/>
          <w:lang w:eastAsia="en-GB"/>
        </w:rPr>
        <w:t xml:space="preserve">, A. (2016). How to Keep Good Clinical Records. </w:t>
      </w:r>
      <w:r w:rsidRPr="002242E6">
        <w:rPr>
          <w:rFonts w:eastAsia="Times New Roman" w:cs="Arial"/>
          <w:i/>
          <w:iCs/>
          <w:color w:val="auto"/>
          <w:szCs w:val="24"/>
          <w:lang w:eastAsia="en-GB"/>
        </w:rPr>
        <w:t>Breathe</w:t>
      </w:r>
      <w:r w:rsidRPr="002242E6">
        <w:rPr>
          <w:rFonts w:eastAsia="Times New Roman" w:cs="Arial"/>
          <w:color w:val="auto"/>
          <w:szCs w:val="24"/>
          <w:lang w:eastAsia="en-GB"/>
        </w:rPr>
        <w:t xml:space="preserve">, 12(4), pp.369–373. </w:t>
      </w:r>
      <w:proofErr w:type="spellStart"/>
      <w:r w:rsidRPr="002242E6">
        <w:rPr>
          <w:rFonts w:eastAsia="Times New Roman" w:cs="Arial"/>
          <w:color w:val="auto"/>
          <w:szCs w:val="24"/>
          <w:lang w:eastAsia="en-GB"/>
        </w:rPr>
        <w:t>doi</w:t>
      </w:r>
      <w:proofErr w:type="spellEnd"/>
      <w:r w:rsidRPr="002242E6">
        <w:rPr>
          <w:rFonts w:eastAsia="Times New Roman" w:cs="Arial"/>
          <w:color w:val="auto"/>
          <w:szCs w:val="24"/>
          <w:lang w:eastAsia="en-GB"/>
        </w:rPr>
        <w:t xml:space="preserve">: </w:t>
      </w:r>
      <w:hyperlink r:id="rId15" w:history="1">
        <w:r w:rsidRPr="002242E6">
          <w:rPr>
            <w:rStyle w:val="Hyperlink"/>
            <w:rFonts w:eastAsia="Times New Roman" w:cs="Arial"/>
            <w:szCs w:val="24"/>
            <w:lang w:eastAsia="en-GB"/>
          </w:rPr>
          <w:t>https://doi.org/10.1183/20734735.018016</w:t>
        </w:r>
      </w:hyperlink>
      <w:r w:rsidRPr="002242E6">
        <w:rPr>
          <w:rFonts w:eastAsia="Times New Roman" w:cs="Arial"/>
          <w:color w:val="auto"/>
          <w:szCs w:val="24"/>
          <w:lang w:eastAsia="en-GB"/>
        </w:rPr>
        <w:t xml:space="preserve">. </w:t>
      </w:r>
    </w:p>
    <w:p w14:paraId="23CD11A1"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NHS England (2023). </w:t>
      </w:r>
      <w:r w:rsidRPr="002242E6">
        <w:rPr>
          <w:rFonts w:eastAsia="Times New Roman" w:cs="Arial"/>
          <w:i/>
          <w:iCs/>
          <w:color w:val="auto"/>
          <w:szCs w:val="24"/>
          <w:lang w:eastAsia="en-GB"/>
        </w:rPr>
        <w:t>Records Management Code of Practice</w:t>
      </w:r>
      <w:r w:rsidRPr="002242E6">
        <w:rPr>
          <w:rFonts w:eastAsia="Times New Roman" w:cs="Arial"/>
          <w:color w:val="auto"/>
          <w:szCs w:val="24"/>
          <w:lang w:eastAsia="en-GB"/>
        </w:rPr>
        <w:t xml:space="preserve">. [online] NHS Transformation Directorate. Available at: </w:t>
      </w:r>
      <w:hyperlink r:id="rId16" w:history="1">
        <w:r w:rsidRPr="002242E6">
          <w:rPr>
            <w:rStyle w:val="Hyperlink"/>
            <w:rFonts w:eastAsia="Times New Roman" w:cs="Arial"/>
            <w:szCs w:val="24"/>
            <w:lang w:eastAsia="en-GB"/>
          </w:rPr>
          <w:t>https://transform.england.nhs.uk/information-governance/guidance/records-management-code/records-management-code-of-practice/</w:t>
        </w:r>
      </w:hyperlink>
      <w:r w:rsidRPr="002242E6">
        <w:rPr>
          <w:rFonts w:eastAsia="Times New Roman" w:cs="Arial"/>
          <w:color w:val="auto"/>
          <w:szCs w:val="24"/>
          <w:lang w:eastAsia="en-GB"/>
        </w:rPr>
        <w:t xml:space="preserve">. </w:t>
      </w:r>
    </w:p>
    <w:p w14:paraId="74E0F570"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O’Leary, L. (2024). </w:t>
      </w:r>
      <w:r w:rsidRPr="002242E6">
        <w:rPr>
          <w:rFonts w:eastAsia="Times New Roman" w:cs="Arial"/>
          <w:i/>
          <w:iCs/>
          <w:color w:val="auto"/>
          <w:szCs w:val="24"/>
          <w:lang w:eastAsia="en-GB"/>
        </w:rPr>
        <w:t>What is Effective Communication in Health and Social Care?</w:t>
      </w:r>
      <w:r w:rsidRPr="002242E6">
        <w:rPr>
          <w:rFonts w:eastAsia="Times New Roman" w:cs="Arial"/>
          <w:color w:val="auto"/>
          <w:szCs w:val="24"/>
          <w:lang w:eastAsia="en-GB"/>
        </w:rPr>
        <w:t xml:space="preserve"> [online] My Learning Cloud. Available at: </w:t>
      </w:r>
      <w:hyperlink r:id="rId17" w:history="1">
        <w:r w:rsidRPr="002242E6">
          <w:rPr>
            <w:rStyle w:val="Hyperlink"/>
            <w:rFonts w:eastAsia="Times New Roman" w:cs="Arial"/>
            <w:szCs w:val="24"/>
            <w:lang w:eastAsia="en-GB"/>
          </w:rPr>
          <w:t>https://mylearningcloud.org.uk/effective-communication-health-and-social-care/</w:t>
        </w:r>
      </w:hyperlink>
      <w:r w:rsidRPr="002242E6">
        <w:rPr>
          <w:rFonts w:eastAsia="Times New Roman" w:cs="Arial"/>
          <w:color w:val="auto"/>
          <w:szCs w:val="24"/>
          <w:lang w:eastAsia="en-GB"/>
        </w:rPr>
        <w:t xml:space="preserve">. </w:t>
      </w:r>
    </w:p>
    <w:p w14:paraId="611D520D"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Social care institute for excellence (2023). </w:t>
      </w:r>
      <w:r w:rsidRPr="002242E6">
        <w:rPr>
          <w:rFonts w:eastAsia="Times New Roman" w:cs="Arial"/>
          <w:i/>
          <w:iCs/>
          <w:color w:val="auto"/>
          <w:szCs w:val="24"/>
          <w:lang w:eastAsia="en-GB"/>
        </w:rPr>
        <w:t>Multidisciplinary Teams - Activities to Achieve Integrated Care</w:t>
      </w:r>
      <w:r w:rsidRPr="002242E6">
        <w:rPr>
          <w:rFonts w:eastAsia="Times New Roman" w:cs="Arial"/>
          <w:color w:val="auto"/>
          <w:szCs w:val="24"/>
          <w:lang w:eastAsia="en-GB"/>
        </w:rPr>
        <w:t xml:space="preserve">. [online] Social Care Institute for Excellence (SCIE). Available at: </w:t>
      </w:r>
      <w:hyperlink r:id="rId18" w:history="1">
        <w:r w:rsidRPr="002242E6">
          <w:rPr>
            <w:rStyle w:val="Hyperlink"/>
            <w:rFonts w:eastAsia="Times New Roman" w:cs="Arial"/>
            <w:szCs w:val="24"/>
            <w:lang w:eastAsia="en-GB"/>
          </w:rPr>
          <w:t>https://www.scie.org.uk/integrated-care/research-practice/activities/multidisciplinary-teams</w:t>
        </w:r>
      </w:hyperlink>
      <w:r w:rsidRPr="002242E6">
        <w:rPr>
          <w:rFonts w:eastAsia="Times New Roman" w:cs="Arial"/>
          <w:color w:val="auto"/>
          <w:szCs w:val="24"/>
          <w:lang w:eastAsia="en-GB"/>
        </w:rPr>
        <w:t xml:space="preserve">. </w:t>
      </w:r>
    </w:p>
    <w:p w14:paraId="49280F25"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r w:rsidRPr="002242E6">
        <w:rPr>
          <w:rFonts w:eastAsia="Times New Roman" w:cs="Arial"/>
          <w:color w:val="auto"/>
          <w:szCs w:val="24"/>
          <w:lang w:eastAsia="en-GB"/>
        </w:rPr>
        <w:t xml:space="preserve">Squires, A. (2018). Strategies for overcoming language barriers in healthcare. </w:t>
      </w:r>
      <w:r w:rsidRPr="002242E6">
        <w:rPr>
          <w:rFonts w:eastAsia="Times New Roman" w:cs="Arial"/>
          <w:i/>
          <w:iCs/>
          <w:color w:val="auto"/>
          <w:szCs w:val="24"/>
          <w:lang w:eastAsia="en-GB"/>
        </w:rPr>
        <w:t>Nursing Management</w:t>
      </w:r>
      <w:r w:rsidRPr="002242E6">
        <w:rPr>
          <w:rFonts w:eastAsia="Times New Roman" w:cs="Arial"/>
          <w:color w:val="auto"/>
          <w:szCs w:val="24"/>
          <w:lang w:eastAsia="en-GB"/>
        </w:rPr>
        <w:t xml:space="preserve">, [online] 49(4), pp.20–27. </w:t>
      </w:r>
      <w:proofErr w:type="spellStart"/>
      <w:r w:rsidRPr="002242E6">
        <w:rPr>
          <w:rFonts w:eastAsia="Times New Roman" w:cs="Arial"/>
          <w:color w:val="auto"/>
          <w:szCs w:val="24"/>
          <w:lang w:eastAsia="en-GB"/>
        </w:rPr>
        <w:t>doi</w:t>
      </w:r>
      <w:proofErr w:type="spellEnd"/>
      <w:r w:rsidRPr="002242E6">
        <w:rPr>
          <w:rFonts w:eastAsia="Times New Roman" w:cs="Arial"/>
          <w:color w:val="auto"/>
          <w:szCs w:val="24"/>
          <w:lang w:eastAsia="en-GB"/>
        </w:rPr>
        <w:t xml:space="preserve">: </w:t>
      </w:r>
      <w:hyperlink r:id="rId19" w:history="1">
        <w:r w:rsidRPr="002242E6">
          <w:rPr>
            <w:rStyle w:val="Hyperlink"/>
            <w:rFonts w:eastAsia="Times New Roman" w:cs="Arial"/>
            <w:szCs w:val="24"/>
            <w:lang w:eastAsia="en-GB"/>
          </w:rPr>
          <w:t>https://doi.org/10.1097/01.numa.0000531166.24481.15</w:t>
        </w:r>
      </w:hyperlink>
      <w:r w:rsidRPr="002242E6">
        <w:rPr>
          <w:rFonts w:eastAsia="Times New Roman" w:cs="Arial"/>
          <w:color w:val="auto"/>
          <w:szCs w:val="24"/>
          <w:lang w:eastAsia="en-GB"/>
        </w:rPr>
        <w:t xml:space="preserve">. </w:t>
      </w:r>
    </w:p>
    <w:p w14:paraId="7E13C20F" w14:textId="77777777" w:rsidR="00003A02" w:rsidRPr="002242E6" w:rsidRDefault="00003A02" w:rsidP="00003A02">
      <w:pPr>
        <w:numPr>
          <w:ilvl w:val="0"/>
          <w:numId w:val="1"/>
        </w:numPr>
        <w:suppressAutoHyphens w:val="0"/>
        <w:spacing w:after="240" w:line="240" w:lineRule="auto"/>
        <w:rPr>
          <w:rFonts w:eastAsia="Times New Roman" w:cs="Arial"/>
          <w:color w:val="auto"/>
          <w:szCs w:val="24"/>
          <w:lang w:eastAsia="en-GB"/>
        </w:rPr>
      </w:pPr>
      <w:proofErr w:type="spellStart"/>
      <w:r w:rsidRPr="002242E6">
        <w:rPr>
          <w:rFonts w:eastAsia="Times New Roman" w:cs="Arial"/>
          <w:color w:val="auto"/>
          <w:szCs w:val="24"/>
          <w:lang w:eastAsia="en-GB"/>
        </w:rPr>
        <w:t>Toersen</w:t>
      </w:r>
      <w:proofErr w:type="spellEnd"/>
      <w:r w:rsidRPr="002242E6">
        <w:rPr>
          <w:rFonts w:eastAsia="Times New Roman" w:cs="Arial"/>
          <w:color w:val="auto"/>
          <w:szCs w:val="24"/>
          <w:lang w:eastAsia="en-GB"/>
        </w:rPr>
        <w:t xml:space="preserve">, N. (2023). </w:t>
      </w:r>
      <w:r w:rsidRPr="002242E6">
        <w:rPr>
          <w:rFonts w:eastAsia="Times New Roman" w:cs="Arial"/>
          <w:i/>
          <w:iCs/>
          <w:color w:val="auto"/>
          <w:szCs w:val="24"/>
          <w:lang w:eastAsia="en-GB"/>
        </w:rPr>
        <w:t>Effective Communication in Health and Social Care</w:t>
      </w:r>
      <w:r w:rsidRPr="002242E6">
        <w:rPr>
          <w:rFonts w:eastAsia="Times New Roman" w:cs="Arial"/>
          <w:color w:val="auto"/>
          <w:szCs w:val="24"/>
          <w:lang w:eastAsia="en-GB"/>
        </w:rPr>
        <w:t xml:space="preserve">. [online] The Access Group. Available at: </w:t>
      </w:r>
      <w:hyperlink r:id="rId20" w:history="1">
        <w:r w:rsidRPr="002242E6">
          <w:rPr>
            <w:rStyle w:val="Hyperlink"/>
            <w:rFonts w:eastAsia="Times New Roman" w:cs="Arial"/>
            <w:szCs w:val="24"/>
            <w:lang w:eastAsia="en-GB"/>
          </w:rPr>
          <w:t>https://www.theaccessgroup.com/en-gb/blog/hsc-effective-communication-health-and-social-care/</w:t>
        </w:r>
      </w:hyperlink>
      <w:r w:rsidRPr="002242E6">
        <w:rPr>
          <w:rFonts w:eastAsia="Times New Roman" w:cs="Arial"/>
          <w:color w:val="auto"/>
          <w:szCs w:val="24"/>
          <w:lang w:eastAsia="en-GB"/>
        </w:rPr>
        <w:t xml:space="preserve">. </w:t>
      </w:r>
    </w:p>
    <w:p w14:paraId="60061E4C" w14:textId="77777777" w:rsidR="00003A02" w:rsidRPr="002242E6" w:rsidRDefault="00003A02" w:rsidP="00003A02">
      <w:pPr>
        <w:rPr>
          <w:rFonts w:cs="Arial"/>
        </w:rPr>
      </w:pPr>
    </w:p>
    <w:sectPr w:rsidR="00003A02" w:rsidRPr="002242E6">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2E03D" w14:textId="77777777" w:rsidR="004C4FCF" w:rsidRDefault="004C4FCF" w:rsidP="00A87747">
      <w:pPr>
        <w:spacing w:line="240" w:lineRule="auto"/>
      </w:pPr>
      <w:r>
        <w:separator/>
      </w:r>
    </w:p>
  </w:endnote>
  <w:endnote w:type="continuationSeparator" w:id="0">
    <w:p w14:paraId="43677D6B" w14:textId="77777777" w:rsidR="004C4FCF" w:rsidRDefault="004C4FCF"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EE631" w14:textId="77777777" w:rsidR="0072664A" w:rsidRDefault="007266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30CC7" w14:textId="77777777" w:rsidR="00A87747" w:rsidRDefault="00A87747">
    <w:pPr>
      <w:pStyle w:val="Footer"/>
      <w:jc w:val="center"/>
    </w:pPr>
    <w:r>
      <w:fldChar w:fldCharType="begin"/>
    </w:r>
    <w:r>
      <w:instrText xml:space="preserve"> PAGE   \* MERGEFORMAT </w:instrText>
    </w:r>
    <w:r>
      <w:fldChar w:fldCharType="separate"/>
    </w:r>
    <w:r w:rsidR="002242E6">
      <w:rPr>
        <w:noProof/>
      </w:rPr>
      <w:t>3</w:t>
    </w:r>
    <w:r>
      <w:rPr>
        <w:noProof/>
      </w:rPr>
      <w:fldChar w:fldCharType="end"/>
    </w:r>
  </w:p>
  <w:p w14:paraId="44EAFD9C"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AE540D" w14:textId="77777777" w:rsidR="0072664A" w:rsidRDefault="00726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908F2" w14:textId="77777777" w:rsidR="004C4FCF" w:rsidRDefault="004C4FCF" w:rsidP="00A87747">
      <w:pPr>
        <w:spacing w:line="240" w:lineRule="auto"/>
      </w:pPr>
      <w:r>
        <w:separator/>
      </w:r>
    </w:p>
  </w:footnote>
  <w:footnote w:type="continuationSeparator" w:id="0">
    <w:p w14:paraId="6028F64D" w14:textId="77777777" w:rsidR="004C4FCF" w:rsidRDefault="004C4FCF"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1D701" w14:textId="77777777" w:rsidR="0072664A" w:rsidRDefault="007266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A572FE" w14:textId="77777777" w:rsidR="0072664A" w:rsidRDefault="007266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4F4BD" w14:textId="77777777" w:rsidR="0072664A" w:rsidRDefault="007266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3310935">
    <w:abstractNumId w:val="0"/>
  </w:num>
  <w:num w:numId="2" w16cid:durableId="1106660758">
    <w:abstractNumId w:val="1"/>
  </w:num>
  <w:num w:numId="3" w16cid:durableId="1251306503">
    <w:abstractNumId w:val="10"/>
  </w:num>
  <w:num w:numId="4" w16cid:durableId="74867716">
    <w:abstractNumId w:val="24"/>
  </w:num>
  <w:num w:numId="5" w16cid:durableId="866261603">
    <w:abstractNumId w:val="9"/>
  </w:num>
  <w:num w:numId="6" w16cid:durableId="2013296271">
    <w:abstractNumId w:val="23"/>
  </w:num>
  <w:num w:numId="7" w16cid:durableId="323050322">
    <w:abstractNumId w:val="27"/>
  </w:num>
  <w:num w:numId="8" w16cid:durableId="322321501">
    <w:abstractNumId w:val="19"/>
  </w:num>
  <w:num w:numId="9" w16cid:durableId="2073650291">
    <w:abstractNumId w:val="6"/>
  </w:num>
  <w:num w:numId="10" w16cid:durableId="1606304443">
    <w:abstractNumId w:val="16"/>
  </w:num>
  <w:num w:numId="11" w16cid:durableId="1138768400">
    <w:abstractNumId w:val="20"/>
  </w:num>
  <w:num w:numId="12" w16cid:durableId="918633778">
    <w:abstractNumId w:val="11"/>
  </w:num>
  <w:num w:numId="13" w16cid:durableId="1971016193">
    <w:abstractNumId w:val="4"/>
  </w:num>
  <w:num w:numId="14" w16cid:durableId="1120609717">
    <w:abstractNumId w:val="17"/>
  </w:num>
  <w:num w:numId="15" w16cid:durableId="1389109140">
    <w:abstractNumId w:val="5"/>
  </w:num>
  <w:num w:numId="16" w16cid:durableId="944189028">
    <w:abstractNumId w:val="22"/>
  </w:num>
  <w:num w:numId="17" w16cid:durableId="2118482635">
    <w:abstractNumId w:val="3"/>
  </w:num>
  <w:num w:numId="18" w16cid:durableId="504249098">
    <w:abstractNumId w:val="18"/>
  </w:num>
  <w:num w:numId="19" w16cid:durableId="635961754">
    <w:abstractNumId w:val="2"/>
  </w:num>
  <w:num w:numId="20" w16cid:durableId="654920729">
    <w:abstractNumId w:val="26"/>
  </w:num>
  <w:num w:numId="21" w16cid:durableId="242229075">
    <w:abstractNumId w:val="13"/>
  </w:num>
  <w:num w:numId="22" w16cid:durableId="2094668204">
    <w:abstractNumId w:val="12"/>
  </w:num>
  <w:num w:numId="23" w16cid:durableId="203713813">
    <w:abstractNumId w:val="25"/>
  </w:num>
  <w:num w:numId="24" w16cid:durableId="2064403650">
    <w:abstractNumId w:val="28"/>
  </w:num>
  <w:num w:numId="25" w16cid:durableId="1855218235">
    <w:abstractNumId w:val="7"/>
  </w:num>
  <w:num w:numId="26" w16cid:durableId="984234852">
    <w:abstractNumId w:val="15"/>
  </w:num>
  <w:num w:numId="27" w16cid:durableId="731319438">
    <w:abstractNumId w:val="14"/>
  </w:num>
  <w:num w:numId="28" w16cid:durableId="1242447697">
    <w:abstractNumId w:val="21"/>
  </w:num>
  <w:num w:numId="29" w16cid:durableId="13182671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ixqATyvwOIsAAAA"/>
  </w:docVars>
  <w:rsids>
    <w:rsidRoot w:val="008D09FF"/>
    <w:rsid w:val="00003A02"/>
    <w:rsid w:val="000143B4"/>
    <w:rsid w:val="000157F7"/>
    <w:rsid w:val="000169FC"/>
    <w:rsid w:val="00026F62"/>
    <w:rsid w:val="0003210E"/>
    <w:rsid w:val="00033E1E"/>
    <w:rsid w:val="00043DD1"/>
    <w:rsid w:val="00044E03"/>
    <w:rsid w:val="00051B13"/>
    <w:rsid w:val="0005499F"/>
    <w:rsid w:val="00066C5E"/>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65703"/>
    <w:rsid w:val="00171AB7"/>
    <w:rsid w:val="001959E7"/>
    <w:rsid w:val="001A2386"/>
    <w:rsid w:val="001A6CE4"/>
    <w:rsid w:val="001B148D"/>
    <w:rsid w:val="001B293F"/>
    <w:rsid w:val="001B2B71"/>
    <w:rsid w:val="001B3DA5"/>
    <w:rsid w:val="001C47DE"/>
    <w:rsid w:val="001C4B30"/>
    <w:rsid w:val="001C6C19"/>
    <w:rsid w:val="001C7C69"/>
    <w:rsid w:val="001D1CAC"/>
    <w:rsid w:val="001D46FF"/>
    <w:rsid w:val="001F2F9D"/>
    <w:rsid w:val="00201216"/>
    <w:rsid w:val="002037AB"/>
    <w:rsid w:val="00203ADA"/>
    <w:rsid w:val="00207BF7"/>
    <w:rsid w:val="0021152B"/>
    <w:rsid w:val="00214B85"/>
    <w:rsid w:val="002157B6"/>
    <w:rsid w:val="002242E6"/>
    <w:rsid w:val="00245957"/>
    <w:rsid w:val="00245FD9"/>
    <w:rsid w:val="0024714F"/>
    <w:rsid w:val="00251842"/>
    <w:rsid w:val="00255300"/>
    <w:rsid w:val="00267D0D"/>
    <w:rsid w:val="00273F83"/>
    <w:rsid w:val="002923C2"/>
    <w:rsid w:val="0029461D"/>
    <w:rsid w:val="002A218E"/>
    <w:rsid w:val="002A7037"/>
    <w:rsid w:val="002B0D9B"/>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4645D"/>
    <w:rsid w:val="00352949"/>
    <w:rsid w:val="00354A83"/>
    <w:rsid w:val="003559FD"/>
    <w:rsid w:val="00355AA6"/>
    <w:rsid w:val="0035740A"/>
    <w:rsid w:val="00363625"/>
    <w:rsid w:val="003644F3"/>
    <w:rsid w:val="00371215"/>
    <w:rsid w:val="0037352A"/>
    <w:rsid w:val="00377720"/>
    <w:rsid w:val="00380505"/>
    <w:rsid w:val="003866A7"/>
    <w:rsid w:val="00390787"/>
    <w:rsid w:val="003915E6"/>
    <w:rsid w:val="003927C2"/>
    <w:rsid w:val="003A21CE"/>
    <w:rsid w:val="003B2223"/>
    <w:rsid w:val="003D2B08"/>
    <w:rsid w:val="003D5F3F"/>
    <w:rsid w:val="003D6472"/>
    <w:rsid w:val="003E3CE3"/>
    <w:rsid w:val="003F321A"/>
    <w:rsid w:val="003F58CF"/>
    <w:rsid w:val="003F652C"/>
    <w:rsid w:val="003F6A34"/>
    <w:rsid w:val="004001C6"/>
    <w:rsid w:val="0040516B"/>
    <w:rsid w:val="00406F8A"/>
    <w:rsid w:val="004118BC"/>
    <w:rsid w:val="00412D04"/>
    <w:rsid w:val="00416077"/>
    <w:rsid w:val="00426EFB"/>
    <w:rsid w:val="004275E6"/>
    <w:rsid w:val="00430271"/>
    <w:rsid w:val="0043392D"/>
    <w:rsid w:val="00435F23"/>
    <w:rsid w:val="004424C7"/>
    <w:rsid w:val="00454D5E"/>
    <w:rsid w:val="00455304"/>
    <w:rsid w:val="00460545"/>
    <w:rsid w:val="0046208D"/>
    <w:rsid w:val="00470FCC"/>
    <w:rsid w:val="0047293C"/>
    <w:rsid w:val="00480840"/>
    <w:rsid w:val="004836C4"/>
    <w:rsid w:val="0049537E"/>
    <w:rsid w:val="00496C57"/>
    <w:rsid w:val="004A17F2"/>
    <w:rsid w:val="004A42D9"/>
    <w:rsid w:val="004A6F78"/>
    <w:rsid w:val="004A78C8"/>
    <w:rsid w:val="004B2DC1"/>
    <w:rsid w:val="004B6253"/>
    <w:rsid w:val="004B637E"/>
    <w:rsid w:val="004C4FCF"/>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575D4"/>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2664A"/>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2140"/>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12BC"/>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4D68"/>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3587"/>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82EE6"/>
    <w:rsid w:val="00D942AF"/>
    <w:rsid w:val="00D9463B"/>
    <w:rsid w:val="00DA3189"/>
    <w:rsid w:val="00DA3A21"/>
    <w:rsid w:val="00DA5D0B"/>
    <w:rsid w:val="00DB19D0"/>
    <w:rsid w:val="00DB5216"/>
    <w:rsid w:val="00DC13DA"/>
    <w:rsid w:val="00DC49BD"/>
    <w:rsid w:val="00DC5F06"/>
    <w:rsid w:val="00DD45E3"/>
    <w:rsid w:val="00DD6779"/>
    <w:rsid w:val="00DD6A76"/>
    <w:rsid w:val="00DE0958"/>
    <w:rsid w:val="00DE0A4A"/>
    <w:rsid w:val="00DE64C4"/>
    <w:rsid w:val="00DF037E"/>
    <w:rsid w:val="00DF2060"/>
    <w:rsid w:val="00DF6304"/>
    <w:rsid w:val="00DF764C"/>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0665D"/>
    <w:rsid w:val="00F10C64"/>
    <w:rsid w:val="00F16569"/>
    <w:rsid w:val="00F17CBC"/>
    <w:rsid w:val="00F31831"/>
    <w:rsid w:val="00F320B3"/>
    <w:rsid w:val="00F35020"/>
    <w:rsid w:val="00F42555"/>
    <w:rsid w:val="00F52B0E"/>
    <w:rsid w:val="00F71CCB"/>
    <w:rsid w:val="00F87E3F"/>
    <w:rsid w:val="00FA1905"/>
    <w:rsid w:val="00FA3835"/>
    <w:rsid w:val="00FB012C"/>
    <w:rsid w:val="00FB44DD"/>
    <w:rsid w:val="00FB5913"/>
    <w:rsid w:val="00FB636C"/>
    <w:rsid w:val="00FD08F7"/>
    <w:rsid w:val="00FD5AEB"/>
    <w:rsid w:val="00FE007F"/>
    <w:rsid w:val="00FE1106"/>
    <w:rsid w:val="00FE22D5"/>
    <w:rsid w:val="00FE2AD0"/>
    <w:rsid w:val="00FE3A7A"/>
    <w:rsid w:val="00FE5D8F"/>
    <w:rsid w:val="00FF574F"/>
    <w:rsid w:val="00FF5CDD"/>
    <w:rsid w:val="16B658C9"/>
    <w:rsid w:val="34E5E2D8"/>
    <w:rsid w:val="3781AD07"/>
    <w:rsid w:val="55083A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3DCF682"/>
  <w15:chartTrackingRefBased/>
  <w15:docId w15:val="{97CBB608-59D0-4BE9-B746-480DA4690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2E6"/>
    <w:pPr>
      <w:suppressAutoHyphens/>
      <w:spacing w:line="360" w:lineRule="auto"/>
      <w:jc w:val="both"/>
    </w:pPr>
    <w:rPr>
      <w:rFonts w:ascii="Arial" w:eastAsia="Calibri" w:hAnsi="Arial"/>
      <w:color w:val="000000"/>
      <w:sz w:val="22"/>
      <w:szCs w:val="22"/>
      <w:lang w:val="en-GB" w:eastAsia="ar-SA"/>
    </w:rPr>
  </w:style>
  <w:style w:type="paragraph" w:styleId="Heading1">
    <w:name w:val="heading 1"/>
    <w:basedOn w:val="Normal"/>
    <w:next w:val="Normal"/>
    <w:qFormat/>
    <w:rsid w:val="002242E6"/>
    <w:pPr>
      <w:keepNext/>
      <w:keepLines/>
      <w:numPr>
        <w:numId w:val="1"/>
      </w:numPr>
      <w:spacing w:before="113"/>
      <w:outlineLvl w:val="0"/>
    </w:pPr>
    <w:rPr>
      <w:rFonts w:eastAsia="Times New Roman"/>
      <w:b/>
      <w:bCs/>
      <w:sz w:val="24"/>
      <w:szCs w:val="28"/>
    </w:rPr>
  </w:style>
  <w:style w:type="paragraph" w:styleId="Heading2">
    <w:name w:val="heading 2"/>
    <w:basedOn w:val="Normal"/>
    <w:next w:val="Normal"/>
    <w:qFormat/>
    <w:pPr>
      <w:keepNext/>
      <w:keepLines/>
      <w:numPr>
        <w:ilvl w:val="1"/>
        <w:numId w:val="1"/>
      </w:numPr>
      <w:spacing w:before="113"/>
      <w:outlineLvl w:val="1"/>
    </w:pPr>
    <w:rPr>
      <w:rFonts w:ascii="Times New Roman" w:eastAsia="Times New Roman" w:hAnsi="Times New Roman"/>
      <w:bCs/>
      <w:sz w:val="24"/>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DefaultParagraphFont0">
    <w:name w:val="Default Paragraph Font0"/>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 w:val="24"/>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rFonts w:ascii="Times New Roman" w:hAnsi="Times New Roman"/>
      <w:sz w:val="24"/>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224026124">
      <w:bodyDiv w:val="1"/>
      <w:marLeft w:val="0"/>
      <w:marRight w:val="0"/>
      <w:marTop w:val="0"/>
      <w:marBottom w:val="0"/>
      <w:divBdr>
        <w:top w:val="none" w:sz="0" w:space="0" w:color="auto"/>
        <w:left w:val="none" w:sz="0" w:space="0" w:color="auto"/>
        <w:bottom w:val="none" w:sz="0" w:space="0" w:color="auto"/>
        <w:right w:val="none" w:sz="0" w:space="0" w:color="auto"/>
      </w:divBdr>
      <w:divsChild>
        <w:div w:id="1538396682">
          <w:marLeft w:val="0"/>
          <w:marRight w:val="0"/>
          <w:marTop w:val="0"/>
          <w:marBottom w:val="0"/>
          <w:divBdr>
            <w:top w:val="none" w:sz="0" w:space="0" w:color="auto"/>
            <w:left w:val="none" w:sz="0" w:space="0" w:color="auto"/>
            <w:bottom w:val="none" w:sz="0" w:space="0" w:color="auto"/>
            <w:right w:val="none" w:sz="0" w:space="0" w:color="auto"/>
          </w:divBdr>
        </w:div>
      </w:divsChild>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healthcare13212794" TargetMode="External"/><Relationship Id="rId13" Type="http://schemas.openxmlformats.org/officeDocument/2006/relationships/hyperlink" Target="https://www.healthliteracysolutions.org/blogs/iha-staff1/2023/07/19/7-barriers-to-effective-communication-in-healthcar" TargetMode="External"/><Relationship Id="rId18" Type="http://schemas.openxmlformats.org/officeDocument/2006/relationships/hyperlink" Target="https://www.scie.org.uk/integrated-care/research-practice/activities/multidisciplinary-teams"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egislation.gov.uk/ukpga/2018/12/contents" TargetMode="External"/><Relationship Id="rId17" Type="http://schemas.openxmlformats.org/officeDocument/2006/relationships/hyperlink" Target="https://mylearningcloud.org.uk/effective-communication-health-and-social-care/"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transform.england.nhs.uk/information-governance/guidance/records-management-code/records-management-code-of-practice/" TargetMode="External"/><Relationship Id="rId20" Type="http://schemas.openxmlformats.org/officeDocument/2006/relationships/hyperlink" Target="https://www.theaccessgroup.com/en-gb/blog/hsc-effective-communication-health-and-social-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equality-act-2010-guidance"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83/20734735.018016"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doi.org/10.1371/journal.pone.0278007" TargetMode="External"/><Relationship Id="rId19" Type="http://schemas.openxmlformats.org/officeDocument/2006/relationships/hyperlink" Target="https://doi.org/10.1097/01.numa.0000531166.24481.15" TargetMode="External"/><Relationship Id="rId4" Type="http://schemas.openxmlformats.org/officeDocument/2006/relationships/settings" Target="settings.xml"/><Relationship Id="rId9" Type="http://schemas.openxmlformats.org/officeDocument/2006/relationships/hyperlink" Target="https://doi.org/10.1136/bmjhci-2022-100699" TargetMode="External"/><Relationship Id="rId14" Type="http://schemas.openxmlformats.org/officeDocument/2006/relationships/hyperlink" Target="https://doi.org/10.1136/bmjopen-2022-069925"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F43CA5-CF08-4DD1-8F52-EEFB54C4CC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2308</Words>
  <Characters>13157</Characters>
  <Application>Microsoft Office Word</Application>
  <DocSecurity>0</DocSecurity>
  <Lines>109</Lines>
  <Paragraphs>30</Paragraphs>
  <ScaleCrop>false</ScaleCrop>
  <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Dominique Heath (2505637)</cp:lastModifiedBy>
  <cp:revision>2</cp:revision>
  <cp:lastPrinted>1900-01-01T00:00:00Z</cp:lastPrinted>
  <dcterms:created xsi:type="dcterms:W3CDTF">2026-03-26T21:56:00Z</dcterms:created>
  <dcterms:modified xsi:type="dcterms:W3CDTF">2026-03-26T21:56:00Z</dcterms:modified>
</cp:coreProperties>
</file>