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7B4EC7" w:rsidRDefault="00EB12BC" w:rsidP="00C03A91">
      <w:pPr>
        <w:spacing w:line="360" w:lineRule="auto"/>
        <w:rPr>
          <w:rFonts w:ascii="Arial" w:hAnsi="Arial" w:cs="Arial"/>
          <w:b/>
          <w:bCs/>
          <w:sz w:val="32"/>
          <w:szCs w:val="32"/>
        </w:rPr>
      </w:pPr>
    </w:p>
    <w:p w14:paraId="0E6E9383" w14:textId="77777777" w:rsidR="00EB12BC" w:rsidRPr="007B4EC7" w:rsidRDefault="00EB12BC" w:rsidP="00C03A91">
      <w:pPr>
        <w:spacing w:line="360" w:lineRule="auto"/>
        <w:rPr>
          <w:rFonts w:ascii="Arial" w:hAnsi="Arial" w:cs="Arial"/>
          <w:b/>
          <w:bCs/>
          <w:sz w:val="32"/>
          <w:szCs w:val="32"/>
        </w:rPr>
      </w:pPr>
    </w:p>
    <w:p w14:paraId="431DBF4A" w14:textId="77777777" w:rsidR="00EB12BC" w:rsidRPr="007B4EC7" w:rsidRDefault="00EB12BC" w:rsidP="00C03A91">
      <w:pPr>
        <w:spacing w:line="360" w:lineRule="auto"/>
        <w:rPr>
          <w:rFonts w:ascii="Arial" w:hAnsi="Arial" w:cs="Arial"/>
          <w:b/>
          <w:bCs/>
          <w:sz w:val="32"/>
          <w:szCs w:val="32"/>
        </w:rPr>
      </w:pPr>
    </w:p>
    <w:p w14:paraId="67404449" w14:textId="77777777" w:rsidR="00EB12BC" w:rsidRPr="007B4EC7" w:rsidRDefault="00EB12BC" w:rsidP="00C03A91">
      <w:pPr>
        <w:tabs>
          <w:tab w:val="left" w:pos="6540"/>
        </w:tabs>
        <w:spacing w:line="360" w:lineRule="auto"/>
        <w:rPr>
          <w:rFonts w:ascii="Arial" w:hAnsi="Arial" w:cs="Arial"/>
          <w:b/>
          <w:bCs/>
          <w:sz w:val="32"/>
          <w:szCs w:val="32"/>
        </w:rPr>
      </w:pPr>
    </w:p>
    <w:p w14:paraId="5DCE790D" w14:textId="174D2D23" w:rsidR="007B4EC7" w:rsidRPr="007B4EC7" w:rsidRDefault="00EB12BC" w:rsidP="00C03A91">
      <w:pPr>
        <w:tabs>
          <w:tab w:val="left" w:pos="6540"/>
        </w:tabs>
        <w:spacing w:line="360" w:lineRule="auto"/>
        <w:rPr>
          <w:rFonts w:ascii="Arial" w:hAnsi="Arial" w:cs="Arial"/>
          <w:b/>
          <w:bCs/>
          <w:sz w:val="32"/>
          <w:szCs w:val="32"/>
          <w:lang w:val="nl-NL"/>
        </w:rPr>
      </w:pPr>
      <w:r w:rsidRPr="007B4EC7">
        <w:rPr>
          <w:rFonts w:ascii="Arial" w:hAnsi="Arial" w:cs="Arial"/>
          <w:b/>
          <w:bCs/>
          <w:sz w:val="32"/>
          <w:szCs w:val="32"/>
          <w:lang w:val="nl-NL"/>
        </w:rPr>
        <w:t>Student name:</w:t>
      </w:r>
      <w:r w:rsidR="007B4EC7" w:rsidRPr="007B4EC7">
        <w:rPr>
          <w:rFonts w:ascii="Arial" w:hAnsi="Arial" w:cs="Arial"/>
          <w:b/>
          <w:bCs/>
          <w:sz w:val="32"/>
          <w:szCs w:val="32"/>
          <w:lang w:val="nl-NL"/>
        </w:rPr>
        <w:t xml:space="preserve"> MUSA BAMWINE</w:t>
      </w:r>
    </w:p>
    <w:p w14:paraId="317F9721" w14:textId="77777777" w:rsidR="007B4EC7" w:rsidRPr="007B4EC7" w:rsidRDefault="007B4EC7" w:rsidP="00C03A91">
      <w:pPr>
        <w:tabs>
          <w:tab w:val="left" w:pos="6540"/>
        </w:tabs>
        <w:spacing w:line="360" w:lineRule="auto"/>
        <w:rPr>
          <w:rFonts w:ascii="Arial" w:hAnsi="Arial" w:cs="Arial"/>
          <w:b/>
          <w:bCs/>
          <w:sz w:val="32"/>
          <w:szCs w:val="32"/>
          <w:lang w:val="nl-NL"/>
        </w:rPr>
      </w:pPr>
    </w:p>
    <w:p w14:paraId="21E9DC72" w14:textId="06C94B58" w:rsidR="00EB12BC" w:rsidRPr="007B4EC7" w:rsidRDefault="00EB12BC" w:rsidP="00C03A91">
      <w:pPr>
        <w:tabs>
          <w:tab w:val="left" w:pos="6540"/>
        </w:tabs>
        <w:spacing w:line="360" w:lineRule="auto"/>
        <w:rPr>
          <w:rFonts w:ascii="Arial" w:hAnsi="Arial" w:cs="Arial"/>
          <w:b/>
          <w:bCs/>
          <w:sz w:val="32"/>
          <w:szCs w:val="32"/>
          <w:lang w:val="nl-NL"/>
        </w:rPr>
      </w:pPr>
      <w:r w:rsidRPr="007B4EC7">
        <w:rPr>
          <w:rFonts w:ascii="Arial" w:hAnsi="Arial" w:cs="Arial"/>
          <w:b/>
          <w:bCs/>
          <w:sz w:val="32"/>
          <w:szCs w:val="32"/>
          <w:lang w:val="nl-NL"/>
        </w:rPr>
        <w:t>Student ID:</w:t>
      </w:r>
      <w:r w:rsidR="007B4EC7" w:rsidRPr="007B4EC7">
        <w:rPr>
          <w:rFonts w:ascii="Arial" w:hAnsi="Arial" w:cs="Arial"/>
          <w:b/>
          <w:bCs/>
          <w:sz w:val="32"/>
          <w:szCs w:val="32"/>
          <w:lang w:val="nl-NL"/>
        </w:rPr>
        <w:t xml:space="preserve"> 2425291</w:t>
      </w:r>
    </w:p>
    <w:p w14:paraId="4BCFF74F" w14:textId="77777777" w:rsidR="007B4EC7" w:rsidRPr="007B4EC7" w:rsidRDefault="007B4EC7" w:rsidP="00C03A91">
      <w:pPr>
        <w:tabs>
          <w:tab w:val="left" w:pos="6540"/>
        </w:tabs>
        <w:spacing w:line="360" w:lineRule="auto"/>
        <w:rPr>
          <w:rFonts w:ascii="Arial" w:hAnsi="Arial" w:cs="Arial"/>
          <w:b/>
          <w:bCs/>
          <w:sz w:val="32"/>
          <w:szCs w:val="32"/>
          <w:lang w:val="nl-NL"/>
        </w:rPr>
      </w:pPr>
    </w:p>
    <w:p w14:paraId="23BAC9B9" w14:textId="7C0432E9" w:rsidR="00EB12BC" w:rsidRDefault="00EB12BC" w:rsidP="00C03A91">
      <w:pPr>
        <w:tabs>
          <w:tab w:val="left" w:pos="6540"/>
        </w:tabs>
        <w:spacing w:line="360" w:lineRule="auto"/>
        <w:rPr>
          <w:rFonts w:ascii="Arial" w:hAnsi="Arial" w:cs="Arial"/>
          <w:b/>
          <w:bCs/>
          <w:sz w:val="32"/>
          <w:szCs w:val="32"/>
        </w:rPr>
      </w:pPr>
      <w:r w:rsidRPr="007B4EC7">
        <w:rPr>
          <w:rFonts w:ascii="Arial" w:hAnsi="Arial" w:cs="Arial"/>
          <w:b/>
          <w:bCs/>
          <w:sz w:val="32"/>
          <w:szCs w:val="32"/>
          <w:lang w:val="nl-NL"/>
        </w:rPr>
        <w:t xml:space="preserve">Module name: </w:t>
      </w:r>
      <w:r w:rsidR="007B4EC7" w:rsidRPr="007B4EC7">
        <w:rPr>
          <w:rFonts w:ascii="Arial" w:hAnsi="Arial" w:cs="Arial"/>
          <w:b/>
          <w:bCs/>
          <w:sz w:val="32"/>
          <w:szCs w:val="32"/>
        </w:rPr>
        <w:t>Protecting and Supporting Families in Health and Care</w:t>
      </w:r>
    </w:p>
    <w:p w14:paraId="7F6DF0D0" w14:textId="77777777" w:rsidR="009D34BB" w:rsidRPr="007B4EC7" w:rsidRDefault="009D34BB" w:rsidP="00C03A91">
      <w:pPr>
        <w:tabs>
          <w:tab w:val="left" w:pos="6540"/>
        </w:tabs>
        <w:spacing w:line="360" w:lineRule="auto"/>
        <w:rPr>
          <w:rFonts w:ascii="Arial" w:hAnsi="Arial" w:cs="Arial"/>
          <w:b/>
          <w:bCs/>
          <w:sz w:val="32"/>
          <w:szCs w:val="32"/>
          <w:lang w:val="nl-NL"/>
        </w:rPr>
      </w:pPr>
    </w:p>
    <w:p w14:paraId="4FD97C8C" w14:textId="19EBA04A" w:rsidR="00EB12BC" w:rsidRDefault="00EB12BC" w:rsidP="00C03A91">
      <w:pPr>
        <w:tabs>
          <w:tab w:val="left" w:pos="6540"/>
        </w:tabs>
        <w:spacing w:line="360" w:lineRule="auto"/>
        <w:rPr>
          <w:rFonts w:ascii="Arial" w:hAnsi="Arial" w:cs="Arial"/>
          <w:b/>
          <w:bCs/>
          <w:sz w:val="32"/>
          <w:szCs w:val="32"/>
        </w:rPr>
      </w:pPr>
      <w:r w:rsidRPr="007B4EC7">
        <w:rPr>
          <w:rFonts w:ascii="Arial" w:hAnsi="Arial" w:cs="Arial"/>
          <w:b/>
          <w:bCs/>
          <w:sz w:val="32"/>
          <w:szCs w:val="32"/>
        </w:rPr>
        <w:t>Module code:</w:t>
      </w:r>
      <w:r w:rsidR="007B4EC7" w:rsidRPr="007B4EC7">
        <w:rPr>
          <w:rFonts w:ascii="Arial" w:hAnsi="Arial" w:cs="Arial"/>
          <w:b/>
          <w:bCs/>
          <w:sz w:val="32"/>
          <w:szCs w:val="32"/>
        </w:rPr>
        <w:t xml:space="preserve"> BMHP5021</w:t>
      </w:r>
    </w:p>
    <w:p w14:paraId="4F10CBD9" w14:textId="77777777" w:rsidR="009D34BB" w:rsidRPr="007B4EC7" w:rsidRDefault="009D34BB" w:rsidP="00C03A91">
      <w:pPr>
        <w:tabs>
          <w:tab w:val="left" w:pos="6540"/>
        </w:tabs>
        <w:spacing w:line="360" w:lineRule="auto"/>
        <w:rPr>
          <w:rFonts w:ascii="Arial" w:hAnsi="Arial" w:cs="Arial"/>
          <w:b/>
          <w:bCs/>
          <w:sz w:val="32"/>
          <w:szCs w:val="32"/>
        </w:rPr>
      </w:pPr>
    </w:p>
    <w:p w14:paraId="658BE57E" w14:textId="4AAC18C6" w:rsidR="00EB12BC" w:rsidRPr="007B4EC7" w:rsidRDefault="00EB12BC" w:rsidP="00C03A91">
      <w:pPr>
        <w:tabs>
          <w:tab w:val="left" w:pos="6540"/>
        </w:tabs>
        <w:spacing w:line="360" w:lineRule="auto"/>
        <w:rPr>
          <w:rFonts w:ascii="Arial" w:hAnsi="Arial" w:cs="Arial"/>
          <w:b/>
          <w:bCs/>
          <w:sz w:val="32"/>
          <w:szCs w:val="32"/>
        </w:rPr>
      </w:pPr>
      <w:r w:rsidRPr="007B4EC7">
        <w:rPr>
          <w:rFonts w:ascii="Arial" w:hAnsi="Arial" w:cs="Arial"/>
          <w:b/>
          <w:bCs/>
          <w:sz w:val="32"/>
          <w:szCs w:val="32"/>
        </w:rPr>
        <w:t>Lecturer name:</w:t>
      </w:r>
      <w:r w:rsidR="007B4EC7" w:rsidRPr="007B4EC7">
        <w:rPr>
          <w:rFonts w:ascii="Arial" w:hAnsi="Arial" w:cs="Arial"/>
          <w:b/>
          <w:bCs/>
          <w:sz w:val="32"/>
          <w:szCs w:val="32"/>
        </w:rPr>
        <w:t xml:space="preserve"> Umma Suleiman</w:t>
      </w:r>
    </w:p>
    <w:p w14:paraId="5AFF31F9" w14:textId="77777777" w:rsidR="001B7A40" w:rsidRDefault="001B7A40" w:rsidP="00C03A91">
      <w:pPr>
        <w:tabs>
          <w:tab w:val="left" w:pos="6540"/>
        </w:tabs>
        <w:spacing w:line="360" w:lineRule="auto"/>
        <w:rPr>
          <w:rFonts w:ascii="Arial" w:hAnsi="Arial" w:cs="Arial"/>
          <w:b/>
          <w:bCs/>
          <w:sz w:val="28"/>
          <w:szCs w:val="28"/>
        </w:rPr>
      </w:pPr>
    </w:p>
    <w:p w14:paraId="1AE8BE72" w14:textId="77777777" w:rsidR="007B4EC7" w:rsidRDefault="007B4EC7" w:rsidP="00C03A91">
      <w:pPr>
        <w:tabs>
          <w:tab w:val="left" w:pos="6540"/>
        </w:tabs>
        <w:spacing w:line="360" w:lineRule="auto"/>
        <w:rPr>
          <w:rFonts w:ascii="Arial" w:hAnsi="Arial" w:cs="Arial"/>
          <w:b/>
          <w:bCs/>
          <w:sz w:val="28"/>
          <w:szCs w:val="28"/>
        </w:rPr>
      </w:pPr>
    </w:p>
    <w:p w14:paraId="1BCD034C" w14:textId="77777777" w:rsidR="007B4EC7" w:rsidRDefault="007B4EC7" w:rsidP="00C03A91">
      <w:pPr>
        <w:tabs>
          <w:tab w:val="left" w:pos="6540"/>
        </w:tabs>
        <w:spacing w:line="360" w:lineRule="auto"/>
        <w:rPr>
          <w:rFonts w:ascii="Arial" w:hAnsi="Arial" w:cs="Arial"/>
          <w:b/>
          <w:bCs/>
          <w:sz w:val="28"/>
          <w:szCs w:val="28"/>
        </w:rPr>
      </w:pPr>
    </w:p>
    <w:p w14:paraId="76E69FEE" w14:textId="77777777" w:rsidR="007B4EC7" w:rsidRDefault="007B4EC7" w:rsidP="00C03A91">
      <w:pPr>
        <w:tabs>
          <w:tab w:val="left" w:pos="6540"/>
        </w:tabs>
        <w:spacing w:line="360" w:lineRule="auto"/>
        <w:rPr>
          <w:rFonts w:ascii="Arial" w:hAnsi="Arial" w:cs="Arial"/>
          <w:b/>
          <w:bCs/>
          <w:sz w:val="28"/>
          <w:szCs w:val="28"/>
        </w:rPr>
      </w:pPr>
    </w:p>
    <w:p w14:paraId="74A2A335" w14:textId="77777777" w:rsidR="007B4EC7" w:rsidRDefault="007B4EC7" w:rsidP="00C03A91">
      <w:pPr>
        <w:tabs>
          <w:tab w:val="left" w:pos="6540"/>
        </w:tabs>
        <w:spacing w:line="360" w:lineRule="auto"/>
        <w:rPr>
          <w:rFonts w:ascii="Arial" w:hAnsi="Arial" w:cs="Arial"/>
          <w:b/>
          <w:bCs/>
          <w:sz w:val="28"/>
          <w:szCs w:val="28"/>
        </w:rPr>
      </w:pPr>
    </w:p>
    <w:p w14:paraId="61EEEE50" w14:textId="77777777" w:rsidR="00C61587" w:rsidRPr="00C03A91" w:rsidRDefault="00C61587" w:rsidP="00C03A91">
      <w:pPr>
        <w:tabs>
          <w:tab w:val="left" w:pos="6540"/>
        </w:tabs>
        <w:spacing w:line="360" w:lineRule="auto"/>
        <w:rPr>
          <w:rFonts w:ascii="Arial" w:hAnsi="Arial" w:cs="Arial"/>
          <w:b/>
          <w:bCs/>
          <w:sz w:val="28"/>
          <w:szCs w:val="28"/>
        </w:rPr>
      </w:pPr>
    </w:p>
    <w:p w14:paraId="64AFD22B" w14:textId="77777777" w:rsidR="00E87FC5" w:rsidRPr="00D646E0" w:rsidRDefault="00E87FC5" w:rsidP="009D34BB">
      <w:pPr>
        <w:pStyle w:val="Heading1"/>
        <w:jc w:val="left"/>
        <w:rPr>
          <w:sz w:val="24"/>
          <w:szCs w:val="24"/>
        </w:rPr>
      </w:pPr>
      <w:bookmarkStart w:id="0" w:name="table-of-contents"/>
      <w:r w:rsidRPr="00D646E0">
        <w:rPr>
          <w:sz w:val="24"/>
          <w:szCs w:val="24"/>
        </w:rPr>
        <w:t>Table of Contents</w:t>
      </w:r>
    </w:p>
    <w:tbl>
      <w:tblPr>
        <w:tblStyle w:val="Table"/>
        <w:tblW w:w="5000" w:type="pct"/>
        <w:tblLayout w:type="fixed"/>
        <w:tblLook w:val="0020" w:firstRow="1" w:lastRow="0" w:firstColumn="0" w:lastColumn="0" w:noHBand="0" w:noVBand="0"/>
      </w:tblPr>
      <w:tblGrid>
        <w:gridCol w:w="5416"/>
        <w:gridCol w:w="3610"/>
      </w:tblGrid>
      <w:tr w:rsidR="00E87FC5" w:rsidRPr="00D646E0" w14:paraId="120F70B4" w14:textId="77777777" w:rsidTr="00D646E0">
        <w:trPr>
          <w:cnfStyle w:val="100000000000" w:firstRow="1" w:lastRow="0" w:firstColumn="0" w:lastColumn="0" w:oddVBand="0" w:evenVBand="0" w:oddHBand="0" w:evenHBand="0" w:firstRowFirstColumn="0" w:firstRowLastColumn="0" w:lastRowFirstColumn="0" w:lastRowLastColumn="0"/>
          <w:tblHeader/>
        </w:trPr>
        <w:tc>
          <w:tcPr>
            <w:tcW w:w="5416" w:type="dxa"/>
          </w:tcPr>
          <w:p w14:paraId="481EA1AC" w14:textId="77777777" w:rsidR="00E87FC5" w:rsidRPr="00D646E0" w:rsidRDefault="00E87FC5" w:rsidP="009D34BB">
            <w:pPr>
              <w:pStyle w:val="Compact"/>
              <w:spacing w:line="360" w:lineRule="auto"/>
            </w:pPr>
            <w:r w:rsidRPr="00D646E0">
              <w:t>Section</w:t>
            </w:r>
          </w:p>
        </w:tc>
        <w:tc>
          <w:tcPr>
            <w:tcW w:w="3610" w:type="dxa"/>
          </w:tcPr>
          <w:p w14:paraId="5A2D2C75" w14:textId="77777777" w:rsidR="00E87FC5" w:rsidRPr="00D646E0" w:rsidRDefault="00E87FC5" w:rsidP="009D34BB">
            <w:r w:rsidRPr="00D646E0">
              <w:t>Page</w:t>
            </w:r>
          </w:p>
        </w:tc>
      </w:tr>
      <w:tr w:rsidR="00E87FC5" w:rsidRPr="00D646E0" w14:paraId="3CBF9526" w14:textId="77777777" w:rsidTr="00D646E0">
        <w:tc>
          <w:tcPr>
            <w:tcW w:w="5416" w:type="dxa"/>
          </w:tcPr>
          <w:p w14:paraId="756367F4" w14:textId="06E1917B" w:rsidR="00E87FC5" w:rsidRPr="00D646E0" w:rsidRDefault="00E87FC5" w:rsidP="009D34BB">
            <w:pPr>
              <w:pStyle w:val="Compact"/>
              <w:spacing w:line="360" w:lineRule="auto"/>
            </w:pPr>
          </w:p>
        </w:tc>
        <w:tc>
          <w:tcPr>
            <w:tcW w:w="3610" w:type="dxa"/>
          </w:tcPr>
          <w:p w14:paraId="0197EF2F" w14:textId="094067FA" w:rsidR="00E87FC5" w:rsidRPr="00D646E0" w:rsidRDefault="00E87FC5" w:rsidP="009D34BB">
            <w:pPr>
              <w:pStyle w:val="Compact"/>
              <w:spacing w:line="360" w:lineRule="auto"/>
            </w:pPr>
          </w:p>
        </w:tc>
      </w:tr>
      <w:tr w:rsidR="00E87FC5" w:rsidRPr="00D646E0" w14:paraId="62DF114C" w14:textId="77777777" w:rsidTr="00D646E0">
        <w:tc>
          <w:tcPr>
            <w:tcW w:w="5416" w:type="dxa"/>
          </w:tcPr>
          <w:p w14:paraId="1CC999B1" w14:textId="6038F83B" w:rsidR="00E87FC5" w:rsidRPr="00D646E0" w:rsidRDefault="00E87FC5" w:rsidP="009D34BB">
            <w:pPr>
              <w:pStyle w:val="Compact"/>
              <w:spacing w:line="360" w:lineRule="auto"/>
            </w:pPr>
            <w:r w:rsidRPr="00D646E0">
              <w:rPr>
                <w:b/>
                <w:bCs/>
              </w:rPr>
              <w:t>1. Introduction</w:t>
            </w:r>
            <w:r w:rsidR="00E62775">
              <w:rPr>
                <w:b/>
                <w:bCs/>
              </w:rPr>
              <w:t>……………………………………………………</w:t>
            </w:r>
          </w:p>
        </w:tc>
        <w:tc>
          <w:tcPr>
            <w:tcW w:w="3610" w:type="dxa"/>
          </w:tcPr>
          <w:p w14:paraId="7D19D3CB" w14:textId="77777777" w:rsidR="00E87FC5" w:rsidRPr="00D646E0" w:rsidRDefault="00E87FC5" w:rsidP="009D34BB">
            <w:pPr>
              <w:pStyle w:val="Compact"/>
              <w:spacing w:line="360" w:lineRule="auto"/>
            </w:pPr>
            <w:r w:rsidRPr="00D646E0">
              <w:t>1</w:t>
            </w:r>
          </w:p>
        </w:tc>
      </w:tr>
      <w:tr w:rsidR="00E87FC5" w:rsidRPr="00D646E0" w14:paraId="3356F7C7" w14:textId="77777777" w:rsidTr="00D646E0">
        <w:tc>
          <w:tcPr>
            <w:tcW w:w="5416" w:type="dxa"/>
          </w:tcPr>
          <w:p w14:paraId="22A788DF" w14:textId="0B3F9EE3" w:rsidR="00E62775" w:rsidRPr="00E62775" w:rsidRDefault="00E87FC5" w:rsidP="009D34BB">
            <w:pPr>
              <w:pStyle w:val="Compact"/>
              <w:spacing w:line="360" w:lineRule="auto"/>
              <w:rPr>
                <w:b/>
                <w:bCs/>
              </w:rPr>
            </w:pPr>
            <w:r w:rsidRPr="00D646E0">
              <w:rPr>
                <w:b/>
                <w:bCs/>
              </w:rPr>
              <w:t>2. Main Body</w:t>
            </w:r>
            <w:r w:rsidR="00E62775">
              <w:rPr>
                <w:b/>
                <w:bCs/>
              </w:rPr>
              <w:t>………………………………………………….</w:t>
            </w:r>
          </w:p>
        </w:tc>
        <w:tc>
          <w:tcPr>
            <w:tcW w:w="3610" w:type="dxa"/>
          </w:tcPr>
          <w:p w14:paraId="103A9AF2" w14:textId="77777777" w:rsidR="00E87FC5" w:rsidRPr="00D646E0" w:rsidRDefault="00E87FC5" w:rsidP="009D34BB">
            <w:pPr>
              <w:pStyle w:val="Compact"/>
              <w:spacing w:line="360" w:lineRule="auto"/>
            </w:pPr>
            <w:r w:rsidRPr="00D646E0">
              <w:t>2</w:t>
            </w:r>
          </w:p>
        </w:tc>
      </w:tr>
      <w:tr w:rsidR="00E87FC5" w:rsidRPr="00D646E0" w14:paraId="43DE117C" w14:textId="77777777" w:rsidTr="00D646E0">
        <w:tc>
          <w:tcPr>
            <w:tcW w:w="5416" w:type="dxa"/>
          </w:tcPr>
          <w:p w14:paraId="2A6C5A2C" w14:textId="77777777" w:rsidR="00E87FC5" w:rsidRPr="00D646E0" w:rsidRDefault="00E87FC5" w:rsidP="009D34BB">
            <w:pPr>
              <w:pStyle w:val="Compact"/>
              <w:spacing w:line="360" w:lineRule="auto"/>
            </w:pPr>
            <w:r w:rsidRPr="00D646E0">
              <w:t>   2.1 The Early Help System</w:t>
            </w:r>
          </w:p>
        </w:tc>
        <w:tc>
          <w:tcPr>
            <w:tcW w:w="3610" w:type="dxa"/>
          </w:tcPr>
          <w:p w14:paraId="19CC0B66" w14:textId="77777777" w:rsidR="00E87FC5" w:rsidRPr="00D646E0" w:rsidRDefault="00E87FC5" w:rsidP="009D34BB">
            <w:pPr>
              <w:pStyle w:val="Compact"/>
              <w:spacing w:line="360" w:lineRule="auto"/>
            </w:pPr>
            <w:r w:rsidRPr="00D646E0">
              <w:t>2</w:t>
            </w:r>
          </w:p>
        </w:tc>
      </w:tr>
      <w:tr w:rsidR="00E87FC5" w:rsidRPr="00D646E0" w14:paraId="0D7530AC" w14:textId="77777777" w:rsidTr="00D646E0">
        <w:tc>
          <w:tcPr>
            <w:tcW w:w="5416" w:type="dxa"/>
          </w:tcPr>
          <w:p w14:paraId="39519C30" w14:textId="77777777" w:rsidR="00E87FC5" w:rsidRPr="00D646E0" w:rsidRDefault="00E87FC5" w:rsidP="009D34BB">
            <w:pPr>
              <w:pStyle w:val="Compact"/>
              <w:spacing w:line="360" w:lineRule="auto"/>
            </w:pPr>
            <w:r w:rsidRPr="00D646E0">
              <w:t>   2.2 Multi-agency Working and the Importance of Interdisciplinary Practice</w:t>
            </w:r>
          </w:p>
        </w:tc>
        <w:tc>
          <w:tcPr>
            <w:tcW w:w="3610" w:type="dxa"/>
          </w:tcPr>
          <w:p w14:paraId="0AE1A49F" w14:textId="77777777" w:rsidR="00E87FC5" w:rsidRPr="00D646E0" w:rsidRDefault="00E87FC5" w:rsidP="009D34BB">
            <w:pPr>
              <w:pStyle w:val="Compact"/>
              <w:spacing w:line="360" w:lineRule="auto"/>
            </w:pPr>
            <w:r w:rsidRPr="00D646E0">
              <w:t>5</w:t>
            </w:r>
          </w:p>
        </w:tc>
      </w:tr>
      <w:tr w:rsidR="00E87FC5" w:rsidRPr="00D646E0" w14:paraId="154705C9" w14:textId="77777777" w:rsidTr="00D646E0">
        <w:tc>
          <w:tcPr>
            <w:tcW w:w="5416" w:type="dxa"/>
          </w:tcPr>
          <w:p w14:paraId="63D8DFD8" w14:textId="77777777" w:rsidR="00E87FC5" w:rsidRPr="00D646E0" w:rsidRDefault="00E87FC5" w:rsidP="009D34BB">
            <w:pPr>
              <w:pStyle w:val="Compact"/>
              <w:spacing w:line="360" w:lineRule="auto"/>
            </w:pPr>
            <w:r w:rsidRPr="00D646E0">
              <w:t>   2.3 Evaluation of Local Authority Early Help Websites</w:t>
            </w:r>
          </w:p>
        </w:tc>
        <w:tc>
          <w:tcPr>
            <w:tcW w:w="3610" w:type="dxa"/>
          </w:tcPr>
          <w:p w14:paraId="12104580" w14:textId="77777777" w:rsidR="00E87FC5" w:rsidRPr="00D646E0" w:rsidRDefault="00E87FC5" w:rsidP="009D34BB">
            <w:pPr>
              <w:pStyle w:val="Compact"/>
              <w:spacing w:line="360" w:lineRule="auto"/>
            </w:pPr>
            <w:r w:rsidRPr="00D646E0">
              <w:t>8</w:t>
            </w:r>
          </w:p>
        </w:tc>
      </w:tr>
      <w:tr w:rsidR="00E87FC5" w:rsidRPr="00D646E0" w14:paraId="6643ED60" w14:textId="77777777" w:rsidTr="00D646E0">
        <w:tc>
          <w:tcPr>
            <w:tcW w:w="5416" w:type="dxa"/>
          </w:tcPr>
          <w:p w14:paraId="60B5B208" w14:textId="77777777" w:rsidR="00E87FC5" w:rsidRPr="00D646E0" w:rsidRDefault="00E87FC5" w:rsidP="009D34BB">
            <w:pPr>
              <w:pStyle w:val="Compact"/>
              <w:spacing w:line="360" w:lineRule="auto"/>
            </w:pPr>
            <w:r w:rsidRPr="00D646E0">
              <w:t>      2.3.1 Staffordshire County Council</w:t>
            </w:r>
          </w:p>
        </w:tc>
        <w:tc>
          <w:tcPr>
            <w:tcW w:w="3610" w:type="dxa"/>
          </w:tcPr>
          <w:p w14:paraId="357BB7B8" w14:textId="77777777" w:rsidR="00E87FC5" w:rsidRPr="00D646E0" w:rsidRDefault="00E87FC5" w:rsidP="009D34BB">
            <w:pPr>
              <w:pStyle w:val="Compact"/>
              <w:spacing w:line="360" w:lineRule="auto"/>
            </w:pPr>
            <w:r w:rsidRPr="00D646E0">
              <w:t>8</w:t>
            </w:r>
          </w:p>
        </w:tc>
      </w:tr>
      <w:tr w:rsidR="00E87FC5" w:rsidRPr="00D646E0" w14:paraId="0666496F" w14:textId="77777777" w:rsidTr="00D646E0">
        <w:tc>
          <w:tcPr>
            <w:tcW w:w="5416" w:type="dxa"/>
          </w:tcPr>
          <w:p w14:paraId="56F66C6B" w14:textId="77777777" w:rsidR="00E87FC5" w:rsidRPr="00D646E0" w:rsidRDefault="00E87FC5" w:rsidP="009D34BB">
            <w:pPr>
              <w:pStyle w:val="Compact"/>
              <w:spacing w:line="360" w:lineRule="auto"/>
            </w:pPr>
            <w:r w:rsidRPr="00D646E0">
              <w:t>      2.3.2 Birmingham City Council</w:t>
            </w:r>
          </w:p>
        </w:tc>
        <w:tc>
          <w:tcPr>
            <w:tcW w:w="3610" w:type="dxa"/>
          </w:tcPr>
          <w:p w14:paraId="46AA17F7" w14:textId="77777777" w:rsidR="00E87FC5" w:rsidRPr="00D646E0" w:rsidRDefault="00E87FC5" w:rsidP="009D34BB">
            <w:pPr>
              <w:pStyle w:val="Compact"/>
              <w:spacing w:line="360" w:lineRule="auto"/>
            </w:pPr>
            <w:r w:rsidRPr="00D646E0">
              <w:t>10</w:t>
            </w:r>
          </w:p>
        </w:tc>
      </w:tr>
      <w:tr w:rsidR="00E87FC5" w:rsidRPr="00D646E0" w14:paraId="30C6E413" w14:textId="77777777" w:rsidTr="00D646E0">
        <w:tc>
          <w:tcPr>
            <w:tcW w:w="5416" w:type="dxa"/>
          </w:tcPr>
          <w:p w14:paraId="1D1BCD9D" w14:textId="77777777" w:rsidR="00E87FC5" w:rsidRPr="00D646E0" w:rsidRDefault="00E87FC5" w:rsidP="009D34BB">
            <w:pPr>
              <w:pStyle w:val="Compact"/>
              <w:spacing w:line="360" w:lineRule="auto"/>
            </w:pPr>
            <w:r w:rsidRPr="00D646E0">
              <w:t>      2.3.3 Sandwell Council</w:t>
            </w:r>
          </w:p>
        </w:tc>
        <w:tc>
          <w:tcPr>
            <w:tcW w:w="3610" w:type="dxa"/>
          </w:tcPr>
          <w:p w14:paraId="4EABD2E8" w14:textId="77777777" w:rsidR="00E87FC5" w:rsidRPr="00D646E0" w:rsidRDefault="00E87FC5" w:rsidP="009D34BB">
            <w:pPr>
              <w:pStyle w:val="Compact"/>
              <w:spacing w:line="360" w:lineRule="auto"/>
            </w:pPr>
            <w:r w:rsidRPr="00D646E0">
              <w:t>11</w:t>
            </w:r>
          </w:p>
        </w:tc>
      </w:tr>
      <w:tr w:rsidR="00E87FC5" w:rsidRPr="00D646E0" w14:paraId="42DC1142" w14:textId="77777777" w:rsidTr="00D646E0">
        <w:tc>
          <w:tcPr>
            <w:tcW w:w="5416" w:type="dxa"/>
          </w:tcPr>
          <w:p w14:paraId="592885EA" w14:textId="77777777" w:rsidR="00E87FC5" w:rsidRPr="00D646E0" w:rsidRDefault="00E87FC5" w:rsidP="009D34BB">
            <w:pPr>
              <w:pStyle w:val="Compact"/>
              <w:spacing w:line="360" w:lineRule="auto"/>
            </w:pPr>
            <w:r w:rsidRPr="00D646E0">
              <w:t>   2.4 Comparative Analysis of the Three Local Authorities</w:t>
            </w:r>
          </w:p>
        </w:tc>
        <w:tc>
          <w:tcPr>
            <w:tcW w:w="3610" w:type="dxa"/>
          </w:tcPr>
          <w:p w14:paraId="02A65A1F" w14:textId="77777777" w:rsidR="00E87FC5" w:rsidRPr="00D646E0" w:rsidRDefault="00E87FC5" w:rsidP="009D34BB">
            <w:pPr>
              <w:pStyle w:val="Compact"/>
              <w:spacing w:line="360" w:lineRule="auto"/>
            </w:pPr>
            <w:r w:rsidRPr="00D646E0">
              <w:t>13</w:t>
            </w:r>
          </w:p>
        </w:tc>
      </w:tr>
      <w:tr w:rsidR="00E87FC5" w:rsidRPr="00D646E0" w14:paraId="6505D33A" w14:textId="77777777" w:rsidTr="00D646E0">
        <w:tc>
          <w:tcPr>
            <w:tcW w:w="5416" w:type="dxa"/>
          </w:tcPr>
          <w:p w14:paraId="0F8EDB16" w14:textId="6C7E4535" w:rsidR="00E87FC5" w:rsidRPr="00D646E0" w:rsidRDefault="00E87FC5" w:rsidP="009D34BB">
            <w:pPr>
              <w:pStyle w:val="Compact"/>
              <w:spacing w:line="360" w:lineRule="auto"/>
            </w:pPr>
            <w:r w:rsidRPr="00D646E0">
              <w:rPr>
                <w:b/>
                <w:bCs/>
              </w:rPr>
              <w:t>3. Conclusion</w:t>
            </w:r>
            <w:r w:rsidR="00CB233E">
              <w:rPr>
                <w:b/>
                <w:bCs/>
              </w:rPr>
              <w:t>………………………………………………….</w:t>
            </w:r>
          </w:p>
        </w:tc>
        <w:tc>
          <w:tcPr>
            <w:tcW w:w="3610" w:type="dxa"/>
          </w:tcPr>
          <w:p w14:paraId="767797C2" w14:textId="77777777" w:rsidR="00E87FC5" w:rsidRPr="00D646E0" w:rsidRDefault="00E87FC5" w:rsidP="009D34BB">
            <w:pPr>
              <w:pStyle w:val="Compact"/>
              <w:spacing w:line="360" w:lineRule="auto"/>
            </w:pPr>
            <w:r w:rsidRPr="00D646E0">
              <w:t>15</w:t>
            </w:r>
          </w:p>
        </w:tc>
      </w:tr>
      <w:tr w:rsidR="00E87FC5" w:rsidRPr="00D646E0" w14:paraId="4FB70C34" w14:textId="77777777" w:rsidTr="00D646E0">
        <w:tc>
          <w:tcPr>
            <w:tcW w:w="5416" w:type="dxa"/>
          </w:tcPr>
          <w:p w14:paraId="2B854BB0" w14:textId="5E58DAB8" w:rsidR="00E87FC5" w:rsidRPr="00D646E0" w:rsidRDefault="00E87FC5" w:rsidP="009D34BB">
            <w:pPr>
              <w:pStyle w:val="Compact"/>
              <w:spacing w:line="360" w:lineRule="auto"/>
            </w:pPr>
            <w:r w:rsidRPr="00D646E0">
              <w:rPr>
                <w:b/>
                <w:bCs/>
              </w:rPr>
              <w:t>4. Recommendations</w:t>
            </w:r>
            <w:r w:rsidR="00CB233E">
              <w:rPr>
                <w:b/>
                <w:bCs/>
              </w:rPr>
              <w:t>…………………………………</w:t>
            </w:r>
            <w:proofErr w:type="gramStart"/>
            <w:r w:rsidR="00CB233E">
              <w:rPr>
                <w:b/>
                <w:bCs/>
              </w:rPr>
              <w:t>…..</w:t>
            </w:r>
            <w:proofErr w:type="gramEnd"/>
          </w:p>
        </w:tc>
        <w:tc>
          <w:tcPr>
            <w:tcW w:w="3610" w:type="dxa"/>
          </w:tcPr>
          <w:p w14:paraId="33B55CD4" w14:textId="77777777" w:rsidR="00E87FC5" w:rsidRPr="00D646E0" w:rsidRDefault="00E87FC5" w:rsidP="009D34BB">
            <w:pPr>
              <w:pStyle w:val="Compact"/>
              <w:spacing w:line="360" w:lineRule="auto"/>
            </w:pPr>
            <w:r w:rsidRPr="00D646E0">
              <w:t>16</w:t>
            </w:r>
          </w:p>
        </w:tc>
      </w:tr>
      <w:tr w:rsidR="00E87FC5" w:rsidRPr="00D646E0" w14:paraId="571A2D87" w14:textId="77777777" w:rsidTr="00D646E0">
        <w:tc>
          <w:tcPr>
            <w:tcW w:w="5416" w:type="dxa"/>
          </w:tcPr>
          <w:p w14:paraId="3C5C02E7" w14:textId="287BD2DD" w:rsidR="00E87FC5" w:rsidRPr="00D646E0" w:rsidRDefault="00E87FC5" w:rsidP="009D34BB">
            <w:pPr>
              <w:pStyle w:val="Compact"/>
              <w:spacing w:line="360" w:lineRule="auto"/>
            </w:pPr>
            <w:r w:rsidRPr="00D646E0">
              <w:rPr>
                <w:b/>
                <w:bCs/>
              </w:rPr>
              <w:t>References</w:t>
            </w:r>
            <w:r w:rsidR="00CB233E">
              <w:rPr>
                <w:b/>
                <w:bCs/>
              </w:rPr>
              <w:t>…………………………………………………….</w:t>
            </w:r>
          </w:p>
        </w:tc>
        <w:tc>
          <w:tcPr>
            <w:tcW w:w="3610" w:type="dxa"/>
          </w:tcPr>
          <w:p w14:paraId="30E833DB" w14:textId="77777777" w:rsidR="00E87FC5" w:rsidRPr="00D646E0" w:rsidRDefault="00E87FC5" w:rsidP="009D34BB">
            <w:pPr>
              <w:pStyle w:val="Compact"/>
              <w:spacing w:line="360" w:lineRule="auto"/>
            </w:pPr>
            <w:r w:rsidRPr="00D646E0">
              <w:t>17</w:t>
            </w:r>
          </w:p>
        </w:tc>
      </w:tr>
      <w:bookmarkEnd w:id="0"/>
    </w:tbl>
    <w:p w14:paraId="60C916A4" w14:textId="1D768040" w:rsidR="000C4EDA" w:rsidRPr="00D646E0" w:rsidRDefault="000C4EDA" w:rsidP="009D34BB">
      <w:pPr>
        <w:spacing w:line="360" w:lineRule="auto"/>
        <w:rPr>
          <w:rFonts w:ascii="Arial" w:hAnsi="Arial" w:cs="Arial"/>
          <w:szCs w:val="24"/>
        </w:rPr>
      </w:pPr>
      <w:r w:rsidRPr="00D646E0">
        <w:rPr>
          <w:rFonts w:ascii="Arial" w:hAnsi="Arial" w:cs="Arial"/>
          <w:szCs w:val="24"/>
        </w:rPr>
        <w:br w:type="page"/>
      </w:r>
    </w:p>
    <w:p w14:paraId="079038E9" w14:textId="77777777" w:rsidR="00C61587" w:rsidRPr="00944ACD" w:rsidRDefault="00C61587" w:rsidP="00944ACD">
      <w:pPr>
        <w:pStyle w:val="ListParagraph"/>
        <w:numPr>
          <w:ilvl w:val="0"/>
          <w:numId w:val="10"/>
        </w:numPr>
        <w:tabs>
          <w:tab w:val="left" w:pos="6540"/>
        </w:tabs>
        <w:spacing w:line="360" w:lineRule="auto"/>
        <w:jc w:val="both"/>
        <w:rPr>
          <w:rFonts w:ascii="Arial" w:eastAsiaTheme="majorEastAsia" w:hAnsi="Arial" w:cs="Arial"/>
          <w:b/>
          <w:bCs/>
          <w:sz w:val="32"/>
          <w:szCs w:val="32"/>
        </w:rPr>
      </w:pPr>
      <w:r w:rsidRPr="00944ACD">
        <w:rPr>
          <w:rFonts w:ascii="Arial" w:eastAsiaTheme="majorEastAsia" w:hAnsi="Arial" w:cs="Arial"/>
          <w:b/>
          <w:bCs/>
          <w:sz w:val="32"/>
          <w:szCs w:val="32"/>
        </w:rPr>
        <w:lastRenderedPageBreak/>
        <w:t>Introduction</w:t>
      </w:r>
    </w:p>
    <w:p w14:paraId="42E3FFA3" w14:textId="77777777" w:rsidR="00C61587" w:rsidRPr="00944ACD" w:rsidRDefault="00C61587" w:rsidP="00C61587">
      <w:pPr>
        <w:tabs>
          <w:tab w:val="left" w:pos="6540"/>
        </w:tabs>
        <w:spacing w:line="360" w:lineRule="auto"/>
        <w:jc w:val="both"/>
        <w:rPr>
          <w:rFonts w:ascii="Arial" w:eastAsiaTheme="majorEastAsia" w:hAnsi="Arial" w:cs="Arial"/>
          <w:szCs w:val="24"/>
        </w:rPr>
      </w:pPr>
      <w:r w:rsidRPr="00944ACD">
        <w:rPr>
          <w:rFonts w:ascii="Arial" w:eastAsiaTheme="majorEastAsia" w:hAnsi="Arial" w:cs="Arial"/>
          <w:szCs w:val="24"/>
        </w:rPr>
        <w:t xml:space="preserve">Safeguarding children is a fundamental responsibility shared by all professionals and organisations working with children, young people and families. Effective safeguarding extends beyond protecting children from immediate harm and involves promoting their welfare, ensuring their developmental needs are met and providing support at the earliest opportunity to prevent problems from escalating. The statutory guidance </w:t>
      </w:r>
      <w:r w:rsidRPr="00944ACD">
        <w:rPr>
          <w:rFonts w:ascii="Arial" w:eastAsiaTheme="majorEastAsia" w:hAnsi="Arial" w:cs="Arial"/>
          <w:i/>
          <w:iCs/>
          <w:szCs w:val="24"/>
        </w:rPr>
        <w:t>Working Together to Safeguard Children (2026)</w:t>
      </w:r>
      <w:r w:rsidRPr="00944ACD">
        <w:rPr>
          <w:rFonts w:ascii="Arial" w:eastAsiaTheme="majorEastAsia" w:hAnsi="Arial" w:cs="Arial"/>
          <w:szCs w:val="24"/>
        </w:rPr>
        <w:t xml:space="preserve"> emphasises that safeguarding is achieved through collaborative multi-agency working, with local authorities, health services, police, education providers and voluntary organisations sharing responsibility for protecting children and promoting positive outcomes. This child-centred approach places the welfare, wishes and lived experiences of children at the heart of all decision-making while recognising the importance of supporting the wider family network (Department for Education, 2026).</w:t>
      </w:r>
    </w:p>
    <w:p w14:paraId="3FD2E482" w14:textId="77777777" w:rsidR="00C61587" w:rsidRPr="00944ACD" w:rsidRDefault="00C61587" w:rsidP="00C61587">
      <w:pPr>
        <w:tabs>
          <w:tab w:val="left" w:pos="6540"/>
        </w:tabs>
        <w:spacing w:line="360" w:lineRule="auto"/>
        <w:jc w:val="both"/>
        <w:rPr>
          <w:rFonts w:ascii="Arial" w:eastAsiaTheme="majorEastAsia" w:hAnsi="Arial" w:cs="Arial"/>
          <w:szCs w:val="24"/>
        </w:rPr>
      </w:pPr>
      <w:r w:rsidRPr="00944ACD">
        <w:rPr>
          <w:rFonts w:ascii="Arial" w:eastAsiaTheme="majorEastAsia" w:hAnsi="Arial" w:cs="Arial"/>
          <w:szCs w:val="24"/>
        </w:rPr>
        <w:t>Early Help forms a central component of effective safeguarding by identifying emerging concerns before they develop into significant risks. Rather than representing a single service, the Early Help System is a coordinated network of services, practitioners and community resources designed to strengthen family resilience, improve wellbeing and reduce the need for statutory intervention. The Early Help System Guide highlights the importance of whole-family working, integrated professional practice, effective information sharing and meaningful engagement with families to achieve sustainable improvements in children's outcomes (Department for Levelling Up, Housing and Communities &amp; Department for Education, 2022).</w:t>
      </w:r>
    </w:p>
    <w:p w14:paraId="18953655" w14:textId="77777777" w:rsidR="00C61587" w:rsidRPr="00944ACD" w:rsidRDefault="00C61587" w:rsidP="00C61587">
      <w:pPr>
        <w:tabs>
          <w:tab w:val="left" w:pos="6540"/>
        </w:tabs>
        <w:spacing w:line="360" w:lineRule="auto"/>
        <w:jc w:val="both"/>
        <w:rPr>
          <w:rFonts w:ascii="Arial" w:eastAsiaTheme="majorEastAsia" w:hAnsi="Arial" w:cs="Arial"/>
          <w:szCs w:val="24"/>
        </w:rPr>
      </w:pPr>
      <w:r w:rsidRPr="00944ACD">
        <w:rPr>
          <w:rFonts w:ascii="Arial" w:eastAsiaTheme="majorEastAsia" w:hAnsi="Arial" w:cs="Arial"/>
          <w:szCs w:val="24"/>
        </w:rPr>
        <w:t>This report critically examines the role of Early Help within safeguarding practice, explores the importance of multi-agency collaboration in supporting vulnerable children and families, analyses the responsibilities of key professionals involved in safeguarding, and evaluates the challenges and opportunities associated with delivering effective family-centred services in contemporary health and social care practice. Current legislation, statutory guidance and academic literature are used throughout to support critical discussion and evidence-based recommendations.</w:t>
      </w:r>
    </w:p>
    <w:p w14:paraId="33252048" w14:textId="77777777" w:rsidR="00764F2A" w:rsidRPr="00944ACD" w:rsidRDefault="00764F2A" w:rsidP="00C61587">
      <w:pPr>
        <w:tabs>
          <w:tab w:val="left" w:pos="6540"/>
        </w:tabs>
        <w:spacing w:line="360" w:lineRule="auto"/>
        <w:jc w:val="both"/>
        <w:rPr>
          <w:rFonts w:ascii="Arial" w:hAnsi="Arial" w:cs="Arial"/>
          <w:color w:val="8EAADB" w:themeColor="accent1" w:themeTint="99"/>
          <w:szCs w:val="24"/>
        </w:rPr>
      </w:pPr>
    </w:p>
    <w:p w14:paraId="74BD6451" w14:textId="77777777" w:rsidR="003E03CB" w:rsidRPr="00944ACD" w:rsidRDefault="003E03CB" w:rsidP="00C61587">
      <w:pPr>
        <w:tabs>
          <w:tab w:val="left" w:pos="6540"/>
        </w:tabs>
        <w:spacing w:line="360" w:lineRule="auto"/>
        <w:jc w:val="both"/>
        <w:rPr>
          <w:rFonts w:ascii="Arial" w:hAnsi="Arial" w:cs="Arial"/>
          <w:color w:val="8EAADB" w:themeColor="accent1" w:themeTint="99"/>
          <w:szCs w:val="24"/>
        </w:rPr>
      </w:pPr>
    </w:p>
    <w:p w14:paraId="2D3AD482" w14:textId="63EB458A" w:rsidR="00C61587" w:rsidRPr="00944ACD" w:rsidRDefault="00C03A91" w:rsidP="00A54748">
      <w:pPr>
        <w:pStyle w:val="Heading1"/>
      </w:pPr>
      <w:r w:rsidRPr="00944ACD">
        <w:lastRenderedPageBreak/>
        <w:t xml:space="preserve">2. </w:t>
      </w:r>
      <w:r w:rsidR="00764F2A" w:rsidRPr="00944ACD">
        <w:t>Main body</w:t>
      </w:r>
    </w:p>
    <w:p w14:paraId="13590002" w14:textId="77777777" w:rsidR="00C61587" w:rsidRPr="00944ACD" w:rsidRDefault="00C61587" w:rsidP="00C61587">
      <w:pPr>
        <w:spacing w:line="360" w:lineRule="auto"/>
        <w:jc w:val="both"/>
        <w:rPr>
          <w:rFonts w:ascii="Arial" w:hAnsi="Arial" w:cs="Arial"/>
          <w:szCs w:val="24"/>
        </w:rPr>
      </w:pPr>
    </w:p>
    <w:p w14:paraId="44F7418A"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The Early Help System</w:t>
      </w:r>
    </w:p>
    <w:p w14:paraId="5C9A1B74"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The Early Help System is a preventative approach that aims to identify and respond to the needs of children, young people and families before concerns escalate to the point where statutory intervention becomes necessary. Rather than representing a single service, Early Help is a coordinated network of services, professionals and community resources working collaboratively to improve family resilience and children's wellbeing. The Department for Levelling Up, Housing and Communities and the Department for Education (2022) describe Early Help as a whole-system approach that brings together universal, targeted and specialist services to provide timely support that reduces the likelihood of children experiencing significant harm.</w:t>
      </w:r>
    </w:p>
    <w:p w14:paraId="1F1C268E"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 xml:space="preserve">The Early Help System is founded upon the principle that all professionals working with children share responsibility for recognising emerging concerns. Universal services such as schools, health visitors, GPs, nurseries and family hubs often identify issues first and can coordinate support before problems become entrenched. This preventative philosophy aligns closely with the Children Act 1989 and the statutory guidance </w:t>
      </w:r>
      <w:r w:rsidRPr="00944ACD">
        <w:rPr>
          <w:rFonts w:ascii="Arial" w:hAnsi="Arial" w:cs="Arial"/>
          <w:i/>
          <w:iCs/>
          <w:szCs w:val="24"/>
        </w:rPr>
        <w:t>Working Together to Safeguard Children</w:t>
      </w:r>
      <w:r w:rsidRPr="00944ACD">
        <w:rPr>
          <w:rFonts w:ascii="Arial" w:hAnsi="Arial" w:cs="Arial"/>
          <w:szCs w:val="24"/>
        </w:rPr>
        <w:t>, which emphasises providing help as soon as difficulties emerge rather than waiting until statutory thresholds are reached (Department for Education, 2026).</w:t>
      </w:r>
    </w:p>
    <w:p w14:paraId="15FFE144"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 xml:space="preserve">According to the </w:t>
      </w:r>
      <w:r w:rsidRPr="00944ACD">
        <w:rPr>
          <w:rFonts w:ascii="Arial" w:hAnsi="Arial" w:cs="Arial"/>
          <w:i/>
          <w:iCs/>
          <w:szCs w:val="24"/>
        </w:rPr>
        <w:t>Early Help System Guide</w:t>
      </w:r>
      <w:r w:rsidRPr="00944ACD">
        <w:rPr>
          <w:rFonts w:ascii="Arial" w:hAnsi="Arial" w:cs="Arial"/>
          <w:szCs w:val="24"/>
        </w:rPr>
        <w:t>, an effective Early Help system consists of five interconnected components: family voice and experience, workforce, communities, leadership and data. Family voice is central because services should be designed around the experiences, strengths and aspirations of children and families. Rather than professionals making decisions on behalf of families, effective Early Help encourages co-production, ensuring that parents and young people actively participate in assessments, planning and decision-making. Likewise, practitioners are expected to adopt a strengths-based approach, recognising family assets rather than focusing solely on deficits.</w:t>
      </w:r>
    </w:p>
    <w:p w14:paraId="1471B2B7"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 xml:space="preserve">The workforce element highlights that Early Help is everyone's responsibility. Professionals from education, health, social care, housing, police and voluntary </w:t>
      </w:r>
      <w:r w:rsidRPr="00944ACD">
        <w:rPr>
          <w:rFonts w:ascii="Arial" w:hAnsi="Arial" w:cs="Arial"/>
          <w:szCs w:val="24"/>
        </w:rPr>
        <w:lastRenderedPageBreak/>
        <w:t xml:space="preserve">organisations should share information appropriately and work collaboratively around a </w:t>
      </w:r>
      <w:proofErr w:type="gramStart"/>
      <w:r w:rsidRPr="00944ACD">
        <w:rPr>
          <w:rFonts w:ascii="Arial" w:hAnsi="Arial" w:cs="Arial"/>
          <w:szCs w:val="24"/>
        </w:rPr>
        <w:t>single family</w:t>
      </w:r>
      <w:proofErr w:type="gramEnd"/>
      <w:r w:rsidRPr="00944ACD">
        <w:rPr>
          <w:rFonts w:ascii="Arial" w:hAnsi="Arial" w:cs="Arial"/>
          <w:szCs w:val="24"/>
        </w:rPr>
        <w:t xml:space="preserve"> plan. Leadership is equally important because senior strategic partnerships are responsible for ensuring services are integrated, adequately resourced and continuously evaluated using outcome data. Finally, effective data sharing enables practitioners to identify vulnerable families earlier, coordinate interventions and monitor progress while complying with information governance legislation.</w:t>
      </w:r>
    </w:p>
    <w:p w14:paraId="68E1D51E"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Family Hubs have become one of the principal delivery models for Early Help across England. They provide accessible community locations where families can receive parenting advice, infant feeding support, mental health services, SEND guidance, financial advice and safeguarding support through a single point of access. This integrated approach reduces fragmentation between services and improves families' ability to access support without navigating multiple agencies independently. Research suggests that coordinated early intervention improves child development, parental wellbeing and long-term educational outcomes while reducing demand on children's social care services (Axford et al., 2020).</w:t>
      </w:r>
    </w:p>
    <w:p w14:paraId="486DA119" w14:textId="77777777" w:rsidR="00E2161B" w:rsidRPr="00944ACD" w:rsidRDefault="00E2161B" w:rsidP="00C61587">
      <w:pPr>
        <w:tabs>
          <w:tab w:val="left" w:pos="6540"/>
        </w:tabs>
        <w:spacing w:line="360" w:lineRule="auto"/>
        <w:jc w:val="both"/>
        <w:rPr>
          <w:rFonts w:ascii="Arial" w:hAnsi="Arial" w:cs="Arial"/>
          <w:szCs w:val="24"/>
        </w:rPr>
      </w:pPr>
    </w:p>
    <w:p w14:paraId="559D9A8D" w14:textId="288D0D5A" w:rsidR="00E2161B" w:rsidRPr="00944ACD" w:rsidRDefault="00E2161B" w:rsidP="00C61587">
      <w:pPr>
        <w:tabs>
          <w:tab w:val="left" w:pos="6540"/>
        </w:tabs>
        <w:spacing w:line="360" w:lineRule="auto"/>
        <w:jc w:val="both"/>
        <w:rPr>
          <w:rFonts w:ascii="Arial" w:hAnsi="Arial" w:cs="Arial"/>
          <w:szCs w:val="24"/>
        </w:rPr>
      </w:pPr>
      <w:r w:rsidRPr="00944ACD">
        <w:rPr>
          <w:rFonts w:ascii="Arial" w:hAnsi="Arial" w:cs="Arial"/>
          <w:noProof/>
          <w:szCs w:val="24"/>
        </w:rPr>
        <w:drawing>
          <wp:inline distT="0" distB="0" distL="0" distR="0" wp14:anchorId="23EF4F7E" wp14:editId="311CFA88">
            <wp:extent cx="5731510" cy="2959100"/>
            <wp:effectExtent l="0" t="0" r="2540" b="0"/>
            <wp:docPr id="1923149631" name="Picture 1" descr="Levels of Need framework - Devon Safeguarding Children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Levels of Need framework - Devon Safeguarding Children Partnershi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59100"/>
                    </a:xfrm>
                    <a:prstGeom prst="rect">
                      <a:avLst/>
                    </a:prstGeom>
                    <a:noFill/>
                    <a:ln>
                      <a:noFill/>
                    </a:ln>
                  </pic:spPr>
                </pic:pic>
              </a:graphicData>
            </a:graphic>
          </wp:inline>
        </w:drawing>
      </w:r>
    </w:p>
    <w:p w14:paraId="3AB9DA68"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Figure 1. The Early Help System model (adapted from the Department for Levelling Up, Housing and Communities &amp; Department for Education, 2022).</w:t>
      </w:r>
    </w:p>
    <w:p w14:paraId="06FCA0F3" w14:textId="77777777" w:rsidR="00C61587" w:rsidRPr="00944ACD" w:rsidRDefault="00471436" w:rsidP="00C61587">
      <w:pPr>
        <w:tabs>
          <w:tab w:val="left" w:pos="6540"/>
        </w:tabs>
        <w:spacing w:line="360" w:lineRule="auto"/>
        <w:jc w:val="both"/>
        <w:rPr>
          <w:rFonts w:ascii="Arial" w:hAnsi="Arial" w:cs="Arial"/>
          <w:szCs w:val="24"/>
        </w:rPr>
      </w:pPr>
      <w:r>
        <w:rPr>
          <w:rFonts w:ascii="Arial" w:hAnsi="Arial" w:cs="Arial"/>
          <w:szCs w:val="24"/>
        </w:rPr>
        <w:pict w14:anchorId="56A8E259">
          <v:rect id="_x0000_i1025" style="width:0;height:1.5pt" o:hralign="center" o:hrstd="t" o:hr="t" fillcolor="#a0a0a0" stroked="f"/>
        </w:pict>
      </w:r>
    </w:p>
    <w:p w14:paraId="24B74399"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lastRenderedPageBreak/>
        <w:t>Multi-agency Working and the Importance of Interdisciplinary Practice</w:t>
      </w:r>
    </w:p>
    <w:p w14:paraId="25A91CB3"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 xml:space="preserve">Multi-agency working refers to different organisations and professionals collaborating to safeguard children and improve outcomes for families through coordinated assessment, planning, information sharing and intervention. The statutory guidance </w:t>
      </w:r>
      <w:r w:rsidRPr="00944ACD">
        <w:rPr>
          <w:rFonts w:ascii="Arial" w:hAnsi="Arial" w:cs="Arial"/>
          <w:i/>
          <w:iCs/>
          <w:szCs w:val="24"/>
        </w:rPr>
        <w:t>Working Together to Safeguard Children</w:t>
      </w:r>
      <w:r w:rsidRPr="00944ACD">
        <w:rPr>
          <w:rFonts w:ascii="Arial" w:hAnsi="Arial" w:cs="Arial"/>
          <w:szCs w:val="24"/>
        </w:rPr>
        <w:t xml:space="preserve"> identifies safeguarding as a shared responsibility requiring local authorities, Integrated Care Boards (ICBs), police services, education providers, voluntary organisations and other relevant agencies to work collectively to protect children and promote their welfare.</w:t>
      </w:r>
    </w:p>
    <w:p w14:paraId="63BEC9E1"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Children's needs are often complex and cannot be addressed effectively by one organisation alone. For example, a child experiencing neglect may simultaneously require healthcare, educational support, housing assistance, financial advice for parents and safeguarding intervention. Interdisciplinary working enables professionals with different expertise to develop a holistic understanding of family circumstances and produce coordinated support plans. This reduces duplication, improves communication and ensures children receive timely interventions.</w:t>
      </w:r>
    </w:p>
    <w:p w14:paraId="2953A830"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The 2026 statutory guidance emphasises that effective multi-agency practice depends upon clear professional roles, shared accountability, effective leadership and timely information sharing. Practitioners are expected to adopt a child-centred approach, listen to children's views, work collaboratively with parents where appropriate and maintain professional curiosity when safeguarding concerns arise.</w:t>
      </w:r>
    </w:p>
    <w:p w14:paraId="0967FF0D"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Interdisciplinary working provides several important benefits. First, it improves decision-making because professionals contribute different perspectives regarding children's developmental, educational, psychological and physical needs. Secondly, it allows risks to be identified earlier because agencies share information that may appear insignificant individually but becomes important when combined. Thirdly, collaborative working prevents families from repeatedly telling their story to multiple services, thereby improving engagement and trust. Finally, coordinated working makes better use of limited public resources by avoiding duplicated assessments and fragmented interventions.</w:t>
      </w:r>
    </w:p>
    <w:p w14:paraId="75B03F61"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 xml:space="preserve">Despite these benefits, multi-agency working continues to face significant challenges. Differences in organisational culture, professional language, thresholds for intervention and information-sharing practices can create delays. Resource pressures, </w:t>
      </w:r>
      <w:r w:rsidRPr="00944ACD">
        <w:rPr>
          <w:rFonts w:ascii="Arial" w:hAnsi="Arial" w:cs="Arial"/>
          <w:szCs w:val="24"/>
        </w:rPr>
        <w:lastRenderedPageBreak/>
        <w:t>workforce shortages and increasing demand across children's services further reduce opportunities for effective collaboration. Information governance requirements, although essential for protecting confidentiality, may also create uncertainty among practitioners regarding lawful information sharing. Consequently, continuous professional development, shared safeguarding training and strong local leadership remain essential for sustaining effective interdisciplinary practice.</w:t>
      </w:r>
    </w:p>
    <w:p w14:paraId="057C6C25" w14:textId="77777777" w:rsidR="00C61587" w:rsidRPr="00944ACD" w:rsidRDefault="00471436" w:rsidP="00C61587">
      <w:pPr>
        <w:tabs>
          <w:tab w:val="left" w:pos="6540"/>
        </w:tabs>
        <w:spacing w:line="360" w:lineRule="auto"/>
        <w:jc w:val="both"/>
        <w:rPr>
          <w:rFonts w:ascii="Arial" w:hAnsi="Arial" w:cs="Arial"/>
          <w:szCs w:val="24"/>
        </w:rPr>
      </w:pPr>
      <w:r>
        <w:rPr>
          <w:rFonts w:ascii="Arial" w:hAnsi="Arial" w:cs="Arial"/>
          <w:szCs w:val="24"/>
        </w:rPr>
        <w:pict w14:anchorId="28005723">
          <v:rect id="_x0000_i1026" style="width:0;height:1.5pt" o:hralign="center" o:hrstd="t" o:hr="t" fillcolor="#a0a0a0" stroked="f"/>
        </w:pict>
      </w:r>
    </w:p>
    <w:p w14:paraId="114D7D51" w14:textId="77777777" w:rsidR="00C61587" w:rsidRPr="00944ACD" w:rsidRDefault="00C61587" w:rsidP="00C61587">
      <w:pPr>
        <w:tabs>
          <w:tab w:val="left" w:pos="6540"/>
        </w:tabs>
        <w:spacing w:line="360" w:lineRule="auto"/>
        <w:jc w:val="both"/>
        <w:rPr>
          <w:rFonts w:ascii="Arial" w:hAnsi="Arial" w:cs="Arial"/>
          <w:b/>
          <w:bCs/>
          <w:sz w:val="32"/>
          <w:szCs w:val="32"/>
        </w:rPr>
      </w:pPr>
      <w:r w:rsidRPr="00944ACD">
        <w:rPr>
          <w:rFonts w:ascii="Arial" w:hAnsi="Arial" w:cs="Arial"/>
          <w:b/>
          <w:bCs/>
          <w:sz w:val="32"/>
          <w:szCs w:val="32"/>
        </w:rPr>
        <w:t>Evaluation of Local Authority Early Help Websites</w:t>
      </w:r>
    </w:p>
    <w:p w14:paraId="71F340AD" w14:textId="16D82FCA" w:rsidR="00C61587" w:rsidRPr="00944ACD" w:rsidRDefault="00C61587" w:rsidP="00C61587">
      <w:pPr>
        <w:tabs>
          <w:tab w:val="left" w:pos="6540"/>
        </w:tabs>
        <w:spacing w:line="360" w:lineRule="auto"/>
        <w:jc w:val="both"/>
        <w:rPr>
          <w:rFonts w:ascii="Arial" w:hAnsi="Arial" w:cs="Arial"/>
          <w:b/>
          <w:bCs/>
          <w:sz w:val="32"/>
          <w:szCs w:val="32"/>
        </w:rPr>
      </w:pPr>
      <w:r w:rsidRPr="00944ACD">
        <w:rPr>
          <w:rFonts w:ascii="Arial" w:hAnsi="Arial" w:cs="Arial"/>
          <w:b/>
          <w:bCs/>
          <w:sz w:val="32"/>
          <w:szCs w:val="32"/>
        </w:rPr>
        <w:t>Staffordshire County Council</w:t>
      </w:r>
    </w:p>
    <w:p w14:paraId="1C05215D"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Staffordshire County Council provides one of the most comprehensive Family Hub websites among the three authorities. Families can access information relating to parenting programmes, SEND support, financial advice, safeguarding, Family Hub activities, volunteering opportunities and specialist Early Help services through clearly organised webpages. The council also provides a searchable directory of Family Hubs alongside information about Community Family Support Services and Family Practitioner Early Help Teams, making the website easy to navigate.</w:t>
      </w:r>
    </w:p>
    <w:p w14:paraId="0BDDB1A6" w14:textId="77777777" w:rsidR="00C61587" w:rsidRDefault="00C61587" w:rsidP="00C61587">
      <w:pPr>
        <w:tabs>
          <w:tab w:val="left" w:pos="6540"/>
        </w:tabs>
        <w:spacing w:line="360" w:lineRule="auto"/>
        <w:jc w:val="both"/>
        <w:rPr>
          <w:rFonts w:ascii="Arial" w:hAnsi="Arial" w:cs="Arial"/>
          <w:szCs w:val="24"/>
        </w:rPr>
      </w:pPr>
      <w:r w:rsidRPr="00944ACD">
        <w:rPr>
          <w:rFonts w:ascii="Arial" w:hAnsi="Arial" w:cs="Arial"/>
          <w:szCs w:val="24"/>
        </w:rPr>
        <w:t>A significant strength is its emphasis on practical access to services through Staffordshire Connects, enabling families to identify appropriate support according to individual need. However, although information is comprehensive, some users may need to navigate multiple webpages before reaching referral pathways or eligibility criteria, which could discourage families experiencing crisis.</w:t>
      </w:r>
    </w:p>
    <w:p w14:paraId="76BCA729" w14:textId="77777777" w:rsidR="00944ACD" w:rsidRPr="00944ACD" w:rsidRDefault="00944ACD" w:rsidP="00C61587">
      <w:pPr>
        <w:tabs>
          <w:tab w:val="left" w:pos="6540"/>
        </w:tabs>
        <w:spacing w:line="360" w:lineRule="auto"/>
        <w:jc w:val="both"/>
        <w:rPr>
          <w:rFonts w:ascii="Arial" w:hAnsi="Arial" w:cs="Arial"/>
          <w:b/>
          <w:bCs/>
          <w:sz w:val="28"/>
          <w:szCs w:val="28"/>
        </w:rPr>
      </w:pPr>
    </w:p>
    <w:p w14:paraId="6F1763F3" w14:textId="0D3F5C85" w:rsidR="00C61587" w:rsidRPr="00944ACD" w:rsidRDefault="00C61587" w:rsidP="00C61587">
      <w:pPr>
        <w:tabs>
          <w:tab w:val="left" w:pos="6540"/>
        </w:tabs>
        <w:spacing w:line="360" w:lineRule="auto"/>
        <w:jc w:val="both"/>
        <w:rPr>
          <w:rFonts w:ascii="Arial" w:hAnsi="Arial" w:cs="Arial"/>
          <w:b/>
          <w:bCs/>
          <w:sz w:val="28"/>
          <w:szCs w:val="28"/>
        </w:rPr>
      </w:pPr>
      <w:r w:rsidRPr="00944ACD">
        <w:rPr>
          <w:rFonts w:ascii="Arial" w:hAnsi="Arial" w:cs="Arial"/>
          <w:b/>
          <w:bCs/>
          <w:sz w:val="28"/>
          <w:szCs w:val="28"/>
        </w:rPr>
        <w:t>Birmingham City Council</w:t>
      </w:r>
    </w:p>
    <w:p w14:paraId="2065ED1C" w14:textId="77777777" w:rsidR="00944ACD" w:rsidRPr="00944ACD" w:rsidRDefault="00944ACD" w:rsidP="00C61587">
      <w:pPr>
        <w:tabs>
          <w:tab w:val="left" w:pos="6540"/>
        </w:tabs>
        <w:spacing w:line="360" w:lineRule="auto"/>
        <w:jc w:val="both"/>
        <w:rPr>
          <w:rFonts w:ascii="Arial" w:hAnsi="Arial" w:cs="Arial"/>
          <w:szCs w:val="24"/>
        </w:rPr>
      </w:pPr>
    </w:p>
    <w:p w14:paraId="6F624800"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Birmingham's Family Hub website adopts a clear "one-stop shop" model, organising support into categories including Best Start for Life, parenting, health visiting, SEND, youth services, mental health, housing and financial wellbeing. The website uses accessible language and presents services according to life stages, making navigation particularly user-friendly for parents unfamiliar with statutory services.</w:t>
      </w:r>
    </w:p>
    <w:p w14:paraId="28712967"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lastRenderedPageBreak/>
        <w:t>Its principal strength is accessibility and logical organisation. Families can quickly identify relevant services without extensive searching. Nevertheless, compared with Staffordshire, there is less detailed explanation regarding referral processes and multi-agency pathways, meaning some families may require additional contact with professionals before understanding how support is accessed.</w:t>
      </w:r>
    </w:p>
    <w:p w14:paraId="184E2292"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Sandwell Council</w:t>
      </w:r>
    </w:p>
    <w:p w14:paraId="0890FFD4" w14:textId="77777777" w:rsidR="00C61587" w:rsidRPr="00944ACD" w:rsidRDefault="00C61587" w:rsidP="00C61587">
      <w:pPr>
        <w:tabs>
          <w:tab w:val="left" w:pos="6540"/>
        </w:tabs>
        <w:spacing w:line="360" w:lineRule="auto"/>
        <w:jc w:val="both"/>
        <w:rPr>
          <w:rFonts w:ascii="Arial" w:hAnsi="Arial" w:cs="Arial"/>
          <w:szCs w:val="24"/>
        </w:rPr>
      </w:pPr>
    </w:p>
    <w:p w14:paraId="3DB311C0"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Sandwell provides information through both its Family Hubs website and dedicated Early Help webpages. Families can search for local services, parenting courses, activities and support according to postcode, while professionals are provided with detailed guidance regarding Early Help Assessments (EHA), thresholds of need and information sharing.</w:t>
      </w:r>
    </w:p>
    <w:p w14:paraId="19BCD343"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The postcode search facility and emphasis on local community services represent considerable strengths because they improve accessibility for residents. However, information is divided between different websites, potentially creating confusion for families unfamiliar with safeguarding terminology or the distinction between professional and public information.</w:t>
      </w:r>
    </w:p>
    <w:p w14:paraId="7C016304" w14:textId="77777777" w:rsidR="00C61587" w:rsidRPr="00944ACD" w:rsidRDefault="00471436" w:rsidP="00C61587">
      <w:pPr>
        <w:tabs>
          <w:tab w:val="left" w:pos="6540"/>
        </w:tabs>
        <w:spacing w:line="360" w:lineRule="auto"/>
        <w:jc w:val="both"/>
        <w:rPr>
          <w:rFonts w:ascii="Arial" w:hAnsi="Arial" w:cs="Arial"/>
          <w:szCs w:val="24"/>
        </w:rPr>
      </w:pPr>
      <w:r>
        <w:rPr>
          <w:rFonts w:ascii="Arial" w:hAnsi="Arial" w:cs="Arial"/>
          <w:szCs w:val="24"/>
        </w:rPr>
        <w:pict w14:anchorId="301B9549">
          <v:rect id="_x0000_i1027" style="width:0;height:1.5pt" o:hralign="center" o:hrstd="t" o:hr="t" fillcolor="#a0a0a0" stroked="f"/>
        </w:pict>
      </w:r>
    </w:p>
    <w:p w14:paraId="5C407AB3" w14:textId="77777777" w:rsidR="00C61587" w:rsidRPr="00944ACD" w:rsidRDefault="00C61587" w:rsidP="00C61587">
      <w:pPr>
        <w:tabs>
          <w:tab w:val="left" w:pos="6540"/>
        </w:tabs>
        <w:spacing w:line="360" w:lineRule="auto"/>
        <w:jc w:val="both"/>
        <w:rPr>
          <w:rFonts w:ascii="Arial" w:hAnsi="Arial" w:cs="Arial"/>
          <w:b/>
          <w:bCs/>
          <w:sz w:val="28"/>
          <w:szCs w:val="28"/>
        </w:rPr>
      </w:pPr>
      <w:r w:rsidRPr="00944ACD">
        <w:rPr>
          <w:rFonts w:ascii="Arial" w:hAnsi="Arial" w:cs="Arial"/>
          <w:b/>
          <w:bCs/>
          <w:sz w:val="28"/>
          <w:szCs w:val="28"/>
        </w:rPr>
        <w:t>Comparative Analysis of the Three Local Authorities</w:t>
      </w:r>
    </w:p>
    <w:p w14:paraId="30B014BF"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Overall, all three local authorities successfully communicate the principles of Early Help by promoting early intervention, Family Hubs and partnership working. Each website reflects national policy by encouraging families to seek support before concerns escalate and by offering services that integrate health, education and community support.</w:t>
      </w:r>
    </w:p>
    <w:p w14:paraId="6E18B68E"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t>Staffordshire provides the most detailed explanation of Early Help services and professional pathways, making it particularly useful for both practitioners and families. Birmingham demonstrates the strongest accessibility through straightforward language and well-structured categories that support parents' navigation. Sandwell offers excellent local search functionality and detailed professional guidance but could improve public accessibility by simplifying navigation between council webpages.</w:t>
      </w:r>
    </w:p>
    <w:p w14:paraId="45205741" w14:textId="77777777" w:rsidR="00C61587" w:rsidRPr="00944ACD" w:rsidRDefault="00C61587" w:rsidP="00C61587">
      <w:pPr>
        <w:tabs>
          <w:tab w:val="left" w:pos="6540"/>
        </w:tabs>
        <w:spacing w:line="360" w:lineRule="auto"/>
        <w:jc w:val="both"/>
        <w:rPr>
          <w:rFonts w:ascii="Arial" w:hAnsi="Arial" w:cs="Arial"/>
          <w:szCs w:val="24"/>
        </w:rPr>
      </w:pPr>
      <w:r w:rsidRPr="00944ACD">
        <w:rPr>
          <w:rFonts w:ascii="Arial" w:hAnsi="Arial" w:cs="Arial"/>
          <w:szCs w:val="24"/>
        </w:rPr>
        <w:lastRenderedPageBreak/>
        <w:t>Across all three authorities, further improvements could include multilingual resources, enhanced accessibility for individuals with disabilities, additional video content explaining referral processes and clearer visual representations of the Early Help pathway. Such developments would further strengthen family engagement and align with national expectations that Early Help services should be accessible, family-centred and easy to navigate.</w:t>
      </w:r>
    </w:p>
    <w:p w14:paraId="43EC6516" w14:textId="77777777" w:rsidR="003E03CB" w:rsidRPr="00944ACD" w:rsidRDefault="003E03CB" w:rsidP="00C61587">
      <w:pPr>
        <w:tabs>
          <w:tab w:val="left" w:pos="6540"/>
        </w:tabs>
        <w:spacing w:line="360" w:lineRule="auto"/>
        <w:jc w:val="both"/>
        <w:rPr>
          <w:rFonts w:ascii="Arial" w:hAnsi="Arial" w:cs="Arial"/>
          <w:i/>
          <w:iCs/>
          <w:szCs w:val="24"/>
        </w:rPr>
      </w:pPr>
    </w:p>
    <w:p w14:paraId="4FD3059A" w14:textId="77777777" w:rsidR="00C61587" w:rsidRPr="00944ACD" w:rsidRDefault="00C61587" w:rsidP="00C61587">
      <w:pPr>
        <w:spacing w:line="360" w:lineRule="auto"/>
        <w:jc w:val="both"/>
        <w:rPr>
          <w:rFonts w:ascii="Arial" w:hAnsi="Arial" w:cs="Arial"/>
          <w:i/>
          <w:iCs/>
          <w:szCs w:val="24"/>
        </w:rPr>
      </w:pPr>
    </w:p>
    <w:p w14:paraId="02386EFE" w14:textId="77777777" w:rsidR="00C61587" w:rsidRPr="00944ACD" w:rsidRDefault="00C61587" w:rsidP="00C61587">
      <w:pPr>
        <w:spacing w:line="360" w:lineRule="auto"/>
        <w:jc w:val="both"/>
        <w:rPr>
          <w:rFonts w:ascii="Arial" w:hAnsi="Arial" w:cs="Arial"/>
          <w:b/>
          <w:bCs/>
          <w:i/>
          <w:iCs/>
          <w:sz w:val="32"/>
          <w:szCs w:val="32"/>
        </w:rPr>
      </w:pPr>
    </w:p>
    <w:p w14:paraId="0DDE159B" w14:textId="7F220BA5" w:rsidR="00C61587" w:rsidRPr="00944ACD" w:rsidRDefault="00C61587" w:rsidP="00C61587">
      <w:pPr>
        <w:spacing w:line="360" w:lineRule="auto"/>
        <w:jc w:val="both"/>
        <w:rPr>
          <w:rFonts w:ascii="Arial" w:eastAsiaTheme="majorEastAsia" w:hAnsi="Arial" w:cs="Arial"/>
          <w:b/>
          <w:bCs/>
          <w:sz w:val="32"/>
          <w:szCs w:val="32"/>
        </w:rPr>
      </w:pPr>
      <w:r w:rsidRPr="00944ACD">
        <w:rPr>
          <w:rFonts w:ascii="Arial" w:hAnsi="Arial" w:cs="Arial"/>
          <w:b/>
          <w:bCs/>
          <w:i/>
          <w:iCs/>
          <w:sz w:val="32"/>
          <w:szCs w:val="32"/>
        </w:rPr>
        <w:t>3.</w:t>
      </w:r>
      <w:r w:rsidRPr="00944ACD">
        <w:rPr>
          <w:rFonts w:ascii="Arial" w:eastAsiaTheme="majorEastAsia" w:hAnsi="Arial" w:cs="Arial"/>
          <w:b/>
          <w:bCs/>
          <w:sz w:val="32"/>
          <w:szCs w:val="32"/>
        </w:rPr>
        <w:t>Conclusion</w:t>
      </w:r>
    </w:p>
    <w:p w14:paraId="1BEFA1F8" w14:textId="77777777" w:rsidR="00C61587" w:rsidRPr="00944ACD" w:rsidRDefault="00C61587" w:rsidP="00C61587">
      <w:pPr>
        <w:spacing w:line="360" w:lineRule="auto"/>
        <w:jc w:val="both"/>
        <w:rPr>
          <w:rFonts w:ascii="Arial" w:eastAsiaTheme="majorEastAsia" w:hAnsi="Arial" w:cs="Arial"/>
          <w:szCs w:val="24"/>
        </w:rPr>
      </w:pPr>
      <w:r w:rsidRPr="00944ACD">
        <w:rPr>
          <w:rFonts w:ascii="Arial" w:eastAsiaTheme="majorEastAsia" w:hAnsi="Arial" w:cs="Arial"/>
          <w:szCs w:val="24"/>
        </w:rPr>
        <w:t>This report has demonstrated that the Early Help System plays a fundamental role in safeguarding children and supporting families through early intervention, partnership working and coordinated service delivery. Rather than functioning as a single service, Early Help represents a collaborative system involving education, health, social care, police, voluntary organisations and community services working together to identify emerging concerns before they escalate into more serious safeguarding issues. The report also highlighted that effective multi-</w:t>
      </w:r>
      <w:proofErr w:type="gramStart"/>
      <w:r w:rsidRPr="00944ACD">
        <w:rPr>
          <w:rFonts w:ascii="Arial" w:eastAsiaTheme="majorEastAsia" w:hAnsi="Arial" w:cs="Arial"/>
          <w:szCs w:val="24"/>
        </w:rPr>
        <w:t>agency</w:t>
      </w:r>
      <w:proofErr w:type="gramEnd"/>
      <w:r w:rsidRPr="00944ACD">
        <w:rPr>
          <w:rFonts w:ascii="Arial" w:eastAsiaTheme="majorEastAsia" w:hAnsi="Arial" w:cs="Arial"/>
          <w:szCs w:val="24"/>
        </w:rPr>
        <w:t xml:space="preserve"> and interdisciplinary working is essential for ensuring that children receive timely, holistic and child-centred support. Through information sharing, joint assessments and coordinated planning, professionals are better able to address the complex and interconnected needs of children and their families, as advocated within </w:t>
      </w:r>
      <w:r w:rsidRPr="00944ACD">
        <w:rPr>
          <w:rFonts w:ascii="Arial" w:eastAsiaTheme="majorEastAsia" w:hAnsi="Arial" w:cs="Arial"/>
          <w:i/>
          <w:iCs/>
          <w:szCs w:val="24"/>
        </w:rPr>
        <w:t>Working Together to Safeguard Children</w:t>
      </w:r>
      <w:r w:rsidRPr="00944ACD">
        <w:rPr>
          <w:rFonts w:ascii="Arial" w:eastAsiaTheme="majorEastAsia" w:hAnsi="Arial" w:cs="Arial"/>
          <w:szCs w:val="24"/>
        </w:rPr>
        <w:t xml:space="preserve"> (Department for Education, 2026) and the </w:t>
      </w:r>
      <w:r w:rsidRPr="00944ACD">
        <w:rPr>
          <w:rFonts w:ascii="Arial" w:eastAsiaTheme="majorEastAsia" w:hAnsi="Arial" w:cs="Arial"/>
          <w:i/>
          <w:iCs/>
          <w:szCs w:val="24"/>
        </w:rPr>
        <w:t>Early Help System Guide</w:t>
      </w:r>
      <w:r w:rsidRPr="00944ACD">
        <w:rPr>
          <w:rFonts w:ascii="Arial" w:eastAsiaTheme="majorEastAsia" w:hAnsi="Arial" w:cs="Arial"/>
          <w:szCs w:val="24"/>
        </w:rPr>
        <w:t xml:space="preserve"> (Department for Levelling Up, Housing and Communities &amp; Department for Education, 2022).</w:t>
      </w:r>
      <w:r w:rsidRPr="00944ACD">
        <w:rPr>
          <w:rFonts w:ascii="Arial" w:eastAsiaTheme="majorEastAsia" w:hAnsi="Arial" w:cs="Arial"/>
          <w:szCs w:val="24"/>
        </w:rPr>
        <w:br/>
        <w:t xml:space="preserve">The comparative analysis demonstrated that Staffordshire County Council, Birmingham City Council and Sandwell Council all provide valuable information regarding Early Help, Family Hubs and safeguarding services. Each authority reflects national policy by promoting early intervention and encouraging families to access support before difficulties become more severe. However, differences exist in the way information is presented and accessed. Birmingham City Council offers a highly accessible and user-friendly website that enables families to navigate services quickly, </w:t>
      </w:r>
      <w:r w:rsidRPr="00944ACD">
        <w:rPr>
          <w:rFonts w:ascii="Arial" w:eastAsiaTheme="majorEastAsia" w:hAnsi="Arial" w:cs="Arial"/>
          <w:szCs w:val="24"/>
        </w:rPr>
        <w:lastRenderedPageBreak/>
        <w:t xml:space="preserve">while Sandwell provides strong community-based information and practical postcode search functions that connect families with local support. Staffordshire County Council, however, offers the most comprehensive and detailed presentation of Early Help services, clearly outlining referral pathways, Family Hub provision, safeguarding responsibilities and the range of professional support available. This level of detail supports both </w:t>
      </w:r>
      <w:proofErr w:type="gramStart"/>
      <w:r w:rsidRPr="00944ACD">
        <w:rPr>
          <w:rFonts w:ascii="Arial" w:eastAsiaTheme="majorEastAsia" w:hAnsi="Arial" w:cs="Arial"/>
          <w:szCs w:val="24"/>
        </w:rPr>
        <w:t>families</w:t>
      </w:r>
      <w:proofErr w:type="gramEnd"/>
      <w:r w:rsidRPr="00944ACD">
        <w:rPr>
          <w:rFonts w:ascii="Arial" w:eastAsiaTheme="majorEastAsia" w:hAnsi="Arial" w:cs="Arial"/>
          <w:szCs w:val="24"/>
        </w:rPr>
        <w:t xml:space="preserve"> seeking assistance and practitioners making referrals, promoting greater understanding of the Early Help process.</w:t>
      </w:r>
    </w:p>
    <w:p w14:paraId="53256595" w14:textId="77777777" w:rsidR="00C61587" w:rsidRPr="00944ACD" w:rsidRDefault="00C61587" w:rsidP="00C61587">
      <w:pPr>
        <w:spacing w:line="360" w:lineRule="auto"/>
        <w:jc w:val="both"/>
        <w:rPr>
          <w:rFonts w:ascii="Arial" w:eastAsiaTheme="majorEastAsia" w:hAnsi="Arial" w:cs="Arial"/>
          <w:szCs w:val="24"/>
        </w:rPr>
      </w:pPr>
      <w:r w:rsidRPr="00944ACD">
        <w:rPr>
          <w:rFonts w:ascii="Arial" w:eastAsiaTheme="majorEastAsia" w:hAnsi="Arial" w:cs="Arial"/>
          <w:szCs w:val="24"/>
        </w:rPr>
        <w:t>Overall, Staffordshire County Council provides the most effective communication of Early Help services. Its website combines comprehensive information, clear explanations of available support, detailed referral guidance and strong links to Family Hubs and community resources, making it easier for families and professionals to understand how support can be accessed. Although Birmingham excels in accessibility and Sandwell demonstrates strong local engagement, Staffordshire's balance of clarity, depth and practical guidance most closely reflects the principles of integrated, family-centred and preventative practice promoted within current statutory guidance. Consequently, Staffordshire provides the strongest example of how local authorities can effectively communicate Early Help services while supporting improved safeguarding outcomes for children and families.</w:t>
      </w:r>
    </w:p>
    <w:p w14:paraId="2C1405A9" w14:textId="77777777" w:rsidR="003E03CB" w:rsidRPr="00944ACD" w:rsidRDefault="003E03CB" w:rsidP="00C61587">
      <w:pPr>
        <w:spacing w:line="360" w:lineRule="auto"/>
        <w:jc w:val="both"/>
        <w:rPr>
          <w:rFonts w:ascii="Arial" w:hAnsi="Arial" w:cs="Arial"/>
          <w:szCs w:val="24"/>
        </w:rPr>
      </w:pPr>
    </w:p>
    <w:p w14:paraId="5D28D874" w14:textId="77777777" w:rsidR="003E03CB" w:rsidRPr="00944ACD" w:rsidRDefault="003E03CB" w:rsidP="00C61587">
      <w:pPr>
        <w:spacing w:line="360" w:lineRule="auto"/>
        <w:jc w:val="both"/>
        <w:rPr>
          <w:rFonts w:ascii="Arial" w:hAnsi="Arial" w:cs="Arial"/>
          <w:szCs w:val="24"/>
        </w:rPr>
      </w:pPr>
    </w:p>
    <w:p w14:paraId="65E11CB5" w14:textId="77777777" w:rsidR="003E03CB" w:rsidRPr="00944ACD" w:rsidRDefault="003E03CB" w:rsidP="00C61587">
      <w:pPr>
        <w:spacing w:line="360" w:lineRule="auto"/>
        <w:jc w:val="both"/>
        <w:rPr>
          <w:rFonts w:ascii="Arial" w:hAnsi="Arial" w:cs="Arial"/>
          <w:szCs w:val="24"/>
        </w:rPr>
      </w:pPr>
    </w:p>
    <w:p w14:paraId="7EF553C1" w14:textId="77777777" w:rsidR="003E03CB" w:rsidRPr="00944ACD" w:rsidRDefault="003E03CB" w:rsidP="00C61587">
      <w:pPr>
        <w:spacing w:line="360" w:lineRule="auto"/>
        <w:jc w:val="both"/>
        <w:rPr>
          <w:rFonts w:ascii="Arial" w:hAnsi="Arial" w:cs="Arial"/>
          <w:szCs w:val="24"/>
        </w:rPr>
      </w:pPr>
    </w:p>
    <w:p w14:paraId="6DC20AD7" w14:textId="77777777" w:rsidR="003E03CB" w:rsidRPr="00944ACD" w:rsidRDefault="003E03CB" w:rsidP="00C61587">
      <w:pPr>
        <w:spacing w:line="360" w:lineRule="auto"/>
        <w:jc w:val="both"/>
        <w:rPr>
          <w:rFonts w:ascii="Arial" w:hAnsi="Arial" w:cs="Arial"/>
          <w:szCs w:val="24"/>
        </w:rPr>
      </w:pPr>
    </w:p>
    <w:p w14:paraId="0B8F0DED" w14:textId="77777777" w:rsidR="00C61587" w:rsidRPr="00A54748" w:rsidRDefault="00C61587" w:rsidP="00A54748">
      <w:pPr>
        <w:pStyle w:val="Heading1"/>
      </w:pPr>
      <w:r w:rsidRPr="00A54748">
        <w:lastRenderedPageBreak/>
        <w:t>4. Recommendations</w:t>
      </w:r>
    </w:p>
    <w:p w14:paraId="0A160448" w14:textId="77777777" w:rsidR="00C61587" w:rsidRPr="00F67413" w:rsidRDefault="00C61587" w:rsidP="00A54748">
      <w:pPr>
        <w:pStyle w:val="Heading1"/>
        <w:rPr>
          <w:b w:val="0"/>
          <w:bCs w:val="0"/>
          <w:sz w:val="24"/>
          <w:szCs w:val="24"/>
        </w:rPr>
      </w:pPr>
      <w:r w:rsidRPr="00F67413">
        <w:rPr>
          <w:b w:val="0"/>
          <w:bCs w:val="0"/>
          <w:sz w:val="24"/>
          <w:szCs w:val="24"/>
        </w:rPr>
        <w:t xml:space="preserve">Based on the findings of this report, several recommendations can be made to strengthen the delivery and communication of Early Help services across local authorities. Firstly, all three local authorities should continue to invest in integrated multi-agency working by strengthening communication and information-sharing arrangements between education, health, social care, police and voluntary sector organisations. Effective partnership working enables practitioners to identify concerns earlier, coordinate interventions and provide holistic support that meets the needs of the whole family. The </w:t>
      </w:r>
      <w:r w:rsidRPr="00F67413">
        <w:rPr>
          <w:b w:val="0"/>
          <w:bCs w:val="0"/>
          <w:i/>
          <w:iCs/>
          <w:sz w:val="24"/>
          <w:szCs w:val="24"/>
        </w:rPr>
        <w:t>Working Together to Safeguard Children</w:t>
      </w:r>
      <w:r w:rsidRPr="00F67413">
        <w:rPr>
          <w:b w:val="0"/>
          <w:bCs w:val="0"/>
          <w:sz w:val="24"/>
          <w:szCs w:val="24"/>
        </w:rPr>
        <w:t xml:space="preserve"> statutory guidance highlights that successful safeguarding depends on agencies working collaboratively, sharing information appropriately and maintaining a child-centred approach throughout decision-making (Department for Education, 2026).</w:t>
      </w:r>
    </w:p>
    <w:p w14:paraId="09AF0711" w14:textId="77777777" w:rsidR="00C61587" w:rsidRPr="00F67413" w:rsidRDefault="00C61587" w:rsidP="00A54748">
      <w:pPr>
        <w:pStyle w:val="Heading1"/>
        <w:rPr>
          <w:b w:val="0"/>
          <w:bCs w:val="0"/>
          <w:sz w:val="24"/>
          <w:szCs w:val="24"/>
        </w:rPr>
      </w:pPr>
      <w:r w:rsidRPr="00F67413">
        <w:rPr>
          <w:b w:val="0"/>
          <w:bCs w:val="0"/>
          <w:sz w:val="24"/>
          <w:szCs w:val="24"/>
        </w:rPr>
        <w:t xml:space="preserve">Secondly, local authorities should further improve the accessibility of Early Help information available on their websites. Although Staffordshire, Birmingham and Sandwell all provide valuable online resources, websites should include more visual resources such as pathway diagrams, short explanatory videos and interactive referral guidance to help families understand how to access support. Providing information in multiple languages, easy-read formats and accessible digital formats would also ensure that families from diverse backgrounds and those with additional communication needs can access services more effectively. This recommendation reflects the principles of inclusion, family engagement and accessibility promoted within the </w:t>
      </w:r>
      <w:r w:rsidRPr="00F67413">
        <w:rPr>
          <w:b w:val="0"/>
          <w:bCs w:val="0"/>
          <w:i/>
          <w:iCs/>
          <w:sz w:val="24"/>
          <w:szCs w:val="24"/>
        </w:rPr>
        <w:t>Early Help System Guide</w:t>
      </w:r>
      <w:r w:rsidRPr="00F67413">
        <w:rPr>
          <w:b w:val="0"/>
          <w:bCs w:val="0"/>
          <w:sz w:val="24"/>
          <w:szCs w:val="24"/>
        </w:rPr>
        <w:t xml:space="preserve"> (Department for Levelling Up, Housing and Communities &amp; Department for Education, 2022).</w:t>
      </w:r>
    </w:p>
    <w:p w14:paraId="1AAEC08A" w14:textId="77777777" w:rsidR="00C61587" w:rsidRPr="00F67413" w:rsidRDefault="00C61587" w:rsidP="00A54748">
      <w:pPr>
        <w:pStyle w:val="Heading1"/>
        <w:rPr>
          <w:b w:val="0"/>
          <w:bCs w:val="0"/>
          <w:sz w:val="24"/>
          <w:szCs w:val="24"/>
        </w:rPr>
      </w:pPr>
      <w:r w:rsidRPr="00F67413">
        <w:rPr>
          <w:b w:val="0"/>
          <w:bCs w:val="0"/>
          <w:sz w:val="24"/>
          <w:szCs w:val="24"/>
        </w:rPr>
        <w:t>A further recommendation is that local authorities should increase opportunities for families to influence the design and evaluation of Early Help services. Regular feedback from children, parents and carers should inform service improvements, ensuring that provision reflects the needs and experiences of local communities. This aligns with the Early Help System's emphasis on co-production, family voice and strengths-based practice, where families are viewed as active partners rather than passive recipients of support.</w:t>
      </w:r>
    </w:p>
    <w:p w14:paraId="3D1D2BCD" w14:textId="77777777" w:rsidR="00C61587" w:rsidRDefault="00C61587" w:rsidP="00A54748">
      <w:pPr>
        <w:pStyle w:val="Heading1"/>
        <w:rPr>
          <w:b w:val="0"/>
          <w:bCs w:val="0"/>
          <w:sz w:val="24"/>
          <w:szCs w:val="24"/>
        </w:rPr>
      </w:pPr>
      <w:r w:rsidRPr="00F67413">
        <w:rPr>
          <w:b w:val="0"/>
          <w:bCs w:val="0"/>
          <w:sz w:val="24"/>
          <w:szCs w:val="24"/>
        </w:rPr>
        <w:lastRenderedPageBreak/>
        <w:t>Finally, greater investment should be made in workforce development through regular multi-agency safeguarding training, shared professional learning and continuous quality assurance. Developing practitioners' knowledge of safeguarding legislation, cultural competence, trauma-informed practice and information-sharing responsibilities would strengthen interdisciplinary working and improve the consistency of Early Help provision across services. By implementing these recommendations, local authorities will be better positioned to deliver accessible, integrated and preventative support that improves outcomes for children and families while reducing the need for statutory intervention.</w:t>
      </w:r>
    </w:p>
    <w:p w14:paraId="5A1FAE61" w14:textId="77777777" w:rsidR="00404528" w:rsidRDefault="00404528" w:rsidP="00404528"/>
    <w:p w14:paraId="00492091" w14:textId="77777777" w:rsidR="00404528" w:rsidRDefault="00404528" w:rsidP="00404528"/>
    <w:p w14:paraId="289F6398" w14:textId="77777777" w:rsidR="00404528" w:rsidRDefault="00404528" w:rsidP="00404528"/>
    <w:p w14:paraId="2C2213B4" w14:textId="77777777" w:rsidR="00404528" w:rsidRDefault="00404528" w:rsidP="00404528"/>
    <w:p w14:paraId="5C2BCC2D" w14:textId="77777777" w:rsidR="00404528" w:rsidRDefault="00404528" w:rsidP="00404528"/>
    <w:p w14:paraId="42B89BFD" w14:textId="77777777" w:rsidR="00404528" w:rsidRDefault="00404528" w:rsidP="00404528"/>
    <w:p w14:paraId="567D31F9" w14:textId="77777777" w:rsidR="00404528" w:rsidRDefault="00404528" w:rsidP="00404528"/>
    <w:p w14:paraId="57447F65" w14:textId="77777777" w:rsidR="00404528" w:rsidRDefault="00404528" w:rsidP="00404528"/>
    <w:p w14:paraId="7571DCBA" w14:textId="77777777" w:rsidR="00404528" w:rsidRDefault="00404528" w:rsidP="00404528"/>
    <w:p w14:paraId="739340D0" w14:textId="77777777" w:rsidR="00404528" w:rsidRDefault="00404528" w:rsidP="00404528"/>
    <w:p w14:paraId="3B334A05" w14:textId="77777777" w:rsidR="00404528" w:rsidRDefault="00404528" w:rsidP="00404528"/>
    <w:p w14:paraId="02633154" w14:textId="77777777" w:rsidR="00404528" w:rsidRDefault="00404528" w:rsidP="00404528"/>
    <w:p w14:paraId="5E412034" w14:textId="77777777" w:rsidR="00404528" w:rsidRDefault="00404528" w:rsidP="00404528"/>
    <w:p w14:paraId="7C5FF673" w14:textId="77777777" w:rsidR="00404528" w:rsidRDefault="00404528" w:rsidP="00404528"/>
    <w:p w14:paraId="7AF76E96" w14:textId="77777777" w:rsidR="00404528" w:rsidRDefault="00404528" w:rsidP="00404528"/>
    <w:p w14:paraId="051554D4" w14:textId="77777777" w:rsidR="00404528" w:rsidRDefault="00404528" w:rsidP="00404528"/>
    <w:p w14:paraId="7AA4046B" w14:textId="77777777" w:rsidR="00404528" w:rsidRDefault="00404528" w:rsidP="00404528"/>
    <w:p w14:paraId="1DD76FC7" w14:textId="77777777" w:rsidR="00404528" w:rsidRDefault="00404528" w:rsidP="00404528"/>
    <w:p w14:paraId="19D7C82D" w14:textId="77777777" w:rsidR="00404528" w:rsidRPr="00404528" w:rsidRDefault="00404528" w:rsidP="00404528"/>
    <w:p w14:paraId="360AE44D" w14:textId="77777777" w:rsidR="008745BD" w:rsidRPr="008745BD" w:rsidRDefault="008745BD" w:rsidP="008745BD"/>
    <w:p w14:paraId="251B3492" w14:textId="5AE522D5" w:rsidR="001B7A40" w:rsidRPr="008A1626" w:rsidRDefault="001B7A40" w:rsidP="00A54748">
      <w:pPr>
        <w:pStyle w:val="Heading1"/>
      </w:pPr>
      <w:r w:rsidRPr="008A1626">
        <w:lastRenderedPageBreak/>
        <w:t>References</w:t>
      </w:r>
      <w:r w:rsidR="002F2C0A" w:rsidRPr="008A1626">
        <w:t xml:space="preserve"> </w:t>
      </w:r>
    </w:p>
    <w:p w14:paraId="757CDDAF"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Axford, N., Bjornstad, G., Wrigley, Z., Berry, V., Ukoumunne, O.C., Matthews, J., Beaumont, E., Hodges, V. and Morpeth, L. (2020) </w:t>
      </w:r>
      <w:r w:rsidRPr="008A1626">
        <w:rPr>
          <w:rFonts w:ascii="Arial" w:hAnsi="Arial" w:cs="Arial"/>
          <w:i/>
          <w:iCs/>
        </w:rPr>
        <w:t>Improving the early identification of children with social, emotional and behavioural difficulties: A systematic review</w:t>
      </w:r>
      <w:r w:rsidRPr="008A1626">
        <w:rPr>
          <w:rFonts w:ascii="Arial" w:hAnsi="Arial" w:cs="Arial"/>
        </w:rPr>
        <w:t>. Children and Youth Services Review, 118, 105-356.</w:t>
      </w:r>
    </w:p>
    <w:p w14:paraId="525167E0"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Birmingham City Council (2025) </w:t>
      </w:r>
      <w:r w:rsidRPr="008A1626">
        <w:rPr>
          <w:rFonts w:ascii="Arial" w:hAnsi="Arial" w:cs="Arial"/>
          <w:i/>
          <w:iCs/>
        </w:rPr>
        <w:t>Family Hubs</w:t>
      </w:r>
      <w:r w:rsidRPr="008A1626">
        <w:rPr>
          <w:rFonts w:ascii="Arial" w:hAnsi="Arial" w:cs="Arial"/>
        </w:rPr>
        <w:t xml:space="preserve">. Available at: </w:t>
      </w:r>
      <w:hyperlink r:id="rId13" w:tgtFrame="_new" w:history="1">
        <w:r w:rsidRPr="008A1626">
          <w:rPr>
            <w:rStyle w:val="Hyperlink"/>
            <w:rFonts w:ascii="Arial" w:hAnsi="Arial" w:cs="Arial"/>
          </w:rPr>
          <w:t>https://www.birmingham.gov.uk/familyhubs</w:t>
        </w:r>
      </w:hyperlink>
      <w:r w:rsidRPr="008A1626">
        <w:rPr>
          <w:rFonts w:ascii="Arial" w:hAnsi="Arial" w:cs="Arial"/>
        </w:rPr>
        <w:t xml:space="preserve"> (Accessed: 6 August 2026).</w:t>
      </w:r>
    </w:p>
    <w:p w14:paraId="180AEC65"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Bronfenbrenner, U. (1979) </w:t>
      </w:r>
      <w:r w:rsidRPr="008A1626">
        <w:rPr>
          <w:rFonts w:ascii="Arial" w:hAnsi="Arial" w:cs="Arial"/>
          <w:i/>
          <w:iCs/>
        </w:rPr>
        <w:t>The Ecology of Human Development: Experiments by Nature and Design</w:t>
      </w:r>
      <w:r w:rsidRPr="008A1626">
        <w:rPr>
          <w:rFonts w:ascii="Arial" w:hAnsi="Arial" w:cs="Arial"/>
        </w:rPr>
        <w:t>. Cambridge, MA: Harvard University Press.</w:t>
      </w:r>
    </w:p>
    <w:p w14:paraId="761BA75E"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Children Act 1989 (c.41). London: The Stationery Office.</w:t>
      </w:r>
    </w:p>
    <w:p w14:paraId="1DF0C8B2"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Children Act 2004 (c.31). London: The Stationery Office.</w:t>
      </w:r>
    </w:p>
    <w:p w14:paraId="39501EC5"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Department for Education (2023) </w:t>
      </w:r>
      <w:r w:rsidRPr="008A1626">
        <w:rPr>
          <w:rFonts w:ascii="Arial" w:hAnsi="Arial" w:cs="Arial"/>
          <w:i/>
          <w:iCs/>
        </w:rPr>
        <w:t>Children's Social Care National Framework</w:t>
      </w:r>
      <w:r w:rsidRPr="008A1626">
        <w:rPr>
          <w:rFonts w:ascii="Arial" w:hAnsi="Arial" w:cs="Arial"/>
        </w:rPr>
        <w:t>. London: Department for Education.</w:t>
      </w:r>
    </w:p>
    <w:p w14:paraId="51B937B1"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Department for Education (2026) </w:t>
      </w:r>
      <w:r w:rsidRPr="008A1626">
        <w:rPr>
          <w:rFonts w:ascii="Arial" w:hAnsi="Arial" w:cs="Arial"/>
          <w:i/>
          <w:iCs/>
        </w:rPr>
        <w:t>Working Together to Safeguard Children: A guide to multi-agency working to help, protect and promote the welfare of children</w:t>
      </w:r>
      <w:r w:rsidRPr="008A1626">
        <w:rPr>
          <w:rFonts w:ascii="Arial" w:hAnsi="Arial" w:cs="Arial"/>
        </w:rPr>
        <w:t>. London: Department for Education.</w:t>
      </w:r>
    </w:p>
    <w:p w14:paraId="499A701F"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Department for Levelling Up, Housing and Communities and Department for Education (2022) </w:t>
      </w:r>
      <w:r w:rsidRPr="008A1626">
        <w:rPr>
          <w:rFonts w:ascii="Arial" w:hAnsi="Arial" w:cs="Arial"/>
          <w:i/>
          <w:iCs/>
        </w:rPr>
        <w:t>Early Help System Guide: A toolkit to assist local strategic partnerships responsible for their Early Help System</w:t>
      </w:r>
      <w:r w:rsidRPr="008A1626">
        <w:rPr>
          <w:rFonts w:ascii="Arial" w:hAnsi="Arial" w:cs="Arial"/>
        </w:rPr>
        <w:t>. London: Crown Copyright.</w:t>
      </w:r>
    </w:p>
    <w:p w14:paraId="44CC218A"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Early Intervention Foundation (2023) </w:t>
      </w:r>
      <w:r w:rsidRPr="008A1626">
        <w:rPr>
          <w:rFonts w:ascii="Arial" w:hAnsi="Arial" w:cs="Arial"/>
          <w:i/>
          <w:iCs/>
        </w:rPr>
        <w:t>The Importance of Early Intervention</w:t>
      </w:r>
      <w:r w:rsidRPr="008A1626">
        <w:rPr>
          <w:rFonts w:ascii="Arial" w:hAnsi="Arial" w:cs="Arial"/>
        </w:rPr>
        <w:t>. London: Early Intervention Foundation.</w:t>
      </w:r>
    </w:p>
    <w:p w14:paraId="662F8186"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HM Government (2018) </w:t>
      </w:r>
      <w:r w:rsidRPr="008A1626">
        <w:rPr>
          <w:rFonts w:ascii="Arial" w:hAnsi="Arial" w:cs="Arial"/>
          <w:i/>
          <w:iCs/>
        </w:rPr>
        <w:t>Information Sharing: Advice for Practitioners Providing Safeguarding Services to Children, Young People, Parents and Carers</w:t>
      </w:r>
      <w:r w:rsidRPr="008A1626">
        <w:rPr>
          <w:rFonts w:ascii="Arial" w:hAnsi="Arial" w:cs="Arial"/>
        </w:rPr>
        <w:t>. London: HM Government.</w:t>
      </w:r>
    </w:p>
    <w:p w14:paraId="4788DC14"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Munro, E. (2011) </w:t>
      </w:r>
      <w:r w:rsidRPr="008A1626">
        <w:rPr>
          <w:rFonts w:ascii="Arial" w:hAnsi="Arial" w:cs="Arial"/>
          <w:i/>
          <w:iCs/>
        </w:rPr>
        <w:t>The Munro Review of Child Protection: Final Report – A Child-Centred System</w:t>
      </w:r>
      <w:r w:rsidRPr="008A1626">
        <w:rPr>
          <w:rFonts w:ascii="Arial" w:hAnsi="Arial" w:cs="Arial"/>
        </w:rPr>
        <w:t>. London: Department for Education.</w:t>
      </w:r>
    </w:p>
    <w:p w14:paraId="686FC268"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National Institute for Health and Care Excellence (NICE) (2024) </w:t>
      </w:r>
      <w:r w:rsidRPr="008A1626">
        <w:rPr>
          <w:rFonts w:ascii="Arial" w:hAnsi="Arial" w:cs="Arial"/>
          <w:i/>
          <w:iCs/>
        </w:rPr>
        <w:t>Child Abuse and Neglect (NG76)</w:t>
      </w:r>
      <w:r w:rsidRPr="008A1626">
        <w:rPr>
          <w:rFonts w:ascii="Arial" w:hAnsi="Arial" w:cs="Arial"/>
        </w:rPr>
        <w:t>. London: NICE.</w:t>
      </w:r>
    </w:p>
    <w:p w14:paraId="2281F323" w14:textId="77777777" w:rsidR="004E10F4" w:rsidRPr="008A1626" w:rsidRDefault="004E10F4" w:rsidP="004E10F4">
      <w:pPr>
        <w:pStyle w:val="ListParagraph"/>
        <w:numPr>
          <w:ilvl w:val="0"/>
          <w:numId w:val="9"/>
        </w:numPr>
        <w:rPr>
          <w:rFonts w:ascii="Arial" w:hAnsi="Arial" w:cs="Arial"/>
        </w:rPr>
      </w:pPr>
      <w:r w:rsidRPr="008A1626">
        <w:rPr>
          <w:rFonts w:ascii="Arial" w:hAnsi="Arial" w:cs="Arial"/>
        </w:rPr>
        <w:t xml:space="preserve">Sandwell Council (2025) </w:t>
      </w:r>
      <w:r w:rsidRPr="008A1626">
        <w:rPr>
          <w:rFonts w:ascii="Arial" w:hAnsi="Arial" w:cs="Arial"/>
          <w:i/>
          <w:iCs/>
        </w:rPr>
        <w:t>Family Hubs</w:t>
      </w:r>
      <w:r w:rsidRPr="008A1626">
        <w:rPr>
          <w:rFonts w:ascii="Arial" w:hAnsi="Arial" w:cs="Arial"/>
        </w:rPr>
        <w:t xml:space="preserve">. Available at: </w:t>
      </w:r>
      <w:hyperlink r:id="rId14" w:tgtFrame="_new" w:history="1">
        <w:r w:rsidRPr="008A1626">
          <w:rPr>
            <w:rStyle w:val="Hyperlink"/>
            <w:rFonts w:ascii="Arial" w:hAnsi="Arial" w:cs="Arial"/>
          </w:rPr>
          <w:t>https://www.sandwellfamilyhubs.com</w:t>
        </w:r>
      </w:hyperlink>
      <w:r w:rsidRPr="008A1626">
        <w:rPr>
          <w:rFonts w:ascii="Arial" w:hAnsi="Arial" w:cs="Arial"/>
        </w:rPr>
        <w:t xml:space="preserve"> (Accessed: 6 August 2026).</w:t>
      </w: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79DCC" w14:textId="77777777" w:rsidR="00471436" w:rsidRDefault="00471436" w:rsidP="00C03A91">
      <w:pPr>
        <w:spacing w:after="0" w:line="240" w:lineRule="auto"/>
      </w:pPr>
      <w:r>
        <w:separator/>
      </w:r>
    </w:p>
  </w:endnote>
  <w:endnote w:type="continuationSeparator" w:id="0">
    <w:p w14:paraId="050C23E4" w14:textId="77777777" w:rsidR="00471436" w:rsidRDefault="0047143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186A7" w14:textId="77777777" w:rsidR="00471436" w:rsidRDefault="00471436" w:rsidP="00C03A91">
      <w:pPr>
        <w:spacing w:after="0" w:line="240" w:lineRule="auto"/>
      </w:pPr>
      <w:r>
        <w:separator/>
      </w:r>
    </w:p>
  </w:footnote>
  <w:footnote w:type="continuationSeparator" w:id="0">
    <w:p w14:paraId="78142E6C" w14:textId="77777777" w:rsidR="00471436" w:rsidRDefault="0047143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157FE"/>
    <w:multiLevelType w:val="hybridMultilevel"/>
    <w:tmpl w:val="E7009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A5EE0"/>
    <w:multiLevelType w:val="hybridMultilevel"/>
    <w:tmpl w:val="1A102D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6"/>
  </w:num>
  <w:num w:numId="2" w16cid:durableId="1940680655">
    <w:abstractNumId w:val="4"/>
  </w:num>
  <w:num w:numId="3" w16cid:durableId="1890221906">
    <w:abstractNumId w:val="2"/>
  </w:num>
  <w:num w:numId="4" w16cid:durableId="396249628">
    <w:abstractNumId w:val="8"/>
  </w:num>
  <w:num w:numId="5" w16cid:durableId="156192234">
    <w:abstractNumId w:val="9"/>
  </w:num>
  <w:num w:numId="6" w16cid:durableId="926303317">
    <w:abstractNumId w:val="7"/>
  </w:num>
  <w:num w:numId="7" w16cid:durableId="1188908463">
    <w:abstractNumId w:val="1"/>
  </w:num>
  <w:num w:numId="8" w16cid:durableId="567612098">
    <w:abstractNumId w:val="5"/>
  </w:num>
  <w:num w:numId="9" w16cid:durableId="2075736772">
    <w:abstractNumId w:val="3"/>
  </w:num>
  <w:num w:numId="10" w16cid:durableId="485778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106835"/>
    <w:rsid w:val="001B7A40"/>
    <w:rsid w:val="001F6DDB"/>
    <w:rsid w:val="00216C85"/>
    <w:rsid w:val="00242F43"/>
    <w:rsid w:val="00273EDD"/>
    <w:rsid w:val="002C3965"/>
    <w:rsid w:val="002D5EDB"/>
    <w:rsid w:val="002F2C0A"/>
    <w:rsid w:val="00321C4C"/>
    <w:rsid w:val="00370282"/>
    <w:rsid w:val="003C58A9"/>
    <w:rsid w:val="003E03CB"/>
    <w:rsid w:val="00404528"/>
    <w:rsid w:val="004577F7"/>
    <w:rsid w:val="00471436"/>
    <w:rsid w:val="004E10F4"/>
    <w:rsid w:val="004E3271"/>
    <w:rsid w:val="005247B0"/>
    <w:rsid w:val="005851AD"/>
    <w:rsid w:val="00764F2A"/>
    <w:rsid w:val="007A7297"/>
    <w:rsid w:val="007B4EC7"/>
    <w:rsid w:val="007E7745"/>
    <w:rsid w:val="008353D4"/>
    <w:rsid w:val="008745BD"/>
    <w:rsid w:val="008A1626"/>
    <w:rsid w:val="008E3F3F"/>
    <w:rsid w:val="0090481B"/>
    <w:rsid w:val="00944ACD"/>
    <w:rsid w:val="009D1D1E"/>
    <w:rsid w:val="009D34BB"/>
    <w:rsid w:val="00A035FD"/>
    <w:rsid w:val="00A54748"/>
    <w:rsid w:val="00AA4DD8"/>
    <w:rsid w:val="00AF2969"/>
    <w:rsid w:val="00B21D29"/>
    <w:rsid w:val="00B92565"/>
    <w:rsid w:val="00BD0069"/>
    <w:rsid w:val="00C03A91"/>
    <w:rsid w:val="00C61587"/>
    <w:rsid w:val="00CB233E"/>
    <w:rsid w:val="00CD2863"/>
    <w:rsid w:val="00CE7A90"/>
    <w:rsid w:val="00D646E0"/>
    <w:rsid w:val="00D73FB0"/>
    <w:rsid w:val="00DA2A1E"/>
    <w:rsid w:val="00DA709B"/>
    <w:rsid w:val="00DB6D4B"/>
    <w:rsid w:val="00DE2C80"/>
    <w:rsid w:val="00E2038D"/>
    <w:rsid w:val="00E2161B"/>
    <w:rsid w:val="00E62775"/>
    <w:rsid w:val="00E87FC5"/>
    <w:rsid w:val="00EB12BC"/>
    <w:rsid w:val="00F137E3"/>
    <w:rsid w:val="00F44C8F"/>
    <w:rsid w:val="00F57518"/>
    <w:rsid w:val="00F67413"/>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54748"/>
    <w:pPr>
      <w:keepNext/>
      <w:keepLines/>
      <w:spacing w:before="240" w:after="0" w:line="360" w:lineRule="auto"/>
      <w:jc w:val="both"/>
      <w:outlineLvl w:val="0"/>
    </w:pPr>
    <w:rPr>
      <w:rFonts w:ascii="Arial" w:eastAsiaTheme="majorEastAsia" w:hAnsi="Arial" w:cs="Arial"/>
      <w:b/>
      <w:bCs/>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748"/>
    <w:rPr>
      <w:rFonts w:ascii="Arial" w:eastAsiaTheme="majorEastAsia" w:hAnsi="Arial" w:cs="Arial"/>
      <w:b/>
      <w:bCs/>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customStyle="1" w:styleId="Compact">
    <w:name w:val="Compact"/>
    <w:basedOn w:val="BodyText"/>
    <w:qFormat/>
    <w:rsid w:val="00E87FC5"/>
    <w:pPr>
      <w:spacing w:before="36" w:after="36" w:line="240" w:lineRule="auto"/>
    </w:pPr>
    <w:rPr>
      <w:rFonts w:asciiTheme="minorHAnsi" w:eastAsiaTheme="minorEastAsia" w:hAnsiTheme="minorHAnsi"/>
      <w:szCs w:val="24"/>
      <w:lang w:val="en-US" w:eastAsia="zh-CN"/>
    </w:rPr>
  </w:style>
  <w:style w:type="table" w:customStyle="1" w:styleId="Table">
    <w:name w:val="Table"/>
    <w:semiHidden/>
    <w:unhideWhenUsed/>
    <w:qFormat/>
    <w:rsid w:val="00E87FC5"/>
    <w:pPr>
      <w:spacing w:after="200" w:line="240" w:lineRule="auto"/>
    </w:pPr>
    <w:rPr>
      <w:rFonts w:asciiTheme="minorHAnsi" w:eastAsiaTheme="minorEastAsia" w:hAnsiTheme="minorHAnsi"/>
      <w:sz w:val="20"/>
      <w:szCs w:val="24"/>
      <w:lang w:val="en-US" w:eastAsia="zh-CN"/>
    </w:rPr>
    <w:tblPr>
      <w:tblInd w:w="0" w:type="dxa"/>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styleId="BodyText">
    <w:name w:val="Body Text"/>
    <w:basedOn w:val="Normal"/>
    <w:link w:val="BodyTextChar"/>
    <w:uiPriority w:val="99"/>
    <w:semiHidden/>
    <w:unhideWhenUsed/>
    <w:rsid w:val="00E87FC5"/>
    <w:pPr>
      <w:spacing w:after="120"/>
    </w:pPr>
  </w:style>
  <w:style w:type="character" w:customStyle="1" w:styleId="BodyTextChar">
    <w:name w:val="Body Text Char"/>
    <w:basedOn w:val="DefaultParagraphFont"/>
    <w:link w:val="BodyText"/>
    <w:uiPriority w:val="99"/>
    <w:semiHidden/>
    <w:rsid w:val="00E87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rmingham.gov.uk/familyhub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andwellfamilyhubs.co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710B1D020C9DD4497C086D7D5D1F2DD" ma:contentTypeVersion="11" ma:contentTypeDescription="Create a new document." ma:contentTypeScope="" ma:versionID="ea07dd166345ae9ca0e6a387564f59e4">
  <xsd:schema xmlns:xsd="http://www.w3.org/2001/XMLSchema" xmlns:xs="http://www.w3.org/2001/XMLSchema" xmlns:p="http://schemas.microsoft.com/office/2006/metadata/properties" xmlns:ns3="9ad724d2-936a-4e87-aefe-ecd4a0377740" targetNamespace="http://schemas.microsoft.com/office/2006/metadata/properties" ma:root="true" ma:fieldsID="53fd0e3e159db2e68e4f8625d7de32a0" ns3:_="">
    <xsd:import namespace="9ad724d2-936a-4e87-aefe-ecd4a037774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d724d2-936a-4e87-aefe-ecd4a037774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ad724d2-936a-4e87-aefe-ecd4a0377740" xsi:nil="true"/>
  </documentManagement>
</p:properties>
</file>

<file path=customXml/itemProps1.xml><?xml version="1.0" encoding="utf-8"?>
<ds:datastoreItem xmlns:ds="http://schemas.openxmlformats.org/officeDocument/2006/customXml" ds:itemID="{FD2398BE-48B1-4053-BB23-6459A7C8B89F}">
  <ds:schemaRefs>
    <ds:schemaRef ds:uri="http://schemas.microsoft.com/sharepoint/v3/contenttype/forms"/>
  </ds:schemaRefs>
</ds:datastoreItem>
</file>

<file path=customXml/itemProps2.xml><?xml version="1.0" encoding="utf-8"?>
<ds:datastoreItem xmlns:ds="http://schemas.openxmlformats.org/officeDocument/2006/customXml" ds:itemID="{41FF3AB2-1601-46F6-9466-33661831EA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d724d2-936a-4e87-aefe-ecd4a03777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98654A-DC34-496C-A923-EF486744B2C7}">
  <ds:schemaRefs>
    <ds:schemaRef ds:uri="http://schemas.microsoft.com/office/2006/metadata/properties"/>
    <ds:schemaRef ds:uri="http://schemas.microsoft.com/office/infopath/2007/PartnerControls"/>
    <ds:schemaRef ds:uri="9ad724d2-936a-4e87-aefe-ecd4a0377740"/>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3228</Words>
  <Characters>18403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Musa Bamwine (2425291)</cp:lastModifiedBy>
  <cp:revision>2</cp:revision>
  <cp:lastPrinted>2026-04-08T10:29:00Z</cp:lastPrinted>
  <dcterms:created xsi:type="dcterms:W3CDTF">2026-08-14T12:24:00Z</dcterms:created>
  <dcterms:modified xsi:type="dcterms:W3CDTF">2026-08-14T12:24:00Z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0x0101005710B1D020C9DD4497C086D7D5D1F2DD</vt:lpwstr>
  </property>
</Properties>
</file>