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3CC0F" w14:textId="123094CD" w:rsidR="00142277" w:rsidRDefault="00A03E97" w:rsidP="00A03E97">
      <w:pPr>
        <w:spacing w:line="360" w:lineRule="auto"/>
        <w:jc w:val="center"/>
        <w:rPr>
          <w:rFonts w:ascii="Times New Roman" w:eastAsia="Times New Roman" w:hAnsi="Times New Roman" w:cs="Times New Roman"/>
          <w:b/>
          <w:sz w:val="32"/>
          <w:szCs w:val="32"/>
        </w:rPr>
      </w:pPr>
      <w:bookmarkStart w:id="0" w:name="_Hlk121550810"/>
      <w:bookmarkEnd w:id="0"/>
      <w:r>
        <w:rPr>
          <w:rFonts w:ascii="Times New Roman" w:eastAsia="Times New Roman" w:hAnsi="Times New Roman" w:cs="Times New Roman"/>
          <w:b/>
          <w:bCs/>
          <w:noProof/>
          <w:sz w:val="32"/>
          <w:szCs w:val="32"/>
        </w:rPr>
        <w:drawing>
          <wp:inline distT="0" distB="0" distL="0" distR="0" wp14:anchorId="6CC9435A" wp14:editId="0029CD75">
            <wp:extent cx="3810000" cy="1905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2F2A95FA" w14:textId="1CB33074" w:rsidR="00B7009E" w:rsidRDefault="00B7009E" w:rsidP="005612B4">
      <w:pPr>
        <w:rPr>
          <w:rFonts w:ascii="Times New Roman" w:eastAsia="Times New Roman" w:hAnsi="Times New Roman" w:cs="Times New Roman"/>
          <w:b/>
          <w:bCs/>
          <w:noProof/>
          <w:sz w:val="32"/>
          <w:szCs w:val="32"/>
        </w:rPr>
      </w:pPr>
    </w:p>
    <w:p w14:paraId="3F7ED2AF" w14:textId="66AE927C" w:rsidR="00B7009E" w:rsidRDefault="00B7009E">
      <w:pPr>
        <w:jc w:val="center"/>
      </w:pPr>
    </w:p>
    <w:p w14:paraId="6C64B835" w14:textId="385B11F3" w:rsidR="00B7009E" w:rsidRDefault="0084031C">
      <w:pPr>
        <w:jc w:val="center"/>
      </w:pPr>
      <w:r>
        <w:t xml:space="preserve">   </w:t>
      </w:r>
    </w:p>
    <w:p w14:paraId="1DCB0F6A" w14:textId="77777777" w:rsidR="00A03E97" w:rsidRDefault="00A03E97">
      <w:pPr>
        <w:jc w:val="center"/>
      </w:pPr>
    </w:p>
    <w:p w14:paraId="34ACE0C5" w14:textId="77777777" w:rsidR="00A03E97" w:rsidRDefault="00A03E97">
      <w:pPr>
        <w:jc w:val="center"/>
      </w:pPr>
    </w:p>
    <w:p w14:paraId="5D023521" w14:textId="77777777" w:rsidR="00A03E97" w:rsidRDefault="00A03E97">
      <w:pPr>
        <w:jc w:val="center"/>
      </w:pPr>
    </w:p>
    <w:p w14:paraId="4A25D5B8" w14:textId="77777777" w:rsidR="00A03E97" w:rsidRDefault="00A03E97">
      <w:pPr>
        <w:jc w:val="center"/>
      </w:pPr>
    </w:p>
    <w:p w14:paraId="0966492A" w14:textId="77777777" w:rsidR="00A03E97" w:rsidRDefault="00A03E97">
      <w:pPr>
        <w:jc w:val="center"/>
      </w:pPr>
    </w:p>
    <w:p w14:paraId="1F5F1051" w14:textId="77777777" w:rsidR="00A03E97" w:rsidRDefault="00A03E97">
      <w:pPr>
        <w:jc w:val="center"/>
      </w:pPr>
    </w:p>
    <w:p w14:paraId="12BFC878" w14:textId="77777777" w:rsidR="00A03E97" w:rsidRPr="00BB1CB6" w:rsidRDefault="00A03E97" w:rsidP="00A03E97">
      <w:pPr>
        <w:spacing w:line="360" w:lineRule="auto"/>
        <w:rPr>
          <w:rFonts w:ascii="Times New Roman" w:hAnsi="Times New Roman" w:cs="Times New Roman"/>
          <w:lang w:val="en-US"/>
        </w:rPr>
      </w:pPr>
      <w:r w:rsidRPr="00BB1CB6">
        <w:rPr>
          <w:rFonts w:ascii="Times New Roman" w:hAnsi="Times New Roman" w:cs="Times New Roman"/>
          <w:lang w:val="en-US"/>
        </w:rPr>
        <w:t>Module name</w:t>
      </w:r>
      <w:r>
        <w:rPr>
          <w:rFonts w:ascii="Times New Roman" w:hAnsi="Times New Roman" w:cs="Times New Roman"/>
          <w:lang w:val="en-US"/>
        </w:rPr>
        <w:t>: Entrepreneurship</w:t>
      </w:r>
    </w:p>
    <w:p w14:paraId="627A62AE" w14:textId="702BC6B5" w:rsidR="00A03E97" w:rsidRPr="00BB1CB6" w:rsidRDefault="00A03E97" w:rsidP="00A03E97">
      <w:pPr>
        <w:spacing w:line="360" w:lineRule="auto"/>
        <w:rPr>
          <w:rFonts w:ascii="Times New Roman" w:hAnsi="Times New Roman" w:cs="Times New Roman"/>
        </w:rPr>
      </w:pPr>
      <w:r w:rsidRPr="00BB1CB6">
        <w:rPr>
          <w:rFonts w:ascii="Times New Roman" w:hAnsi="Times New Roman" w:cs="Times New Roman"/>
          <w:lang w:val="en-US"/>
        </w:rPr>
        <w:t xml:space="preserve">Assignment </w:t>
      </w:r>
      <w:r w:rsidR="000D7424">
        <w:rPr>
          <w:rFonts w:ascii="Times New Roman" w:hAnsi="Times New Roman" w:cs="Times New Roman"/>
          <w:lang w:val="en-US"/>
        </w:rPr>
        <w:t xml:space="preserve">2 </w:t>
      </w:r>
      <w:r w:rsidRPr="00BB1CB6">
        <w:rPr>
          <w:rFonts w:ascii="Times New Roman" w:hAnsi="Times New Roman" w:cs="Times New Roman"/>
          <w:lang w:val="en-US"/>
        </w:rPr>
        <w:t>–</w:t>
      </w:r>
      <w:r>
        <w:rPr>
          <w:rFonts w:ascii="Times New Roman" w:hAnsi="Times New Roman" w:cs="Times New Roman"/>
        </w:rPr>
        <w:t>Written assignment</w:t>
      </w:r>
    </w:p>
    <w:p w14:paraId="0C28AB2B" w14:textId="77777777" w:rsidR="00A03E97" w:rsidRPr="00BB1CB6" w:rsidRDefault="00A03E97" w:rsidP="00A03E97">
      <w:pPr>
        <w:spacing w:line="360" w:lineRule="auto"/>
        <w:rPr>
          <w:rFonts w:ascii="Times New Roman" w:hAnsi="Times New Roman" w:cs="Times New Roman"/>
          <w:lang w:val="en-US"/>
        </w:rPr>
      </w:pPr>
      <w:r w:rsidRPr="00BB1CB6">
        <w:rPr>
          <w:rFonts w:ascii="Times New Roman" w:hAnsi="Times New Roman" w:cs="Times New Roman"/>
          <w:lang w:val="en-US"/>
        </w:rPr>
        <w:t xml:space="preserve">Word count : </w:t>
      </w:r>
      <w:r>
        <w:rPr>
          <w:rFonts w:ascii="Times New Roman" w:hAnsi="Times New Roman" w:cs="Times New Roman"/>
          <w:lang w:val="en-US"/>
        </w:rPr>
        <w:t>2000 +/-</w:t>
      </w:r>
    </w:p>
    <w:p w14:paraId="0F3B5110" w14:textId="77777777" w:rsidR="00A03E97" w:rsidRPr="00BB1CB6" w:rsidRDefault="00A03E97" w:rsidP="00A03E97">
      <w:pPr>
        <w:spacing w:line="360" w:lineRule="auto"/>
        <w:rPr>
          <w:rFonts w:ascii="Times New Roman" w:hAnsi="Times New Roman" w:cs="Times New Roman"/>
          <w:lang w:val="en-US"/>
        </w:rPr>
      </w:pPr>
      <w:r w:rsidRPr="00BB1CB6">
        <w:rPr>
          <w:rFonts w:ascii="Times New Roman" w:hAnsi="Times New Roman" w:cs="Times New Roman"/>
          <w:lang w:val="en-US"/>
        </w:rPr>
        <w:t>Module code: LCBB</w:t>
      </w:r>
      <w:r>
        <w:rPr>
          <w:rFonts w:ascii="Times New Roman" w:hAnsi="Times New Roman" w:cs="Times New Roman"/>
          <w:lang w:val="en-US"/>
        </w:rPr>
        <w:t>5001</w:t>
      </w:r>
    </w:p>
    <w:p w14:paraId="71A18E61" w14:textId="77777777" w:rsidR="00A03E97" w:rsidRPr="00BB1CB6" w:rsidRDefault="00A03E97" w:rsidP="00A03E97">
      <w:pPr>
        <w:spacing w:line="360" w:lineRule="auto"/>
        <w:rPr>
          <w:rFonts w:ascii="Times New Roman" w:hAnsi="Times New Roman" w:cs="Times New Roman"/>
          <w:lang w:val="en-US"/>
        </w:rPr>
      </w:pPr>
      <w:r w:rsidRPr="00BB1CB6">
        <w:rPr>
          <w:rFonts w:ascii="Times New Roman" w:hAnsi="Times New Roman" w:cs="Times New Roman"/>
          <w:lang w:val="en-US"/>
        </w:rPr>
        <w:t>Lecturer name</w:t>
      </w:r>
      <w:r>
        <w:rPr>
          <w:rFonts w:ascii="Times New Roman" w:hAnsi="Times New Roman" w:cs="Times New Roman"/>
          <w:lang w:val="en-US"/>
        </w:rPr>
        <w:t xml:space="preserve"> : Riaz Bhatti</w:t>
      </w:r>
    </w:p>
    <w:p w14:paraId="5DE00896" w14:textId="77777777" w:rsidR="00A03E97" w:rsidRPr="00BB1CB6" w:rsidRDefault="00A03E97" w:rsidP="00A03E97">
      <w:pPr>
        <w:spacing w:line="360" w:lineRule="auto"/>
        <w:rPr>
          <w:rFonts w:ascii="Times New Roman" w:hAnsi="Times New Roman" w:cs="Times New Roman"/>
          <w:lang w:val="en-US"/>
        </w:rPr>
      </w:pPr>
      <w:r w:rsidRPr="00BB1CB6">
        <w:rPr>
          <w:rFonts w:ascii="Times New Roman" w:hAnsi="Times New Roman" w:cs="Times New Roman"/>
          <w:lang w:val="en-US"/>
        </w:rPr>
        <w:t>Student name: Mariana Mihaela Cicu</w:t>
      </w:r>
    </w:p>
    <w:p w14:paraId="641EF592" w14:textId="751D228B" w:rsidR="00A03E97" w:rsidRPr="005612B4" w:rsidRDefault="00A03E97" w:rsidP="005612B4">
      <w:pPr>
        <w:spacing w:line="360" w:lineRule="auto"/>
        <w:rPr>
          <w:rFonts w:ascii="Times New Roman" w:hAnsi="Times New Roman" w:cs="Times New Roman"/>
          <w:b/>
          <w:sz w:val="32"/>
        </w:rPr>
      </w:pPr>
      <w:r w:rsidRPr="00BB1CB6">
        <w:rPr>
          <w:rFonts w:ascii="Times New Roman" w:hAnsi="Times New Roman" w:cs="Times New Roman"/>
          <w:lang w:val="en-US"/>
        </w:rPr>
        <w:t>Student ID number : 2028271</w:t>
      </w:r>
    </w:p>
    <w:p w14:paraId="178848D9" w14:textId="7F654DC0" w:rsidR="00142277" w:rsidRDefault="00000000">
      <w:pPr>
        <w:jc w:val="center"/>
        <w:rPr>
          <w:rFonts w:ascii="Times New Roman" w:eastAsia="Times New Roman" w:hAnsi="Times New Roman" w:cs="Times New Roman"/>
          <w:b/>
          <w:sz w:val="28"/>
          <w:szCs w:val="28"/>
        </w:rPr>
      </w:pPr>
      <w:r>
        <w:br w:type="page"/>
      </w:r>
      <w:r>
        <w:rPr>
          <w:rFonts w:ascii="Times New Roman" w:eastAsia="Times New Roman" w:hAnsi="Times New Roman" w:cs="Times New Roman"/>
          <w:b/>
          <w:sz w:val="28"/>
          <w:szCs w:val="28"/>
        </w:rPr>
        <w:lastRenderedPageBreak/>
        <w:t>Table of Contents</w:t>
      </w:r>
    </w:p>
    <w:p w14:paraId="625F67CD" w14:textId="77777777" w:rsidR="00142277" w:rsidRDefault="00142277">
      <w:pPr>
        <w:rPr>
          <w:rFonts w:ascii="Times New Roman" w:eastAsia="Times New Roman" w:hAnsi="Times New Roman" w:cs="Times New Roman"/>
          <w:b/>
          <w:sz w:val="28"/>
          <w:szCs w:val="28"/>
        </w:rPr>
      </w:pPr>
    </w:p>
    <w:sdt>
      <w:sdtPr>
        <w:id w:val="-1004042852"/>
        <w:docPartObj>
          <w:docPartGallery w:val="Table of Contents"/>
          <w:docPartUnique/>
        </w:docPartObj>
      </w:sdtPr>
      <w:sdtContent>
        <w:p w14:paraId="011DFB71" w14:textId="77777777" w:rsidR="00142277" w:rsidRDefault="00000000">
          <w:pPr>
            <w:tabs>
              <w:tab w:val="right" w:pos="13957"/>
            </w:tabs>
            <w:spacing w:before="80" w:line="360" w:lineRule="auto"/>
            <w:jc w:val="both"/>
            <w:rPr>
              <w:rFonts w:ascii="Times New Roman" w:eastAsia="Times New Roman" w:hAnsi="Times New Roman" w:cs="Times New Roman"/>
            </w:rPr>
          </w:pPr>
          <w:r>
            <w:fldChar w:fldCharType="begin"/>
          </w:r>
          <w:r>
            <w:instrText xml:space="preserve"> TOC \h \u \z </w:instrText>
          </w:r>
          <w:r>
            <w:fldChar w:fldCharType="separate"/>
          </w:r>
          <w:hyperlink w:anchor="_heading=h.bs1prw5n6lc5">
            <w:r>
              <w:rPr>
                <w:rFonts w:ascii="Times New Roman" w:eastAsia="Times New Roman" w:hAnsi="Times New Roman" w:cs="Times New Roman"/>
                <w:b/>
              </w:rPr>
              <w:t>BUSINESS DESCRIPTION / MARKET OPPORTUNITY</w:t>
            </w:r>
          </w:hyperlink>
          <w:r>
            <w:rPr>
              <w:rFonts w:ascii="Times New Roman" w:eastAsia="Times New Roman" w:hAnsi="Times New Roman" w:cs="Times New Roman"/>
              <w:b/>
            </w:rPr>
            <w:tab/>
          </w:r>
          <w:r>
            <w:fldChar w:fldCharType="begin"/>
          </w:r>
          <w:r>
            <w:instrText xml:space="preserve"> PAGEREF _heading=h.bs1prw5n6lc5 \h </w:instrText>
          </w:r>
          <w:r>
            <w:fldChar w:fldCharType="separate"/>
          </w:r>
          <w:r>
            <w:rPr>
              <w:rFonts w:ascii="Times New Roman" w:eastAsia="Times New Roman" w:hAnsi="Times New Roman" w:cs="Times New Roman"/>
              <w:b/>
            </w:rPr>
            <w:t>3</w:t>
          </w:r>
          <w:r>
            <w:fldChar w:fldCharType="end"/>
          </w:r>
        </w:p>
        <w:p w14:paraId="7643DAF7" w14:textId="77777777" w:rsidR="00142277" w:rsidRDefault="00000000">
          <w:pPr>
            <w:tabs>
              <w:tab w:val="right" w:pos="13957"/>
            </w:tabs>
            <w:spacing w:before="200" w:line="360" w:lineRule="auto"/>
            <w:jc w:val="both"/>
            <w:rPr>
              <w:rFonts w:ascii="Times New Roman" w:eastAsia="Times New Roman" w:hAnsi="Times New Roman" w:cs="Times New Roman"/>
            </w:rPr>
          </w:pPr>
          <w:hyperlink w:anchor="_heading=h.nj03itssyudy">
            <w:r>
              <w:rPr>
                <w:rFonts w:ascii="Times New Roman" w:eastAsia="Times New Roman" w:hAnsi="Times New Roman" w:cs="Times New Roman"/>
                <w:b/>
              </w:rPr>
              <w:t>INDUSTRY ANALYSIS</w:t>
            </w:r>
          </w:hyperlink>
          <w:r>
            <w:rPr>
              <w:rFonts w:ascii="Times New Roman" w:eastAsia="Times New Roman" w:hAnsi="Times New Roman" w:cs="Times New Roman"/>
              <w:b/>
            </w:rPr>
            <w:tab/>
          </w:r>
          <w:r>
            <w:fldChar w:fldCharType="begin"/>
          </w:r>
          <w:r>
            <w:instrText xml:space="preserve"> PAGEREF _heading=h.nj03itssyudy \h </w:instrText>
          </w:r>
          <w:r>
            <w:fldChar w:fldCharType="separate"/>
          </w:r>
          <w:r>
            <w:rPr>
              <w:rFonts w:ascii="Times New Roman" w:eastAsia="Times New Roman" w:hAnsi="Times New Roman" w:cs="Times New Roman"/>
              <w:b/>
            </w:rPr>
            <w:t>4</w:t>
          </w:r>
          <w:r>
            <w:fldChar w:fldCharType="end"/>
          </w:r>
        </w:p>
        <w:p w14:paraId="2434296C" w14:textId="77777777" w:rsidR="00142277" w:rsidRDefault="00000000">
          <w:pPr>
            <w:tabs>
              <w:tab w:val="right" w:pos="13957"/>
            </w:tabs>
            <w:spacing w:before="200" w:line="360" w:lineRule="auto"/>
            <w:jc w:val="both"/>
            <w:rPr>
              <w:rFonts w:ascii="Times New Roman" w:eastAsia="Times New Roman" w:hAnsi="Times New Roman" w:cs="Times New Roman"/>
            </w:rPr>
          </w:pPr>
          <w:hyperlink w:anchor="_heading=h.k4p6k471x0iq">
            <w:r>
              <w:rPr>
                <w:rFonts w:ascii="Times New Roman" w:eastAsia="Times New Roman" w:hAnsi="Times New Roman" w:cs="Times New Roman"/>
                <w:b/>
              </w:rPr>
              <w:t>OPERATIONS AND MANAGEMENT TEAM</w:t>
            </w:r>
          </w:hyperlink>
          <w:r>
            <w:rPr>
              <w:rFonts w:ascii="Times New Roman" w:eastAsia="Times New Roman" w:hAnsi="Times New Roman" w:cs="Times New Roman"/>
              <w:b/>
            </w:rPr>
            <w:tab/>
          </w:r>
          <w:r>
            <w:fldChar w:fldCharType="begin"/>
          </w:r>
          <w:r>
            <w:instrText xml:space="preserve"> PAGEREF _heading=h.k4p6k471x0iq \h </w:instrText>
          </w:r>
          <w:r>
            <w:fldChar w:fldCharType="separate"/>
          </w:r>
          <w:r>
            <w:rPr>
              <w:rFonts w:ascii="Times New Roman" w:eastAsia="Times New Roman" w:hAnsi="Times New Roman" w:cs="Times New Roman"/>
              <w:b/>
            </w:rPr>
            <w:t>8</w:t>
          </w:r>
          <w:r>
            <w:fldChar w:fldCharType="end"/>
          </w:r>
        </w:p>
        <w:p w14:paraId="0025E4A3" w14:textId="77777777" w:rsidR="00142277" w:rsidRDefault="00000000">
          <w:pPr>
            <w:tabs>
              <w:tab w:val="right" w:pos="13957"/>
            </w:tabs>
            <w:spacing w:before="200" w:line="360" w:lineRule="auto"/>
            <w:jc w:val="both"/>
            <w:rPr>
              <w:rFonts w:ascii="Times New Roman" w:eastAsia="Times New Roman" w:hAnsi="Times New Roman" w:cs="Times New Roman"/>
            </w:rPr>
          </w:pPr>
          <w:hyperlink w:anchor="_heading=h.71zz4fxesa6q">
            <w:r>
              <w:rPr>
                <w:rFonts w:ascii="Times New Roman" w:eastAsia="Times New Roman" w:hAnsi="Times New Roman" w:cs="Times New Roman"/>
                <w:b/>
              </w:rPr>
              <w:t>MANAGEMENT TEAM</w:t>
            </w:r>
          </w:hyperlink>
          <w:r>
            <w:rPr>
              <w:rFonts w:ascii="Times New Roman" w:eastAsia="Times New Roman" w:hAnsi="Times New Roman" w:cs="Times New Roman"/>
              <w:b/>
            </w:rPr>
            <w:tab/>
          </w:r>
          <w:r>
            <w:fldChar w:fldCharType="begin"/>
          </w:r>
          <w:r>
            <w:instrText xml:space="preserve"> PAGEREF _heading=h.71zz4fxesa6q \h </w:instrText>
          </w:r>
          <w:r>
            <w:fldChar w:fldCharType="separate"/>
          </w:r>
          <w:r>
            <w:rPr>
              <w:rFonts w:ascii="Times New Roman" w:eastAsia="Times New Roman" w:hAnsi="Times New Roman" w:cs="Times New Roman"/>
              <w:b/>
            </w:rPr>
            <w:t>10</w:t>
          </w:r>
          <w:r>
            <w:fldChar w:fldCharType="end"/>
          </w:r>
        </w:p>
        <w:p w14:paraId="48C0F0DE" w14:textId="77777777" w:rsidR="00142277" w:rsidRDefault="00000000">
          <w:pPr>
            <w:tabs>
              <w:tab w:val="right" w:pos="13957"/>
            </w:tabs>
            <w:spacing w:before="200" w:line="360" w:lineRule="auto"/>
            <w:jc w:val="both"/>
            <w:rPr>
              <w:rFonts w:ascii="Times New Roman" w:eastAsia="Times New Roman" w:hAnsi="Times New Roman" w:cs="Times New Roman"/>
            </w:rPr>
          </w:pPr>
          <w:hyperlink w:anchor="_heading=h.akccx7oalt1x">
            <w:r>
              <w:rPr>
                <w:rFonts w:ascii="Times New Roman" w:eastAsia="Times New Roman" w:hAnsi="Times New Roman" w:cs="Times New Roman"/>
                <w:b/>
              </w:rPr>
              <w:t>MARKETING:</w:t>
            </w:r>
          </w:hyperlink>
          <w:r>
            <w:rPr>
              <w:rFonts w:ascii="Times New Roman" w:eastAsia="Times New Roman" w:hAnsi="Times New Roman" w:cs="Times New Roman"/>
              <w:b/>
            </w:rPr>
            <w:tab/>
          </w:r>
          <w:r>
            <w:fldChar w:fldCharType="begin"/>
          </w:r>
          <w:r>
            <w:instrText xml:space="preserve"> PAGEREF _heading=h.akccx7oalt1x \h </w:instrText>
          </w:r>
          <w:r>
            <w:fldChar w:fldCharType="separate"/>
          </w:r>
          <w:r>
            <w:rPr>
              <w:rFonts w:ascii="Times New Roman" w:eastAsia="Times New Roman" w:hAnsi="Times New Roman" w:cs="Times New Roman"/>
              <w:b/>
            </w:rPr>
            <w:t>10</w:t>
          </w:r>
          <w:r>
            <w:fldChar w:fldCharType="end"/>
          </w:r>
        </w:p>
        <w:p w14:paraId="2CE56292" w14:textId="77777777" w:rsidR="00142277" w:rsidRDefault="00000000">
          <w:pPr>
            <w:tabs>
              <w:tab w:val="right" w:pos="13957"/>
            </w:tabs>
            <w:spacing w:before="200" w:line="360" w:lineRule="auto"/>
            <w:jc w:val="both"/>
            <w:rPr>
              <w:rFonts w:ascii="Times New Roman" w:eastAsia="Times New Roman" w:hAnsi="Times New Roman" w:cs="Times New Roman"/>
            </w:rPr>
          </w:pPr>
          <w:hyperlink w:anchor="_heading=h.xcd6s01g7y1f">
            <w:r>
              <w:rPr>
                <w:rFonts w:ascii="Times New Roman" w:eastAsia="Times New Roman" w:hAnsi="Times New Roman" w:cs="Times New Roman"/>
                <w:b/>
              </w:rPr>
              <w:t>FINANCIALS</w:t>
            </w:r>
          </w:hyperlink>
          <w:r>
            <w:rPr>
              <w:rFonts w:ascii="Times New Roman" w:eastAsia="Times New Roman" w:hAnsi="Times New Roman" w:cs="Times New Roman"/>
              <w:b/>
            </w:rPr>
            <w:tab/>
          </w:r>
          <w:r>
            <w:fldChar w:fldCharType="begin"/>
          </w:r>
          <w:r>
            <w:instrText xml:space="preserve"> PAGEREF _heading=h.xcd6s01g7y1f \h </w:instrText>
          </w:r>
          <w:r>
            <w:fldChar w:fldCharType="separate"/>
          </w:r>
          <w:r>
            <w:rPr>
              <w:rFonts w:ascii="Times New Roman" w:eastAsia="Times New Roman" w:hAnsi="Times New Roman" w:cs="Times New Roman"/>
              <w:b/>
            </w:rPr>
            <w:t>13</w:t>
          </w:r>
          <w:r>
            <w:fldChar w:fldCharType="end"/>
          </w:r>
        </w:p>
        <w:p w14:paraId="77034ECE" w14:textId="77777777" w:rsidR="00142277" w:rsidRDefault="00000000">
          <w:pPr>
            <w:tabs>
              <w:tab w:val="right" w:pos="13957"/>
            </w:tabs>
            <w:spacing w:before="200" w:after="80" w:line="360" w:lineRule="auto"/>
            <w:jc w:val="both"/>
            <w:rPr>
              <w:rFonts w:ascii="Times New Roman" w:eastAsia="Times New Roman" w:hAnsi="Times New Roman" w:cs="Times New Roman"/>
            </w:rPr>
          </w:pPr>
          <w:hyperlink w:anchor="_heading=h.g67zg1duwikj">
            <w:r>
              <w:rPr>
                <w:rFonts w:ascii="Times New Roman" w:eastAsia="Times New Roman" w:hAnsi="Times New Roman" w:cs="Times New Roman"/>
                <w:b/>
              </w:rPr>
              <w:t>REFERENCES</w:t>
            </w:r>
          </w:hyperlink>
          <w:r>
            <w:rPr>
              <w:rFonts w:ascii="Times New Roman" w:eastAsia="Times New Roman" w:hAnsi="Times New Roman" w:cs="Times New Roman"/>
              <w:b/>
            </w:rPr>
            <w:tab/>
          </w:r>
          <w:r>
            <w:fldChar w:fldCharType="begin"/>
          </w:r>
          <w:r>
            <w:instrText xml:space="preserve"> PAGEREF _heading=h.g67zg1duwikj \h </w:instrText>
          </w:r>
          <w:r>
            <w:fldChar w:fldCharType="separate"/>
          </w:r>
          <w:r>
            <w:rPr>
              <w:rFonts w:ascii="Times New Roman" w:eastAsia="Times New Roman" w:hAnsi="Times New Roman" w:cs="Times New Roman"/>
              <w:b/>
            </w:rPr>
            <w:t>15</w:t>
          </w:r>
          <w:r>
            <w:fldChar w:fldCharType="end"/>
          </w:r>
          <w:r>
            <w:fldChar w:fldCharType="end"/>
          </w:r>
        </w:p>
      </w:sdtContent>
    </w:sdt>
    <w:p w14:paraId="54F337E2" w14:textId="77777777" w:rsidR="00142277" w:rsidRDefault="00142277">
      <w:pPr>
        <w:rPr>
          <w:rFonts w:ascii="Times New Roman" w:eastAsia="Times New Roman" w:hAnsi="Times New Roman" w:cs="Times New Roman"/>
          <w:b/>
          <w:sz w:val="28"/>
          <w:szCs w:val="28"/>
        </w:rPr>
      </w:pPr>
    </w:p>
    <w:p w14:paraId="11B3CD78" w14:textId="77777777" w:rsidR="00142277" w:rsidRDefault="00000000">
      <w:pPr>
        <w:rPr>
          <w:rFonts w:ascii="Times New Roman" w:eastAsia="Times New Roman" w:hAnsi="Times New Roman" w:cs="Times New Roman"/>
          <w:b/>
          <w:sz w:val="28"/>
          <w:szCs w:val="28"/>
        </w:rPr>
      </w:pPr>
      <w:r>
        <w:br w:type="page"/>
      </w:r>
    </w:p>
    <w:p w14:paraId="39DE2B71" w14:textId="77777777" w:rsidR="00142277" w:rsidRDefault="00142277">
      <w:pPr>
        <w:rPr>
          <w:rFonts w:ascii="Times New Roman" w:eastAsia="Times New Roman" w:hAnsi="Times New Roman" w:cs="Times New Roman"/>
          <w:b/>
          <w:sz w:val="28"/>
          <w:szCs w:val="28"/>
        </w:rPr>
      </w:pP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42277" w14:paraId="1F1358F5" w14:textId="77777777" w:rsidTr="001422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B356665" w14:textId="77777777" w:rsidR="00142277" w:rsidRDefault="00000000">
            <w:pPr>
              <w:pStyle w:val="Heading1"/>
              <w:outlineLvl w:val="0"/>
            </w:pPr>
            <w:bookmarkStart w:id="1" w:name="_heading=h.bs1prw5n6lc5" w:colFirst="0" w:colLast="0"/>
            <w:bookmarkEnd w:id="1"/>
            <w:r>
              <w:t>BUSINESS DESCRIPTION / MARKET OPPORTUNITY</w:t>
            </w:r>
          </w:p>
          <w:p w14:paraId="6AA5EA16" w14:textId="77777777" w:rsidR="00142277" w:rsidRDefault="00142277">
            <w:pPr>
              <w:rPr>
                <w:rFonts w:ascii="Times New Roman" w:eastAsia="Times New Roman" w:hAnsi="Times New Roman" w:cs="Times New Roman"/>
              </w:rPr>
            </w:pPr>
          </w:p>
          <w:p w14:paraId="7A122D13"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Wedding planning is a whole process that is a combined portrayal of diversity and inclusivity (Daniels and Wosicki, 2020). However, post the COVID the strain continued through restrictions in gathering, difficulties in finding proper spacious places to gather large number of people; community hall, garden and other event space owners reluctant to rent their spaces due for gathering, moreover lack of access to decorative items, flowers etc.have been creating a huge barrier for brides and grooms to enjoy their desires of dream wedding. </w:t>
            </w:r>
          </w:p>
          <w:p w14:paraId="26581F00"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business plan is to create an online application for wedding planning. The app will make it easier for bride and groom to find nearest venues available on the given wedding date and given number of guests that maintain COVID protocols (Seraphin, 2021). Not only that, the app will strive to serve a huge catalogue to the customers to pick from a huge options of decorations, flowers, themes, colour panels, choice of fabrics, styling, food options, table arrangements etc. Moreover, it will be a two-ways business as it would connect the customers with nearby wedding planners to whom they can pick based on their profile, previous works, experiences etc. The app will help to initiate communication between the customers and the wedding planners through quick chatting, sharing contact details, arranging virtual meetings to make sure everything happens with proper appropriateness. Customers will be given an estimation of pricing by adding the service rate set by chosen wedding planner, rate set by the wedding planner for chosen decoration items, chosen venue rate, and other fees with clear details of all purposes. The app will be known as </w:t>
            </w:r>
            <w:r>
              <w:rPr>
                <w:rFonts w:ascii="Times New Roman" w:eastAsia="Times New Roman" w:hAnsi="Times New Roman" w:cs="Times New Roman"/>
                <w:b w:val="0"/>
                <w:i/>
              </w:rPr>
              <w:t xml:space="preserve">The Wedding Bell. </w:t>
            </w:r>
            <w:r>
              <w:rPr>
                <w:rFonts w:ascii="Times New Roman" w:eastAsia="Times New Roman" w:hAnsi="Times New Roman" w:cs="Times New Roman"/>
                <w:b w:val="0"/>
              </w:rPr>
              <w:t xml:space="preserve">The business will work as a connector between wedding planners and customers to make the whole actions of wedding planning fuss-free while increasing the business of local small-to-large scale wedding planners. The event management sector of the UK is worth £39.1 billion (Dowson and Bassett, 2018). Among which, the wedding industry of the UK was worth £14.7 billion in 2021 with an expected revenue forecast of £28 billion in the coming two years (Sonas. 2021). Moreover, with the withdrawals of the restrictions of COVID-19 the market is growing with a prospective steady flow. Besides, there are not yet any such prominent apps in the market. Therefore, the idea will be effective with fresh market scopes. </w:t>
            </w:r>
          </w:p>
          <w:p w14:paraId="1DAA0876" w14:textId="77777777" w:rsidR="00142277" w:rsidRDefault="00142277">
            <w:pPr>
              <w:rPr>
                <w:rFonts w:ascii="Times New Roman" w:eastAsia="Times New Roman" w:hAnsi="Times New Roman" w:cs="Times New Roman"/>
              </w:rPr>
            </w:pPr>
          </w:p>
        </w:tc>
      </w:tr>
    </w:tbl>
    <w:p w14:paraId="44486A6C" w14:textId="77777777" w:rsidR="00142277" w:rsidRDefault="00142277">
      <w:pPr>
        <w:rPr>
          <w:rFonts w:ascii="Times New Roman" w:eastAsia="Times New Roman" w:hAnsi="Times New Roman" w:cs="Times New Roman"/>
        </w:rPr>
      </w:pPr>
    </w:p>
    <w:p w14:paraId="29278CA6" w14:textId="77777777" w:rsidR="00142277" w:rsidRDefault="00142277">
      <w:pPr>
        <w:rPr>
          <w:rFonts w:ascii="Times New Roman" w:eastAsia="Times New Roman" w:hAnsi="Times New Roman" w:cs="Times New Roman"/>
        </w:rPr>
      </w:pPr>
    </w:p>
    <w:tbl>
      <w:tblPr>
        <w:tblStyle w:val="a0"/>
        <w:tblW w:w="13920" w:type="dxa"/>
        <w:tblInd w:w="3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20"/>
      </w:tblGrid>
      <w:tr w:rsidR="00142277" w14:paraId="25E29E63" w14:textId="77777777" w:rsidTr="001422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20" w:type="dxa"/>
          </w:tcPr>
          <w:p w14:paraId="6D4B86DB" w14:textId="77777777" w:rsidR="00142277" w:rsidRDefault="00000000">
            <w:pPr>
              <w:pStyle w:val="Heading1"/>
              <w:outlineLvl w:val="0"/>
            </w:pPr>
            <w:bookmarkStart w:id="2" w:name="_heading=h.nj03itssyudy" w:colFirst="0" w:colLast="0"/>
            <w:bookmarkEnd w:id="2"/>
            <w:r>
              <w:lastRenderedPageBreak/>
              <w:t>INDUSTRY ANALYSIS</w:t>
            </w:r>
          </w:p>
          <w:p w14:paraId="05817580" w14:textId="77777777" w:rsidR="00142277" w:rsidRDefault="00142277">
            <w:pPr>
              <w:rPr>
                <w:rFonts w:ascii="Times New Roman" w:eastAsia="Times New Roman" w:hAnsi="Times New Roman" w:cs="Times New Roman"/>
              </w:rPr>
            </w:pPr>
          </w:p>
          <w:p w14:paraId="52855F61"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Threat of new entry </w:t>
            </w:r>
          </w:p>
          <w:p w14:paraId="61A8E8B3" w14:textId="77777777" w:rsidR="00142277" w:rsidRDefault="00142277">
            <w:pPr>
              <w:rPr>
                <w:rFonts w:ascii="Times New Roman" w:eastAsia="Times New Roman" w:hAnsi="Times New Roman" w:cs="Times New Roman"/>
              </w:rPr>
            </w:pPr>
          </w:p>
          <w:p w14:paraId="27F3FA6A"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Around 278599 weddings take place every year in the UK. There is an estimation worth £14.7bn that gets directly spent on weddings on an annual scale (UK WEDDINGS TASKFORCE. 2022). The wedding industry itself is vast enough in the United Kingdom. Around 400000 people are involved with the wedding industry where 250000 people are engaged in delivery related works and  150000 take part in supporting wedding functions through miscellaneous works ((UK WEDDINGS TASKFORCE. 2022). In other words, the wedding planner market in the UK holds an impeccable source of income which draws the attention of new market entrants on a regular basis. New wedding planning businesses can enter the market effectively with upscaled business shapes to draw the customers. However, even though there are scopes for new entrants, the unique and innovative business plan of </w:t>
            </w:r>
            <w:r>
              <w:rPr>
                <w:rFonts w:ascii="Times New Roman" w:eastAsia="Times New Roman" w:hAnsi="Times New Roman" w:cs="Times New Roman"/>
                <w:b w:val="0"/>
                <w:i/>
              </w:rPr>
              <w:t xml:space="preserve">The Wedding Bell </w:t>
            </w:r>
            <w:r>
              <w:rPr>
                <w:rFonts w:ascii="Times New Roman" w:eastAsia="Times New Roman" w:hAnsi="Times New Roman" w:cs="Times New Roman"/>
                <w:b w:val="0"/>
              </w:rPr>
              <w:t xml:space="preserve"> can still enjoy a market stimulation with unique business proposition.Hence, the threats from new entrants are medium. </w:t>
            </w:r>
          </w:p>
          <w:p w14:paraId="55DA70C0" w14:textId="77777777" w:rsidR="00142277" w:rsidRDefault="00142277">
            <w:pPr>
              <w:rPr>
                <w:rFonts w:ascii="Times New Roman" w:eastAsia="Times New Roman" w:hAnsi="Times New Roman" w:cs="Times New Roman"/>
              </w:rPr>
            </w:pPr>
          </w:p>
          <w:p w14:paraId="38245117"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Threat of substitutes</w:t>
            </w:r>
          </w:p>
          <w:p w14:paraId="6447A2F0" w14:textId="77777777" w:rsidR="00142277" w:rsidRDefault="00142277">
            <w:pPr>
              <w:rPr>
                <w:rFonts w:ascii="Times New Roman" w:eastAsia="Times New Roman" w:hAnsi="Times New Roman" w:cs="Times New Roman"/>
              </w:rPr>
            </w:pPr>
          </w:p>
          <w:p w14:paraId="2B42CB3F"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There are a huge number of businesses currently serving as wedding planners in the United Kingdom market. They are open or directly available to customers to connect with them and choose a wedding plan suitable for their special day. There are also applications available that offer customers to plan their wedding venue, connect with suppliers and decorators and track their budget etc (Singh, Singh and Bathla, 2020). Whether these apps can serve as an alternative there are not yet any prominent substitutes who can help  customers to customise their wedding plan while at the same time get connected to an array of local wedding planners willing to bring forward their extravagance.  Hence, the threat of substitutes is low. </w:t>
            </w:r>
          </w:p>
          <w:p w14:paraId="3C7C059B"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Bargaining power of customers</w:t>
            </w:r>
          </w:p>
          <w:p w14:paraId="7CEFDD5A" w14:textId="77777777" w:rsidR="00142277" w:rsidRDefault="00142277">
            <w:pPr>
              <w:rPr>
                <w:rFonts w:ascii="Times New Roman" w:eastAsia="Times New Roman" w:hAnsi="Times New Roman" w:cs="Times New Roman"/>
              </w:rPr>
            </w:pPr>
          </w:p>
          <w:p w14:paraId="190BC1EE"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lastRenderedPageBreak/>
              <w:t xml:space="preserve">Since there are a bunch of wedding planning services over applications available in the United Kingdom there are multitude of options left for customers to choose from. However </w:t>
            </w:r>
            <w:r>
              <w:rPr>
                <w:rFonts w:ascii="Times New Roman" w:eastAsia="Times New Roman" w:hAnsi="Times New Roman" w:cs="Times New Roman"/>
                <w:b w:val="0"/>
                <w:i/>
              </w:rPr>
              <w:t>The Wedding Bell</w:t>
            </w:r>
            <w:r>
              <w:rPr>
                <w:rFonts w:ascii="Times New Roman" w:eastAsia="Times New Roman" w:hAnsi="Times New Roman" w:cs="Times New Roman"/>
                <w:i/>
              </w:rPr>
              <w:t xml:space="preserve"> </w:t>
            </w:r>
            <w:r>
              <w:rPr>
                <w:rFonts w:ascii="Times New Roman" w:eastAsia="Times New Roman" w:hAnsi="Times New Roman" w:cs="Times New Roman"/>
                <w:b w:val="0"/>
              </w:rPr>
              <w:t xml:space="preserve">is planning to have an unique business model where customers will not only be able to plan and customise their wedding event but will also get the chance to connect with a huge list of wedding planners who are ready to give that customised plan the shape of a dreamy reality. Moreover, the wedding tourism market and destination wedding tendency is increasing among the youth (Szczepanik and Wiesner, 2018). Hence, such a wholesome business plan will help them guide through effectively. Therefore, the lack of available market options can control the bargaining power of customers by making it low. </w:t>
            </w:r>
          </w:p>
          <w:p w14:paraId="731B813A" w14:textId="77777777" w:rsidR="00142277" w:rsidRDefault="00142277">
            <w:pPr>
              <w:rPr>
                <w:rFonts w:ascii="Times New Roman" w:eastAsia="Times New Roman" w:hAnsi="Times New Roman" w:cs="Times New Roman"/>
              </w:rPr>
            </w:pPr>
          </w:p>
          <w:p w14:paraId="01399000"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Bargaining power of suppliers</w:t>
            </w:r>
          </w:p>
          <w:p w14:paraId="18560248" w14:textId="77777777" w:rsidR="00142277" w:rsidRDefault="00142277">
            <w:pPr>
              <w:rPr>
                <w:rFonts w:ascii="Times New Roman" w:eastAsia="Times New Roman" w:hAnsi="Times New Roman" w:cs="Times New Roman"/>
              </w:rPr>
            </w:pPr>
          </w:p>
          <w:p w14:paraId="36A23310"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bargaining of power of suppliers can be a strong effective factor in the case. The success of </w:t>
            </w:r>
            <w:r>
              <w:rPr>
                <w:rFonts w:ascii="Times New Roman" w:eastAsia="Times New Roman" w:hAnsi="Times New Roman" w:cs="Times New Roman"/>
                <w:b w:val="0"/>
                <w:i/>
              </w:rPr>
              <w:t xml:space="preserve">The Wedding Bell </w:t>
            </w:r>
            <w:r>
              <w:rPr>
                <w:rFonts w:ascii="Times New Roman" w:eastAsia="Times New Roman" w:hAnsi="Times New Roman" w:cs="Times New Roman"/>
                <w:b w:val="0"/>
              </w:rPr>
              <w:t xml:space="preserve"> would be highly dependent on the power of the suppliers who deal with wedding essential supplying and delivering. The market is filled with suppliers, hence it would not be difficult to switch to a new supplier if one’s rate is high. However, if the bargaining power of suppliers increases in an overall scale then it will affect the pricing of the business too (Etemaddar, Thyne and Insch, 2018). </w:t>
            </w:r>
          </w:p>
          <w:p w14:paraId="078DC6EB" w14:textId="77777777" w:rsidR="00142277" w:rsidRDefault="00142277">
            <w:pPr>
              <w:rPr>
                <w:rFonts w:ascii="Times New Roman" w:eastAsia="Times New Roman" w:hAnsi="Times New Roman" w:cs="Times New Roman"/>
              </w:rPr>
            </w:pPr>
          </w:p>
          <w:p w14:paraId="6514D5EC"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Competitive Rivalry: </w:t>
            </w:r>
          </w:p>
          <w:p w14:paraId="6B5FB38C" w14:textId="77777777" w:rsidR="00142277" w:rsidRDefault="00142277">
            <w:pPr>
              <w:rPr>
                <w:rFonts w:ascii="Times New Roman" w:eastAsia="Times New Roman" w:hAnsi="Times New Roman" w:cs="Times New Roman"/>
              </w:rPr>
            </w:pPr>
          </w:p>
          <w:tbl>
            <w:tblPr>
              <w:tblStyle w:val="a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142277" w14:paraId="66BD9735" w14:textId="77777777">
              <w:tc>
                <w:tcPr>
                  <w:tcW w:w="2440" w:type="dxa"/>
                </w:tcPr>
                <w:p w14:paraId="5177E284" w14:textId="77777777" w:rsidR="00142277" w:rsidRDefault="00000000">
                  <w:pPr>
                    <w:rPr>
                      <w:rFonts w:ascii="Times New Roman" w:eastAsia="Times New Roman" w:hAnsi="Times New Roman" w:cs="Times New Roman"/>
                      <w:b/>
                    </w:rPr>
                  </w:pPr>
                  <w:r>
                    <w:rPr>
                      <w:rFonts w:ascii="Times New Roman" w:eastAsia="Times New Roman" w:hAnsi="Times New Roman" w:cs="Times New Roman"/>
                      <w:b/>
                    </w:rPr>
                    <w:t>Name of competitor</w:t>
                  </w:r>
                </w:p>
              </w:tc>
              <w:tc>
                <w:tcPr>
                  <w:tcW w:w="11282" w:type="dxa"/>
                </w:tcPr>
                <w:p w14:paraId="7F39C814" w14:textId="77777777" w:rsidR="00142277" w:rsidRDefault="00000000">
                  <w:pPr>
                    <w:rPr>
                      <w:rFonts w:ascii="Times New Roman" w:eastAsia="Times New Roman" w:hAnsi="Times New Roman" w:cs="Times New Roman"/>
                      <w:b/>
                    </w:rPr>
                  </w:pPr>
                  <w:r>
                    <w:rPr>
                      <w:rFonts w:ascii="Times New Roman" w:eastAsia="Times New Roman" w:hAnsi="Times New Roman" w:cs="Times New Roman"/>
                      <w:b/>
                    </w:rPr>
                    <w:t>Differentiation</w:t>
                  </w:r>
                </w:p>
              </w:tc>
            </w:tr>
            <w:tr w:rsidR="00142277" w14:paraId="29F78743" w14:textId="77777777">
              <w:tc>
                <w:tcPr>
                  <w:tcW w:w="2440" w:type="dxa"/>
                </w:tcPr>
                <w:p w14:paraId="125EB47B"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Competitor 1 </w:t>
                  </w:r>
                </w:p>
                <w:p w14:paraId="563E9F8F"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Hitched Wedding Planner </w:t>
                  </w:r>
                </w:p>
                <w:p w14:paraId="3B7C18BA" w14:textId="77777777" w:rsidR="00142277" w:rsidRDefault="00142277">
                  <w:pPr>
                    <w:rPr>
                      <w:rFonts w:ascii="Times New Roman" w:eastAsia="Times New Roman" w:hAnsi="Times New Roman" w:cs="Times New Roman"/>
                      <w:b/>
                    </w:rPr>
                  </w:pPr>
                </w:p>
              </w:tc>
              <w:tc>
                <w:tcPr>
                  <w:tcW w:w="11282" w:type="dxa"/>
                </w:tcPr>
                <w:p w14:paraId="22CD6101"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Hitched Wedding Planner is an online wedding planner that enables the customers to plan their nuptial festivity with the help of an wedding checklist. Users can browse venues, and the detailed directory of suppliers in the location and plan their wedding budget.  </w:t>
                  </w:r>
                </w:p>
                <w:p w14:paraId="3C0F1724"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Compared to Hitched Wedding Planner, The Wedding Bell will offer the features to find venues with COVID protocol details, as per the entered day, location and number of guests. The app will also offer features to customise </w:t>
                  </w:r>
                  <w:r>
                    <w:rPr>
                      <w:rFonts w:ascii="Times New Roman" w:eastAsia="Times New Roman" w:hAnsi="Times New Roman" w:cs="Times New Roman"/>
                    </w:rPr>
                    <w:lastRenderedPageBreak/>
                    <w:t xml:space="preserve">each and every details of the wedding event and a huge directory of wedding planners with their plan catalogues and pricing details based on your customised plan. </w:t>
                  </w:r>
                </w:p>
              </w:tc>
            </w:tr>
            <w:tr w:rsidR="00142277" w14:paraId="75F819BB" w14:textId="77777777">
              <w:tc>
                <w:tcPr>
                  <w:tcW w:w="2440" w:type="dxa"/>
                </w:tcPr>
                <w:p w14:paraId="180CDE3F"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Competitor 2</w:t>
                  </w:r>
                </w:p>
                <w:p w14:paraId="40B6E69C"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Lady Marry </w:t>
                  </w:r>
                </w:p>
                <w:p w14:paraId="43B9D2B4" w14:textId="77777777" w:rsidR="00142277" w:rsidRDefault="00142277">
                  <w:pPr>
                    <w:rPr>
                      <w:rFonts w:ascii="Times New Roman" w:eastAsia="Times New Roman" w:hAnsi="Times New Roman" w:cs="Times New Roman"/>
                      <w:b/>
                    </w:rPr>
                  </w:pPr>
                </w:p>
              </w:tc>
              <w:tc>
                <w:tcPr>
                  <w:tcW w:w="11282" w:type="dxa"/>
                </w:tcPr>
                <w:p w14:paraId="4AD509AC"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one is another strong competitor as it offers a much handy wedding planning feature to the users. Users can get a personalised checklist and timeline for their wedding event just by entering their preferred date of wedding. </w:t>
                  </w:r>
                </w:p>
                <w:p w14:paraId="69E0F3DB"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Compared to Lady Marry, The Wedding Bell strives to offer more customisation with chances to personalise by choosing from wide options and effective suggestions which will ensure the customers to have a planning on their own without any improvisation by others.  </w:t>
                  </w:r>
                </w:p>
              </w:tc>
            </w:tr>
            <w:tr w:rsidR="00142277" w14:paraId="4E41E285" w14:textId="77777777">
              <w:tc>
                <w:tcPr>
                  <w:tcW w:w="2440" w:type="dxa"/>
                </w:tcPr>
                <w:p w14:paraId="4A0020D5" w14:textId="77777777" w:rsidR="00142277" w:rsidRDefault="00000000">
                  <w:pPr>
                    <w:rPr>
                      <w:rFonts w:ascii="Times New Roman" w:eastAsia="Times New Roman" w:hAnsi="Times New Roman" w:cs="Times New Roman"/>
                      <w:b/>
                    </w:rPr>
                  </w:pPr>
                  <w:r>
                    <w:rPr>
                      <w:rFonts w:ascii="Times New Roman" w:eastAsia="Times New Roman" w:hAnsi="Times New Roman" w:cs="Times New Roman"/>
                    </w:rPr>
                    <w:t>Competitor 3</w:t>
                  </w:r>
                </w:p>
                <w:p w14:paraId="01F855A3" w14:textId="77777777" w:rsidR="00142277"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rPr>
                    <w:t>The Knot Wedding Lookbook</w:t>
                  </w:r>
                </w:p>
              </w:tc>
              <w:tc>
                <w:tcPr>
                  <w:tcW w:w="11282" w:type="dxa"/>
                </w:tcPr>
                <w:p w14:paraId="2EFA01EB"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competitor application serves a huge suggestion of wedding dress by narrowing down the suggestion of boutiques based on the style the user wants and initiates an appointment with the boutique. </w:t>
                  </w:r>
                </w:p>
                <w:p w14:paraId="48285496"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Wedding Bell goes a few steps ahead by having integrated all such wedding plan related features in it. It will not only offer suggestions for wedding planning and event planners nearby but also offer best flower suggestions based on the season of your wedding date, best wedding dresses, jewelleries and gift shops nearby. </w:t>
                  </w:r>
                </w:p>
              </w:tc>
            </w:tr>
          </w:tbl>
          <w:p w14:paraId="509BF4F6" w14:textId="77777777" w:rsidR="00142277" w:rsidRDefault="00142277">
            <w:pPr>
              <w:rPr>
                <w:rFonts w:ascii="Times New Roman" w:eastAsia="Times New Roman" w:hAnsi="Times New Roman" w:cs="Times New Roman"/>
                <w:i/>
                <w:sz w:val="20"/>
                <w:szCs w:val="20"/>
              </w:rPr>
            </w:pPr>
          </w:p>
          <w:p w14:paraId="0A1169BF" w14:textId="77777777" w:rsidR="00142277" w:rsidRDefault="00142277">
            <w:pPr>
              <w:rPr>
                <w:rFonts w:ascii="Times New Roman" w:eastAsia="Times New Roman" w:hAnsi="Times New Roman" w:cs="Times New Roman"/>
                <w:i/>
                <w:sz w:val="20"/>
                <w:szCs w:val="20"/>
              </w:rPr>
            </w:pPr>
          </w:p>
          <w:p w14:paraId="591278D6" w14:textId="77777777" w:rsidR="00142277" w:rsidRDefault="00142277">
            <w:pPr>
              <w:rPr>
                <w:rFonts w:ascii="Times New Roman" w:eastAsia="Times New Roman" w:hAnsi="Times New Roman" w:cs="Times New Roman"/>
                <w:i/>
                <w:sz w:val="20"/>
                <w:szCs w:val="20"/>
              </w:rPr>
            </w:pPr>
          </w:p>
          <w:p w14:paraId="34B28947" w14:textId="77777777" w:rsidR="00142277"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5E3BD55E" wp14:editId="38756A04">
                  <wp:extent cx="2381250" cy="213627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381250" cy="2136279"/>
                          </a:xfrm>
                          <a:prstGeom prst="rect">
                            <a:avLst/>
                          </a:prstGeom>
                          <a:ln w="25400">
                            <a:solidFill>
                              <a:srgbClr val="000000"/>
                            </a:solidFill>
                            <a:prstDash val="solid"/>
                          </a:ln>
                        </pic:spPr>
                      </pic:pic>
                    </a:graphicData>
                  </a:graphic>
                </wp:inline>
              </w:drawing>
            </w:r>
          </w:p>
          <w:p w14:paraId="404932F9" w14:textId="77777777" w:rsidR="00142277"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rPr>
              <w:t>Figure 1: Porter’s Five Forces</w:t>
            </w:r>
          </w:p>
          <w:p w14:paraId="53354D8D" w14:textId="77777777" w:rsidR="00142277" w:rsidRDefault="00000000">
            <w:pPr>
              <w:spacing w:line="360" w:lineRule="auto"/>
              <w:jc w:val="center"/>
              <w:rPr>
                <w:rFonts w:ascii="Times New Roman" w:eastAsia="Times New Roman" w:hAnsi="Times New Roman" w:cs="Times New Roman"/>
                <w:i/>
                <w:sz w:val="20"/>
                <w:szCs w:val="20"/>
              </w:rPr>
            </w:pPr>
            <w:r>
              <w:rPr>
                <w:rFonts w:ascii="Times New Roman" w:eastAsia="Times New Roman" w:hAnsi="Times New Roman" w:cs="Times New Roman"/>
              </w:rPr>
              <w:t>(Source: Bruijl and Gerard, 2018)</w:t>
            </w:r>
          </w:p>
          <w:p w14:paraId="3EED04EC" w14:textId="77777777" w:rsidR="00142277" w:rsidRDefault="00142277">
            <w:pPr>
              <w:rPr>
                <w:rFonts w:ascii="Times New Roman" w:eastAsia="Times New Roman" w:hAnsi="Times New Roman" w:cs="Times New Roman"/>
              </w:rPr>
            </w:pPr>
          </w:p>
        </w:tc>
      </w:tr>
    </w:tbl>
    <w:p w14:paraId="01E30ED7" w14:textId="77777777" w:rsidR="00142277" w:rsidRDefault="00142277">
      <w:pPr>
        <w:rPr>
          <w:rFonts w:ascii="Times New Roman" w:eastAsia="Times New Roman" w:hAnsi="Times New Roman" w:cs="Times New Roman"/>
        </w:rPr>
      </w:pPr>
    </w:p>
    <w:p w14:paraId="7EBCFD88" w14:textId="77777777" w:rsidR="00142277" w:rsidRDefault="00142277">
      <w:pPr>
        <w:rPr>
          <w:rFonts w:ascii="Times New Roman" w:eastAsia="Times New Roman" w:hAnsi="Times New Roman" w:cs="Times New Roman"/>
        </w:rPr>
      </w:pPr>
    </w:p>
    <w:p w14:paraId="335749CA" w14:textId="77777777" w:rsidR="00142277" w:rsidRDefault="00142277">
      <w:pPr>
        <w:rPr>
          <w:rFonts w:ascii="Times New Roman" w:eastAsia="Times New Roman" w:hAnsi="Times New Roman" w:cs="Times New Roman"/>
        </w:rPr>
      </w:pPr>
    </w:p>
    <w:p w14:paraId="36B68CD8" w14:textId="77777777" w:rsidR="00142277" w:rsidRDefault="00142277">
      <w:pPr>
        <w:rPr>
          <w:rFonts w:ascii="Times New Roman" w:eastAsia="Times New Roman" w:hAnsi="Times New Roman" w:cs="Times New Roman"/>
        </w:rPr>
      </w:pPr>
    </w:p>
    <w:p w14:paraId="144618BB" w14:textId="77777777" w:rsidR="00142277" w:rsidRDefault="00142277">
      <w:pPr>
        <w:rPr>
          <w:rFonts w:ascii="Times New Roman" w:eastAsia="Times New Roman" w:hAnsi="Times New Roman" w:cs="Times New Roman"/>
        </w:rPr>
      </w:pPr>
    </w:p>
    <w:p w14:paraId="602F84BD" w14:textId="77777777" w:rsidR="00142277" w:rsidRDefault="00142277">
      <w:pPr>
        <w:rPr>
          <w:rFonts w:ascii="Times New Roman" w:eastAsia="Times New Roman" w:hAnsi="Times New Roman" w:cs="Times New Roman"/>
        </w:rPr>
      </w:pPr>
    </w:p>
    <w:p w14:paraId="1A043974" w14:textId="77777777" w:rsidR="00142277" w:rsidRDefault="00142277">
      <w:pPr>
        <w:rPr>
          <w:rFonts w:ascii="Times New Roman" w:eastAsia="Times New Roman" w:hAnsi="Times New Roman" w:cs="Times New Roman"/>
        </w:rPr>
      </w:pPr>
    </w:p>
    <w:p w14:paraId="2F1CD51C" w14:textId="77777777" w:rsidR="00142277" w:rsidRDefault="00142277">
      <w:pPr>
        <w:rPr>
          <w:rFonts w:ascii="Times New Roman" w:eastAsia="Times New Roman" w:hAnsi="Times New Roman" w:cs="Times New Roman"/>
        </w:rPr>
      </w:pPr>
    </w:p>
    <w:p w14:paraId="00284EF8" w14:textId="77777777" w:rsidR="00142277" w:rsidRDefault="00142277">
      <w:pPr>
        <w:rPr>
          <w:rFonts w:ascii="Times New Roman" w:eastAsia="Times New Roman" w:hAnsi="Times New Roman" w:cs="Times New Roman"/>
        </w:rPr>
      </w:pPr>
    </w:p>
    <w:p w14:paraId="256A31A0" w14:textId="77777777" w:rsidR="00142277" w:rsidRDefault="00142277">
      <w:pPr>
        <w:rPr>
          <w:rFonts w:ascii="Times New Roman" w:eastAsia="Times New Roman" w:hAnsi="Times New Roman" w:cs="Times New Roman"/>
        </w:rPr>
      </w:pPr>
    </w:p>
    <w:p w14:paraId="75FE7D12" w14:textId="77777777" w:rsidR="00142277" w:rsidRDefault="00142277">
      <w:pPr>
        <w:rPr>
          <w:rFonts w:ascii="Times New Roman" w:eastAsia="Times New Roman" w:hAnsi="Times New Roman" w:cs="Times New Roman"/>
        </w:rPr>
      </w:pPr>
    </w:p>
    <w:p w14:paraId="3F1121BC" w14:textId="77777777" w:rsidR="00142277" w:rsidRDefault="00142277">
      <w:pPr>
        <w:rPr>
          <w:rFonts w:ascii="Times New Roman" w:eastAsia="Times New Roman" w:hAnsi="Times New Roman" w:cs="Times New Roman"/>
        </w:rPr>
      </w:pPr>
    </w:p>
    <w:p w14:paraId="0F480F6D" w14:textId="77777777" w:rsidR="00142277" w:rsidRDefault="00142277">
      <w:pPr>
        <w:rPr>
          <w:rFonts w:ascii="Times New Roman" w:eastAsia="Times New Roman" w:hAnsi="Times New Roman" w:cs="Times New Roman"/>
        </w:rPr>
      </w:pPr>
    </w:p>
    <w:p w14:paraId="5A84922D" w14:textId="77777777" w:rsidR="00142277" w:rsidRDefault="00142277">
      <w:pPr>
        <w:rPr>
          <w:rFonts w:ascii="Times New Roman" w:eastAsia="Times New Roman" w:hAnsi="Times New Roman" w:cs="Times New Roman"/>
        </w:rPr>
      </w:pPr>
    </w:p>
    <w:p w14:paraId="2AE8B06D" w14:textId="77777777" w:rsidR="00142277" w:rsidRDefault="00142277">
      <w:pPr>
        <w:rPr>
          <w:rFonts w:ascii="Times New Roman" w:eastAsia="Times New Roman" w:hAnsi="Times New Roman" w:cs="Times New Roman"/>
        </w:rPr>
      </w:pPr>
    </w:p>
    <w:p w14:paraId="3BC5048A" w14:textId="77777777" w:rsidR="00142277" w:rsidRDefault="00142277">
      <w:pPr>
        <w:rPr>
          <w:rFonts w:ascii="Times New Roman" w:eastAsia="Times New Roman" w:hAnsi="Times New Roman" w:cs="Times New Roman"/>
        </w:rPr>
      </w:pPr>
    </w:p>
    <w:tbl>
      <w:tblPr>
        <w:tblStyle w:val="a2"/>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42277" w14:paraId="54D260DA" w14:textId="77777777" w:rsidTr="001422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04BEBCA" w14:textId="77777777" w:rsidR="00142277" w:rsidRDefault="00000000">
            <w:pPr>
              <w:pStyle w:val="Heading1"/>
              <w:outlineLvl w:val="0"/>
            </w:pPr>
            <w:bookmarkStart w:id="3" w:name="_heading=h.k4p6k471x0iq" w:colFirst="0" w:colLast="0"/>
            <w:bookmarkEnd w:id="3"/>
            <w:r>
              <w:lastRenderedPageBreak/>
              <w:t xml:space="preserve">OPERATIONS AND MANAGEMENT TEAM </w:t>
            </w:r>
          </w:p>
          <w:p w14:paraId="4BA16D10"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OPERATIONS</w:t>
            </w:r>
          </w:p>
          <w:p w14:paraId="0AE1E000"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business process involves a wholesome wedding planning helping hand for users who are thinking of getting hitched and making their special day a bit more memorable with a fuss free planning guide. </w:t>
            </w:r>
          </w:p>
          <w:p w14:paraId="165B03AB"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Process of the business: </w:t>
            </w:r>
          </w:p>
          <w:p w14:paraId="3CA87C4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first and foremost process is to create an application with necessary features and connect with local wedding planners of all scales, florists, wedding essential suppliers, boutiques, jewellers using a robust geotracking directory that can offer their locations and contact details. </w:t>
            </w:r>
          </w:p>
          <w:p w14:paraId="26B4A2BC"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Upon the launch of the app the business will be involved in connecting users with those wedding planning related businesses to benefit both the parties. Around 64% couples prefer to use wedding planning apps (Surplice, 2020). Therefore, using some diversion in the features can be effective to draw users. </w:t>
            </w:r>
          </w:p>
          <w:p w14:paraId="7AD3D232"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 features for customers: </w:t>
            </w:r>
          </w:p>
          <w:p w14:paraId="2B33C871" w14:textId="77777777" w:rsidR="00142277" w:rsidRDefault="00000000">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Easy search features for venues following COVID mandates. </w:t>
            </w:r>
          </w:p>
          <w:p w14:paraId="7C9D6FB0" w14:textId="77777777" w:rsidR="00142277" w:rsidRDefault="00000000">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Venue suggestion as per guest list, preferred location, and wedding date. </w:t>
            </w:r>
          </w:p>
          <w:p w14:paraId="3ED2AE92" w14:textId="77777777" w:rsidR="00142277" w:rsidRDefault="00000000">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Feature to create a dream wedding plan by choosing options for wedding themes, wedding flowers, table assortments, entry decoration, decoration items, etc.</w:t>
            </w:r>
          </w:p>
          <w:p w14:paraId="337FE5CA" w14:textId="77777777" w:rsidR="00142277" w:rsidRDefault="00000000">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Wedding planner suggestions based on the customised plan and budget and location. </w:t>
            </w:r>
          </w:p>
          <w:p w14:paraId="4C9F4C8D" w14:textId="77777777" w:rsidR="00142277" w:rsidRDefault="00000000">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Additional suggestions for seasonal flowers that would be best for the wedding, local boutiques and jewellers for shopping. </w:t>
            </w:r>
          </w:p>
          <w:p w14:paraId="164892B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 features for wedding planners, and other related businesses: </w:t>
            </w:r>
          </w:p>
          <w:p w14:paraId="793159FB" w14:textId="77777777" w:rsidR="00142277" w:rsidRDefault="00000000">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Increased visibility through customisable store fronts </w:t>
            </w:r>
          </w:p>
          <w:p w14:paraId="7555FAC6" w14:textId="77777777" w:rsidR="00142277" w:rsidRDefault="00000000">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Showcasing the best value profitable pricing and getting assigned with customers ready to pay the amount. </w:t>
            </w:r>
          </w:p>
          <w:p w14:paraId="7E828339" w14:textId="77777777" w:rsidR="00142277" w:rsidRDefault="00000000">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Chances to get suggested to the customers repeatedly based on ratings and performances. </w:t>
            </w:r>
          </w:p>
          <w:p w14:paraId="6FF1274D" w14:textId="77777777" w:rsidR="00142277" w:rsidRDefault="00000000">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Getting suggestions for suppliers and other related businesses to have a smooth project handling process and to grow the network. </w:t>
            </w:r>
          </w:p>
          <w:p w14:paraId="117DB015"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Equipment necessary: </w:t>
            </w:r>
          </w:p>
          <w:p w14:paraId="1DD8D9E4"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business will need necessary equipment such as a strong technological support and IT setup for increasing the network and connectivity (Emenike, 2019). With the future growth the business is willing to open its own brand to supply best-quality wedding supplies and self-registered venues for grand wedding planning. </w:t>
            </w:r>
          </w:p>
          <w:p w14:paraId="232BC583"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Placement of the business: </w:t>
            </w:r>
          </w:p>
          <w:p w14:paraId="61450994"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Customers will be able to find the business easily using their own mobile application and connect with the wedding planners, boutiques, suppliers and jewellers using quick chat options, virtual meeting options etc. A headquarter will be built or hired for employing staff to ensure the whole virtual process of adding businesses and generating customers are taking place smoothly with strong customer support, helpline facilities, etc. </w:t>
            </w:r>
          </w:p>
          <w:p w14:paraId="308D6E8C"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Making revenue out of the business: </w:t>
            </w:r>
          </w:p>
          <w:p w14:paraId="3CD6CD65"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A revenue would be made by placing 8% of service charge for using the platform from the users for every wedding planning order placed via using the application. A flat 20% charge will be placed on businesses who will get customers, orders for products or wedding planning assignments using the platform. Moreover, to make up money for the free features the revenue will be generated from advertising, sponsorship and affiliate marketing. The loss of the revenue would be prevented through proper monitoring of the whole process to supervise if any loss is happening due to the connected businesses, policy loopholes or app glitches. Businesses will need to work on boosting their profiles by giving exciting offers, discounts and service qualities with guarantees to make themselves presentable and attractive in front of the customers. A fixed amount would be charged on businesses if they are unable to show at least 5-6 orders through the application within a given 6 months to prevent businesses from contacting customers over the platform and manipulating them to agree with the wedding planning with private transactions. </w:t>
            </w:r>
          </w:p>
          <w:p w14:paraId="1792820C" w14:textId="77777777" w:rsidR="00142277" w:rsidRDefault="00142277">
            <w:pPr>
              <w:rPr>
                <w:rFonts w:ascii="Times New Roman" w:eastAsia="Times New Roman" w:hAnsi="Times New Roman" w:cs="Times New Roman"/>
              </w:rPr>
            </w:pPr>
          </w:p>
          <w:p w14:paraId="6A93BE7A" w14:textId="77777777" w:rsidR="00142277" w:rsidRDefault="00000000">
            <w:pPr>
              <w:pStyle w:val="Heading1"/>
              <w:outlineLvl w:val="0"/>
            </w:pPr>
            <w:bookmarkStart w:id="4" w:name="_heading=h.71zz4fxesa6q" w:colFirst="0" w:colLast="0"/>
            <w:bookmarkEnd w:id="4"/>
            <w:r>
              <w:t>MANAGEMENT TEAM</w:t>
            </w:r>
          </w:p>
          <w:p w14:paraId="40FF5065" w14:textId="77777777" w:rsidR="00142277" w:rsidRDefault="00142277">
            <w:pPr>
              <w:rPr>
                <w:rFonts w:ascii="Times New Roman" w:eastAsia="Times New Roman" w:hAnsi="Times New Roman" w:cs="Times New Roman"/>
              </w:rPr>
            </w:pPr>
          </w:p>
          <w:tbl>
            <w:tblPr>
              <w:tblStyle w:val="a3"/>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142277" w14:paraId="32D05C53" w14:textId="77777777">
              <w:tc>
                <w:tcPr>
                  <w:tcW w:w="4574" w:type="dxa"/>
                </w:tcPr>
                <w:p w14:paraId="1DBC191F" w14:textId="77777777" w:rsidR="00142277" w:rsidRDefault="00000000">
                  <w:pPr>
                    <w:rPr>
                      <w:rFonts w:ascii="Times New Roman" w:eastAsia="Times New Roman" w:hAnsi="Times New Roman" w:cs="Times New Roman"/>
                      <w:b/>
                    </w:rPr>
                  </w:pPr>
                  <w:r>
                    <w:rPr>
                      <w:rFonts w:ascii="Times New Roman" w:eastAsia="Times New Roman" w:hAnsi="Times New Roman" w:cs="Times New Roman"/>
                      <w:b/>
                    </w:rPr>
                    <w:t xml:space="preserve">Name </w:t>
                  </w:r>
                </w:p>
              </w:tc>
              <w:tc>
                <w:tcPr>
                  <w:tcW w:w="4574" w:type="dxa"/>
                </w:tcPr>
                <w:p w14:paraId="541C795A" w14:textId="77777777" w:rsidR="00142277" w:rsidRDefault="00000000">
                  <w:pPr>
                    <w:rPr>
                      <w:rFonts w:ascii="Times New Roman" w:eastAsia="Times New Roman" w:hAnsi="Times New Roman" w:cs="Times New Roman"/>
                      <w:b/>
                    </w:rPr>
                  </w:pPr>
                  <w:r>
                    <w:rPr>
                      <w:rFonts w:ascii="Times New Roman" w:eastAsia="Times New Roman" w:hAnsi="Times New Roman" w:cs="Times New Roman"/>
                      <w:b/>
                    </w:rPr>
                    <w:t>Skills</w:t>
                  </w:r>
                </w:p>
              </w:tc>
              <w:tc>
                <w:tcPr>
                  <w:tcW w:w="4574" w:type="dxa"/>
                </w:tcPr>
                <w:p w14:paraId="63684949" w14:textId="77777777" w:rsidR="00142277" w:rsidRDefault="00000000">
                  <w:pPr>
                    <w:rPr>
                      <w:rFonts w:ascii="Times New Roman" w:eastAsia="Times New Roman" w:hAnsi="Times New Roman" w:cs="Times New Roman"/>
                      <w:b/>
                    </w:rPr>
                  </w:pPr>
                  <w:r>
                    <w:rPr>
                      <w:rFonts w:ascii="Times New Roman" w:eastAsia="Times New Roman" w:hAnsi="Times New Roman" w:cs="Times New Roman"/>
                      <w:b/>
                    </w:rPr>
                    <w:t>What do they bring to the firm</w:t>
                  </w:r>
                </w:p>
              </w:tc>
            </w:tr>
            <w:tr w:rsidR="00142277" w14:paraId="208A6763" w14:textId="77777777">
              <w:tc>
                <w:tcPr>
                  <w:tcW w:w="4574" w:type="dxa"/>
                </w:tcPr>
                <w:p w14:paraId="7E7297B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Senior management team </w:t>
                  </w:r>
                </w:p>
              </w:tc>
              <w:tc>
                <w:tcPr>
                  <w:tcW w:w="4574" w:type="dxa"/>
                </w:tcPr>
                <w:p w14:paraId="0D335732"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Project handling, decision making, business modelling, process supervising, leadership</w:t>
                  </w:r>
                </w:p>
              </w:tc>
              <w:tc>
                <w:tcPr>
                  <w:tcW w:w="4574" w:type="dxa"/>
                </w:tcPr>
                <w:p w14:paraId="05A4DBA1"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They will help in making decisions for making the projects and functions of the business perform smoothly and to guide all the departments related to the business.</w:t>
                  </w:r>
                </w:p>
              </w:tc>
            </w:tr>
            <w:tr w:rsidR="00142277" w14:paraId="68921E1E" w14:textId="77777777">
              <w:tc>
                <w:tcPr>
                  <w:tcW w:w="4574" w:type="dxa"/>
                </w:tcPr>
                <w:p w14:paraId="78AD07C5"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IT management team </w:t>
                  </w:r>
                </w:p>
              </w:tc>
              <w:tc>
                <w:tcPr>
                  <w:tcW w:w="4574" w:type="dxa"/>
                </w:tcPr>
                <w:p w14:paraId="2110035C"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App developing, app updating, troubleshooting, query resolving, coding, chatbot handling, virtual assisting, customer service</w:t>
                  </w:r>
                </w:p>
              </w:tc>
              <w:tc>
                <w:tcPr>
                  <w:tcW w:w="4574" w:type="dxa"/>
                </w:tcPr>
                <w:p w14:paraId="7E5D9E62"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role of the IT management team will involve managing the whole technical operations to ensure the app is running smoothly. </w:t>
                  </w:r>
                </w:p>
              </w:tc>
            </w:tr>
            <w:tr w:rsidR="00142277" w14:paraId="1D74003E" w14:textId="77777777">
              <w:tc>
                <w:tcPr>
                  <w:tcW w:w="4574" w:type="dxa"/>
                </w:tcPr>
                <w:p w14:paraId="489A634D"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HR management team </w:t>
                  </w:r>
                </w:p>
              </w:tc>
              <w:tc>
                <w:tcPr>
                  <w:tcW w:w="4574" w:type="dxa"/>
                </w:tcPr>
                <w:p w14:paraId="65E06B3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Recruiting, employee handling, culture developing, employee well-being developing</w:t>
                  </w:r>
                </w:p>
              </w:tc>
              <w:tc>
                <w:tcPr>
                  <w:tcW w:w="4574" w:type="dxa"/>
                </w:tcPr>
                <w:p w14:paraId="6D7E32E9"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team will take part in recruiting staff and managing their talent for running the business successfully. </w:t>
                  </w:r>
                </w:p>
              </w:tc>
            </w:tr>
            <w:tr w:rsidR="00142277" w14:paraId="21554876" w14:textId="77777777">
              <w:tc>
                <w:tcPr>
                  <w:tcW w:w="4574" w:type="dxa"/>
                </w:tcPr>
                <w:p w14:paraId="063A1E13"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Finance management team </w:t>
                  </w:r>
                </w:p>
              </w:tc>
              <w:tc>
                <w:tcPr>
                  <w:tcW w:w="4574" w:type="dxa"/>
                </w:tcPr>
                <w:p w14:paraId="7EA06051"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Financial management, auditing, financial report prediction and strategy building</w:t>
                  </w:r>
                </w:p>
              </w:tc>
              <w:tc>
                <w:tcPr>
                  <w:tcW w:w="4574" w:type="dxa"/>
                </w:tcPr>
                <w:p w14:paraId="699C0413"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Managing the revenue sources, arranging finances, taxes and other financial obligations of the company will be the financial teams’ duty. </w:t>
                  </w:r>
                </w:p>
              </w:tc>
            </w:tr>
          </w:tbl>
          <w:p w14:paraId="5FC99E7F" w14:textId="77777777" w:rsidR="00142277" w:rsidRDefault="00142277">
            <w:pPr>
              <w:rPr>
                <w:rFonts w:ascii="Times New Roman" w:eastAsia="Times New Roman" w:hAnsi="Times New Roman" w:cs="Times New Roman"/>
                <w:i/>
                <w:sz w:val="20"/>
                <w:szCs w:val="20"/>
              </w:rPr>
            </w:pPr>
          </w:p>
        </w:tc>
      </w:tr>
    </w:tbl>
    <w:p w14:paraId="25DA688F" w14:textId="77777777" w:rsidR="00142277" w:rsidRDefault="00142277">
      <w:pPr>
        <w:rPr>
          <w:rFonts w:ascii="Times New Roman" w:eastAsia="Times New Roman" w:hAnsi="Times New Roman" w:cs="Times New Roman"/>
        </w:rPr>
      </w:pPr>
    </w:p>
    <w:p w14:paraId="46E9F5DD" w14:textId="77777777" w:rsidR="00142277" w:rsidRDefault="00142277">
      <w:pPr>
        <w:rPr>
          <w:rFonts w:ascii="Times New Roman" w:eastAsia="Times New Roman" w:hAnsi="Times New Roman" w:cs="Times New Roman"/>
        </w:rPr>
      </w:pPr>
    </w:p>
    <w:tbl>
      <w:tblPr>
        <w:tblStyle w:val="a4"/>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42277" w14:paraId="0FFF2196" w14:textId="77777777" w:rsidTr="001422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889F6CE" w14:textId="77777777" w:rsidR="00142277" w:rsidRDefault="00000000">
            <w:pPr>
              <w:pStyle w:val="Heading1"/>
              <w:outlineLvl w:val="0"/>
            </w:pPr>
            <w:bookmarkStart w:id="5" w:name="_heading=h.akccx7oalt1x" w:colFirst="0" w:colLast="0"/>
            <w:bookmarkEnd w:id="5"/>
            <w:r>
              <w:lastRenderedPageBreak/>
              <w:t xml:space="preserve">MARKETING: </w:t>
            </w:r>
          </w:p>
          <w:p w14:paraId="7FCDF64D" w14:textId="77777777" w:rsidR="00142277" w:rsidRDefault="00142277">
            <w:pPr>
              <w:rPr>
                <w:rFonts w:ascii="Times New Roman" w:eastAsia="Times New Roman" w:hAnsi="Times New Roman" w:cs="Times New Roman"/>
              </w:rPr>
            </w:pPr>
          </w:p>
          <w:p w14:paraId="1B6EF464"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Product: </w:t>
            </w:r>
          </w:p>
          <w:p w14:paraId="0AA2631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product will be wedding planning facilities for those who are looking for a helping hand to arrange their wedding with detailed suggestions and booking facilities about nearby venues, wedding planners, florists, boutiques, jewellers, gift stores etc. </w:t>
            </w:r>
            <w:r>
              <w:rPr>
                <w:rFonts w:ascii="Times New Roman" w:eastAsia="Times New Roman" w:hAnsi="Times New Roman" w:cs="Times New Roman"/>
                <w:b w:val="0"/>
                <w:i/>
              </w:rPr>
              <w:t xml:space="preserve">The Wedding Bell </w:t>
            </w:r>
            <w:r>
              <w:rPr>
                <w:rFonts w:ascii="Times New Roman" w:eastAsia="Times New Roman" w:hAnsi="Times New Roman" w:cs="Times New Roman"/>
                <w:b w:val="0"/>
              </w:rPr>
              <w:t xml:space="preserve">is willing to serve as a one stop destination for customers who can find every necessary guide for planning their wedding and loads of options to customise every little detail of the occasion. </w:t>
            </w:r>
          </w:p>
          <w:p w14:paraId="12C03D21"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Price: </w:t>
            </w:r>
          </w:p>
          <w:p w14:paraId="73F5D14F"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The wedding planning fee will vary from £6000 to £100000 or more based on the rate offered by the chosen wedding planner, chosen customised wedding planning, other additional service additions, and 8% of the service charge fee.</w:t>
            </w:r>
          </w:p>
          <w:p w14:paraId="386BB7FD"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Promotional Mix: </w:t>
            </w:r>
          </w:p>
          <w:p w14:paraId="177E3B2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To promote the product the business will invest in building a strategic marketing plan that would include social media marketing, advertisement, banner printing and placement, press release, pay-per-click advertisement, and influencer marketing. The goal of the promotion will be reflecting the brand’s benefits, aims, goals and messages which are just curated for the customers who are looking for a wedding just like their dream.</w:t>
            </w:r>
          </w:p>
          <w:p w14:paraId="60B023A1"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Place (Distribution strategy): </w:t>
            </w:r>
          </w:p>
          <w:p w14:paraId="6053B6DF"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service would be distributed through the small to large business who would be linked and registered with us. After the profit tracking ahead of the launching the distribution will increase through networking with local market suppliers, venue owners, churches, event teams etc. </w:t>
            </w:r>
          </w:p>
          <w:p w14:paraId="069B6B9F" w14:textId="77777777" w:rsidR="00142277"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0B70E064" wp14:editId="045D1401">
                  <wp:extent cx="3033713" cy="2912633"/>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033713" cy="2912633"/>
                          </a:xfrm>
                          <a:prstGeom prst="rect">
                            <a:avLst/>
                          </a:prstGeom>
                          <a:ln w="25400">
                            <a:solidFill>
                              <a:srgbClr val="000000"/>
                            </a:solidFill>
                            <a:prstDash val="solid"/>
                          </a:ln>
                        </pic:spPr>
                      </pic:pic>
                    </a:graphicData>
                  </a:graphic>
                </wp:inline>
              </w:drawing>
            </w:r>
          </w:p>
          <w:p w14:paraId="137C67BD" w14:textId="77777777" w:rsidR="00142277"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rPr>
              <w:t>Figure 2: 4Ps of marketing mix</w:t>
            </w:r>
          </w:p>
          <w:p w14:paraId="26A4813F" w14:textId="77777777" w:rsidR="00142277"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Rahman and Kuzminov, 2019)</w:t>
            </w:r>
          </w:p>
        </w:tc>
      </w:tr>
    </w:tbl>
    <w:p w14:paraId="49B826D9" w14:textId="77777777" w:rsidR="00142277" w:rsidRDefault="00142277">
      <w:pPr>
        <w:rPr>
          <w:rFonts w:ascii="Times New Roman" w:eastAsia="Times New Roman" w:hAnsi="Times New Roman" w:cs="Times New Roman"/>
        </w:rPr>
      </w:pPr>
    </w:p>
    <w:tbl>
      <w:tblPr>
        <w:tblStyle w:val="a5"/>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142277" w14:paraId="09B65EFD" w14:textId="77777777" w:rsidTr="00142277">
        <w:trPr>
          <w:cnfStyle w:val="100000000000" w:firstRow="1" w:lastRow="0" w:firstColumn="0" w:lastColumn="0" w:oddVBand="0" w:evenVBand="0" w:oddHBand="0" w:evenHBand="0" w:firstRowFirstColumn="0" w:firstRowLastColumn="0" w:lastRowFirstColumn="0" w:lastRowLastColumn="0"/>
          <w:trHeight w:val="12613"/>
        </w:trPr>
        <w:tc>
          <w:tcPr>
            <w:cnfStyle w:val="001000000000" w:firstRow="0" w:lastRow="0" w:firstColumn="1" w:lastColumn="0" w:oddVBand="0" w:evenVBand="0" w:oddHBand="0" w:evenHBand="0" w:firstRowFirstColumn="0" w:firstRowLastColumn="0" w:lastRowFirstColumn="0" w:lastRowLastColumn="0"/>
            <w:tcW w:w="13948" w:type="dxa"/>
          </w:tcPr>
          <w:p w14:paraId="38B724E1" w14:textId="77777777" w:rsidR="00142277" w:rsidRDefault="00000000">
            <w:pPr>
              <w:pStyle w:val="Heading1"/>
              <w:outlineLvl w:val="0"/>
            </w:pPr>
            <w:bookmarkStart w:id="6" w:name="_heading=h.xcd6s01g7y1f" w:colFirst="0" w:colLast="0"/>
            <w:bookmarkEnd w:id="6"/>
            <w:r>
              <w:lastRenderedPageBreak/>
              <w:t xml:space="preserve">FINANCIALS </w:t>
            </w:r>
          </w:p>
          <w:p w14:paraId="650EA19B" w14:textId="77777777" w:rsidR="00142277" w:rsidRDefault="00142277">
            <w:pPr>
              <w:rPr>
                <w:rFonts w:ascii="Times New Roman" w:eastAsia="Times New Roman" w:hAnsi="Times New Roman" w:cs="Times New Roman"/>
              </w:rPr>
            </w:pPr>
          </w:p>
          <w:p w14:paraId="7D5A974A"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 xml:space="preserve">Sources of funds: </w:t>
            </w:r>
          </w:p>
          <w:p w14:paraId="176AE5E0" w14:textId="77777777" w:rsidR="00142277" w:rsidRDefault="00142277">
            <w:pPr>
              <w:rPr>
                <w:rFonts w:ascii="Times New Roman" w:eastAsia="Times New Roman" w:hAnsi="Times New Roman" w:cs="Times New Roman"/>
              </w:rPr>
            </w:pPr>
          </w:p>
          <w:p w14:paraId="7B017CBE" w14:textId="12794102"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government of the UK is quite supportive towards the success of small to medium scale entrepreneurship to boost </w:t>
            </w:r>
            <w:r w:rsidR="00E462EA">
              <w:rPr>
                <w:rFonts w:ascii="Times New Roman" w:eastAsia="Times New Roman" w:hAnsi="Times New Roman" w:cs="Times New Roman"/>
                <w:b w:val="0"/>
              </w:rPr>
              <w:t>the economy</w:t>
            </w:r>
            <w:r>
              <w:rPr>
                <w:rFonts w:ascii="Times New Roman" w:eastAsia="Times New Roman" w:hAnsi="Times New Roman" w:cs="Times New Roman"/>
                <w:b w:val="0"/>
              </w:rPr>
              <w:t xml:space="preserve"> of the country. Hence, sources of funds can be earned through government loans. Besides, funds can also be generated from foreign investors and angel investors. </w:t>
            </w:r>
          </w:p>
          <w:p w14:paraId="031B71F9" w14:textId="77777777" w:rsidR="00142277" w:rsidRDefault="00142277">
            <w:pPr>
              <w:rPr>
                <w:rFonts w:ascii="Times New Roman" w:eastAsia="Times New Roman" w:hAnsi="Times New Roman" w:cs="Times New Roman"/>
              </w:rPr>
            </w:pPr>
          </w:p>
          <w:p w14:paraId="4EF01521" w14:textId="77777777" w:rsidR="00142277" w:rsidRDefault="00000000">
            <w:pPr>
              <w:rPr>
                <w:rFonts w:ascii="Times New Roman" w:eastAsia="Times New Roman" w:hAnsi="Times New Roman" w:cs="Times New Roman"/>
              </w:rPr>
            </w:pPr>
            <w:r>
              <w:rPr>
                <w:rFonts w:ascii="Times New Roman" w:eastAsia="Times New Roman" w:hAnsi="Times New Roman" w:cs="Times New Roman"/>
              </w:rPr>
              <w:t>Use of funds</w:t>
            </w:r>
          </w:p>
          <w:p w14:paraId="6B676B41" w14:textId="77777777" w:rsidR="00142277" w:rsidRDefault="00142277">
            <w:pPr>
              <w:rPr>
                <w:rFonts w:ascii="Times New Roman" w:eastAsia="Times New Roman" w:hAnsi="Times New Roman" w:cs="Times New Roman"/>
              </w:rPr>
            </w:pPr>
          </w:p>
          <w:tbl>
            <w:tblPr>
              <w:tblW w:w="13070" w:type="dxa"/>
              <w:tblLayout w:type="fixed"/>
              <w:tblLook w:val="04A0" w:firstRow="1" w:lastRow="0" w:firstColumn="1" w:lastColumn="0" w:noHBand="0" w:noVBand="1"/>
            </w:tblPr>
            <w:tblGrid>
              <w:gridCol w:w="4294"/>
              <w:gridCol w:w="1122"/>
              <w:gridCol w:w="1134"/>
              <w:gridCol w:w="1559"/>
              <w:gridCol w:w="1701"/>
              <w:gridCol w:w="1701"/>
              <w:gridCol w:w="1559"/>
            </w:tblGrid>
            <w:tr w:rsidR="00B60B86" w:rsidRPr="00B60B86" w14:paraId="606CC315" w14:textId="77777777" w:rsidTr="00B60B86">
              <w:trPr>
                <w:trHeight w:val="288"/>
              </w:trPr>
              <w:tc>
                <w:tcPr>
                  <w:tcW w:w="42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8B0AA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22" w:type="dxa"/>
                  <w:tcBorders>
                    <w:top w:val="single" w:sz="4" w:space="0" w:color="auto"/>
                    <w:left w:val="nil"/>
                    <w:bottom w:val="single" w:sz="4" w:space="0" w:color="auto"/>
                    <w:right w:val="single" w:sz="4" w:space="0" w:color="auto"/>
                  </w:tcBorders>
                  <w:shd w:val="clear" w:color="auto" w:fill="auto"/>
                  <w:noWrap/>
                  <w:vAlign w:val="bottom"/>
                  <w:hideMark/>
                </w:tcPr>
                <w:p w14:paraId="7225D8ED"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Month 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0FFF7F5"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Month 2</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66D82F38"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Month 3</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0E98608C"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Month 4</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06BC8F3D"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Month 5</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0ACFC95E"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Month 6</w:t>
                  </w:r>
                </w:p>
              </w:tc>
            </w:tr>
            <w:tr w:rsidR="00B60B86" w:rsidRPr="00B60B86" w14:paraId="6E8D7A2E"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4784F5B6"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Revenue generated from different sources (£)</w:t>
                  </w:r>
                </w:p>
              </w:tc>
              <w:tc>
                <w:tcPr>
                  <w:tcW w:w="1122" w:type="dxa"/>
                  <w:tcBorders>
                    <w:top w:val="nil"/>
                    <w:left w:val="nil"/>
                    <w:bottom w:val="single" w:sz="4" w:space="0" w:color="auto"/>
                    <w:right w:val="single" w:sz="4" w:space="0" w:color="auto"/>
                  </w:tcBorders>
                  <w:shd w:val="clear" w:color="auto" w:fill="auto"/>
                  <w:noWrap/>
                  <w:vAlign w:val="bottom"/>
                  <w:hideMark/>
                </w:tcPr>
                <w:p w14:paraId="52D33556"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0BB20581"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4789D07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0D107F8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4CF99E15"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1F327A60"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18ACF8E9"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44953796"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xml:space="preserve">Modelling of the business </w:t>
                  </w:r>
                </w:p>
              </w:tc>
              <w:tc>
                <w:tcPr>
                  <w:tcW w:w="1122" w:type="dxa"/>
                  <w:tcBorders>
                    <w:top w:val="nil"/>
                    <w:left w:val="nil"/>
                    <w:bottom w:val="single" w:sz="4" w:space="0" w:color="auto"/>
                    <w:right w:val="single" w:sz="4" w:space="0" w:color="auto"/>
                  </w:tcBorders>
                  <w:shd w:val="clear" w:color="auto" w:fill="auto"/>
                  <w:noWrap/>
                  <w:vAlign w:val="bottom"/>
                  <w:hideMark/>
                </w:tcPr>
                <w:p w14:paraId="2B825F8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1000</w:t>
                  </w:r>
                </w:p>
              </w:tc>
              <w:tc>
                <w:tcPr>
                  <w:tcW w:w="1134" w:type="dxa"/>
                  <w:tcBorders>
                    <w:top w:val="nil"/>
                    <w:left w:val="nil"/>
                    <w:bottom w:val="single" w:sz="4" w:space="0" w:color="auto"/>
                    <w:right w:val="single" w:sz="4" w:space="0" w:color="auto"/>
                  </w:tcBorders>
                  <w:shd w:val="clear" w:color="auto" w:fill="auto"/>
                  <w:noWrap/>
                  <w:vAlign w:val="bottom"/>
                  <w:hideMark/>
                </w:tcPr>
                <w:p w14:paraId="4397259E"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1200</w:t>
                  </w:r>
                </w:p>
              </w:tc>
              <w:tc>
                <w:tcPr>
                  <w:tcW w:w="1559" w:type="dxa"/>
                  <w:tcBorders>
                    <w:top w:val="nil"/>
                    <w:left w:val="nil"/>
                    <w:bottom w:val="single" w:sz="4" w:space="0" w:color="auto"/>
                    <w:right w:val="single" w:sz="4" w:space="0" w:color="auto"/>
                  </w:tcBorders>
                  <w:shd w:val="clear" w:color="auto" w:fill="auto"/>
                  <w:noWrap/>
                  <w:vAlign w:val="bottom"/>
                  <w:hideMark/>
                </w:tcPr>
                <w:p w14:paraId="188AF00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1380</w:t>
                  </w:r>
                </w:p>
              </w:tc>
              <w:tc>
                <w:tcPr>
                  <w:tcW w:w="1701" w:type="dxa"/>
                  <w:tcBorders>
                    <w:top w:val="nil"/>
                    <w:left w:val="nil"/>
                    <w:bottom w:val="single" w:sz="4" w:space="0" w:color="auto"/>
                    <w:right w:val="single" w:sz="4" w:space="0" w:color="auto"/>
                  </w:tcBorders>
                  <w:shd w:val="clear" w:color="auto" w:fill="auto"/>
                  <w:noWrap/>
                  <w:vAlign w:val="bottom"/>
                  <w:hideMark/>
                </w:tcPr>
                <w:p w14:paraId="2525DC0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1500</w:t>
                  </w:r>
                </w:p>
              </w:tc>
              <w:tc>
                <w:tcPr>
                  <w:tcW w:w="1701" w:type="dxa"/>
                  <w:tcBorders>
                    <w:top w:val="nil"/>
                    <w:left w:val="nil"/>
                    <w:bottom w:val="single" w:sz="4" w:space="0" w:color="auto"/>
                    <w:right w:val="single" w:sz="4" w:space="0" w:color="auto"/>
                  </w:tcBorders>
                  <w:shd w:val="clear" w:color="auto" w:fill="auto"/>
                  <w:noWrap/>
                  <w:vAlign w:val="bottom"/>
                  <w:hideMark/>
                </w:tcPr>
                <w:p w14:paraId="3877FDC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1600</w:t>
                  </w:r>
                </w:p>
              </w:tc>
              <w:tc>
                <w:tcPr>
                  <w:tcW w:w="1559" w:type="dxa"/>
                  <w:tcBorders>
                    <w:top w:val="nil"/>
                    <w:left w:val="nil"/>
                    <w:bottom w:val="single" w:sz="4" w:space="0" w:color="auto"/>
                    <w:right w:val="single" w:sz="4" w:space="0" w:color="auto"/>
                  </w:tcBorders>
                  <w:shd w:val="clear" w:color="auto" w:fill="auto"/>
                  <w:noWrap/>
                  <w:vAlign w:val="bottom"/>
                  <w:hideMark/>
                </w:tcPr>
                <w:p w14:paraId="6E50467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1750</w:t>
                  </w:r>
                </w:p>
              </w:tc>
            </w:tr>
            <w:tr w:rsidR="00B60B86" w:rsidRPr="00B60B86" w14:paraId="77D39C7E"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3ED5D1D8"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Paying off the debts</w:t>
                  </w:r>
                </w:p>
              </w:tc>
              <w:tc>
                <w:tcPr>
                  <w:tcW w:w="1122" w:type="dxa"/>
                  <w:tcBorders>
                    <w:top w:val="nil"/>
                    <w:left w:val="nil"/>
                    <w:bottom w:val="single" w:sz="4" w:space="0" w:color="auto"/>
                    <w:right w:val="single" w:sz="4" w:space="0" w:color="auto"/>
                  </w:tcBorders>
                  <w:shd w:val="clear" w:color="auto" w:fill="auto"/>
                  <w:noWrap/>
                  <w:vAlign w:val="bottom"/>
                  <w:hideMark/>
                </w:tcPr>
                <w:p w14:paraId="2BE0251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w:t>
                  </w:r>
                </w:p>
              </w:tc>
              <w:tc>
                <w:tcPr>
                  <w:tcW w:w="1134" w:type="dxa"/>
                  <w:tcBorders>
                    <w:top w:val="nil"/>
                    <w:left w:val="nil"/>
                    <w:bottom w:val="single" w:sz="4" w:space="0" w:color="auto"/>
                    <w:right w:val="single" w:sz="4" w:space="0" w:color="auto"/>
                  </w:tcBorders>
                  <w:shd w:val="clear" w:color="auto" w:fill="auto"/>
                  <w:noWrap/>
                  <w:vAlign w:val="bottom"/>
                  <w:hideMark/>
                </w:tcPr>
                <w:p w14:paraId="50FB79C2"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600</w:t>
                  </w:r>
                </w:p>
              </w:tc>
              <w:tc>
                <w:tcPr>
                  <w:tcW w:w="1559" w:type="dxa"/>
                  <w:tcBorders>
                    <w:top w:val="nil"/>
                    <w:left w:val="nil"/>
                    <w:bottom w:val="single" w:sz="4" w:space="0" w:color="auto"/>
                    <w:right w:val="single" w:sz="4" w:space="0" w:color="auto"/>
                  </w:tcBorders>
                  <w:shd w:val="clear" w:color="auto" w:fill="auto"/>
                  <w:noWrap/>
                  <w:vAlign w:val="bottom"/>
                  <w:hideMark/>
                </w:tcPr>
                <w:p w14:paraId="5A7AED3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c>
                <w:tcPr>
                  <w:tcW w:w="1701" w:type="dxa"/>
                  <w:tcBorders>
                    <w:top w:val="nil"/>
                    <w:left w:val="nil"/>
                    <w:bottom w:val="single" w:sz="4" w:space="0" w:color="auto"/>
                    <w:right w:val="single" w:sz="4" w:space="0" w:color="auto"/>
                  </w:tcBorders>
                  <w:shd w:val="clear" w:color="auto" w:fill="auto"/>
                  <w:noWrap/>
                  <w:vAlign w:val="bottom"/>
                  <w:hideMark/>
                </w:tcPr>
                <w:p w14:paraId="38EBBD89"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780</w:t>
                  </w:r>
                </w:p>
              </w:tc>
              <w:tc>
                <w:tcPr>
                  <w:tcW w:w="1701" w:type="dxa"/>
                  <w:tcBorders>
                    <w:top w:val="nil"/>
                    <w:left w:val="nil"/>
                    <w:bottom w:val="single" w:sz="4" w:space="0" w:color="auto"/>
                    <w:right w:val="single" w:sz="4" w:space="0" w:color="auto"/>
                  </w:tcBorders>
                  <w:shd w:val="clear" w:color="auto" w:fill="auto"/>
                  <w:noWrap/>
                  <w:vAlign w:val="bottom"/>
                  <w:hideMark/>
                </w:tcPr>
                <w:p w14:paraId="46D3071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820</w:t>
                  </w:r>
                </w:p>
              </w:tc>
              <w:tc>
                <w:tcPr>
                  <w:tcW w:w="1559" w:type="dxa"/>
                  <w:tcBorders>
                    <w:top w:val="nil"/>
                    <w:left w:val="nil"/>
                    <w:bottom w:val="single" w:sz="4" w:space="0" w:color="auto"/>
                    <w:right w:val="single" w:sz="4" w:space="0" w:color="auto"/>
                  </w:tcBorders>
                  <w:shd w:val="clear" w:color="auto" w:fill="auto"/>
                  <w:noWrap/>
                  <w:vAlign w:val="bottom"/>
                  <w:hideMark/>
                </w:tcPr>
                <w:p w14:paraId="28C3BA6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900</w:t>
                  </w:r>
                </w:p>
              </w:tc>
            </w:tr>
            <w:tr w:rsidR="00B60B86" w:rsidRPr="00B60B86" w14:paraId="58D871E3"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0C27971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xml:space="preserve">Streamline the market channels </w:t>
                  </w:r>
                </w:p>
              </w:tc>
              <w:tc>
                <w:tcPr>
                  <w:tcW w:w="1122" w:type="dxa"/>
                  <w:tcBorders>
                    <w:top w:val="nil"/>
                    <w:left w:val="nil"/>
                    <w:bottom w:val="single" w:sz="4" w:space="0" w:color="auto"/>
                    <w:right w:val="single" w:sz="4" w:space="0" w:color="auto"/>
                  </w:tcBorders>
                  <w:shd w:val="clear" w:color="auto" w:fill="auto"/>
                  <w:noWrap/>
                  <w:vAlign w:val="bottom"/>
                  <w:hideMark/>
                </w:tcPr>
                <w:p w14:paraId="65DD31C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210</w:t>
                  </w:r>
                </w:p>
              </w:tc>
              <w:tc>
                <w:tcPr>
                  <w:tcW w:w="1134" w:type="dxa"/>
                  <w:tcBorders>
                    <w:top w:val="nil"/>
                    <w:left w:val="nil"/>
                    <w:bottom w:val="single" w:sz="4" w:space="0" w:color="auto"/>
                    <w:right w:val="single" w:sz="4" w:space="0" w:color="auto"/>
                  </w:tcBorders>
                  <w:shd w:val="clear" w:color="auto" w:fill="auto"/>
                  <w:noWrap/>
                  <w:vAlign w:val="bottom"/>
                  <w:hideMark/>
                </w:tcPr>
                <w:p w14:paraId="71CBEEB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300</w:t>
                  </w:r>
                </w:p>
              </w:tc>
              <w:tc>
                <w:tcPr>
                  <w:tcW w:w="1559" w:type="dxa"/>
                  <w:tcBorders>
                    <w:top w:val="nil"/>
                    <w:left w:val="nil"/>
                    <w:bottom w:val="single" w:sz="4" w:space="0" w:color="auto"/>
                    <w:right w:val="single" w:sz="4" w:space="0" w:color="auto"/>
                  </w:tcBorders>
                  <w:shd w:val="clear" w:color="auto" w:fill="auto"/>
                  <w:noWrap/>
                  <w:vAlign w:val="bottom"/>
                  <w:hideMark/>
                </w:tcPr>
                <w:p w14:paraId="3790F41D"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380</w:t>
                  </w:r>
                </w:p>
              </w:tc>
              <w:tc>
                <w:tcPr>
                  <w:tcW w:w="1701" w:type="dxa"/>
                  <w:tcBorders>
                    <w:top w:val="nil"/>
                    <w:left w:val="nil"/>
                    <w:bottom w:val="single" w:sz="4" w:space="0" w:color="auto"/>
                    <w:right w:val="single" w:sz="4" w:space="0" w:color="auto"/>
                  </w:tcBorders>
                  <w:shd w:val="clear" w:color="auto" w:fill="auto"/>
                  <w:noWrap/>
                  <w:vAlign w:val="bottom"/>
                  <w:hideMark/>
                </w:tcPr>
                <w:p w14:paraId="4EF1C11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420</w:t>
                  </w:r>
                </w:p>
              </w:tc>
              <w:tc>
                <w:tcPr>
                  <w:tcW w:w="1701" w:type="dxa"/>
                  <w:tcBorders>
                    <w:top w:val="nil"/>
                    <w:left w:val="nil"/>
                    <w:bottom w:val="single" w:sz="4" w:space="0" w:color="auto"/>
                    <w:right w:val="single" w:sz="4" w:space="0" w:color="auto"/>
                  </w:tcBorders>
                  <w:shd w:val="clear" w:color="auto" w:fill="auto"/>
                  <w:noWrap/>
                  <w:vAlign w:val="bottom"/>
                  <w:hideMark/>
                </w:tcPr>
                <w:p w14:paraId="2B899747"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450</w:t>
                  </w:r>
                </w:p>
              </w:tc>
              <w:tc>
                <w:tcPr>
                  <w:tcW w:w="1559" w:type="dxa"/>
                  <w:tcBorders>
                    <w:top w:val="nil"/>
                    <w:left w:val="nil"/>
                    <w:bottom w:val="single" w:sz="4" w:space="0" w:color="auto"/>
                    <w:right w:val="single" w:sz="4" w:space="0" w:color="auto"/>
                  </w:tcBorders>
                  <w:shd w:val="clear" w:color="auto" w:fill="auto"/>
                  <w:noWrap/>
                  <w:vAlign w:val="bottom"/>
                  <w:hideMark/>
                </w:tcPr>
                <w:p w14:paraId="587D454D"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w:t>
                  </w:r>
                </w:p>
              </w:tc>
            </w:tr>
            <w:tr w:rsidR="00B60B86" w:rsidRPr="00B60B86" w14:paraId="79C6FF66"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02960648"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xml:space="preserve">Contracting with the suppliers and wedding planners </w:t>
                  </w:r>
                </w:p>
              </w:tc>
              <w:tc>
                <w:tcPr>
                  <w:tcW w:w="1122" w:type="dxa"/>
                  <w:tcBorders>
                    <w:top w:val="nil"/>
                    <w:left w:val="nil"/>
                    <w:bottom w:val="single" w:sz="4" w:space="0" w:color="auto"/>
                    <w:right w:val="single" w:sz="4" w:space="0" w:color="auto"/>
                  </w:tcBorders>
                  <w:shd w:val="clear" w:color="auto" w:fill="auto"/>
                  <w:noWrap/>
                  <w:vAlign w:val="bottom"/>
                  <w:hideMark/>
                </w:tcPr>
                <w:p w14:paraId="507BB27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400</w:t>
                  </w:r>
                </w:p>
              </w:tc>
              <w:tc>
                <w:tcPr>
                  <w:tcW w:w="1134" w:type="dxa"/>
                  <w:tcBorders>
                    <w:top w:val="nil"/>
                    <w:left w:val="nil"/>
                    <w:bottom w:val="single" w:sz="4" w:space="0" w:color="auto"/>
                    <w:right w:val="single" w:sz="4" w:space="0" w:color="auto"/>
                  </w:tcBorders>
                  <w:shd w:val="clear" w:color="auto" w:fill="auto"/>
                  <w:noWrap/>
                  <w:vAlign w:val="bottom"/>
                  <w:hideMark/>
                </w:tcPr>
                <w:p w14:paraId="3479CBC2"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420</w:t>
                  </w:r>
                </w:p>
              </w:tc>
              <w:tc>
                <w:tcPr>
                  <w:tcW w:w="1559" w:type="dxa"/>
                  <w:tcBorders>
                    <w:top w:val="nil"/>
                    <w:left w:val="nil"/>
                    <w:bottom w:val="single" w:sz="4" w:space="0" w:color="auto"/>
                    <w:right w:val="single" w:sz="4" w:space="0" w:color="auto"/>
                  </w:tcBorders>
                  <w:shd w:val="clear" w:color="auto" w:fill="auto"/>
                  <w:noWrap/>
                  <w:vAlign w:val="bottom"/>
                  <w:hideMark/>
                </w:tcPr>
                <w:p w14:paraId="3F8AA41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480</w:t>
                  </w:r>
                </w:p>
              </w:tc>
              <w:tc>
                <w:tcPr>
                  <w:tcW w:w="1701" w:type="dxa"/>
                  <w:tcBorders>
                    <w:top w:val="nil"/>
                    <w:left w:val="nil"/>
                    <w:bottom w:val="single" w:sz="4" w:space="0" w:color="auto"/>
                    <w:right w:val="single" w:sz="4" w:space="0" w:color="auto"/>
                  </w:tcBorders>
                  <w:shd w:val="clear" w:color="auto" w:fill="auto"/>
                  <w:noWrap/>
                  <w:vAlign w:val="bottom"/>
                  <w:hideMark/>
                </w:tcPr>
                <w:p w14:paraId="44C7208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550</w:t>
                  </w:r>
                </w:p>
              </w:tc>
              <w:tc>
                <w:tcPr>
                  <w:tcW w:w="1701" w:type="dxa"/>
                  <w:tcBorders>
                    <w:top w:val="nil"/>
                    <w:left w:val="nil"/>
                    <w:bottom w:val="single" w:sz="4" w:space="0" w:color="auto"/>
                    <w:right w:val="single" w:sz="4" w:space="0" w:color="auto"/>
                  </w:tcBorders>
                  <w:shd w:val="clear" w:color="auto" w:fill="auto"/>
                  <w:noWrap/>
                  <w:vAlign w:val="bottom"/>
                  <w:hideMark/>
                </w:tcPr>
                <w:p w14:paraId="263726F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600</w:t>
                  </w:r>
                </w:p>
              </w:tc>
              <w:tc>
                <w:tcPr>
                  <w:tcW w:w="1559" w:type="dxa"/>
                  <w:tcBorders>
                    <w:top w:val="nil"/>
                    <w:left w:val="nil"/>
                    <w:bottom w:val="single" w:sz="4" w:space="0" w:color="auto"/>
                    <w:right w:val="single" w:sz="4" w:space="0" w:color="auto"/>
                  </w:tcBorders>
                  <w:shd w:val="clear" w:color="auto" w:fill="auto"/>
                  <w:noWrap/>
                  <w:vAlign w:val="bottom"/>
                  <w:hideMark/>
                </w:tcPr>
                <w:p w14:paraId="2CDEC8B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640</w:t>
                  </w:r>
                </w:p>
              </w:tc>
            </w:tr>
            <w:tr w:rsidR="00B60B86" w:rsidRPr="00B60B86" w14:paraId="38728E31"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6240F3F9"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Training employees</w:t>
                  </w:r>
                </w:p>
              </w:tc>
              <w:tc>
                <w:tcPr>
                  <w:tcW w:w="1122" w:type="dxa"/>
                  <w:tcBorders>
                    <w:top w:val="nil"/>
                    <w:left w:val="nil"/>
                    <w:bottom w:val="single" w:sz="4" w:space="0" w:color="auto"/>
                    <w:right w:val="single" w:sz="4" w:space="0" w:color="auto"/>
                  </w:tcBorders>
                  <w:shd w:val="clear" w:color="auto" w:fill="auto"/>
                  <w:noWrap/>
                  <w:vAlign w:val="bottom"/>
                  <w:hideMark/>
                </w:tcPr>
                <w:p w14:paraId="70DC847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9000</w:t>
                  </w:r>
                </w:p>
              </w:tc>
              <w:tc>
                <w:tcPr>
                  <w:tcW w:w="1134" w:type="dxa"/>
                  <w:tcBorders>
                    <w:top w:val="nil"/>
                    <w:left w:val="nil"/>
                    <w:bottom w:val="single" w:sz="4" w:space="0" w:color="auto"/>
                    <w:right w:val="single" w:sz="4" w:space="0" w:color="auto"/>
                  </w:tcBorders>
                  <w:shd w:val="clear" w:color="auto" w:fill="auto"/>
                  <w:noWrap/>
                  <w:vAlign w:val="bottom"/>
                  <w:hideMark/>
                </w:tcPr>
                <w:p w14:paraId="56D3212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9500</w:t>
                  </w:r>
                </w:p>
              </w:tc>
              <w:tc>
                <w:tcPr>
                  <w:tcW w:w="1559" w:type="dxa"/>
                  <w:tcBorders>
                    <w:top w:val="nil"/>
                    <w:left w:val="nil"/>
                    <w:bottom w:val="single" w:sz="4" w:space="0" w:color="auto"/>
                    <w:right w:val="single" w:sz="4" w:space="0" w:color="auto"/>
                  </w:tcBorders>
                  <w:shd w:val="clear" w:color="auto" w:fill="auto"/>
                  <w:noWrap/>
                  <w:vAlign w:val="bottom"/>
                  <w:hideMark/>
                </w:tcPr>
                <w:p w14:paraId="7CAC81B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10200</w:t>
                  </w:r>
                </w:p>
              </w:tc>
              <w:tc>
                <w:tcPr>
                  <w:tcW w:w="1701" w:type="dxa"/>
                  <w:tcBorders>
                    <w:top w:val="nil"/>
                    <w:left w:val="nil"/>
                    <w:bottom w:val="single" w:sz="4" w:space="0" w:color="auto"/>
                    <w:right w:val="single" w:sz="4" w:space="0" w:color="auto"/>
                  </w:tcBorders>
                  <w:shd w:val="clear" w:color="auto" w:fill="auto"/>
                  <w:noWrap/>
                  <w:vAlign w:val="bottom"/>
                  <w:hideMark/>
                </w:tcPr>
                <w:p w14:paraId="00F8C5BD"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10600</w:t>
                  </w:r>
                </w:p>
              </w:tc>
              <w:tc>
                <w:tcPr>
                  <w:tcW w:w="1701" w:type="dxa"/>
                  <w:tcBorders>
                    <w:top w:val="nil"/>
                    <w:left w:val="nil"/>
                    <w:bottom w:val="single" w:sz="4" w:space="0" w:color="auto"/>
                    <w:right w:val="single" w:sz="4" w:space="0" w:color="auto"/>
                  </w:tcBorders>
                  <w:shd w:val="clear" w:color="auto" w:fill="auto"/>
                  <w:noWrap/>
                  <w:vAlign w:val="bottom"/>
                  <w:hideMark/>
                </w:tcPr>
                <w:p w14:paraId="62C6942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11200</w:t>
                  </w:r>
                </w:p>
              </w:tc>
              <w:tc>
                <w:tcPr>
                  <w:tcW w:w="1559" w:type="dxa"/>
                  <w:tcBorders>
                    <w:top w:val="nil"/>
                    <w:left w:val="nil"/>
                    <w:bottom w:val="single" w:sz="4" w:space="0" w:color="auto"/>
                    <w:right w:val="single" w:sz="4" w:space="0" w:color="auto"/>
                  </w:tcBorders>
                  <w:shd w:val="clear" w:color="auto" w:fill="auto"/>
                  <w:noWrap/>
                  <w:vAlign w:val="bottom"/>
                  <w:hideMark/>
                </w:tcPr>
                <w:p w14:paraId="772DF08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11500</w:t>
                  </w:r>
                </w:p>
              </w:tc>
            </w:tr>
            <w:tr w:rsidR="00B60B86" w:rsidRPr="00B60B86" w14:paraId="28F45553"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1DC5CB8A"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Investing the funds for increasing service facilities</w:t>
                  </w:r>
                </w:p>
              </w:tc>
              <w:tc>
                <w:tcPr>
                  <w:tcW w:w="1122" w:type="dxa"/>
                  <w:tcBorders>
                    <w:top w:val="nil"/>
                    <w:left w:val="nil"/>
                    <w:bottom w:val="single" w:sz="4" w:space="0" w:color="auto"/>
                    <w:right w:val="single" w:sz="4" w:space="0" w:color="auto"/>
                  </w:tcBorders>
                  <w:shd w:val="clear" w:color="auto" w:fill="auto"/>
                  <w:noWrap/>
                  <w:vAlign w:val="bottom"/>
                  <w:hideMark/>
                </w:tcPr>
                <w:p w14:paraId="481E298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2300</w:t>
                  </w:r>
                </w:p>
              </w:tc>
              <w:tc>
                <w:tcPr>
                  <w:tcW w:w="1134" w:type="dxa"/>
                  <w:tcBorders>
                    <w:top w:val="nil"/>
                    <w:left w:val="nil"/>
                    <w:bottom w:val="single" w:sz="4" w:space="0" w:color="auto"/>
                    <w:right w:val="single" w:sz="4" w:space="0" w:color="auto"/>
                  </w:tcBorders>
                  <w:shd w:val="clear" w:color="auto" w:fill="auto"/>
                  <w:noWrap/>
                  <w:vAlign w:val="bottom"/>
                  <w:hideMark/>
                </w:tcPr>
                <w:p w14:paraId="482BE2F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2700</w:t>
                  </w:r>
                </w:p>
              </w:tc>
              <w:tc>
                <w:tcPr>
                  <w:tcW w:w="1559" w:type="dxa"/>
                  <w:tcBorders>
                    <w:top w:val="nil"/>
                    <w:left w:val="nil"/>
                    <w:bottom w:val="single" w:sz="4" w:space="0" w:color="auto"/>
                    <w:right w:val="single" w:sz="4" w:space="0" w:color="auto"/>
                  </w:tcBorders>
                  <w:shd w:val="clear" w:color="auto" w:fill="auto"/>
                  <w:noWrap/>
                  <w:vAlign w:val="bottom"/>
                  <w:hideMark/>
                </w:tcPr>
                <w:p w14:paraId="56AE8C59"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3400</w:t>
                  </w:r>
                </w:p>
              </w:tc>
              <w:tc>
                <w:tcPr>
                  <w:tcW w:w="1701" w:type="dxa"/>
                  <w:tcBorders>
                    <w:top w:val="nil"/>
                    <w:left w:val="nil"/>
                    <w:bottom w:val="single" w:sz="4" w:space="0" w:color="auto"/>
                    <w:right w:val="single" w:sz="4" w:space="0" w:color="auto"/>
                  </w:tcBorders>
                  <w:shd w:val="clear" w:color="auto" w:fill="auto"/>
                  <w:noWrap/>
                  <w:vAlign w:val="bottom"/>
                  <w:hideMark/>
                </w:tcPr>
                <w:p w14:paraId="014B06C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3800</w:t>
                  </w:r>
                </w:p>
              </w:tc>
              <w:tc>
                <w:tcPr>
                  <w:tcW w:w="1701" w:type="dxa"/>
                  <w:tcBorders>
                    <w:top w:val="nil"/>
                    <w:left w:val="nil"/>
                    <w:bottom w:val="single" w:sz="4" w:space="0" w:color="auto"/>
                    <w:right w:val="single" w:sz="4" w:space="0" w:color="auto"/>
                  </w:tcBorders>
                  <w:shd w:val="clear" w:color="auto" w:fill="auto"/>
                  <w:noWrap/>
                  <w:vAlign w:val="bottom"/>
                  <w:hideMark/>
                </w:tcPr>
                <w:p w14:paraId="364FCEF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4000</w:t>
                  </w:r>
                </w:p>
              </w:tc>
              <w:tc>
                <w:tcPr>
                  <w:tcW w:w="1559" w:type="dxa"/>
                  <w:tcBorders>
                    <w:top w:val="nil"/>
                    <w:left w:val="nil"/>
                    <w:bottom w:val="single" w:sz="4" w:space="0" w:color="auto"/>
                    <w:right w:val="single" w:sz="4" w:space="0" w:color="auto"/>
                  </w:tcBorders>
                  <w:shd w:val="clear" w:color="auto" w:fill="auto"/>
                  <w:noWrap/>
                  <w:vAlign w:val="bottom"/>
                  <w:hideMark/>
                </w:tcPr>
                <w:p w14:paraId="2EC3CF4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4500</w:t>
                  </w:r>
                </w:p>
              </w:tc>
            </w:tr>
            <w:tr w:rsidR="00B60B86" w:rsidRPr="00B60B86" w14:paraId="004491F0"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407A2C44"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22" w:type="dxa"/>
                  <w:tcBorders>
                    <w:top w:val="nil"/>
                    <w:left w:val="nil"/>
                    <w:bottom w:val="single" w:sz="4" w:space="0" w:color="auto"/>
                    <w:right w:val="single" w:sz="4" w:space="0" w:color="auto"/>
                  </w:tcBorders>
                  <w:shd w:val="clear" w:color="auto" w:fill="auto"/>
                  <w:noWrap/>
                  <w:vAlign w:val="bottom"/>
                  <w:hideMark/>
                </w:tcPr>
                <w:p w14:paraId="2A0101C0"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03ACDC7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1991D60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0ACBE757"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4B76BB90"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25065DA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617719C9"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619F60BA"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 xml:space="preserve">Total revenue </w:t>
                  </w:r>
                </w:p>
              </w:tc>
              <w:tc>
                <w:tcPr>
                  <w:tcW w:w="1122" w:type="dxa"/>
                  <w:tcBorders>
                    <w:top w:val="nil"/>
                    <w:left w:val="nil"/>
                    <w:bottom w:val="single" w:sz="4" w:space="0" w:color="auto"/>
                    <w:right w:val="single" w:sz="4" w:space="0" w:color="auto"/>
                  </w:tcBorders>
                  <w:shd w:val="clear" w:color="auto" w:fill="auto"/>
                  <w:noWrap/>
                  <w:vAlign w:val="bottom"/>
                  <w:hideMark/>
                </w:tcPr>
                <w:p w14:paraId="3A4EB6C9"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13110</w:t>
                  </w:r>
                </w:p>
              </w:tc>
              <w:tc>
                <w:tcPr>
                  <w:tcW w:w="1134" w:type="dxa"/>
                  <w:tcBorders>
                    <w:top w:val="nil"/>
                    <w:left w:val="nil"/>
                    <w:bottom w:val="single" w:sz="4" w:space="0" w:color="auto"/>
                    <w:right w:val="single" w:sz="4" w:space="0" w:color="auto"/>
                  </w:tcBorders>
                  <w:shd w:val="clear" w:color="auto" w:fill="auto"/>
                  <w:noWrap/>
                  <w:vAlign w:val="bottom"/>
                  <w:hideMark/>
                </w:tcPr>
                <w:p w14:paraId="78C6FE81"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14720</w:t>
                  </w:r>
                </w:p>
              </w:tc>
              <w:tc>
                <w:tcPr>
                  <w:tcW w:w="1559" w:type="dxa"/>
                  <w:tcBorders>
                    <w:top w:val="nil"/>
                    <w:left w:val="nil"/>
                    <w:bottom w:val="single" w:sz="4" w:space="0" w:color="auto"/>
                    <w:right w:val="single" w:sz="4" w:space="0" w:color="auto"/>
                  </w:tcBorders>
                  <w:shd w:val="clear" w:color="auto" w:fill="auto"/>
                  <w:noWrap/>
                  <w:vAlign w:val="bottom"/>
                  <w:hideMark/>
                </w:tcPr>
                <w:p w14:paraId="051E91A1"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16540</w:t>
                  </w:r>
                </w:p>
              </w:tc>
              <w:tc>
                <w:tcPr>
                  <w:tcW w:w="1701" w:type="dxa"/>
                  <w:tcBorders>
                    <w:top w:val="nil"/>
                    <w:left w:val="nil"/>
                    <w:bottom w:val="single" w:sz="4" w:space="0" w:color="auto"/>
                    <w:right w:val="single" w:sz="4" w:space="0" w:color="auto"/>
                  </w:tcBorders>
                  <w:shd w:val="clear" w:color="auto" w:fill="auto"/>
                  <w:noWrap/>
                  <w:vAlign w:val="bottom"/>
                  <w:hideMark/>
                </w:tcPr>
                <w:p w14:paraId="00C57D39"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17650</w:t>
                  </w:r>
                </w:p>
              </w:tc>
              <w:tc>
                <w:tcPr>
                  <w:tcW w:w="1701" w:type="dxa"/>
                  <w:tcBorders>
                    <w:top w:val="nil"/>
                    <w:left w:val="nil"/>
                    <w:bottom w:val="single" w:sz="4" w:space="0" w:color="auto"/>
                    <w:right w:val="single" w:sz="4" w:space="0" w:color="auto"/>
                  </w:tcBorders>
                  <w:shd w:val="clear" w:color="auto" w:fill="auto"/>
                  <w:noWrap/>
                  <w:vAlign w:val="bottom"/>
                  <w:hideMark/>
                </w:tcPr>
                <w:p w14:paraId="33619BDF"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18670</w:t>
                  </w:r>
                </w:p>
              </w:tc>
              <w:tc>
                <w:tcPr>
                  <w:tcW w:w="1559" w:type="dxa"/>
                  <w:tcBorders>
                    <w:top w:val="nil"/>
                    <w:left w:val="nil"/>
                    <w:bottom w:val="single" w:sz="4" w:space="0" w:color="auto"/>
                    <w:right w:val="single" w:sz="4" w:space="0" w:color="auto"/>
                  </w:tcBorders>
                  <w:shd w:val="clear" w:color="auto" w:fill="auto"/>
                  <w:noWrap/>
                  <w:vAlign w:val="bottom"/>
                  <w:hideMark/>
                </w:tcPr>
                <w:p w14:paraId="42A57B47"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19790</w:t>
                  </w:r>
                </w:p>
              </w:tc>
            </w:tr>
            <w:tr w:rsidR="00B60B86" w:rsidRPr="00B60B86" w14:paraId="7EFE5014"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3125250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lastRenderedPageBreak/>
                    <w:t>Variable costs</w:t>
                  </w:r>
                </w:p>
              </w:tc>
              <w:tc>
                <w:tcPr>
                  <w:tcW w:w="1122" w:type="dxa"/>
                  <w:tcBorders>
                    <w:top w:val="nil"/>
                    <w:left w:val="nil"/>
                    <w:bottom w:val="single" w:sz="4" w:space="0" w:color="auto"/>
                    <w:right w:val="single" w:sz="4" w:space="0" w:color="auto"/>
                  </w:tcBorders>
                  <w:shd w:val="clear" w:color="auto" w:fill="auto"/>
                  <w:noWrap/>
                  <w:vAlign w:val="bottom"/>
                  <w:hideMark/>
                </w:tcPr>
                <w:p w14:paraId="7909BAA1"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0549AAD4"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762B2FB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71D1D811"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1A5AEFB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2DAA72A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2C53DAD5"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7D530B6B"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Fixed costs</w:t>
                  </w:r>
                </w:p>
              </w:tc>
              <w:tc>
                <w:tcPr>
                  <w:tcW w:w="1122" w:type="dxa"/>
                  <w:tcBorders>
                    <w:top w:val="nil"/>
                    <w:left w:val="nil"/>
                    <w:bottom w:val="single" w:sz="4" w:space="0" w:color="auto"/>
                    <w:right w:val="single" w:sz="4" w:space="0" w:color="auto"/>
                  </w:tcBorders>
                  <w:shd w:val="clear" w:color="auto" w:fill="auto"/>
                  <w:noWrap/>
                  <w:vAlign w:val="bottom"/>
                  <w:hideMark/>
                </w:tcPr>
                <w:p w14:paraId="75EA0752"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2E27D3F2"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48FAA7D5"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530563B4"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10CEDB9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6ACBED19"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00383F8A"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27FEF5D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Labour payrolls</w:t>
                  </w:r>
                </w:p>
              </w:tc>
              <w:tc>
                <w:tcPr>
                  <w:tcW w:w="1122" w:type="dxa"/>
                  <w:tcBorders>
                    <w:top w:val="nil"/>
                    <w:left w:val="nil"/>
                    <w:bottom w:val="single" w:sz="4" w:space="0" w:color="auto"/>
                    <w:right w:val="single" w:sz="4" w:space="0" w:color="auto"/>
                  </w:tcBorders>
                  <w:shd w:val="clear" w:color="auto" w:fill="auto"/>
                  <w:noWrap/>
                  <w:vAlign w:val="bottom"/>
                  <w:hideMark/>
                </w:tcPr>
                <w:p w14:paraId="7B2B3357"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5000</w:t>
                  </w:r>
                </w:p>
              </w:tc>
              <w:tc>
                <w:tcPr>
                  <w:tcW w:w="1134" w:type="dxa"/>
                  <w:tcBorders>
                    <w:top w:val="nil"/>
                    <w:left w:val="nil"/>
                    <w:bottom w:val="single" w:sz="4" w:space="0" w:color="auto"/>
                    <w:right w:val="single" w:sz="4" w:space="0" w:color="auto"/>
                  </w:tcBorders>
                  <w:shd w:val="clear" w:color="auto" w:fill="auto"/>
                  <w:noWrap/>
                  <w:vAlign w:val="bottom"/>
                  <w:hideMark/>
                </w:tcPr>
                <w:p w14:paraId="435D8DD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5000</w:t>
                  </w:r>
                </w:p>
              </w:tc>
              <w:tc>
                <w:tcPr>
                  <w:tcW w:w="1559" w:type="dxa"/>
                  <w:tcBorders>
                    <w:top w:val="nil"/>
                    <w:left w:val="nil"/>
                    <w:bottom w:val="single" w:sz="4" w:space="0" w:color="auto"/>
                    <w:right w:val="single" w:sz="4" w:space="0" w:color="auto"/>
                  </w:tcBorders>
                  <w:shd w:val="clear" w:color="auto" w:fill="auto"/>
                  <w:noWrap/>
                  <w:vAlign w:val="bottom"/>
                  <w:hideMark/>
                </w:tcPr>
                <w:p w14:paraId="77162C1E"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5000</w:t>
                  </w:r>
                </w:p>
              </w:tc>
              <w:tc>
                <w:tcPr>
                  <w:tcW w:w="1701" w:type="dxa"/>
                  <w:tcBorders>
                    <w:top w:val="nil"/>
                    <w:left w:val="nil"/>
                    <w:bottom w:val="single" w:sz="4" w:space="0" w:color="auto"/>
                    <w:right w:val="single" w:sz="4" w:space="0" w:color="auto"/>
                  </w:tcBorders>
                  <w:shd w:val="clear" w:color="auto" w:fill="auto"/>
                  <w:noWrap/>
                  <w:vAlign w:val="bottom"/>
                  <w:hideMark/>
                </w:tcPr>
                <w:p w14:paraId="28A766A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5000</w:t>
                  </w:r>
                </w:p>
              </w:tc>
              <w:tc>
                <w:tcPr>
                  <w:tcW w:w="1701" w:type="dxa"/>
                  <w:tcBorders>
                    <w:top w:val="nil"/>
                    <w:left w:val="nil"/>
                    <w:bottom w:val="single" w:sz="4" w:space="0" w:color="auto"/>
                    <w:right w:val="single" w:sz="4" w:space="0" w:color="auto"/>
                  </w:tcBorders>
                  <w:shd w:val="clear" w:color="auto" w:fill="auto"/>
                  <w:noWrap/>
                  <w:vAlign w:val="bottom"/>
                  <w:hideMark/>
                </w:tcPr>
                <w:p w14:paraId="3919A99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5000</w:t>
                  </w:r>
                </w:p>
              </w:tc>
              <w:tc>
                <w:tcPr>
                  <w:tcW w:w="1559" w:type="dxa"/>
                  <w:tcBorders>
                    <w:top w:val="nil"/>
                    <w:left w:val="nil"/>
                    <w:bottom w:val="single" w:sz="4" w:space="0" w:color="auto"/>
                    <w:right w:val="single" w:sz="4" w:space="0" w:color="auto"/>
                  </w:tcBorders>
                  <w:shd w:val="clear" w:color="auto" w:fill="auto"/>
                  <w:noWrap/>
                  <w:vAlign w:val="bottom"/>
                  <w:hideMark/>
                </w:tcPr>
                <w:p w14:paraId="288B39E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5000</w:t>
                  </w:r>
                </w:p>
              </w:tc>
            </w:tr>
            <w:tr w:rsidR="00B60B86" w:rsidRPr="00B60B86" w14:paraId="183F436B"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08EA3999" w14:textId="45A7834A"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Business and labour insurance costs</w:t>
                  </w:r>
                </w:p>
              </w:tc>
              <w:tc>
                <w:tcPr>
                  <w:tcW w:w="1122" w:type="dxa"/>
                  <w:tcBorders>
                    <w:top w:val="nil"/>
                    <w:left w:val="nil"/>
                    <w:bottom w:val="single" w:sz="4" w:space="0" w:color="auto"/>
                    <w:right w:val="single" w:sz="4" w:space="0" w:color="auto"/>
                  </w:tcBorders>
                  <w:shd w:val="clear" w:color="auto" w:fill="auto"/>
                  <w:noWrap/>
                  <w:vAlign w:val="bottom"/>
                  <w:hideMark/>
                </w:tcPr>
                <w:p w14:paraId="1CB0595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2000</w:t>
                  </w:r>
                </w:p>
              </w:tc>
              <w:tc>
                <w:tcPr>
                  <w:tcW w:w="1134" w:type="dxa"/>
                  <w:tcBorders>
                    <w:top w:val="nil"/>
                    <w:left w:val="nil"/>
                    <w:bottom w:val="single" w:sz="4" w:space="0" w:color="auto"/>
                    <w:right w:val="single" w:sz="4" w:space="0" w:color="auto"/>
                  </w:tcBorders>
                  <w:shd w:val="clear" w:color="auto" w:fill="auto"/>
                  <w:noWrap/>
                  <w:vAlign w:val="bottom"/>
                  <w:hideMark/>
                </w:tcPr>
                <w:p w14:paraId="3460D7C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2000</w:t>
                  </w:r>
                </w:p>
              </w:tc>
              <w:tc>
                <w:tcPr>
                  <w:tcW w:w="1559" w:type="dxa"/>
                  <w:tcBorders>
                    <w:top w:val="nil"/>
                    <w:left w:val="nil"/>
                    <w:bottom w:val="single" w:sz="4" w:space="0" w:color="auto"/>
                    <w:right w:val="single" w:sz="4" w:space="0" w:color="auto"/>
                  </w:tcBorders>
                  <w:shd w:val="clear" w:color="auto" w:fill="auto"/>
                  <w:noWrap/>
                  <w:vAlign w:val="bottom"/>
                  <w:hideMark/>
                </w:tcPr>
                <w:p w14:paraId="0243F00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2000</w:t>
                  </w:r>
                </w:p>
              </w:tc>
              <w:tc>
                <w:tcPr>
                  <w:tcW w:w="1701" w:type="dxa"/>
                  <w:tcBorders>
                    <w:top w:val="nil"/>
                    <w:left w:val="nil"/>
                    <w:bottom w:val="single" w:sz="4" w:space="0" w:color="auto"/>
                    <w:right w:val="single" w:sz="4" w:space="0" w:color="auto"/>
                  </w:tcBorders>
                  <w:shd w:val="clear" w:color="auto" w:fill="auto"/>
                  <w:noWrap/>
                  <w:vAlign w:val="bottom"/>
                  <w:hideMark/>
                </w:tcPr>
                <w:p w14:paraId="035C649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2000</w:t>
                  </w:r>
                </w:p>
              </w:tc>
              <w:tc>
                <w:tcPr>
                  <w:tcW w:w="1701" w:type="dxa"/>
                  <w:tcBorders>
                    <w:top w:val="nil"/>
                    <w:left w:val="nil"/>
                    <w:bottom w:val="single" w:sz="4" w:space="0" w:color="auto"/>
                    <w:right w:val="single" w:sz="4" w:space="0" w:color="auto"/>
                  </w:tcBorders>
                  <w:shd w:val="clear" w:color="auto" w:fill="auto"/>
                  <w:noWrap/>
                  <w:vAlign w:val="bottom"/>
                  <w:hideMark/>
                </w:tcPr>
                <w:p w14:paraId="0A8B085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2000</w:t>
                  </w:r>
                </w:p>
              </w:tc>
              <w:tc>
                <w:tcPr>
                  <w:tcW w:w="1559" w:type="dxa"/>
                  <w:tcBorders>
                    <w:top w:val="nil"/>
                    <w:left w:val="nil"/>
                    <w:bottom w:val="single" w:sz="4" w:space="0" w:color="auto"/>
                    <w:right w:val="single" w:sz="4" w:space="0" w:color="auto"/>
                  </w:tcBorders>
                  <w:shd w:val="clear" w:color="auto" w:fill="auto"/>
                  <w:noWrap/>
                  <w:vAlign w:val="bottom"/>
                  <w:hideMark/>
                </w:tcPr>
                <w:p w14:paraId="12CB31B9"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2000</w:t>
                  </w:r>
                </w:p>
              </w:tc>
            </w:tr>
            <w:tr w:rsidR="00B60B86" w:rsidRPr="00B60B86" w14:paraId="63E24B60"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4E0A1375"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Equipment management, electricity and internet expenses</w:t>
                  </w:r>
                </w:p>
              </w:tc>
              <w:tc>
                <w:tcPr>
                  <w:tcW w:w="1122" w:type="dxa"/>
                  <w:tcBorders>
                    <w:top w:val="nil"/>
                    <w:left w:val="nil"/>
                    <w:bottom w:val="single" w:sz="4" w:space="0" w:color="auto"/>
                    <w:right w:val="single" w:sz="4" w:space="0" w:color="auto"/>
                  </w:tcBorders>
                  <w:shd w:val="clear" w:color="auto" w:fill="auto"/>
                  <w:noWrap/>
                  <w:vAlign w:val="bottom"/>
                  <w:hideMark/>
                </w:tcPr>
                <w:p w14:paraId="73995EC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c>
                <w:tcPr>
                  <w:tcW w:w="1134" w:type="dxa"/>
                  <w:tcBorders>
                    <w:top w:val="nil"/>
                    <w:left w:val="nil"/>
                    <w:bottom w:val="single" w:sz="4" w:space="0" w:color="auto"/>
                    <w:right w:val="single" w:sz="4" w:space="0" w:color="auto"/>
                  </w:tcBorders>
                  <w:shd w:val="clear" w:color="auto" w:fill="auto"/>
                  <w:noWrap/>
                  <w:vAlign w:val="bottom"/>
                  <w:hideMark/>
                </w:tcPr>
                <w:p w14:paraId="5DD7118D"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c>
                <w:tcPr>
                  <w:tcW w:w="1559" w:type="dxa"/>
                  <w:tcBorders>
                    <w:top w:val="nil"/>
                    <w:left w:val="nil"/>
                    <w:bottom w:val="single" w:sz="4" w:space="0" w:color="auto"/>
                    <w:right w:val="single" w:sz="4" w:space="0" w:color="auto"/>
                  </w:tcBorders>
                  <w:shd w:val="clear" w:color="auto" w:fill="auto"/>
                  <w:noWrap/>
                  <w:vAlign w:val="bottom"/>
                  <w:hideMark/>
                </w:tcPr>
                <w:p w14:paraId="1EC92CD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c>
                <w:tcPr>
                  <w:tcW w:w="1701" w:type="dxa"/>
                  <w:tcBorders>
                    <w:top w:val="nil"/>
                    <w:left w:val="nil"/>
                    <w:bottom w:val="single" w:sz="4" w:space="0" w:color="auto"/>
                    <w:right w:val="single" w:sz="4" w:space="0" w:color="auto"/>
                  </w:tcBorders>
                  <w:shd w:val="clear" w:color="auto" w:fill="auto"/>
                  <w:noWrap/>
                  <w:vAlign w:val="bottom"/>
                  <w:hideMark/>
                </w:tcPr>
                <w:p w14:paraId="26CAB73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c>
                <w:tcPr>
                  <w:tcW w:w="1701" w:type="dxa"/>
                  <w:tcBorders>
                    <w:top w:val="nil"/>
                    <w:left w:val="nil"/>
                    <w:bottom w:val="single" w:sz="4" w:space="0" w:color="auto"/>
                    <w:right w:val="single" w:sz="4" w:space="0" w:color="auto"/>
                  </w:tcBorders>
                  <w:shd w:val="clear" w:color="auto" w:fill="auto"/>
                  <w:noWrap/>
                  <w:vAlign w:val="bottom"/>
                  <w:hideMark/>
                </w:tcPr>
                <w:p w14:paraId="49E34A7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c>
                <w:tcPr>
                  <w:tcW w:w="1559" w:type="dxa"/>
                  <w:tcBorders>
                    <w:top w:val="nil"/>
                    <w:left w:val="nil"/>
                    <w:bottom w:val="single" w:sz="4" w:space="0" w:color="auto"/>
                    <w:right w:val="single" w:sz="4" w:space="0" w:color="auto"/>
                  </w:tcBorders>
                  <w:shd w:val="clear" w:color="auto" w:fill="auto"/>
                  <w:noWrap/>
                  <w:vAlign w:val="bottom"/>
                  <w:hideMark/>
                </w:tcPr>
                <w:p w14:paraId="2FAB90E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700</w:t>
                  </w:r>
                </w:p>
              </w:tc>
            </w:tr>
            <w:tr w:rsidR="00B60B86" w:rsidRPr="00B60B86" w14:paraId="5D4D174F"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7B7285D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Business and property taxes</w:t>
                  </w:r>
                </w:p>
              </w:tc>
              <w:tc>
                <w:tcPr>
                  <w:tcW w:w="1122" w:type="dxa"/>
                  <w:tcBorders>
                    <w:top w:val="nil"/>
                    <w:left w:val="nil"/>
                    <w:bottom w:val="single" w:sz="4" w:space="0" w:color="auto"/>
                    <w:right w:val="single" w:sz="4" w:space="0" w:color="auto"/>
                  </w:tcBorders>
                  <w:shd w:val="clear" w:color="auto" w:fill="auto"/>
                  <w:noWrap/>
                  <w:vAlign w:val="bottom"/>
                  <w:hideMark/>
                </w:tcPr>
                <w:p w14:paraId="7384FBB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250</w:t>
                  </w:r>
                </w:p>
              </w:tc>
              <w:tc>
                <w:tcPr>
                  <w:tcW w:w="1134" w:type="dxa"/>
                  <w:tcBorders>
                    <w:top w:val="nil"/>
                    <w:left w:val="nil"/>
                    <w:bottom w:val="single" w:sz="4" w:space="0" w:color="auto"/>
                    <w:right w:val="single" w:sz="4" w:space="0" w:color="auto"/>
                  </w:tcBorders>
                  <w:shd w:val="clear" w:color="auto" w:fill="auto"/>
                  <w:noWrap/>
                  <w:vAlign w:val="bottom"/>
                  <w:hideMark/>
                </w:tcPr>
                <w:p w14:paraId="4FB8A1D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250</w:t>
                  </w:r>
                </w:p>
              </w:tc>
              <w:tc>
                <w:tcPr>
                  <w:tcW w:w="1559" w:type="dxa"/>
                  <w:tcBorders>
                    <w:top w:val="nil"/>
                    <w:left w:val="nil"/>
                    <w:bottom w:val="single" w:sz="4" w:space="0" w:color="auto"/>
                    <w:right w:val="single" w:sz="4" w:space="0" w:color="auto"/>
                  </w:tcBorders>
                  <w:shd w:val="clear" w:color="auto" w:fill="auto"/>
                  <w:noWrap/>
                  <w:vAlign w:val="bottom"/>
                  <w:hideMark/>
                </w:tcPr>
                <w:p w14:paraId="7926C97E"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250</w:t>
                  </w:r>
                </w:p>
              </w:tc>
              <w:tc>
                <w:tcPr>
                  <w:tcW w:w="1701" w:type="dxa"/>
                  <w:tcBorders>
                    <w:top w:val="nil"/>
                    <w:left w:val="nil"/>
                    <w:bottom w:val="single" w:sz="4" w:space="0" w:color="auto"/>
                    <w:right w:val="single" w:sz="4" w:space="0" w:color="auto"/>
                  </w:tcBorders>
                  <w:shd w:val="clear" w:color="auto" w:fill="auto"/>
                  <w:noWrap/>
                  <w:vAlign w:val="bottom"/>
                  <w:hideMark/>
                </w:tcPr>
                <w:p w14:paraId="600CCCAD"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250</w:t>
                  </w:r>
                </w:p>
              </w:tc>
              <w:tc>
                <w:tcPr>
                  <w:tcW w:w="1701" w:type="dxa"/>
                  <w:tcBorders>
                    <w:top w:val="nil"/>
                    <w:left w:val="nil"/>
                    <w:bottom w:val="single" w:sz="4" w:space="0" w:color="auto"/>
                    <w:right w:val="single" w:sz="4" w:space="0" w:color="auto"/>
                  </w:tcBorders>
                  <w:shd w:val="clear" w:color="auto" w:fill="auto"/>
                  <w:noWrap/>
                  <w:vAlign w:val="bottom"/>
                  <w:hideMark/>
                </w:tcPr>
                <w:p w14:paraId="6614E3E2"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250</w:t>
                  </w:r>
                </w:p>
              </w:tc>
              <w:tc>
                <w:tcPr>
                  <w:tcW w:w="1559" w:type="dxa"/>
                  <w:tcBorders>
                    <w:top w:val="nil"/>
                    <w:left w:val="nil"/>
                    <w:bottom w:val="single" w:sz="4" w:space="0" w:color="auto"/>
                    <w:right w:val="single" w:sz="4" w:space="0" w:color="auto"/>
                  </w:tcBorders>
                  <w:shd w:val="clear" w:color="auto" w:fill="auto"/>
                  <w:noWrap/>
                  <w:vAlign w:val="bottom"/>
                  <w:hideMark/>
                </w:tcPr>
                <w:p w14:paraId="4A77498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250</w:t>
                  </w:r>
                </w:p>
              </w:tc>
            </w:tr>
            <w:tr w:rsidR="00B60B86" w:rsidRPr="00B60B86" w14:paraId="3C6A4F9A"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71842C47"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Business loans</w:t>
                  </w:r>
                </w:p>
              </w:tc>
              <w:tc>
                <w:tcPr>
                  <w:tcW w:w="1122" w:type="dxa"/>
                  <w:tcBorders>
                    <w:top w:val="nil"/>
                    <w:left w:val="nil"/>
                    <w:bottom w:val="single" w:sz="4" w:space="0" w:color="auto"/>
                    <w:right w:val="single" w:sz="4" w:space="0" w:color="auto"/>
                  </w:tcBorders>
                  <w:shd w:val="clear" w:color="auto" w:fill="auto"/>
                  <w:noWrap/>
                  <w:vAlign w:val="bottom"/>
                  <w:hideMark/>
                </w:tcPr>
                <w:p w14:paraId="76A3A649"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350</w:t>
                  </w:r>
                </w:p>
              </w:tc>
              <w:tc>
                <w:tcPr>
                  <w:tcW w:w="1134" w:type="dxa"/>
                  <w:tcBorders>
                    <w:top w:val="nil"/>
                    <w:left w:val="nil"/>
                    <w:bottom w:val="single" w:sz="4" w:space="0" w:color="auto"/>
                    <w:right w:val="single" w:sz="4" w:space="0" w:color="auto"/>
                  </w:tcBorders>
                  <w:shd w:val="clear" w:color="auto" w:fill="auto"/>
                  <w:noWrap/>
                  <w:vAlign w:val="bottom"/>
                  <w:hideMark/>
                </w:tcPr>
                <w:p w14:paraId="7F2F408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350</w:t>
                  </w:r>
                </w:p>
              </w:tc>
              <w:tc>
                <w:tcPr>
                  <w:tcW w:w="1559" w:type="dxa"/>
                  <w:tcBorders>
                    <w:top w:val="nil"/>
                    <w:left w:val="nil"/>
                    <w:bottom w:val="single" w:sz="4" w:space="0" w:color="auto"/>
                    <w:right w:val="single" w:sz="4" w:space="0" w:color="auto"/>
                  </w:tcBorders>
                  <w:shd w:val="clear" w:color="auto" w:fill="auto"/>
                  <w:noWrap/>
                  <w:vAlign w:val="bottom"/>
                  <w:hideMark/>
                </w:tcPr>
                <w:p w14:paraId="52CB0DD9"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350</w:t>
                  </w:r>
                </w:p>
              </w:tc>
              <w:tc>
                <w:tcPr>
                  <w:tcW w:w="1701" w:type="dxa"/>
                  <w:tcBorders>
                    <w:top w:val="nil"/>
                    <w:left w:val="nil"/>
                    <w:bottom w:val="single" w:sz="4" w:space="0" w:color="auto"/>
                    <w:right w:val="single" w:sz="4" w:space="0" w:color="auto"/>
                  </w:tcBorders>
                  <w:shd w:val="clear" w:color="auto" w:fill="auto"/>
                  <w:noWrap/>
                  <w:vAlign w:val="bottom"/>
                  <w:hideMark/>
                </w:tcPr>
                <w:p w14:paraId="52DF2E7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350</w:t>
                  </w:r>
                </w:p>
              </w:tc>
              <w:tc>
                <w:tcPr>
                  <w:tcW w:w="1701" w:type="dxa"/>
                  <w:tcBorders>
                    <w:top w:val="nil"/>
                    <w:left w:val="nil"/>
                    <w:bottom w:val="single" w:sz="4" w:space="0" w:color="auto"/>
                    <w:right w:val="single" w:sz="4" w:space="0" w:color="auto"/>
                  </w:tcBorders>
                  <w:shd w:val="clear" w:color="auto" w:fill="auto"/>
                  <w:noWrap/>
                  <w:vAlign w:val="bottom"/>
                  <w:hideMark/>
                </w:tcPr>
                <w:p w14:paraId="5705CBD7"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350</w:t>
                  </w:r>
                </w:p>
              </w:tc>
              <w:tc>
                <w:tcPr>
                  <w:tcW w:w="1559" w:type="dxa"/>
                  <w:tcBorders>
                    <w:top w:val="nil"/>
                    <w:left w:val="nil"/>
                    <w:bottom w:val="single" w:sz="4" w:space="0" w:color="auto"/>
                    <w:right w:val="single" w:sz="4" w:space="0" w:color="auto"/>
                  </w:tcBorders>
                  <w:shd w:val="clear" w:color="auto" w:fill="auto"/>
                  <w:noWrap/>
                  <w:vAlign w:val="bottom"/>
                  <w:hideMark/>
                </w:tcPr>
                <w:p w14:paraId="1469DDA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350</w:t>
                  </w:r>
                </w:p>
              </w:tc>
            </w:tr>
            <w:tr w:rsidR="00B60B86" w:rsidRPr="00B60B86" w14:paraId="5F274BF4"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557C964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Property rent</w:t>
                  </w:r>
                </w:p>
              </w:tc>
              <w:tc>
                <w:tcPr>
                  <w:tcW w:w="1122" w:type="dxa"/>
                  <w:tcBorders>
                    <w:top w:val="nil"/>
                    <w:left w:val="nil"/>
                    <w:bottom w:val="single" w:sz="4" w:space="0" w:color="auto"/>
                    <w:right w:val="single" w:sz="4" w:space="0" w:color="auto"/>
                  </w:tcBorders>
                  <w:shd w:val="clear" w:color="auto" w:fill="auto"/>
                  <w:noWrap/>
                  <w:vAlign w:val="bottom"/>
                  <w:hideMark/>
                </w:tcPr>
                <w:p w14:paraId="279EA2C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w:t>
                  </w:r>
                </w:p>
              </w:tc>
              <w:tc>
                <w:tcPr>
                  <w:tcW w:w="1134" w:type="dxa"/>
                  <w:tcBorders>
                    <w:top w:val="nil"/>
                    <w:left w:val="nil"/>
                    <w:bottom w:val="single" w:sz="4" w:space="0" w:color="auto"/>
                    <w:right w:val="single" w:sz="4" w:space="0" w:color="auto"/>
                  </w:tcBorders>
                  <w:shd w:val="clear" w:color="auto" w:fill="auto"/>
                  <w:noWrap/>
                  <w:vAlign w:val="bottom"/>
                  <w:hideMark/>
                </w:tcPr>
                <w:p w14:paraId="0BD8470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w:t>
                  </w:r>
                </w:p>
              </w:tc>
              <w:tc>
                <w:tcPr>
                  <w:tcW w:w="1559" w:type="dxa"/>
                  <w:tcBorders>
                    <w:top w:val="nil"/>
                    <w:left w:val="nil"/>
                    <w:bottom w:val="single" w:sz="4" w:space="0" w:color="auto"/>
                    <w:right w:val="single" w:sz="4" w:space="0" w:color="auto"/>
                  </w:tcBorders>
                  <w:shd w:val="clear" w:color="auto" w:fill="auto"/>
                  <w:noWrap/>
                  <w:vAlign w:val="bottom"/>
                  <w:hideMark/>
                </w:tcPr>
                <w:p w14:paraId="03288B25"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w:t>
                  </w:r>
                </w:p>
              </w:tc>
              <w:tc>
                <w:tcPr>
                  <w:tcW w:w="1701" w:type="dxa"/>
                  <w:tcBorders>
                    <w:top w:val="nil"/>
                    <w:left w:val="nil"/>
                    <w:bottom w:val="single" w:sz="4" w:space="0" w:color="auto"/>
                    <w:right w:val="single" w:sz="4" w:space="0" w:color="auto"/>
                  </w:tcBorders>
                  <w:shd w:val="clear" w:color="auto" w:fill="auto"/>
                  <w:noWrap/>
                  <w:vAlign w:val="bottom"/>
                  <w:hideMark/>
                </w:tcPr>
                <w:p w14:paraId="456EAA2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w:t>
                  </w:r>
                </w:p>
              </w:tc>
              <w:tc>
                <w:tcPr>
                  <w:tcW w:w="1701" w:type="dxa"/>
                  <w:tcBorders>
                    <w:top w:val="nil"/>
                    <w:left w:val="nil"/>
                    <w:bottom w:val="single" w:sz="4" w:space="0" w:color="auto"/>
                    <w:right w:val="single" w:sz="4" w:space="0" w:color="auto"/>
                  </w:tcBorders>
                  <w:shd w:val="clear" w:color="auto" w:fill="auto"/>
                  <w:noWrap/>
                  <w:vAlign w:val="bottom"/>
                  <w:hideMark/>
                </w:tcPr>
                <w:p w14:paraId="4181D43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w:t>
                  </w:r>
                </w:p>
              </w:tc>
              <w:tc>
                <w:tcPr>
                  <w:tcW w:w="1559" w:type="dxa"/>
                  <w:tcBorders>
                    <w:top w:val="nil"/>
                    <w:left w:val="nil"/>
                    <w:bottom w:val="single" w:sz="4" w:space="0" w:color="auto"/>
                    <w:right w:val="single" w:sz="4" w:space="0" w:color="auto"/>
                  </w:tcBorders>
                  <w:shd w:val="clear" w:color="auto" w:fill="auto"/>
                  <w:noWrap/>
                  <w:vAlign w:val="bottom"/>
                  <w:hideMark/>
                </w:tcPr>
                <w:p w14:paraId="2CB60D4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w:t>
                  </w:r>
                </w:p>
              </w:tc>
            </w:tr>
            <w:tr w:rsidR="00B60B86" w:rsidRPr="00B60B86" w14:paraId="12435BB8"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0199CB9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22" w:type="dxa"/>
                  <w:tcBorders>
                    <w:top w:val="nil"/>
                    <w:left w:val="nil"/>
                    <w:bottom w:val="single" w:sz="4" w:space="0" w:color="auto"/>
                    <w:right w:val="single" w:sz="4" w:space="0" w:color="auto"/>
                  </w:tcBorders>
                  <w:shd w:val="clear" w:color="auto" w:fill="auto"/>
                  <w:noWrap/>
                  <w:vAlign w:val="bottom"/>
                  <w:hideMark/>
                </w:tcPr>
                <w:p w14:paraId="04238A84"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6285A1B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3B993AC2"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00700031"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63C417DD"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74D45EBD"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313F69E8"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3D225A6A"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Total Fixed costs</w:t>
                  </w:r>
                </w:p>
              </w:tc>
              <w:tc>
                <w:tcPr>
                  <w:tcW w:w="1122" w:type="dxa"/>
                  <w:tcBorders>
                    <w:top w:val="nil"/>
                    <w:left w:val="nil"/>
                    <w:bottom w:val="single" w:sz="4" w:space="0" w:color="auto"/>
                    <w:right w:val="single" w:sz="4" w:space="0" w:color="auto"/>
                  </w:tcBorders>
                  <w:shd w:val="clear" w:color="auto" w:fill="auto"/>
                  <w:noWrap/>
                  <w:vAlign w:val="bottom"/>
                  <w:hideMark/>
                </w:tcPr>
                <w:p w14:paraId="69F373AA"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8400</w:t>
                  </w:r>
                </w:p>
              </w:tc>
              <w:tc>
                <w:tcPr>
                  <w:tcW w:w="1134" w:type="dxa"/>
                  <w:tcBorders>
                    <w:top w:val="nil"/>
                    <w:left w:val="nil"/>
                    <w:bottom w:val="single" w:sz="4" w:space="0" w:color="auto"/>
                    <w:right w:val="single" w:sz="4" w:space="0" w:color="auto"/>
                  </w:tcBorders>
                  <w:shd w:val="clear" w:color="auto" w:fill="auto"/>
                  <w:noWrap/>
                  <w:vAlign w:val="bottom"/>
                  <w:hideMark/>
                </w:tcPr>
                <w:p w14:paraId="3BA934D3"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8400</w:t>
                  </w:r>
                </w:p>
              </w:tc>
              <w:tc>
                <w:tcPr>
                  <w:tcW w:w="1559" w:type="dxa"/>
                  <w:tcBorders>
                    <w:top w:val="nil"/>
                    <w:left w:val="nil"/>
                    <w:bottom w:val="single" w:sz="4" w:space="0" w:color="auto"/>
                    <w:right w:val="single" w:sz="4" w:space="0" w:color="auto"/>
                  </w:tcBorders>
                  <w:shd w:val="clear" w:color="auto" w:fill="auto"/>
                  <w:noWrap/>
                  <w:vAlign w:val="bottom"/>
                  <w:hideMark/>
                </w:tcPr>
                <w:p w14:paraId="655C43FD"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8400</w:t>
                  </w:r>
                </w:p>
              </w:tc>
              <w:tc>
                <w:tcPr>
                  <w:tcW w:w="1701" w:type="dxa"/>
                  <w:tcBorders>
                    <w:top w:val="nil"/>
                    <w:left w:val="nil"/>
                    <w:bottom w:val="single" w:sz="4" w:space="0" w:color="auto"/>
                    <w:right w:val="single" w:sz="4" w:space="0" w:color="auto"/>
                  </w:tcBorders>
                  <w:shd w:val="clear" w:color="auto" w:fill="auto"/>
                  <w:noWrap/>
                  <w:vAlign w:val="bottom"/>
                  <w:hideMark/>
                </w:tcPr>
                <w:p w14:paraId="1FA929BD"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8400</w:t>
                  </w:r>
                </w:p>
              </w:tc>
              <w:tc>
                <w:tcPr>
                  <w:tcW w:w="1701" w:type="dxa"/>
                  <w:tcBorders>
                    <w:top w:val="nil"/>
                    <w:left w:val="nil"/>
                    <w:bottom w:val="single" w:sz="4" w:space="0" w:color="auto"/>
                    <w:right w:val="single" w:sz="4" w:space="0" w:color="auto"/>
                  </w:tcBorders>
                  <w:shd w:val="clear" w:color="auto" w:fill="auto"/>
                  <w:noWrap/>
                  <w:vAlign w:val="bottom"/>
                  <w:hideMark/>
                </w:tcPr>
                <w:p w14:paraId="37B2EF8F"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8400</w:t>
                  </w:r>
                </w:p>
              </w:tc>
              <w:tc>
                <w:tcPr>
                  <w:tcW w:w="1559" w:type="dxa"/>
                  <w:tcBorders>
                    <w:top w:val="nil"/>
                    <w:left w:val="nil"/>
                    <w:bottom w:val="single" w:sz="4" w:space="0" w:color="auto"/>
                    <w:right w:val="single" w:sz="4" w:space="0" w:color="auto"/>
                  </w:tcBorders>
                  <w:shd w:val="clear" w:color="auto" w:fill="auto"/>
                  <w:noWrap/>
                  <w:vAlign w:val="bottom"/>
                  <w:hideMark/>
                </w:tcPr>
                <w:p w14:paraId="669D07C1"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8400</w:t>
                  </w:r>
                </w:p>
              </w:tc>
            </w:tr>
            <w:tr w:rsidR="00B60B86" w:rsidRPr="00B60B86" w14:paraId="34D5788E"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68CEA73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22" w:type="dxa"/>
                  <w:tcBorders>
                    <w:top w:val="nil"/>
                    <w:left w:val="nil"/>
                    <w:bottom w:val="single" w:sz="4" w:space="0" w:color="auto"/>
                    <w:right w:val="single" w:sz="4" w:space="0" w:color="auto"/>
                  </w:tcBorders>
                  <w:shd w:val="clear" w:color="auto" w:fill="auto"/>
                  <w:noWrap/>
                  <w:vAlign w:val="bottom"/>
                  <w:hideMark/>
                </w:tcPr>
                <w:p w14:paraId="5AF2FE0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3708C3E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664FB7C6"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1B4A1EB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058A238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1F810CD1"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0128D39F"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7C7EB620"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Variable costs</w:t>
                  </w:r>
                </w:p>
              </w:tc>
              <w:tc>
                <w:tcPr>
                  <w:tcW w:w="1122" w:type="dxa"/>
                  <w:tcBorders>
                    <w:top w:val="nil"/>
                    <w:left w:val="nil"/>
                    <w:bottom w:val="single" w:sz="4" w:space="0" w:color="auto"/>
                    <w:right w:val="single" w:sz="4" w:space="0" w:color="auto"/>
                  </w:tcBorders>
                  <w:shd w:val="clear" w:color="auto" w:fill="auto"/>
                  <w:noWrap/>
                  <w:vAlign w:val="bottom"/>
                  <w:hideMark/>
                </w:tcPr>
                <w:p w14:paraId="241DE1F6"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2972696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2542F98D"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156C5B3C"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78F4CB6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622D5BD5"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4E58FFB7"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164B3B0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Supplier costs</w:t>
                  </w:r>
                </w:p>
              </w:tc>
              <w:tc>
                <w:tcPr>
                  <w:tcW w:w="1122" w:type="dxa"/>
                  <w:tcBorders>
                    <w:top w:val="nil"/>
                    <w:left w:val="nil"/>
                    <w:bottom w:val="single" w:sz="4" w:space="0" w:color="auto"/>
                    <w:right w:val="single" w:sz="4" w:space="0" w:color="auto"/>
                  </w:tcBorders>
                  <w:shd w:val="clear" w:color="auto" w:fill="auto"/>
                  <w:noWrap/>
                  <w:vAlign w:val="bottom"/>
                  <w:hideMark/>
                </w:tcPr>
                <w:p w14:paraId="5F2535B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1000</w:t>
                  </w:r>
                </w:p>
              </w:tc>
              <w:tc>
                <w:tcPr>
                  <w:tcW w:w="1134" w:type="dxa"/>
                  <w:tcBorders>
                    <w:top w:val="nil"/>
                    <w:left w:val="nil"/>
                    <w:bottom w:val="single" w:sz="4" w:space="0" w:color="auto"/>
                    <w:right w:val="single" w:sz="4" w:space="0" w:color="auto"/>
                  </w:tcBorders>
                  <w:shd w:val="clear" w:color="auto" w:fill="auto"/>
                  <w:noWrap/>
                  <w:vAlign w:val="bottom"/>
                  <w:hideMark/>
                </w:tcPr>
                <w:p w14:paraId="318AAA9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1200</w:t>
                  </w:r>
                </w:p>
              </w:tc>
              <w:tc>
                <w:tcPr>
                  <w:tcW w:w="1559" w:type="dxa"/>
                  <w:tcBorders>
                    <w:top w:val="nil"/>
                    <w:left w:val="nil"/>
                    <w:bottom w:val="single" w:sz="4" w:space="0" w:color="auto"/>
                    <w:right w:val="single" w:sz="4" w:space="0" w:color="auto"/>
                  </w:tcBorders>
                  <w:shd w:val="clear" w:color="auto" w:fill="auto"/>
                  <w:noWrap/>
                  <w:vAlign w:val="bottom"/>
                  <w:hideMark/>
                </w:tcPr>
                <w:p w14:paraId="2FBE999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1350</w:t>
                  </w:r>
                </w:p>
              </w:tc>
              <w:tc>
                <w:tcPr>
                  <w:tcW w:w="1701" w:type="dxa"/>
                  <w:tcBorders>
                    <w:top w:val="nil"/>
                    <w:left w:val="nil"/>
                    <w:bottom w:val="single" w:sz="4" w:space="0" w:color="auto"/>
                    <w:right w:val="single" w:sz="4" w:space="0" w:color="auto"/>
                  </w:tcBorders>
                  <w:shd w:val="clear" w:color="auto" w:fill="auto"/>
                  <w:noWrap/>
                  <w:vAlign w:val="bottom"/>
                  <w:hideMark/>
                </w:tcPr>
                <w:p w14:paraId="3E1683E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1450</w:t>
                  </w:r>
                </w:p>
              </w:tc>
              <w:tc>
                <w:tcPr>
                  <w:tcW w:w="1701" w:type="dxa"/>
                  <w:tcBorders>
                    <w:top w:val="nil"/>
                    <w:left w:val="nil"/>
                    <w:bottom w:val="single" w:sz="4" w:space="0" w:color="auto"/>
                    <w:right w:val="single" w:sz="4" w:space="0" w:color="auto"/>
                  </w:tcBorders>
                  <w:shd w:val="clear" w:color="auto" w:fill="auto"/>
                  <w:noWrap/>
                  <w:vAlign w:val="bottom"/>
                  <w:hideMark/>
                </w:tcPr>
                <w:p w14:paraId="00CE22A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1500</w:t>
                  </w:r>
                </w:p>
              </w:tc>
              <w:tc>
                <w:tcPr>
                  <w:tcW w:w="1559" w:type="dxa"/>
                  <w:tcBorders>
                    <w:top w:val="nil"/>
                    <w:left w:val="nil"/>
                    <w:bottom w:val="single" w:sz="4" w:space="0" w:color="auto"/>
                    <w:right w:val="single" w:sz="4" w:space="0" w:color="auto"/>
                  </w:tcBorders>
                  <w:shd w:val="clear" w:color="auto" w:fill="auto"/>
                  <w:noWrap/>
                  <w:vAlign w:val="bottom"/>
                  <w:hideMark/>
                </w:tcPr>
                <w:p w14:paraId="7F1471A7"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1700</w:t>
                  </w:r>
                </w:p>
              </w:tc>
            </w:tr>
            <w:tr w:rsidR="00B60B86" w:rsidRPr="00B60B86" w14:paraId="5ACCD194"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4756F203"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Raw materials</w:t>
                  </w:r>
                </w:p>
              </w:tc>
              <w:tc>
                <w:tcPr>
                  <w:tcW w:w="1122" w:type="dxa"/>
                  <w:tcBorders>
                    <w:top w:val="nil"/>
                    <w:left w:val="nil"/>
                    <w:bottom w:val="single" w:sz="4" w:space="0" w:color="auto"/>
                    <w:right w:val="single" w:sz="4" w:space="0" w:color="auto"/>
                  </w:tcBorders>
                  <w:shd w:val="clear" w:color="auto" w:fill="auto"/>
                  <w:noWrap/>
                  <w:vAlign w:val="bottom"/>
                  <w:hideMark/>
                </w:tcPr>
                <w:p w14:paraId="6D8F3175"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600</w:t>
                  </w:r>
                </w:p>
              </w:tc>
              <w:tc>
                <w:tcPr>
                  <w:tcW w:w="1134" w:type="dxa"/>
                  <w:tcBorders>
                    <w:top w:val="nil"/>
                    <w:left w:val="nil"/>
                    <w:bottom w:val="single" w:sz="4" w:space="0" w:color="auto"/>
                    <w:right w:val="single" w:sz="4" w:space="0" w:color="auto"/>
                  </w:tcBorders>
                  <w:shd w:val="clear" w:color="auto" w:fill="auto"/>
                  <w:noWrap/>
                  <w:vAlign w:val="bottom"/>
                  <w:hideMark/>
                </w:tcPr>
                <w:p w14:paraId="29694393"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680</w:t>
                  </w:r>
                </w:p>
              </w:tc>
              <w:tc>
                <w:tcPr>
                  <w:tcW w:w="1559" w:type="dxa"/>
                  <w:tcBorders>
                    <w:top w:val="nil"/>
                    <w:left w:val="nil"/>
                    <w:bottom w:val="single" w:sz="4" w:space="0" w:color="auto"/>
                    <w:right w:val="single" w:sz="4" w:space="0" w:color="auto"/>
                  </w:tcBorders>
                  <w:shd w:val="clear" w:color="auto" w:fill="auto"/>
                  <w:noWrap/>
                  <w:vAlign w:val="bottom"/>
                  <w:hideMark/>
                </w:tcPr>
                <w:p w14:paraId="465231C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780</w:t>
                  </w:r>
                </w:p>
              </w:tc>
              <w:tc>
                <w:tcPr>
                  <w:tcW w:w="1701" w:type="dxa"/>
                  <w:tcBorders>
                    <w:top w:val="nil"/>
                    <w:left w:val="nil"/>
                    <w:bottom w:val="single" w:sz="4" w:space="0" w:color="auto"/>
                    <w:right w:val="single" w:sz="4" w:space="0" w:color="auto"/>
                  </w:tcBorders>
                  <w:shd w:val="clear" w:color="auto" w:fill="auto"/>
                  <w:noWrap/>
                  <w:vAlign w:val="bottom"/>
                  <w:hideMark/>
                </w:tcPr>
                <w:p w14:paraId="5A4D3F5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870</w:t>
                  </w:r>
                </w:p>
              </w:tc>
              <w:tc>
                <w:tcPr>
                  <w:tcW w:w="1701" w:type="dxa"/>
                  <w:tcBorders>
                    <w:top w:val="nil"/>
                    <w:left w:val="nil"/>
                    <w:bottom w:val="single" w:sz="4" w:space="0" w:color="auto"/>
                    <w:right w:val="single" w:sz="4" w:space="0" w:color="auto"/>
                  </w:tcBorders>
                  <w:shd w:val="clear" w:color="auto" w:fill="auto"/>
                  <w:noWrap/>
                  <w:vAlign w:val="bottom"/>
                  <w:hideMark/>
                </w:tcPr>
                <w:p w14:paraId="6082E8F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880</w:t>
                  </w:r>
                </w:p>
              </w:tc>
              <w:tc>
                <w:tcPr>
                  <w:tcW w:w="1559" w:type="dxa"/>
                  <w:tcBorders>
                    <w:top w:val="nil"/>
                    <w:left w:val="nil"/>
                    <w:bottom w:val="single" w:sz="4" w:space="0" w:color="auto"/>
                    <w:right w:val="single" w:sz="4" w:space="0" w:color="auto"/>
                  </w:tcBorders>
                  <w:shd w:val="clear" w:color="auto" w:fill="auto"/>
                  <w:noWrap/>
                  <w:vAlign w:val="bottom"/>
                  <w:hideMark/>
                </w:tcPr>
                <w:p w14:paraId="192FD36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940</w:t>
                  </w:r>
                </w:p>
              </w:tc>
            </w:tr>
            <w:tr w:rsidR="00B60B86" w:rsidRPr="00B60B86" w14:paraId="7D3C6A58"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7E911472"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Distribution cost</w:t>
                  </w:r>
                </w:p>
              </w:tc>
              <w:tc>
                <w:tcPr>
                  <w:tcW w:w="1122" w:type="dxa"/>
                  <w:tcBorders>
                    <w:top w:val="nil"/>
                    <w:left w:val="nil"/>
                    <w:bottom w:val="single" w:sz="4" w:space="0" w:color="auto"/>
                    <w:right w:val="single" w:sz="4" w:space="0" w:color="auto"/>
                  </w:tcBorders>
                  <w:shd w:val="clear" w:color="auto" w:fill="auto"/>
                  <w:noWrap/>
                  <w:vAlign w:val="bottom"/>
                  <w:hideMark/>
                </w:tcPr>
                <w:p w14:paraId="1ECA5905"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400</w:t>
                  </w:r>
                </w:p>
              </w:tc>
              <w:tc>
                <w:tcPr>
                  <w:tcW w:w="1134" w:type="dxa"/>
                  <w:tcBorders>
                    <w:top w:val="nil"/>
                    <w:left w:val="nil"/>
                    <w:bottom w:val="single" w:sz="4" w:space="0" w:color="auto"/>
                    <w:right w:val="single" w:sz="4" w:space="0" w:color="auto"/>
                  </w:tcBorders>
                  <w:shd w:val="clear" w:color="auto" w:fill="auto"/>
                  <w:noWrap/>
                  <w:vAlign w:val="bottom"/>
                  <w:hideMark/>
                </w:tcPr>
                <w:p w14:paraId="53C5D52E"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420</w:t>
                  </w:r>
                </w:p>
              </w:tc>
              <w:tc>
                <w:tcPr>
                  <w:tcW w:w="1559" w:type="dxa"/>
                  <w:tcBorders>
                    <w:top w:val="nil"/>
                    <w:left w:val="nil"/>
                    <w:bottom w:val="single" w:sz="4" w:space="0" w:color="auto"/>
                    <w:right w:val="single" w:sz="4" w:space="0" w:color="auto"/>
                  </w:tcBorders>
                  <w:shd w:val="clear" w:color="auto" w:fill="auto"/>
                  <w:noWrap/>
                  <w:vAlign w:val="bottom"/>
                  <w:hideMark/>
                </w:tcPr>
                <w:p w14:paraId="679020AC"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480</w:t>
                  </w:r>
                </w:p>
              </w:tc>
              <w:tc>
                <w:tcPr>
                  <w:tcW w:w="1701" w:type="dxa"/>
                  <w:tcBorders>
                    <w:top w:val="nil"/>
                    <w:left w:val="nil"/>
                    <w:bottom w:val="single" w:sz="4" w:space="0" w:color="auto"/>
                    <w:right w:val="single" w:sz="4" w:space="0" w:color="auto"/>
                  </w:tcBorders>
                  <w:shd w:val="clear" w:color="auto" w:fill="auto"/>
                  <w:noWrap/>
                  <w:vAlign w:val="bottom"/>
                  <w:hideMark/>
                </w:tcPr>
                <w:p w14:paraId="1F4253F5"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520</w:t>
                  </w:r>
                </w:p>
              </w:tc>
              <w:tc>
                <w:tcPr>
                  <w:tcW w:w="1701" w:type="dxa"/>
                  <w:tcBorders>
                    <w:top w:val="nil"/>
                    <w:left w:val="nil"/>
                    <w:bottom w:val="single" w:sz="4" w:space="0" w:color="auto"/>
                    <w:right w:val="single" w:sz="4" w:space="0" w:color="auto"/>
                  </w:tcBorders>
                  <w:shd w:val="clear" w:color="auto" w:fill="auto"/>
                  <w:noWrap/>
                  <w:vAlign w:val="bottom"/>
                  <w:hideMark/>
                </w:tcPr>
                <w:p w14:paraId="4E9B9FF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550</w:t>
                  </w:r>
                </w:p>
              </w:tc>
              <w:tc>
                <w:tcPr>
                  <w:tcW w:w="1559" w:type="dxa"/>
                  <w:tcBorders>
                    <w:top w:val="nil"/>
                    <w:left w:val="nil"/>
                    <w:bottom w:val="single" w:sz="4" w:space="0" w:color="auto"/>
                    <w:right w:val="single" w:sz="4" w:space="0" w:color="auto"/>
                  </w:tcBorders>
                  <w:shd w:val="clear" w:color="auto" w:fill="auto"/>
                  <w:noWrap/>
                  <w:vAlign w:val="bottom"/>
                  <w:hideMark/>
                </w:tcPr>
                <w:p w14:paraId="4353B465"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800</w:t>
                  </w:r>
                </w:p>
              </w:tc>
            </w:tr>
            <w:tr w:rsidR="00B60B86" w:rsidRPr="00B60B86" w14:paraId="1C5C91A1"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11C8A224"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Production cost</w:t>
                  </w:r>
                </w:p>
              </w:tc>
              <w:tc>
                <w:tcPr>
                  <w:tcW w:w="1122" w:type="dxa"/>
                  <w:tcBorders>
                    <w:top w:val="nil"/>
                    <w:left w:val="nil"/>
                    <w:bottom w:val="single" w:sz="4" w:space="0" w:color="auto"/>
                    <w:right w:val="single" w:sz="4" w:space="0" w:color="auto"/>
                  </w:tcBorders>
                  <w:shd w:val="clear" w:color="auto" w:fill="auto"/>
                  <w:noWrap/>
                  <w:vAlign w:val="bottom"/>
                  <w:hideMark/>
                </w:tcPr>
                <w:p w14:paraId="5900EF68"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300</w:t>
                  </w:r>
                </w:p>
              </w:tc>
              <w:tc>
                <w:tcPr>
                  <w:tcW w:w="1134" w:type="dxa"/>
                  <w:tcBorders>
                    <w:top w:val="nil"/>
                    <w:left w:val="nil"/>
                    <w:bottom w:val="single" w:sz="4" w:space="0" w:color="auto"/>
                    <w:right w:val="single" w:sz="4" w:space="0" w:color="auto"/>
                  </w:tcBorders>
                  <w:shd w:val="clear" w:color="auto" w:fill="auto"/>
                  <w:noWrap/>
                  <w:vAlign w:val="bottom"/>
                  <w:hideMark/>
                </w:tcPr>
                <w:p w14:paraId="13ED48B1"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400</w:t>
                  </w:r>
                </w:p>
              </w:tc>
              <w:tc>
                <w:tcPr>
                  <w:tcW w:w="1559" w:type="dxa"/>
                  <w:tcBorders>
                    <w:top w:val="nil"/>
                    <w:left w:val="nil"/>
                    <w:bottom w:val="single" w:sz="4" w:space="0" w:color="auto"/>
                    <w:right w:val="single" w:sz="4" w:space="0" w:color="auto"/>
                  </w:tcBorders>
                  <w:shd w:val="clear" w:color="auto" w:fill="auto"/>
                  <w:noWrap/>
                  <w:vAlign w:val="bottom"/>
                  <w:hideMark/>
                </w:tcPr>
                <w:p w14:paraId="110A74F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450</w:t>
                  </w:r>
                </w:p>
              </w:tc>
              <w:tc>
                <w:tcPr>
                  <w:tcW w:w="1701" w:type="dxa"/>
                  <w:tcBorders>
                    <w:top w:val="nil"/>
                    <w:left w:val="nil"/>
                    <w:bottom w:val="single" w:sz="4" w:space="0" w:color="auto"/>
                    <w:right w:val="single" w:sz="4" w:space="0" w:color="auto"/>
                  </w:tcBorders>
                  <w:shd w:val="clear" w:color="auto" w:fill="auto"/>
                  <w:noWrap/>
                  <w:vAlign w:val="bottom"/>
                  <w:hideMark/>
                </w:tcPr>
                <w:p w14:paraId="5935BFDB"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520</w:t>
                  </w:r>
                </w:p>
              </w:tc>
              <w:tc>
                <w:tcPr>
                  <w:tcW w:w="1701" w:type="dxa"/>
                  <w:tcBorders>
                    <w:top w:val="nil"/>
                    <w:left w:val="nil"/>
                    <w:bottom w:val="single" w:sz="4" w:space="0" w:color="auto"/>
                    <w:right w:val="single" w:sz="4" w:space="0" w:color="auto"/>
                  </w:tcBorders>
                  <w:shd w:val="clear" w:color="auto" w:fill="auto"/>
                  <w:noWrap/>
                  <w:vAlign w:val="bottom"/>
                  <w:hideMark/>
                </w:tcPr>
                <w:p w14:paraId="7E0E212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550</w:t>
                  </w:r>
                </w:p>
              </w:tc>
              <w:tc>
                <w:tcPr>
                  <w:tcW w:w="1559" w:type="dxa"/>
                  <w:tcBorders>
                    <w:top w:val="nil"/>
                    <w:left w:val="nil"/>
                    <w:bottom w:val="single" w:sz="4" w:space="0" w:color="auto"/>
                    <w:right w:val="single" w:sz="4" w:space="0" w:color="auto"/>
                  </w:tcBorders>
                  <w:shd w:val="clear" w:color="auto" w:fill="auto"/>
                  <w:noWrap/>
                  <w:vAlign w:val="bottom"/>
                  <w:hideMark/>
                </w:tcPr>
                <w:p w14:paraId="7F19D064"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580</w:t>
                  </w:r>
                </w:p>
              </w:tc>
            </w:tr>
            <w:tr w:rsidR="00B60B86" w:rsidRPr="00B60B86" w14:paraId="71D69D34"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264B865C"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App management charges</w:t>
                  </w:r>
                </w:p>
              </w:tc>
              <w:tc>
                <w:tcPr>
                  <w:tcW w:w="1122" w:type="dxa"/>
                  <w:tcBorders>
                    <w:top w:val="nil"/>
                    <w:left w:val="nil"/>
                    <w:bottom w:val="single" w:sz="4" w:space="0" w:color="auto"/>
                    <w:right w:val="single" w:sz="4" w:space="0" w:color="auto"/>
                  </w:tcBorders>
                  <w:shd w:val="clear" w:color="auto" w:fill="auto"/>
                  <w:noWrap/>
                  <w:vAlign w:val="bottom"/>
                  <w:hideMark/>
                </w:tcPr>
                <w:p w14:paraId="3A6E4C17"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600</w:t>
                  </w:r>
                </w:p>
              </w:tc>
              <w:tc>
                <w:tcPr>
                  <w:tcW w:w="1134" w:type="dxa"/>
                  <w:tcBorders>
                    <w:top w:val="nil"/>
                    <w:left w:val="nil"/>
                    <w:bottom w:val="single" w:sz="4" w:space="0" w:color="auto"/>
                    <w:right w:val="single" w:sz="4" w:space="0" w:color="auto"/>
                  </w:tcBorders>
                  <w:shd w:val="clear" w:color="auto" w:fill="auto"/>
                  <w:noWrap/>
                  <w:vAlign w:val="bottom"/>
                  <w:hideMark/>
                </w:tcPr>
                <w:p w14:paraId="3469F1F0"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670</w:t>
                  </w:r>
                </w:p>
              </w:tc>
              <w:tc>
                <w:tcPr>
                  <w:tcW w:w="1559" w:type="dxa"/>
                  <w:tcBorders>
                    <w:top w:val="nil"/>
                    <w:left w:val="nil"/>
                    <w:bottom w:val="single" w:sz="4" w:space="0" w:color="auto"/>
                    <w:right w:val="single" w:sz="4" w:space="0" w:color="auto"/>
                  </w:tcBorders>
                  <w:shd w:val="clear" w:color="auto" w:fill="auto"/>
                  <w:noWrap/>
                  <w:vAlign w:val="bottom"/>
                  <w:hideMark/>
                </w:tcPr>
                <w:p w14:paraId="5F73470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720</w:t>
                  </w:r>
                </w:p>
              </w:tc>
              <w:tc>
                <w:tcPr>
                  <w:tcW w:w="1701" w:type="dxa"/>
                  <w:tcBorders>
                    <w:top w:val="nil"/>
                    <w:left w:val="nil"/>
                    <w:bottom w:val="single" w:sz="4" w:space="0" w:color="auto"/>
                    <w:right w:val="single" w:sz="4" w:space="0" w:color="auto"/>
                  </w:tcBorders>
                  <w:shd w:val="clear" w:color="auto" w:fill="auto"/>
                  <w:noWrap/>
                  <w:vAlign w:val="bottom"/>
                  <w:hideMark/>
                </w:tcPr>
                <w:p w14:paraId="64788BE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750</w:t>
                  </w:r>
                </w:p>
              </w:tc>
              <w:tc>
                <w:tcPr>
                  <w:tcW w:w="1701" w:type="dxa"/>
                  <w:tcBorders>
                    <w:top w:val="nil"/>
                    <w:left w:val="nil"/>
                    <w:bottom w:val="single" w:sz="4" w:space="0" w:color="auto"/>
                    <w:right w:val="single" w:sz="4" w:space="0" w:color="auto"/>
                  </w:tcBorders>
                  <w:shd w:val="clear" w:color="auto" w:fill="auto"/>
                  <w:noWrap/>
                  <w:vAlign w:val="bottom"/>
                  <w:hideMark/>
                </w:tcPr>
                <w:p w14:paraId="7F9C8EEF"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780</w:t>
                  </w:r>
                </w:p>
              </w:tc>
              <w:tc>
                <w:tcPr>
                  <w:tcW w:w="1559" w:type="dxa"/>
                  <w:tcBorders>
                    <w:top w:val="nil"/>
                    <w:left w:val="nil"/>
                    <w:bottom w:val="single" w:sz="4" w:space="0" w:color="auto"/>
                    <w:right w:val="single" w:sz="4" w:space="0" w:color="auto"/>
                  </w:tcBorders>
                  <w:shd w:val="clear" w:color="auto" w:fill="auto"/>
                  <w:noWrap/>
                  <w:vAlign w:val="bottom"/>
                  <w:hideMark/>
                </w:tcPr>
                <w:p w14:paraId="34245B7D"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800</w:t>
                  </w:r>
                </w:p>
              </w:tc>
            </w:tr>
            <w:tr w:rsidR="00B60B86" w:rsidRPr="00B60B86" w14:paraId="16035E6B"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5159C914"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Promotional costs</w:t>
                  </w:r>
                </w:p>
              </w:tc>
              <w:tc>
                <w:tcPr>
                  <w:tcW w:w="1122" w:type="dxa"/>
                  <w:tcBorders>
                    <w:top w:val="nil"/>
                    <w:left w:val="nil"/>
                    <w:bottom w:val="single" w:sz="4" w:space="0" w:color="auto"/>
                    <w:right w:val="single" w:sz="4" w:space="0" w:color="auto"/>
                  </w:tcBorders>
                  <w:shd w:val="clear" w:color="auto" w:fill="auto"/>
                  <w:noWrap/>
                  <w:vAlign w:val="bottom"/>
                  <w:hideMark/>
                </w:tcPr>
                <w:p w14:paraId="7C83E166"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900</w:t>
                  </w:r>
                </w:p>
              </w:tc>
              <w:tc>
                <w:tcPr>
                  <w:tcW w:w="1134" w:type="dxa"/>
                  <w:tcBorders>
                    <w:top w:val="nil"/>
                    <w:left w:val="nil"/>
                    <w:bottom w:val="single" w:sz="4" w:space="0" w:color="auto"/>
                    <w:right w:val="single" w:sz="4" w:space="0" w:color="auto"/>
                  </w:tcBorders>
                  <w:shd w:val="clear" w:color="auto" w:fill="auto"/>
                  <w:noWrap/>
                  <w:vAlign w:val="bottom"/>
                  <w:hideMark/>
                </w:tcPr>
                <w:p w14:paraId="6A6AFDC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1000</w:t>
                  </w:r>
                </w:p>
              </w:tc>
              <w:tc>
                <w:tcPr>
                  <w:tcW w:w="1559" w:type="dxa"/>
                  <w:tcBorders>
                    <w:top w:val="nil"/>
                    <w:left w:val="nil"/>
                    <w:bottom w:val="single" w:sz="4" w:space="0" w:color="auto"/>
                    <w:right w:val="single" w:sz="4" w:space="0" w:color="auto"/>
                  </w:tcBorders>
                  <w:shd w:val="clear" w:color="auto" w:fill="auto"/>
                  <w:noWrap/>
                  <w:vAlign w:val="bottom"/>
                  <w:hideMark/>
                </w:tcPr>
                <w:p w14:paraId="2597126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1100</w:t>
                  </w:r>
                </w:p>
              </w:tc>
              <w:tc>
                <w:tcPr>
                  <w:tcW w:w="1701" w:type="dxa"/>
                  <w:tcBorders>
                    <w:top w:val="nil"/>
                    <w:left w:val="nil"/>
                    <w:bottom w:val="single" w:sz="4" w:space="0" w:color="auto"/>
                    <w:right w:val="single" w:sz="4" w:space="0" w:color="auto"/>
                  </w:tcBorders>
                  <w:shd w:val="clear" w:color="auto" w:fill="auto"/>
                  <w:noWrap/>
                  <w:vAlign w:val="bottom"/>
                  <w:hideMark/>
                </w:tcPr>
                <w:p w14:paraId="2FAA32CB"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1200</w:t>
                  </w:r>
                </w:p>
              </w:tc>
              <w:tc>
                <w:tcPr>
                  <w:tcW w:w="1701" w:type="dxa"/>
                  <w:tcBorders>
                    <w:top w:val="nil"/>
                    <w:left w:val="nil"/>
                    <w:bottom w:val="single" w:sz="4" w:space="0" w:color="auto"/>
                    <w:right w:val="single" w:sz="4" w:space="0" w:color="auto"/>
                  </w:tcBorders>
                  <w:shd w:val="clear" w:color="auto" w:fill="auto"/>
                  <w:noWrap/>
                  <w:vAlign w:val="bottom"/>
                  <w:hideMark/>
                </w:tcPr>
                <w:p w14:paraId="2F6B57C2"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1250</w:t>
                  </w:r>
                </w:p>
              </w:tc>
              <w:tc>
                <w:tcPr>
                  <w:tcW w:w="1559" w:type="dxa"/>
                  <w:tcBorders>
                    <w:top w:val="nil"/>
                    <w:left w:val="nil"/>
                    <w:bottom w:val="single" w:sz="4" w:space="0" w:color="auto"/>
                    <w:right w:val="single" w:sz="4" w:space="0" w:color="auto"/>
                  </w:tcBorders>
                  <w:shd w:val="clear" w:color="auto" w:fill="auto"/>
                  <w:noWrap/>
                  <w:vAlign w:val="bottom"/>
                  <w:hideMark/>
                </w:tcPr>
                <w:p w14:paraId="4412884A" w14:textId="77777777" w:rsidR="00B60B86" w:rsidRPr="00B60B86" w:rsidRDefault="00B60B86" w:rsidP="00B60B86">
                  <w:pPr>
                    <w:spacing w:line="360" w:lineRule="auto"/>
                    <w:jc w:val="right"/>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1400</w:t>
                  </w:r>
                </w:p>
              </w:tc>
            </w:tr>
            <w:tr w:rsidR="00B60B86" w:rsidRPr="00B60B86" w14:paraId="13E9C148"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1A49F90D"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22" w:type="dxa"/>
                  <w:tcBorders>
                    <w:top w:val="nil"/>
                    <w:left w:val="nil"/>
                    <w:bottom w:val="single" w:sz="4" w:space="0" w:color="auto"/>
                    <w:right w:val="single" w:sz="4" w:space="0" w:color="auto"/>
                  </w:tcBorders>
                  <w:shd w:val="clear" w:color="auto" w:fill="auto"/>
                  <w:noWrap/>
                  <w:vAlign w:val="bottom"/>
                  <w:hideMark/>
                </w:tcPr>
                <w:p w14:paraId="22E43AD2"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28B14EA0"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35221CC7"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78B6D129"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18830E0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76BEE1C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51728F3D"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09A89D09"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Total variable costs</w:t>
                  </w:r>
                </w:p>
              </w:tc>
              <w:tc>
                <w:tcPr>
                  <w:tcW w:w="1122" w:type="dxa"/>
                  <w:tcBorders>
                    <w:top w:val="nil"/>
                    <w:left w:val="nil"/>
                    <w:bottom w:val="single" w:sz="4" w:space="0" w:color="auto"/>
                    <w:right w:val="single" w:sz="4" w:space="0" w:color="auto"/>
                  </w:tcBorders>
                  <w:shd w:val="clear" w:color="auto" w:fill="auto"/>
                  <w:noWrap/>
                  <w:vAlign w:val="bottom"/>
                  <w:hideMark/>
                </w:tcPr>
                <w:p w14:paraId="249D0663"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3800</w:t>
                  </w:r>
                </w:p>
              </w:tc>
              <w:tc>
                <w:tcPr>
                  <w:tcW w:w="1134" w:type="dxa"/>
                  <w:tcBorders>
                    <w:top w:val="nil"/>
                    <w:left w:val="nil"/>
                    <w:bottom w:val="single" w:sz="4" w:space="0" w:color="auto"/>
                    <w:right w:val="single" w:sz="4" w:space="0" w:color="auto"/>
                  </w:tcBorders>
                  <w:shd w:val="clear" w:color="auto" w:fill="auto"/>
                  <w:noWrap/>
                  <w:vAlign w:val="bottom"/>
                  <w:hideMark/>
                </w:tcPr>
                <w:p w14:paraId="370ACC92"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4370</w:t>
                  </w:r>
                </w:p>
              </w:tc>
              <w:tc>
                <w:tcPr>
                  <w:tcW w:w="1559" w:type="dxa"/>
                  <w:tcBorders>
                    <w:top w:val="nil"/>
                    <w:left w:val="nil"/>
                    <w:bottom w:val="single" w:sz="4" w:space="0" w:color="auto"/>
                    <w:right w:val="single" w:sz="4" w:space="0" w:color="auto"/>
                  </w:tcBorders>
                  <w:shd w:val="clear" w:color="auto" w:fill="auto"/>
                  <w:noWrap/>
                  <w:vAlign w:val="bottom"/>
                  <w:hideMark/>
                </w:tcPr>
                <w:p w14:paraId="3456D741"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4880</w:t>
                  </w:r>
                </w:p>
              </w:tc>
              <w:tc>
                <w:tcPr>
                  <w:tcW w:w="1701" w:type="dxa"/>
                  <w:tcBorders>
                    <w:top w:val="nil"/>
                    <w:left w:val="nil"/>
                    <w:bottom w:val="single" w:sz="4" w:space="0" w:color="auto"/>
                    <w:right w:val="single" w:sz="4" w:space="0" w:color="auto"/>
                  </w:tcBorders>
                  <w:shd w:val="clear" w:color="auto" w:fill="auto"/>
                  <w:noWrap/>
                  <w:vAlign w:val="bottom"/>
                  <w:hideMark/>
                </w:tcPr>
                <w:p w14:paraId="028CA6C4"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5310</w:t>
                  </w:r>
                </w:p>
              </w:tc>
              <w:tc>
                <w:tcPr>
                  <w:tcW w:w="1701" w:type="dxa"/>
                  <w:tcBorders>
                    <w:top w:val="nil"/>
                    <w:left w:val="nil"/>
                    <w:bottom w:val="single" w:sz="4" w:space="0" w:color="auto"/>
                    <w:right w:val="single" w:sz="4" w:space="0" w:color="auto"/>
                  </w:tcBorders>
                  <w:shd w:val="clear" w:color="auto" w:fill="auto"/>
                  <w:noWrap/>
                  <w:vAlign w:val="bottom"/>
                  <w:hideMark/>
                </w:tcPr>
                <w:p w14:paraId="68E671FC"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5510</w:t>
                  </w:r>
                </w:p>
              </w:tc>
              <w:tc>
                <w:tcPr>
                  <w:tcW w:w="1559" w:type="dxa"/>
                  <w:tcBorders>
                    <w:top w:val="nil"/>
                    <w:left w:val="nil"/>
                    <w:bottom w:val="single" w:sz="4" w:space="0" w:color="auto"/>
                    <w:right w:val="single" w:sz="4" w:space="0" w:color="auto"/>
                  </w:tcBorders>
                  <w:shd w:val="clear" w:color="auto" w:fill="auto"/>
                  <w:noWrap/>
                  <w:vAlign w:val="bottom"/>
                  <w:hideMark/>
                </w:tcPr>
                <w:p w14:paraId="6BAFC702"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6220</w:t>
                  </w:r>
                </w:p>
              </w:tc>
            </w:tr>
            <w:tr w:rsidR="00B60B86" w:rsidRPr="00B60B86" w14:paraId="445B5110"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32EDE636"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lastRenderedPageBreak/>
                    <w:t> </w:t>
                  </w:r>
                </w:p>
              </w:tc>
              <w:tc>
                <w:tcPr>
                  <w:tcW w:w="1122" w:type="dxa"/>
                  <w:tcBorders>
                    <w:top w:val="nil"/>
                    <w:left w:val="nil"/>
                    <w:bottom w:val="single" w:sz="4" w:space="0" w:color="auto"/>
                    <w:right w:val="single" w:sz="4" w:space="0" w:color="auto"/>
                  </w:tcBorders>
                  <w:shd w:val="clear" w:color="auto" w:fill="auto"/>
                  <w:noWrap/>
                  <w:vAlign w:val="bottom"/>
                  <w:hideMark/>
                </w:tcPr>
                <w:p w14:paraId="6BA5714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44F8359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012DD37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5616CA6F"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701" w:type="dxa"/>
                  <w:tcBorders>
                    <w:top w:val="nil"/>
                    <w:left w:val="nil"/>
                    <w:bottom w:val="single" w:sz="4" w:space="0" w:color="auto"/>
                    <w:right w:val="single" w:sz="4" w:space="0" w:color="auto"/>
                  </w:tcBorders>
                  <w:shd w:val="clear" w:color="auto" w:fill="auto"/>
                  <w:noWrap/>
                  <w:vAlign w:val="bottom"/>
                  <w:hideMark/>
                </w:tcPr>
                <w:p w14:paraId="4360D95E"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757FD6AB" w14:textId="77777777" w:rsidR="00B60B86" w:rsidRPr="00B60B86" w:rsidRDefault="00B60B86" w:rsidP="00B60B86">
                  <w:pPr>
                    <w:spacing w:line="360" w:lineRule="auto"/>
                    <w:rPr>
                      <w:rFonts w:ascii="Times New Roman" w:eastAsia="Times New Roman" w:hAnsi="Times New Roman" w:cs="Times New Roman"/>
                      <w:color w:val="000000"/>
                      <w:lang w:val="en-IN"/>
                    </w:rPr>
                  </w:pPr>
                  <w:r w:rsidRPr="00B60B86">
                    <w:rPr>
                      <w:rFonts w:ascii="Times New Roman" w:eastAsia="Times New Roman" w:hAnsi="Times New Roman" w:cs="Times New Roman"/>
                      <w:color w:val="000000"/>
                      <w:lang w:val="en-IN"/>
                    </w:rPr>
                    <w:t> </w:t>
                  </w:r>
                </w:p>
              </w:tc>
            </w:tr>
            <w:tr w:rsidR="00B60B86" w:rsidRPr="00B60B86" w14:paraId="29A31C12" w14:textId="77777777" w:rsidTr="00B60B86">
              <w:trPr>
                <w:trHeight w:val="288"/>
              </w:trPr>
              <w:tc>
                <w:tcPr>
                  <w:tcW w:w="4294" w:type="dxa"/>
                  <w:tcBorders>
                    <w:top w:val="nil"/>
                    <w:left w:val="single" w:sz="4" w:space="0" w:color="auto"/>
                    <w:bottom w:val="single" w:sz="4" w:space="0" w:color="auto"/>
                    <w:right w:val="single" w:sz="4" w:space="0" w:color="auto"/>
                  </w:tcBorders>
                  <w:shd w:val="clear" w:color="auto" w:fill="auto"/>
                  <w:noWrap/>
                  <w:vAlign w:val="bottom"/>
                  <w:hideMark/>
                </w:tcPr>
                <w:p w14:paraId="7E419EDC" w14:textId="77777777" w:rsidR="00B60B86" w:rsidRPr="00B60B86" w:rsidRDefault="00B60B86" w:rsidP="00B60B86">
                  <w:pPr>
                    <w:spacing w:line="360" w:lineRule="auto"/>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Profit</w:t>
                  </w:r>
                </w:p>
              </w:tc>
              <w:tc>
                <w:tcPr>
                  <w:tcW w:w="1122" w:type="dxa"/>
                  <w:tcBorders>
                    <w:top w:val="nil"/>
                    <w:left w:val="nil"/>
                    <w:bottom w:val="single" w:sz="4" w:space="0" w:color="auto"/>
                    <w:right w:val="single" w:sz="4" w:space="0" w:color="auto"/>
                  </w:tcBorders>
                  <w:shd w:val="clear" w:color="auto" w:fill="auto"/>
                  <w:noWrap/>
                  <w:vAlign w:val="bottom"/>
                  <w:hideMark/>
                </w:tcPr>
                <w:p w14:paraId="36786C23"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910</w:t>
                  </w:r>
                </w:p>
              </w:tc>
              <w:tc>
                <w:tcPr>
                  <w:tcW w:w="1134" w:type="dxa"/>
                  <w:tcBorders>
                    <w:top w:val="nil"/>
                    <w:left w:val="nil"/>
                    <w:bottom w:val="single" w:sz="4" w:space="0" w:color="auto"/>
                    <w:right w:val="single" w:sz="4" w:space="0" w:color="auto"/>
                  </w:tcBorders>
                  <w:shd w:val="clear" w:color="auto" w:fill="auto"/>
                  <w:noWrap/>
                  <w:vAlign w:val="bottom"/>
                  <w:hideMark/>
                </w:tcPr>
                <w:p w14:paraId="44D94B43"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1950</w:t>
                  </w:r>
                </w:p>
              </w:tc>
              <w:tc>
                <w:tcPr>
                  <w:tcW w:w="1559" w:type="dxa"/>
                  <w:tcBorders>
                    <w:top w:val="nil"/>
                    <w:left w:val="nil"/>
                    <w:bottom w:val="single" w:sz="4" w:space="0" w:color="auto"/>
                    <w:right w:val="single" w:sz="4" w:space="0" w:color="auto"/>
                  </w:tcBorders>
                  <w:shd w:val="clear" w:color="auto" w:fill="auto"/>
                  <w:noWrap/>
                  <w:vAlign w:val="bottom"/>
                  <w:hideMark/>
                </w:tcPr>
                <w:p w14:paraId="5F292D4B"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3260</w:t>
                  </w:r>
                </w:p>
              </w:tc>
              <w:tc>
                <w:tcPr>
                  <w:tcW w:w="1701" w:type="dxa"/>
                  <w:tcBorders>
                    <w:top w:val="nil"/>
                    <w:left w:val="nil"/>
                    <w:bottom w:val="single" w:sz="4" w:space="0" w:color="auto"/>
                    <w:right w:val="single" w:sz="4" w:space="0" w:color="auto"/>
                  </w:tcBorders>
                  <w:shd w:val="clear" w:color="auto" w:fill="auto"/>
                  <w:noWrap/>
                  <w:vAlign w:val="bottom"/>
                  <w:hideMark/>
                </w:tcPr>
                <w:p w14:paraId="49BB7BEC"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3940</w:t>
                  </w:r>
                </w:p>
              </w:tc>
              <w:tc>
                <w:tcPr>
                  <w:tcW w:w="1701" w:type="dxa"/>
                  <w:tcBorders>
                    <w:top w:val="nil"/>
                    <w:left w:val="nil"/>
                    <w:bottom w:val="single" w:sz="4" w:space="0" w:color="auto"/>
                    <w:right w:val="single" w:sz="4" w:space="0" w:color="auto"/>
                  </w:tcBorders>
                  <w:shd w:val="clear" w:color="auto" w:fill="auto"/>
                  <w:noWrap/>
                  <w:vAlign w:val="bottom"/>
                  <w:hideMark/>
                </w:tcPr>
                <w:p w14:paraId="388DF93B"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4760</w:t>
                  </w:r>
                </w:p>
              </w:tc>
              <w:tc>
                <w:tcPr>
                  <w:tcW w:w="1559" w:type="dxa"/>
                  <w:tcBorders>
                    <w:top w:val="nil"/>
                    <w:left w:val="nil"/>
                    <w:bottom w:val="single" w:sz="4" w:space="0" w:color="auto"/>
                    <w:right w:val="single" w:sz="4" w:space="0" w:color="auto"/>
                  </w:tcBorders>
                  <w:shd w:val="clear" w:color="auto" w:fill="auto"/>
                  <w:noWrap/>
                  <w:vAlign w:val="bottom"/>
                  <w:hideMark/>
                </w:tcPr>
                <w:p w14:paraId="399F26DF" w14:textId="77777777" w:rsidR="00B60B86" w:rsidRPr="00B60B86" w:rsidRDefault="00B60B86" w:rsidP="00B60B86">
                  <w:pPr>
                    <w:spacing w:line="360" w:lineRule="auto"/>
                    <w:jc w:val="right"/>
                    <w:rPr>
                      <w:rFonts w:ascii="Times New Roman" w:eastAsia="Times New Roman" w:hAnsi="Times New Roman" w:cs="Times New Roman"/>
                      <w:b/>
                      <w:bCs/>
                      <w:color w:val="000000"/>
                      <w:lang w:val="en-IN"/>
                    </w:rPr>
                  </w:pPr>
                  <w:r w:rsidRPr="00B60B86">
                    <w:rPr>
                      <w:rFonts w:ascii="Times New Roman" w:eastAsia="Times New Roman" w:hAnsi="Times New Roman" w:cs="Times New Roman"/>
                      <w:b/>
                      <w:bCs/>
                      <w:color w:val="000000"/>
                      <w:lang w:val="en-IN"/>
                    </w:rPr>
                    <w:t>5170</w:t>
                  </w:r>
                </w:p>
              </w:tc>
            </w:tr>
          </w:tbl>
          <w:p w14:paraId="1BFC3BC2" w14:textId="77777777" w:rsidR="00142277" w:rsidRDefault="00142277">
            <w:pPr>
              <w:rPr>
                <w:rFonts w:ascii="Times New Roman" w:eastAsia="Times New Roman" w:hAnsi="Times New Roman" w:cs="Times New Roman"/>
                <w:b w:val="0"/>
              </w:rPr>
            </w:pPr>
          </w:p>
          <w:p w14:paraId="3751C581" w14:textId="77777777" w:rsidR="00B60B86" w:rsidRDefault="00B60B86" w:rsidP="00B60B86">
            <w:pPr>
              <w:tabs>
                <w:tab w:val="left" w:pos="2544"/>
              </w:tabs>
              <w:rPr>
                <w:rFonts w:ascii="Times New Roman" w:eastAsia="Times New Roman" w:hAnsi="Times New Roman" w:cs="Times New Roman"/>
                <w:b w:val="0"/>
              </w:rPr>
            </w:pPr>
          </w:p>
          <w:p w14:paraId="0293CD9F" w14:textId="77777777" w:rsidR="00B60B86" w:rsidRPr="00B60B86" w:rsidRDefault="00B60B86" w:rsidP="00B60B86">
            <w:pPr>
              <w:rPr>
                <w:rFonts w:ascii="Times New Roman" w:eastAsia="Times New Roman" w:hAnsi="Times New Roman" w:cs="Times New Roman"/>
              </w:rPr>
            </w:pPr>
          </w:p>
          <w:p w14:paraId="7BEF28A4" w14:textId="77777777" w:rsidR="00B60B86" w:rsidRPr="00B60B86" w:rsidRDefault="00B60B86" w:rsidP="00B60B86">
            <w:pPr>
              <w:rPr>
                <w:rFonts w:ascii="Times New Roman" w:eastAsia="Times New Roman" w:hAnsi="Times New Roman" w:cs="Times New Roman"/>
              </w:rPr>
            </w:pPr>
          </w:p>
          <w:p w14:paraId="40D531B7" w14:textId="77777777" w:rsidR="00B60B86" w:rsidRPr="00B60B86" w:rsidRDefault="00B60B86" w:rsidP="00B60B86">
            <w:pPr>
              <w:rPr>
                <w:rFonts w:ascii="Times New Roman" w:eastAsia="Times New Roman" w:hAnsi="Times New Roman" w:cs="Times New Roman"/>
              </w:rPr>
            </w:pPr>
          </w:p>
          <w:p w14:paraId="50C88A47" w14:textId="77777777" w:rsidR="00B60B86" w:rsidRPr="00B60B86" w:rsidRDefault="00B60B86" w:rsidP="00B60B86">
            <w:pPr>
              <w:rPr>
                <w:rFonts w:ascii="Times New Roman" w:eastAsia="Times New Roman" w:hAnsi="Times New Roman" w:cs="Times New Roman"/>
              </w:rPr>
            </w:pPr>
          </w:p>
          <w:p w14:paraId="5FFF421E" w14:textId="77777777" w:rsidR="00B60B86" w:rsidRPr="00B60B86" w:rsidRDefault="00B60B86" w:rsidP="00B60B86">
            <w:pPr>
              <w:rPr>
                <w:rFonts w:ascii="Times New Roman" w:eastAsia="Times New Roman" w:hAnsi="Times New Roman" w:cs="Times New Roman"/>
              </w:rPr>
            </w:pPr>
          </w:p>
          <w:p w14:paraId="1759EF6D" w14:textId="77777777" w:rsidR="00B60B86" w:rsidRPr="00B60B86" w:rsidRDefault="00B60B86" w:rsidP="00B60B86">
            <w:pPr>
              <w:rPr>
                <w:rFonts w:ascii="Times New Roman" w:eastAsia="Times New Roman" w:hAnsi="Times New Roman" w:cs="Times New Roman"/>
              </w:rPr>
            </w:pPr>
          </w:p>
          <w:p w14:paraId="51D061C1" w14:textId="77777777" w:rsidR="00B60B86" w:rsidRPr="00B60B86" w:rsidRDefault="00B60B86" w:rsidP="00B60B86">
            <w:pPr>
              <w:rPr>
                <w:rFonts w:ascii="Times New Roman" w:eastAsia="Times New Roman" w:hAnsi="Times New Roman" w:cs="Times New Roman"/>
              </w:rPr>
            </w:pPr>
          </w:p>
          <w:p w14:paraId="1E14B07D" w14:textId="77777777" w:rsidR="00B60B86" w:rsidRPr="00B60B86" w:rsidRDefault="00B60B86" w:rsidP="00B60B86">
            <w:pPr>
              <w:rPr>
                <w:rFonts w:ascii="Times New Roman" w:eastAsia="Times New Roman" w:hAnsi="Times New Roman" w:cs="Times New Roman"/>
              </w:rPr>
            </w:pPr>
          </w:p>
          <w:p w14:paraId="58660ABC" w14:textId="77777777" w:rsidR="00B60B86" w:rsidRPr="00B60B86" w:rsidRDefault="00B60B86" w:rsidP="00B60B86">
            <w:pPr>
              <w:rPr>
                <w:rFonts w:ascii="Times New Roman" w:eastAsia="Times New Roman" w:hAnsi="Times New Roman" w:cs="Times New Roman"/>
              </w:rPr>
            </w:pPr>
          </w:p>
          <w:p w14:paraId="43181B7E" w14:textId="77777777" w:rsidR="00B60B86" w:rsidRPr="00B60B86" w:rsidRDefault="00B60B86" w:rsidP="00B60B86">
            <w:pPr>
              <w:rPr>
                <w:rFonts w:ascii="Times New Roman" w:eastAsia="Times New Roman" w:hAnsi="Times New Roman" w:cs="Times New Roman"/>
              </w:rPr>
            </w:pPr>
          </w:p>
          <w:p w14:paraId="47CB576B" w14:textId="77777777" w:rsidR="00B60B86" w:rsidRPr="00B60B86" w:rsidRDefault="00B60B86" w:rsidP="00B60B86">
            <w:pPr>
              <w:rPr>
                <w:rFonts w:ascii="Times New Roman" w:eastAsia="Times New Roman" w:hAnsi="Times New Roman" w:cs="Times New Roman"/>
              </w:rPr>
            </w:pPr>
          </w:p>
          <w:p w14:paraId="24230BA8" w14:textId="77777777" w:rsidR="00B60B86" w:rsidRPr="00B60B86" w:rsidRDefault="00B60B86" w:rsidP="00B60B86">
            <w:pPr>
              <w:rPr>
                <w:rFonts w:ascii="Times New Roman" w:eastAsia="Times New Roman" w:hAnsi="Times New Roman" w:cs="Times New Roman"/>
              </w:rPr>
            </w:pPr>
          </w:p>
          <w:p w14:paraId="0AD68F20" w14:textId="77777777" w:rsidR="00B60B86" w:rsidRPr="00B60B86" w:rsidRDefault="00B60B86" w:rsidP="00B60B86">
            <w:pPr>
              <w:rPr>
                <w:rFonts w:ascii="Times New Roman" w:eastAsia="Times New Roman" w:hAnsi="Times New Roman" w:cs="Times New Roman"/>
              </w:rPr>
            </w:pPr>
          </w:p>
          <w:p w14:paraId="26490A5C" w14:textId="77777777" w:rsidR="00B60B86" w:rsidRPr="00B60B86" w:rsidRDefault="00B60B86" w:rsidP="00B60B86">
            <w:pPr>
              <w:rPr>
                <w:rFonts w:ascii="Times New Roman" w:eastAsia="Times New Roman" w:hAnsi="Times New Roman" w:cs="Times New Roman"/>
              </w:rPr>
            </w:pPr>
          </w:p>
          <w:p w14:paraId="5469E9CB" w14:textId="77777777" w:rsidR="00B60B86" w:rsidRPr="00B60B86" w:rsidRDefault="00B60B86" w:rsidP="00B60B86">
            <w:pPr>
              <w:rPr>
                <w:rFonts w:ascii="Times New Roman" w:eastAsia="Times New Roman" w:hAnsi="Times New Roman" w:cs="Times New Roman"/>
              </w:rPr>
            </w:pPr>
          </w:p>
          <w:p w14:paraId="3803AE9C" w14:textId="77777777" w:rsidR="00B60B86" w:rsidRPr="00B60B86" w:rsidRDefault="00B60B86" w:rsidP="00B60B86">
            <w:pPr>
              <w:rPr>
                <w:rFonts w:ascii="Times New Roman" w:eastAsia="Times New Roman" w:hAnsi="Times New Roman" w:cs="Times New Roman"/>
              </w:rPr>
            </w:pPr>
          </w:p>
          <w:p w14:paraId="5AFD31BF" w14:textId="77777777" w:rsidR="00B60B86" w:rsidRPr="00B60B86" w:rsidRDefault="00B60B86" w:rsidP="00B60B86">
            <w:pPr>
              <w:rPr>
                <w:rFonts w:ascii="Times New Roman" w:eastAsia="Times New Roman" w:hAnsi="Times New Roman" w:cs="Times New Roman"/>
              </w:rPr>
            </w:pPr>
          </w:p>
          <w:p w14:paraId="0E31BDD7" w14:textId="77777777" w:rsidR="00B60B86" w:rsidRPr="00B60B86" w:rsidRDefault="00B60B86" w:rsidP="00B60B86">
            <w:pPr>
              <w:rPr>
                <w:rFonts w:ascii="Times New Roman" w:eastAsia="Times New Roman" w:hAnsi="Times New Roman" w:cs="Times New Roman"/>
              </w:rPr>
            </w:pPr>
          </w:p>
          <w:p w14:paraId="04B677C6" w14:textId="77777777" w:rsidR="00B60B86" w:rsidRPr="00B60B86" w:rsidRDefault="00B60B86" w:rsidP="00B60B86">
            <w:pPr>
              <w:rPr>
                <w:rFonts w:ascii="Times New Roman" w:eastAsia="Times New Roman" w:hAnsi="Times New Roman" w:cs="Times New Roman"/>
              </w:rPr>
            </w:pPr>
          </w:p>
          <w:p w14:paraId="735DB49C" w14:textId="77777777" w:rsidR="00B60B86" w:rsidRDefault="00B60B86" w:rsidP="00B60B86">
            <w:pPr>
              <w:rPr>
                <w:rFonts w:ascii="Times New Roman" w:eastAsia="Times New Roman" w:hAnsi="Times New Roman" w:cs="Times New Roman"/>
                <w:b w:val="0"/>
              </w:rPr>
            </w:pPr>
          </w:p>
          <w:p w14:paraId="4739A687" w14:textId="6CE6B37D" w:rsidR="00B60B86" w:rsidRPr="00B60B86" w:rsidRDefault="00B60B86" w:rsidP="00B60B86">
            <w:pPr>
              <w:tabs>
                <w:tab w:val="left" w:pos="4008"/>
              </w:tabs>
              <w:rPr>
                <w:rFonts w:ascii="Times New Roman" w:eastAsia="Times New Roman" w:hAnsi="Times New Roman" w:cs="Times New Roman"/>
              </w:rPr>
            </w:pPr>
            <w:r>
              <w:rPr>
                <w:rFonts w:ascii="Times New Roman" w:eastAsia="Times New Roman" w:hAnsi="Times New Roman" w:cs="Times New Roman"/>
              </w:rPr>
              <w:tab/>
            </w:r>
          </w:p>
        </w:tc>
      </w:tr>
    </w:tbl>
    <w:p w14:paraId="3466D080" w14:textId="77777777" w:rsidR="00142277" w:rsidRDefault="00142277">
      <w:pPr>
        <w:rPr>
          <w:rFonts w:ascii="Times New Roman" w:eastAsia="Times New Roman" w:hAnsi="Times New Roman" w:cs="Times New Roman"/>
        </w:rPr>
      </w:pPr>
    </w:p>
    <w:p w14:paraId="67598801" w14:textId="77777777" w:rsidR="00142277" w:rsidRDefault="00142277">
      <w:pPr>
        <w:jc w:val="both"/>
        <w:rPr>
          <w:rFonts w:ascii="Times New Roman" w:eastAsia="Times New Roman" w:hAnsi="Times New Roman" w:cs="Times New Roman"/>
          <w:b/>
        </w:rPr>
      </w:pPr>
    </w:p>
    <w:p w14:paraId="70C36F78" w14:textId="77777777" w:rsidR="00142277" w:rsidRDefault="00142277">
      <w:pPr>
        <w:jc w:val="both"/>
        <w:rPr>
          <w:rFonts w:ascii="Times New Roman" w:eastAsia="Times New Roman" w:hAnsi="Times New Roman" w:cs="Times New Roman"/>
          <w:b/>
        </w:rPr>
      </w:pPr>
    </w:p>
    <w:p w14:paraId="14983805" w14:textId="77777777" w:rsidR="00142277" w:rsidRDefault="00000000">
      <w:pPr>
        <w:jc w:val="both"/>
        <w:rPr>
          <w:rFonts w:ascii="Times New Roman" w:eastAsia="Times New Roman" w:hAnsi="Times New Roman" w:cs="Times New Roman"/>
          <w:b/>
        </w:rPr>
      </w:pPr>
      <w:r>
        <w:br w:type="page"/>
      </w:r>
    </w:p>
    <w:p w14:paraId="2EA9E12C" w14:textId="77777777" w:rsidR="00142277" w:rsidRDefault="00000000">
      <w:pPr>
        <w:pStyle w:val="Heading1"/>
        <w:jc w:val="both"/>
      </w:pPr>
      <w:bookmarkStart w:id="7" w:name="_heading=h.g67zg1duwikj" w:colFirst="0" w:colLast="0"/>
      <w:bookmarkEnd w:id="7"/>
      <w:r>
        <w:lastRenderedPageBreak/>
        <w:t xml:space="preserve">REFERENCES </w:t>
      </w:r>
    </w:p>
    <w:p w14:paraId="46302828" w14:textId="77777777" w:rsidR="00142277" w:rsidRDefault="00142277">
      <w:pPr>
        <w:jc w:val="both"/>
        <w:rPr>
          <w:rFonts w:ascii="Times New Roman" w:eastAsia="Times New Roman" w:hAnsi="Times New Roman" w:cs="Times New Roman"/>
          <w:b/>
        </w:rPr>
      </w:pPr>
    </w:p>
    <w:p w14:paraId="408151D6" w14:textId="77777777" w:rsidR="00142277" w:rsidRDefault="00000000">
      <w:pPr>
        <w:spacing w:line="360" w:lineRule="auto"/>
        <w:jc w:val="both"/>
        <w:rPr>
          <w:rFonts w:ascii="Times New Roman" w:eastAsia="Times New Roman" w:hAnsi="Times New Roman" w:cs="Times New Roman"/>
          <w:i/>
        </w:rPr>
      </w:pPr>
      <w:r>
        <w:rPr>
          <w:rFonts w:ascii="Times New Roman" w:eastAsia="Times New Roman" w:hAnsi="Times New Roman" w:cs="Times New Roman"/>
        </w:rPr>
        <w:t xml:space="preserve">Bruijl, D. and Gerard, H.T., 2018. The relevance of Porter's five forces in today's innovative and changing business environment. </w:t>
      </w:r>
      <w:r>
        <w:rPr>
          <w:rFonts w:ascii="Times New Roman" w:eastAsia="Times New Roman" w:hAnsi="Times New Roman" w:cs="Times New Roman"/>
          <w:i/>
        </w:rPr>
        <w:t>Available at SSRN 3192207.</w:t>
      </w:r>
    </w:p>
    <w:p w14:paraId="3C2D4746"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Daniels, M. and Wosicki, C., 2020. </w:t>
      </w:r>
      <w:r>
        <w:rPr>
          <w:rFonts w:ascii="Times New Roman" w:eastAsia="Times New Roman" w:hAnsi="Times New Roman" w:cs="Times New Roman"/>
          <w:i/>
        </w:rPr>
        <w:t xml:space="preserve">Wedding planning and management: Consultancy for diverse clients. </w:t>
      </w:r>
      <w:r>
        <w:rPr>
          <w:rFonts w:ascii="Times New Roman" w:eastAsia="Times New Roman" w:hAnsi="Times New Roman" w:cs="Times New Roman"/>
        </w:rPr>
        <w:t>Routledge.</w:t>
      </w:r>
    </w:p>
    <w:p w14:paraId="30141BAD"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Dowson, R. and Bassett, D., 2018. </w:t>
      </w:r>
      <w:r>
        <w:rPr>
          <w:rFonts w:ascii="Times New Roman" w:eastAsia="Times New Roman" w:hAnsi="Times New Roman" w:cs="Times New Roman"/>
          <w:i/>
        </w:rPr>
        <w:t>Event planning and management: Principles, planning and practice.</w:t>
      </w:r>
      <w:r>
        <w:rPr>
          <w:rFonts w:ascii="Times New Roman" w:eastAsia="Times New Roman" w:hAnsi="Times New Roman" w:cs="Times New Roman"/>
        </w:rPr>
        <w:t xml:space="preserve"> Kogan Page Publishers.</w:t>
      </w:r>
    </w:p>
    <w:p w14:paraId="0E768E1F"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Emenike, E.C., 2019. Integration of sustainable development in software development: case study: wedding planning.</w:t>
      </w:r>
    </w:p>
    <w:p w14:paraId="7536FFAB"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Etemaddar, M., Thyne, M. and Insch, A., 2018. A taste of home-choosing a destination wedding.</w:t>
      </w:r>
      <w:r>
        <w:rPr>
          <w:rFonts w:ascii="Times New Roman" w:eastAsia="Times New Roman" w:hAnsi="Times New Roman" w:cs="Times New Roman"/>
          <w:i/>
        </w:rPr>
        <w:t xml:space="preserve"> Anatolia,</w:t>
      </w:r>
      <w:r>
        <w:rPr>
          <w:rFonts w:ascii="Times New Roman" w:eastAsia="Times New Roman" w:hAnsi="Times New Roman" w:cs="Times New Roman"/>
        </w:rPr>
        <w:t xml:space="preserve"> 29(3), pp.422-432.</w:t>
      </w:r>
    </w:p>
    <w:p w14:paraId="59FB3D1A"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Rahman, M.M. and Kuzminov, A.N., 2019. Marketing mix as a source of increasing the efficiency of marketing activity. </w:t>
      </w:r>
      <w:r>
        <w:rPr>
          <w:rFonts w:ascii="Times New Roman" w:eastAsia="Times New Roman" w:hAnsi="Times New Roman" w:cs="Times New Roman"/>
          <w:i/>
        </w:rPr>
        <w:t>Modern Problems of Scientific Activity,</w:t>
      </w:r>
      <w:r>
        <w:rPr>
          <w:rFonts w:ascii="Times New Roman" w:eastAsia="Times New Roman" w:hAnsi="Times New Roman" w:cs="Times New Roman"/>
        </w:rPr>
        <w:t xml:space="preserve"> pp.66-68.</w:t>
      </w:r>
    </w:p>
    <w:p w14:paraId="16640390"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Seraphin, H., 2021, January. COVID-19: An opportunity to review existing grounded theories in event studies. </w:t>
      </w:r>
      <w:r>
        <w:rPr>
          <w:rFonts w:ascii="Times New Roman" w:eastAsia="Times New Roman" w:hAnsi="Times New Roman" w:cs="Times New Roman"/>
          <w:i/>
        </w:rPr>
        <w:t xml:space="preserve">In Journal of Convention &amp; Event Tourism </w:t>
      </w:r>
      <w:r>
        <w:rPr>
          <w:rFonts w:ascii="Times New Roman" w:eastAsia="Times New Roman" w:hAnsi="Times New Roman" w:cs="Times New Roman"/>
        </w:rPr>
        <w:t>(Vol. 22, No. 1, pp. 3-35). Routledge.</w:t>
      </w:r>
    </w:p>
    <w:p w14:paraId="15E95B1F"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Singh, R.K., Singh, P. and Bathla, G., 2020. User-Review Oriented Social Recommender System for Event Planning. </w:t>
      </w:r>
      <w:r>
        <w:rPr>
          <w:rFonts w:ascii="Times New Roman" w:eastAsia="Times New Roman" w:hAnsi="Times New Roman" w:cs="Times New Roman"/>
          <w:i/>
        </w:rPr>
        <w:t>Ingénierie des Systèmes d Inf.</w:t>
      </w:r>
      <w:r>
        <w:rPr>
          <w:rFonts w:ascii="Times New Roman" w:eastAsia="Times New Roman" w:hAnsi="Times New Roman" w:cs="Times New Roman"/>
        </w:rPr>
        <w:t>, 25(5), pp.669-675.</w:t>
      </w:r>
    </w:p>
    <w:p w14:paraId="34596365"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Sonas. (2021). </w:t>
      </w:r>
      <w:r>
        <w:rPr>
          <w:rFonts w:ascii="Times New Roman" w:eastAsia="Times New Roman" w:hAnsi="Times New Roman" w:cs="Times New Roman"/>
          <w:i/>
        </w:rPr>
        <w:t>An Overview Of The UK Wedding Industry.</w:t>
      </w:r>
      <w:r>
        <w:rPr>
          <w:rFonts w:ascii="Times New Roman" w:eastAsia="Times New Roman" w:hAnsi="Times New Roman" w:cs="Times New Roman"/>
        </w:rPr>
        <w:t xml:space="preserve"> Available at. </w:t>
      </w:r>
      <w:hyperlink r:id="rId11">
        <w:r>
          <w:rPr>
            <w:rFonts w:ascii="Times New Roman" w:eastAsia="Times New Roman" w:hAnsi="Times New Roman" w:cs="Times New Roman"/>
            <w:color w:val="1155CC"/>
            <w:u w:val="single"/>
          </w:rPr>
          <w:t>https://www.sonas.events/blog/an-overview-of-the-uk-wedding-industry/</w:t>
        </w:r>
      </w:hyperlink>
      <w:r>
        <w:rPr>
          <w:rFonts w:ascii="Times New Roman" w:eastAsia="Times New Roman" w:hAnsi="Times New Roman" w:cs="Times New Roman"/>
        </w:rPr>
        <w:t>. (Accessed on 20th November 2022).</w:t>
      </w:r>
    </w:p>
    <w:p w14:paraId="6446D6D5"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Surplice, P., 2020. Future of the Wedding industry: Is the party over?.</w:t>
      </w:r>
    </w:p>
    <w:p w14:paraId="0CAC8B9D"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Szczepanik, U. and Wiesner, W., 2018. Destination wedding-popularity among young students. </w:t>
      </w:r>
      <w:r>
        <w:rPr>
          <w:rFonts w:ascii="Times New Roman" w:eastAsia="Times New Roman" w:hAnsi="Times New Roman" w:cs="Times New Roman"/>
          <w:i/>
        </w:rPr>
        <w:t>Ekonomiczne Problemy Turystyki</w:t>
      </w:r>
      <w:r>
        <w:rPr>
          <w:rFonts w:ascii="Times New Roman" w:eastAsia="Times New Roman" w:hAnsi="Times New Roman" w:cs="Times New Roman"/>
        </w:rPr>
        <w:t>, 43, pp.41-50.</w:t>
      </w:r>
    </w:p>
    <w:p w14:paraId="5274BE88" w14:textId="77777777" w:rsidR="00142277"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UK WEDDINGS TASKFORCE. (2022).</w:t>
      </w:r>
      <w:r>
        <w:rPr>
          <w:rFonts w:ascii="Times New Roman" w:eastAsia="Times New Roman" w:hAnsi="Times New Roman" w:cs="Times New Roman"/>
          <w:i/>
        </w:rPr>
        <w:t xml:space="preserve"> The UK Wedding Industry - Facts &amp; Figures. </w:t>
      </w:r>
      <w:r>
        <w:rPr>
          <w:rFonts w:ascii="Times New Roman" w:eastAsia="Times New Roman" w:hAnsi="Times New Roman" w:cs="Times New Roman"/>
        </w:rPr>
        <w:t xml:space="preserve">Available at. </w:t>
      </w:r>
      <w:hyperlink r:id="rId12">
        <w:r>
          <w:rPr>
            <w:rFonts w:ascii="Times New Roman" w:eastAsia="Times New Roman" w:hAnsi="Times New Roman" w:cs="Times New Roman"/>
            <w:color w:val="1155CC"/>
            <w:u w:val="single"/>
          </w:rPr>
          <w:t>https://ukweddings.org/key-facts</w:t>
        </w:r>
      </w:hyperlink>
      <w:r>
        <w:rPr>
          <w:rFonts w:ascii="Times New Roman" w:eastAsia="Times New Roman" w:hAnsi="Times New Roman" w:cs="Times New Roman"/>
        </w:rPr>
        <w:t xml:space="preserve">. (Accessed on 23rd November 2022).  </w:t>
      </w:r>
    </w:p>
    <w:p w14:paraId="63BE3F98" w14:textId="77777777" w:rsidR="00142277" w:rsidRDefault="00142277">
      <w:pPr>
        <w:spacing w:line="360" w:lineRule="auto"/>
        <w:jc w:val="both"/>
        <w:rPr>
          <w:rFonts w:ascii="Times New Roman" w:eastAsia="Times New Roman" w:hAnsi="Times New Roman" w:cs="Times New Roman"/>
        </w:rPr>
      </w:pPr>
    </w:p>
    <w:p w14:paraId="149AA268" w14:textId="77777777" w:rsidR="00142277" w:rsidRDefault="00142277">
      <w:pPr>
        <w:spacing w:line="360" w:lineRule="auto"/>
        <w:jc w:val="both"/>
        <w:rPr>
          <w:rFonts w:ascii="Times New Roman" w:eastAsia="Times New Roman" w:hAnsi="Times New Roman" w:cs="Times New Roman"/>
        </w:rPr>
      </w:pPr>
    </w:p>
    <w:p w14:paraId="0B5530BF" w14:textId="77777777" w:rsidR="00142277" w:rsidRDefault="00142277">
      <w:pPr>
        <w:jc w:val="both"/>
        <w:rPr>
          <w:rFonts w:ascii="Times New Roman" w:eastAsia="Times New Roman" w:hAnsi="Times New Roman" w:cs="Times New Roman"/>
          <w:b/>
        </w:rPr>
      </w:pPr>
    </w:p>
    <w:sectPr w:rsidR="00142277">
      <w:footerReference w:type="default" r:id="rId13"/>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7384F" w14:textId="77777777" w:rsidR="0064025D" w:rsidRDefault="0064025D">
      <w:r>
        <w:separator/>
      </w:r>
    </w:p>
  </w:endnote>
  <w:endnote w:type="continuationSeparator" w:id="0">
    <w:p w14:paraId="07C9435F" w14:textId="77777777" w:rsidR="0064025D" w:rsidRDefault="006402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2532A" w14:textId="77777777" w:rsidR="00142277" w:rsidRDefault="00000000">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B60B86">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840D6" w14:textId="77777777" w:rsidR="0064025D" w:rsidRDefault="0064025D">
      <w:r>
        <w:separator/>
      </w:r>
    </w:p>
  </w:footnote>
  <w:footnote w:type="continuationSeparator" w:id="0">
    <w:p w14:paraId="13B6C70F" w14:textId="77777777" w:rsidR="0064025D" w:rsidRDefault="006402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37310"/>
    <w:multiLevelType w:val="multilevel"/>
    <w:tmpl w:val="17B01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4D06EE"/>
    <w:multiLevelType w:val="multilevel"/>
    <w:tmpl w:val="0F0C9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80467419">
    <w:abstractNumId w:val="0"/>
  </w:num>
  <w:num w:numId="2" w16cid:durableId="1541436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277"/>
    <w:rsid w:val="000A0280"/>
    <w:rsid w:val="000D7424"/>
    <w:rsid w:val="00142277"/>
    <w:rsid w:val="005612B4"/>
    <w:rsid w:val="0064025D"/>
    <w:rsid w:val="0084031C"/>
    <w:rsid w:val="00A03E97"/>
    <w:rsid w:val="00AC2D0D"/>
    <w:rsid w:val="00B60B86"/>
    <w:rsid w:val="00B7009E"/>
    <w:rsid w:val="00B82661"/>
    <w:rsid w:val="00E462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699F3"/>
  <w15:docId w15:val="{BE802F93-DE67-4DD7-A5B8-1F3E43BCD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style>
  <w:style w:type="table" w:customStyle="1" w:styleId="a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1780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weddings.org/key-fac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nas.events/blog/an-overview-of-the-uk-wedding-indust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s6z1ZKZIpt4RQ12Ku17sWntEmEw==">AMUW2mUAfHOP72TSPT/YX2TsYPHdsl915+wGlr+6ByStPORqV1Y0QF9Vbtv2vg8znWpDvun0fl+GeD46IhBepJjOHDxE0jFFu6TUczlarXTPDzijHo6p+fDx+WX5HDQDZR4H4deZwAhb7PPnAtexAnSiEfvJT0ggIhzUrwbzqnh3BsVRdENvQb6Q3UeyHEeNx9L+aCt4DAE89ZMTGFZPnIAVVXzzzU78Rq0t+OGGzc+WAT4MAvWHfYMGHwrK0eWhbwpb0NNese2V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2898</TotalTime>
  <Pages>20</Pages>
  <Words>2784</Words>
  <Characters>15875</Characters>
  <Application>Microsoft Office Word</Application>
  <DocSecurity>0</DocSecurity>
  <Lines>132</Lines>
  <Paragraphs>37</Paragraphs>
  <ScaleCrop>false</ScaleCrop>
  <Company/>
  <LinksUpToDate>false</LinksUpToDate>
  <CharactersWithSpaces>18622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Mariana Cicu</cp:lastModifiedBy>
  <cp:revision>10</cp:revision>
  <dcterms:created xsi:type="dcterms:W3CDTF">2022-11-21T14:58:00Z</dcterms:created>
  <dcterms:modified xsi:type="dcterms:W3CDTF">2022-12-10T07:49:00Z</dcterms:modified>
</cp:coreProperties>
</file>