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D59" w:rsidRDefault="00124D59">
      <w:r>
        <w:t>MA (Education)</w:t>
      </w:r>
    </w:p>
    <w:p w:rsidR="00124D59" w:rsidRDefault="00124D59">
      <w:r>
        <w:t>Social, Emotional and Behavioural Difficulties in Practice</w:t>
      </w:r>
    </w:p>
    <w:p w:rsidR="00124D59" w:rsidRDefault="00124D59"/>
    <w:p w:rsidR="00124D59" w:rsidRDefault="00124D59">
      <w:r>
        <w:t xml:space="preserve">A literature review to critically analyse the causes of Social Emotional Behavioural Difficulties (SEBD). </w:t>
      </w:r>
    </w:p>
    <w:p w:rsidR="00124D59" w:rsidRDefault="00124D59" w:rsidP="001A005A">
      <w:pPr>
        <w:spacing w:line="360" w:lineRule="auto"/>
      </w:pPr>
    </w:p>
    <w:p w:rsidR="0091445F" w:rsidRDefault="0091445F" w:rsidP="001A005A">
      <w:pPr>
        <w:spacing w:line="360" w:lineRule="auto"/>
      </w:pPr>
      <w:r>
        <w:t xml:space="preserve">The term Social Emotional Behavioural Difficulties (SEBD) </w:t>
      </w:r>
      <w:r w:rsidR="00382822">
        <w:t xml:space="preserve">has been used </w:t>
      </w:r>
      <w:r>
        <w:t xml:space="preserve">by education theorists, educators and parents for some time, and most have an appreciation of what it is, yet there is not a nationally recognised definition for it (Fahey, 2019). Janet </w:t>
      </w:r>
      <w:proofErr w:type="spellStart"/>
      <w:r>
        <w:t>Travell</w:t>
      </w:r>
      <w:proofErr w:type="spellEnd"/>
      <w:r w:rsidR="00382822">
        <w:t>, a physician and medical researcher</w:t>
      </w:r>
      <w:r>
        <w:t xml:space="preserve"> states the term SEBD is ‘at its best, fraught with difficulties’</w:t>
      </w:r>
      <w:r w:rsidR="0055656F">
        <w:t>, due to its</w:t>
      </w:r>
      <w:r w:rsidR="00382822">
        <w:t xml:space="preserve"> complexity in regards to</w:t>
      </w:r>
      <w:r w:rsidR="0055656F">
        <w:t xml:space="preserve"> behaviour often being subjective and what is perceived as acceptable by others (</w:t>
      </w:r>
      <w:proofErr w:type="spellStart"/>
      <w:r w:rsidR="0055656F">
        <w:t>Travell</w:t>
      </w:r>
      <w:proofErr w:type="spellEnd"/>
      <w:r w:rsidR="0055656F">
        <w:t xml:space="preserve">, 1999). </w:t>
      </w:r>
      <w:r w:rsidR="00382822">
        <w:t xml:space="preserve">Professor Paul Cooper reiterates this, explaining it is ‘impossible to define something, when we are not clear on what it is yet and how it is caused’ (Jessica Kingsley Publishers online, 2010). </w:t>
      </w:r>
      <w:r w:rsidR="00D3242E">
        <w:t xml:space="preserve">This literature review will look briefly at what research suggests SEBD is, following that, it will identify the literature surrounding the causes of SEBD, this will be linked with personal experiences of dealing with and managing SEBD in schools and play settings over the last 12years. </w:t>
      </w:r>
    </w:p>
    <w:p w:rsidR="00D3242E" w:rsidRDefault="00D3242E" w:rsidP="001A005A">
      <w:pPr>
        <w:spacing w:line="360" w:lineRule="auto"/>
      </w:pPr>
    </w:p>
    <w:p w:rsidR="00D3242E" w:rsidRDefault="00D3242E" w:rsidP="001A005A">
      <w:pPr>
        <w:spacing w:line="360" w:lineRule="auto"/>
      </w:pPr>
      <w:r>
        <w:t>What is Social Emotional Behavioural Difficulties (SEBD)?</w:t>
      </w:r>
    </w:p>
    <w:p w:rsidR="00D3242E" w:rsidRDefault="00ED161C" w:rsidP="001A005A">
      <w:pPr>
        <w:spacing w:line="360" w:lineRule="auto"/>
      </w:pPr>
      <w:r>
        <w:t xml:space="preserve">In order to establish what a behavioural difficulty is, a thorough understanding of what ‘appropriate behaviour’ </w:t>
      </w:r>
      <w:r w:rsidR="00EF26C0">
        <w:t xml:space="preserve">is </w:t>
      </w:r>
      <w:r>
        <w:t>needs to be established. As previously mentioned, a difficulty with</w:t>
      </w:r>
      <w:r w:rsidR="00EF26C0">
        <w:t xml:space="preserve"> understanding</w:t>
      </w:r>
      <w:r>
        <w:t xml:space="preserve"> SEBD is how appropriate behaviour can be subjective. Mortimer suggests desirable behaviour involves:</w:t>
      </w:r>
    </w:p>
    <w:p w:rsidR="00ED161C" w:rsidRDefault="00ED161C" w:rsidP="001A005A">
      <w:pPr>
        <w:spacing w:line="360" w:lineRule="auto"/>
      </w:pPr>
      <w:r>
        <w:t>-feeling motivated and confident enough to develop an individual’s best potential</w:t>
      </w:r>
    </w:p>
    <w:p w:rsidR="00ED161C" w:rsidRDefault="00ED161C" w:rsidP="001A005A">
      <w:pPr>
        <w:spacing w:line="360" w:lineRule="auto"/>
      </w:pPr>
      <w:r>
        <w:t>-being able to make friends and gain affection</w:t>
      </w:r>
    </w:p>
    <w:p w:rsidR="00ED161C" w:rsidRDefault="00ED161C" w:rsidP="001A005A">
      <w:pPr>
        <w:spacing w:line="360" w:lineRule="auto"/>
      </w:pPr>
      <w:r>
        <w:t>-being able to express feelings in an appropriate way</w:t>
      </w:r>
    </w:p>
    <w:p w:rsidR="00ED161C" w:rsidRDefault="00ED161C" w:rsidP="001A005A">
      <w:pPr>
        <w:spacing w:line="360" w:lineRule="auto"/>
      </w:pPr>
      <w:r>
        <w:t>-being able to ‘do’ when asked politely</w:t>
      </w:r>
    </w:p>
    <w:p w:rsidR="00ED161C" w:rsidRDefault="00ED161C" w:rsidP="001A005A">
      <w:pPr>
        <w:spacing w:line="360" w:lineRule="auto"/>
      </w:pPr>
      <w:r>
        <w:t>-</w:t>
      </w:r>
      <w:r w:rsidR="00F15245">
        <w:t>being able to make a useful contribution to the group</w:t>
      </w:r>
    </w:p>
    <w:p w:rsidR="00F15245" w:rsidRDefault="00F15245" w:rsidP="001A005A">
      <w:pPr>
        <w:spacing w:line="360" w:lineRule="auto"/>
      </w:pPr>
      <w:r>
        <w:t>-developing positive self-esteem (Mortimer, 2002).</w:t>
      </w:r>
    </w:p>
    <w:p w:rsidR="00F15245" w:rsidRDefault="00F15245" w:rsidP="001A005A">
      <w:pPr>
        <w:spacing w:line="360" w:lineRule="auto"/>
      </w:pPr>
      <w:r>
        <w:t>Despite agreeing with Mortimer’</w:t>
      </w:r>
      <w:r w:rsidR="00F8192A">
        <w:t>s principles</w:t>
      </w:r>
      <w:r w:rsidR="00EF26C0">
        <w:t>, and that</w:t>
      </w:r>
      <w:r w:rsidR="00F8192A">
        <w:t xml:space="preserve"> </w:t>
      </w:r>
      <w:r>
        <w:t xml:space="preserve">the above is important to achieving ‘desirable’ behaviour, my experience of working with children and young people </w:t>
      </w:r>
      <w:r w:rsidR="00991E2B">
        <w:t>in 2019</w:t>
      </w:r>
      <w:r w:rsidR="00EF26C0">
        <w:t xml:space="preserve"> has displayed </w:t>
      </w:r>
      <w:r w:rsidR="00991E2B">
        <w:t>there are a minority of</w:t>
      </w:r>
      <w:r>
        <w:t xml:space="preserve"> children in a school population whom </w:t>
      </w:r>
      <w:r w:rsidR="00991E2B">
        <w:t>posses</w:t>
      </w:r>
      <w:r w:rsidR="00EF26C0">
        <w:t>s all of these behaviour traits.</w:t>
      </w:r>
      <w:r w:rsidR="00991E2B">
        <w:t xml:space="preserve"> </w:t>
      </w:r>
      <w:r w:rsidR="00EF26C0">
        <w:t>As</w:t>
      </w:r>
      <w:r w:rsidR="00991E2B">
        <w:t xml:space="preserve"> a result do the majority of mainstream children have SEBD</w:t>
      </w:r>
      <w:r w:rsidR="004B4AF1">
        <w:t xml:space="preserve"> based on Mortimer’s notion</w:t>
      </w:r>
      <w:r w:rsidR="00991E2B">
        <w:t xml:space="preserve">? </w:t>
      </w:r>
    </w:p>
    <w:p w:rsidR="00CF59B3" w:rsidRDefault="00DB6F48" w:rsidP="001A005A">
      <w:pPr>
        <w:spacing w:line="360" w:lineRule="auto"/>
      </w:pPr>
      <w:r>
        <w:lastRenderedPageBreak/>
        <w:t xml:space="preserve">Jenny Thompson, a senior lecturer at </w:t>
      </w:r>
      <w:r w:rsidR="00EF26C0">
        <w:t xml:space="preserve">the </w:t>
      </w:r>
      <w:r>
        <w:t xml:space="preserve">University of Derby, describes SEBD in practice as a child </w:t>
      </w:r>
      <w:r w:rsidR="00F84B4C">
        <w:t xml:space="preserve">who </w:t>
      </w:r>
      <w:r>
        <w:t xml:space="preserve">can be ‘disruptive and physically aggressive’ but also potentially ‘withdrawn’, both affecting school productivity (Thompson, 2010). </w:t>
      </w:r>
      <w:r w:rsidR="004B4AF1">
        <w:t>Cross reiterates the importance of not only looking at SEBD as the disruptive and physically aggressive pupils but also those who present as withdrawn (Cross, 2011). Often, when people think of SEBD, there is a generalisation it</w:t>
      </w:r>
      <w:r w:rsidR="00F8192A">
        <w:t xml:space="preserve"> is</w:t>
      </w:r>
      <w:r w:rsidR="004B4AF1">
        <w:t xml:space="preserve"> chi</w:t>
      </w:r>
      <w:r w:rsidR="00EF26C0">
        <w:t xml:space="preserve">ldren in class whom take up </w:t>
      </w:r>
      <w:r w:rsidR="004B4AF1">
        <w:t>most of the teachers time, however a behavioural difficulty can present in many different ways and identify</w:t>
      </w:r>
      <w:r w:rsidR="00A223A1">
        <w:t>ing</w:t>
      </w:r>
      <w:r w:rsidR="004B4AF1">
        <w:t xml:space="preserve"> underlying behavioural difficulties in children who become wit</w:t>
      </w:r>
      <w:r w:rsidR="00122460">
        <w:t>hdrawn</w:t>
      </w:r>
      <w:r w:rsidR="00A223A1">
        <w:t xml:space="preserve"> can be difficult</w:t>
      </w:r>
      <w:r w:rsidR="00122460">
        <w:t xml:space="preserve"> (</w:t>
      </w:r>
      <w:proofErr w:type="spellStart"/>
      <w:r w:rsidR="00122460">
        <w:t>Swinson</w:t>
      </w:r>
      <w:proofErr w:type="spellEnd"/>
      <w:r w:rsidR="00122460">
        <w:t xml:space="preserve">, 2008). Cooper however simply addresses SEBD in terms of the children who do present as more volatile within the classroom, as he suggests SEBD is when children ‘interfere’ with their own and the learning process of others (Cooper,1999). For the purpose of Cooper’s research in his book ‘Understanding and Supporting Children with Emotional Behavioural Difficulties’, I understand why </w:t>
      </w:r>
      <w:r w:rsidR="00603F0B">
        <w:t xml:space="preserve">he is generalising SEBD as the ‘naughty’ children in class, because he is offering practical strategies to </w:t>
      </w:r>
      <w:r w:rsidR="00EF26C0">
        <w:t xml:space="preserve">the </w:t>
      </w:r>
      <w:r w:rsidR="00603F0B">
        <w:t>difficult behaviour faced, however it is a single-minded approach to SEBD</w:t>
      </w:r>
      <w:r w:rsidR="00F84B4C">
        <w:t>,</w:t>
      </w:r>
      <w:r w:rsidR="00603F0B">
        <w:t xml:space="preserve"> as the withdrawn children are already overlooked too much within classrooms (</w:t>
      </w:r>
      <w:proofErr w:type="spellStart"/>
      <w:r w:rsidR="00603F0B">
        <w:t>Carsch</w:t>
      </w:r>
      <w:proofErr w:type="spellEnd"/>
      <w:r w:rsidR="00603F0B">
        <w:t xml:space="preserve">, 2006). </w:t>
      </w:r>
      <w:r w:rsidR="00F84B4C">
        <w:t xml:space="preserve">The generalisation </w:t>
      </w:r>
      <w:r w:rsidR="00EF26C0">
        <w:t xml:space="preserve">that </w:t>
      </w:r>
      <w:r w:rsidR="00F84B4C">
        <w:t xml:space="preserve">SEBD </w:t>
      </w:r>
      <w:r w:rsidR="00932ADD">
        <w:t>solely surrounds the ‘disruptive’ children in class is echoed by McNamara and Moreton, their research states the premise of their book is based on emotional and be</w:t>
      </w:r>
      <w:r w:rsidR="00EF26C0">
        <w:t>havioural difficulties associated</w:t>
      </w:r>
      <w:r w:rsidR="00932ADD">
        <w:t xml:space="preserve"> with pupils who are so badly hurt and in so much pain that they are angry (</w:t>
      </w:r>
      <w:proofErr w:type="spellStart"/>
      <w:r w:rsidR="00932ADD">
        <w:t>McNamara&amp;Moreton</w:t>
      </w:r>
      <w:proofErr w:type="spellEnd"/>
      <w:r w:rsidR="00932ADD">
        <w:t xml:space="preserve">, 1999). </w:t>
      </w:r>
      <w:r w:rsidR="003B3EC4">
        <w:t xml:space="preserve">I understand and appreciate the sweeping statements many researchers use regarding SEBD </w:t>
      </w:r>
      <w:r w:rsidR="008003BD">
        <w:t xml:space="preserve">as the ‘disruptive’ children, those who take up ‘most time’ of teachers require the greatest input to ensure the running of a class. By managing the behaviour of the children most researchers class as having SEBD, I have found I am capable of reaching those children who may become withdrawn. </w:t>
      </w:r>
    </w:p>
    <w:p w:rsidR="0077255C" w:rsidRDefault="0077255C" w:rsidP="001A005A">
      <w:pPr>
        <w:spacing w:line="360" w:lineRule="auto"/>
      </w:pPr>
      <w:r>
        <w:t xml:space="preserve">Having carried out general research on ‘what is SEBD’, it has become abundantly clear, despite general notions being similar there is substantial conflicting views. </w:t>
      </w:r>
      <w:r w:rsidR="00FB6F87">
        <w:t xml:space="preserve">I believe SEBD should be based on a spectrum, similar to ASD as everyone can encounter a social, emotional, behavioural difficulty but the severity of it can determine the level of difficulty faced by that person. </w:t>
      </w:r>
    </w:p>
    <w:p w:rsidR="00FB6F87" w:rsidRDefault="00FB6F87" w:rsidP="001A005A">
      <w:pPr>
        <w:spacing w:line="360" w:lineRule="auto"/>
      </w:pPr>
    </w:p>
    <w:p w:rsidR="00FB6F87" w:rsidRDefault="000E0577" w:rsidP="001A005A">
      <w:pPr>
        <w:spacing w:line="360" w:lineRule="auto"/>
      </w:pPr>
      <w:r>
        <w:t>What are the causes of SEBD?</w:t>
      </w:r>
    </w:p>
    <w:p w:rsidR="000E0577" w:rsidRDefault="000E0577" w:rsidP="001A005A">
      <w:pPr>
        <w:spacing w:line="360" w:lineRule="auto"/>
      </w:pPr>
      <w:r>
        <w:t xml:space="preserve">The main purpose of this literature review is to explore the causes of SEBD. Similarly to </w:t>
      </w:r>
      <w:r w:rsidR="00DA47E5">
        <w:t xml:space="preserve">the previous question posed, ‘what is SEBD’, the research surrounding its causes are extensive and conflicting. Following my own research, where I was able to identify the key themes behind the causes of SEBD, I carried out an exercise with the staff at my school to see if their practical experience working in a mainstream school in Wales, mirrored the researchers I had studied (see appendix 1). Appendix 1 </w:t>
      </w:r>
      <w:r w:rsidR="00DA47E5">
        <w:lastRenderedPageBreak/>
        <w:t xml:space="preserve">clearly shows the general views of staff at my school agree with the researchers and the </w:t>
      </w:r>
      <w:r w:rsidR="00F962F1">
        <w:t xml:space="preserve">causes of SEBD, however it became clear the sheer number of causes the staff believed to contribute towards SEBD was alarming, with many causes discussed by staff rarely mentioned as attributing factors by researchers. </w:t>
      </w:r>
      <w:r w:rsidR="007B187E">
        <w:t>With significant research surrounding the causes of SEBD, my literature review will be concentrating on two key areas I believe are vital causes behind SEBD.  I will be focussing on the impact speech and language difficulties has on SEBD, using St</w:t>
      </w:r>
      <w:r w:rsidR="00EE6230">
        <w:t xml:space="preserve">iles, Benner et al and Cross. I have also identified low self-esteem as a key factor causing SEBD and the difficult spiral children can often find themselves </w:t>
      </w:r>
      <w:r w:rsidR="005D3A5B">
        <w:t>o</w:t>
      </w:r>
      <w:r w:rsidR="00EE6230">
        <w:t>n, I will be review</w:t>
      </w:r>
      <w:r w:rsidR="00E55847">
        <w:t>ing</w:t>
      </w:r>
      <w:r w:rsidR="00EE6230">
        <w:t xml:space="preserve"> the research of </w:t>
      </w:r>
      <w:proofErr w:type="spellStart"/>
      <w:r w:rsidR="00EE6230">
        <w:t>Cefai</w:t>
      </w:r>
      <w:proofErr w:type="spellEnd"/>
      <w:r w:rsidR="00EE6230">
        <w:t xml:space="preserve">, </w:t>
      </w:r>
      <w:proofErr w:type="spellStart"/>
      <w:r w:rsidR="00EE6230">
        <w:t>Swinson</w:t>
      </w:r>
      <w:proofErr w:type="spellEnd"/>
      <w:r w:rsidR="00EE6230">
        <w:t xml:space="preserve"> and </w:t>
      </w:r>
      <w:r w:rsidR="00E55847">
        <w:t xml:space="preserve">Cooper, along with others. </w:t>
      </w:r>
    </w:p>
    <w:p w:rsidR="00E55847" w:rsidRDefault="00E55847" w:rsidP="001A005A">
      <w:pPr>
        <w:spacing w:line="360" w:lineRule="auto"/>
      </w:pPr>
    </w:p>
    <w:p w:rsidR="00ED161C" w:rsidRDefault="00866E01" w:rsidP="001A005A">
      <w:pPr>
        <w:spacing w:line="360" w:lineRule="auto"/>
      </w:pPr>
      <w:r>
        <w:t>Speech and language difficulties and SEBD</w:t>
      </w:r>
    </w:p>
    <w:p w:rsidR="00513CF2" w:rsidRPr="00513CF2" w:rsidRDefault="00513CF2" w:rsidP="001A005A">
      <w:pPr>
        <w:spacing w:line="360" w:lineRule="auto"/>
      </w:pPr>
      <w:r w:rsidRPr="00513CF2">
        <w:rPr>
          <w:i/>
        </w:rPr>
        <w:t xml:space="preserve">“So much in daily life is taken for granted, especially the skill of </w:t>
      </w:r>
      <w:r w:rsidR="00F8192A" w:rsidRPr="00513CF2">
        <w:rPr>
          <w:i/>
        </w:rPr>
        <w:t>understanding</w:t>
      </w:r>
      <w:r w:rsidRPr="00513CF2">
        <w:rPr>
          <w:i/>
        </w:rPr>
        <w:t xml:space="preserve"> language and being able to communicate our thoughts, feelings and aspirations. When this skill fails to develop, or is impaired by accident or injury, the result is often great anguish, despair and frustration”</w:t>
      </w:r>
      <w:r>
        <w:t xml:space="preserve"> (Ripley et al, 2001). This quote from Ripley et </w:t>
      </w:r>
      <w:proofErr w:type="spellStart"/>
      <w:r>
        <w:t>al’s</w:t>
      </w:r>
      <w:proofErr w:type="spellEnd"/>
      <w:r>
        <w:t xml:space="preserve"> work emphasises the imperative role speech and language can play on childre</w:t>
      </w:r>
      <w:r w:rsidR="00145235">
        <w:t>n’s SEBD. They continue by describing how</w:t>
      </w:r>
      <w:r>
        <w:t xml:space="preserve"> </w:t>
      </w:r>
      <w:r w:rsidR="001C6882">
        <w:t xml:space="preserve">a speech and language difficulty disrupts every aspect of their lives, with behaviour being one of the biggest affected. </w:t>
      </w:r>
    </w:p>
    <w:p w:rsidR="00E61972" w:rsidRDefault="00E61972" w:rsidP="001A005A">
      <w:pPr>
        <w:spacing w:line="360" w:lineRule="auto"/>
      </w:pPr>
      <w:proofErr w:type="spellStart"/>
      <w:r>
        <w:t>Roffey</w:t>
      </w:r>
      <w:proofErr w:type="spellEnd"/>
      <w:r>
        <w:t xml:space="preserve"> and </w:t>
      </w:r>
      <w:proofErr w:type="spellStart"/>
      <w:r>
        <w:t>O’Reirdan</w:t>
      </w:r>
      <w:proofErr w:type="spellEnd"/>
      <w:r>
        <w:t xml:space="preserve"> believe that behaviour is a form of communication and at a very early stage in our lives we have an understanding that by behaving in a certain way we can have our needs met. Most children develop the ability to communicate their needs through speech and articulate what we want, however this is not always the case (</w:t>
      </w:r>
      <w:proofErr w:type="spellStart"/>
      <w:r>
        <w:t>Roffey</w:t>
      </w:r>
      <w:proofErr w:type="spellEnd"/>
      <w:r>
        <w:t xml:space="preserve"> &amp; </w:t>
      </w:r>
      <w:proofErr w:type="spellStart"/>
      <w:r>
        <w:t>O’Reirdan</w:t>
      </w:r>
      <w:proofErr w:type="spellEnd"/>
      <w:r>
        <w:t xml:space="preserve">, 2001). Behaviour as a form of communication relates back to the iceberg theory of behaviour, where the behaviour we see within classrooms is the part of the </w:t>
      </w:r>
      <w:r w:rsidR="00145235">
        <w:t xml:space="preserve">behaviour </w:t>
      </w:r>
      <w:r>
        <w:t xml:space="preserve">which is clear to see above the water, whereas the cause </w:t>
      </w:r>
      <w:r w:rsidR="00145235">
        <w:t>of</w:t>
      </w:r>
      <w:r>
        <w:t xml:space="preserve"> the behaviour, in this case</w:t>
      </w:r>
      <w:r w:rsidR="00145235">
        <w:t xml:space="preserve">, the communication difficulty, </w:t>
      </w:r>
      <w:r>
        <w:t>is beneath the water,</w:t>
      </w:r>
      <w:r w:rsidR="00145235">
        <w:t xml:space="preserve"> is</w:t>
      </w:r>
      <w:r>
        <w:t xml:space="preserve"> more difficult to identify. </w:t>
      </w:r>
    </w:p>
    <w:p w:rsidR="00F12EE0" w:rsidRDefault="005962CF" w:rsidP="001A005A">
      <w:pPr>
        <w:spacing w:line="360" w:lineRule="auto"/>
      </w:pPr>
      <w:r>
        <w:t xml:space="preserve">Jodi </w:t>
      </w:r>
      <w:proofErr w:type="spellStart"/>
      <w:r>
        <w:t>Tommerdahl’s</w:t>
      </w:r>
      <w:proofErr w:type="spellEnd"/>
      <w:r>
        <w:t xml:space="preserve"> journal article states a ‘large proportion’ of pupils with SEBD suffer from a s</w:t>
      </w:r>
      <w:r w:rsidR="00145235">
        <w:t>peech and language difficulty</w:t>
      </w:r>
      <w:r>
        <w:t xml:space="preserve"> (</w:t>
      </w:r>
      <w:proofErr w:type="spellStart"/>
      <w:r>
        <w:t>Tommerdahl</w:t>
      </w:r>
      <w:proofErr w:type="spellEnd"/>
      <w:r>
        <w:t xml:space="preserve">, 2009). Her research identifies the impact the speech and language difficulty has on children and in particular their behaviour. In her research she establishes how the communication chain plays an essential </w:t>
      </w:r>
      <w:r w:rsidR="00737040">
        <w:t xml:space="preserve">factor in the link between SEBD and speech and language difficulties. If any part of the communication chain is less developed than the rest, this can cause </w:t>
      </w:r>
      <w:r w:rsidR="004F64FB">
        <w:t xml:space="preserve">auditory processing difficulties, which in turn </w:t>
      </w:r>
      <w:r w:rsidR="003A2C60">
        <w:t xml:space="preserve">can present as a SEBD (Benner et al, 2002). Benner et al adds greater detail to the argument of the link between SEBD and speech and language difficulties, their study shows 71% of children with SEBD also experience speech and language </w:t>
      </w:r>
      <w:r w:rsidR="003A2C60">
        <w:lastRenderedPageBreak/>
        <w:t xml:space="preserve">difficulties, compared to 10% of the general population (Benner et al, 2002). This is a remarkable statistic and highlights the importance of understanding the impact speech and language difficulties has on SEBD. </w:t>
      </w:r>
      <w:r w:rsidR="00990E38">
        <w:t xml:space="preserve">Baker and Cantwell cites rates of prevalence </w:t>
      </w:r>
      <w:r w:rsidR="00145235">
        <w:t xml:space="preserve">which </w:t>
      </w:r>
      <w:r w:rsidR="00990E38">
        <w:t>vary greatly, between 65%-95% (Baker &amp; Cantwell, 1987). Despite being dated, the research of Baker and Cantwell</w:t>
      </w:r>
      <w:r w:rsidR="00F12EE0">
        <w:t xml:space="preserve"> is still </w:t>
      </w:r>
      <w:r w:rsidR="00145235">
        <w:t xml:space="preserve">relevant and appropriate to </w:t>
      </w:r>
      <w:r w:rsidR="00F12EE0">
        <w:t>children in schools today, as personal experiences have shown me, the vast majority of children with spee</w:t>
      </w:r>
      <w:r w:rsidR="00145235">
        <w:t>ch and language difficulties have</w:t>
      </w:r>
      <w:r w:rsidR="00F12EE0">
        <w:t xml:space="preserve"> SEBD, </w:t>
      </w:r>
      <w:r w:rsidR="00145235">
        <w:t xml:space="preserve">therefore </w:t>
      </w:r>
      <w:r w:rsidR="00F12EE0">
        <w:t>up to 95%</w:t>
      </w:r>
      <w:r w:rsidR="00F8192A">
        <w:t xml:space="preserve"> is a realistic figure</w:t>
      </w:r>
      <w:r w:rsidR="00F12EE0">
        <w:t xml:space="preserve">. Baker and Cantwell’s study offers a greater insight into the breakdown of specific speech and language difficulties and the rate of which children are affected. Their research showed that 95% of children with pure language disorders were at risk of experiencing SEBD, compared to 45% combined speech and language disorders and 29% pure speech disorders (Baker &amp; Cantwell, </w:t>
      </w:r>
      <w:r w:rsidR="00562566">
        <w:t>1982). Their journal also indicates the behavioural problems experienced by those with speech and language difficulties would worsen with age</w:t>
      </w:r>
      <w:r w:rsidR="00145235">
        <w:t xml:space="preserve"> whilst</w:t>
      </w:r>
      <w:r w:rsidR="00562566">
        <w:t xml:space="preserve"> becoming more internalised (Baker &amp; Cantwell, 1987). </w:t>
      </w:r>
    </w:p>
    <w:p w:rsidR="000D7E2F" w:rsidRDefault="002A1BE1" w:rsidP="001A005A">
      <w:pPr>
        <w:spacing w:line="360" w:lineRule="auto"/>
      </w:pPr>
      <w:r>
        <w:t>Coopers book ‘Understanding and Supporting Children with Emotional and Behavioural Difficulties’ explains schools and classrooms in particular can be ‘stressful and confusing’ for children with learning difficulties including speech and language. Their learning difficulty seriously impacts their capacity to learn which can lead to frustration, jealously, low self-esteem which in turn can present itself as anger (Cooper, 1999). An issue I continue to find with some of the research is typified by that of Cornwall and Todd. Their research is based on addressing children’s SEBD through appropriate target setting and even address</w:t>
      </w:r>
      <w:r w:rsidR="00145235">
        <w:t>es</w:t>
      </w:r>
      <w:r>
        <w:t xml:space="preserve"> the issue of speech and language </w:t>
      </w:r>
      <w:r w:rsidR="00D17B65">
        <w:t xml:space="preserve">impacting on behaviour (Cornwall &amp; Todd, 1998), yet all of the target setting advice given addresses the visible behaviour as opposed to antecedents to the behaviour. </w:t>
      </w:r>
      <w:r w:rsidR="00E61972">
        <w:t>W</w:t>
      </w:r>
      <w:r w:rsidR="00D17B65">
        <w:t>hen thinking about the iceberg theory, through the information in their research only what is above the water is being addressed. This</w:t>
      </w:r>
      <w:r w:rsidR="00E310D0">
        <w:t xml:space="preserve"> conflicts</w:t>
      </w:r>
      <w:r w:rsidR="00D17B65">
        <w:t xml:space="preserve"> with what Baker and Cantwell state when they discuss the importance of teachers having a greater awareness of the impact speech and language difficulties has on behaviour (Baker &amp;Cantwell, 1987). As a practitioner, who has worked with children in mainstream and ASD provisions, I am acutely aware I have been guilty of doing this, concentrating on the more visible issue as opposed to the more significant difficulty which is the cause of the behaviour. </w:t>
      </w:r>
      <w:proofErr w:type="spellStart"/>
      <w:r w:rsidR="00E61972">
        <w:t>Glazebrook</w:t>
      </w:r>
      <w:proofErr w:type="spellEnd"/>
      <w:r w:rsidR="00E61972">
        <w:t xml:space="preserve"> et al outline how the lack of confidence in children’s own language can promote ‘emotional distress’ (</w:t>
      </w:r>
      <w:proofErr w:type="spellStart"/>
      <w:r w:rsidR="00E61972">
        <w:t>Glazebrook</w:t>
      </w:r>
      <w:proofErr w:type="spellEnd"/>
      <w:r w:rsidR="00E61972">
        <w:t xml:space="preserve"> et al, 2003). Their literature review into detecting emotional and behavioural problems in paediatric clinic explains how children can find themselves in the state of emotional distress by being unable to voice their needs. Their research backs up that of </w:t>
      </w:r>
      <w:proofErr w:type="spellStart"/>
      <w:r w:rsidR="00E61972">
        <w:t>Roffey</w:t>
      </w:r>
      <w:proofErr w:type="spellEnd"/>
      <w:r w:rsidR="00E61972">
        <w:t xml:space="preserve"> &amp; </w:t>
      </w:r>
      <w:proofErr w:type="spellStart"/>
      <w:r w:rsidR="00E61972">
        <w:t>O’Reirdan</w:t>
      </w:r>
      <w:proofErr w:type="spellEnd"/>
      <w:r w:rsidR="00E61972">
        <w:t>, where the inability to communicate affectively leads to frustration, resulting in what most perceive as SEBD (</w:t>
      </w:r>
      <w:proofErr w:type="spellStart"/>
      <w:r w:rsidR="00E61972">
        <w:t>Roffey</w:t>
      </w:r>
      <w:proofErr w:type="spellEnd"/>
      <w:r w:rsidR="00E61972">
        <w:t xml:space="preserve"> &amp; </w:t>
      </w:r>
      <w:proofErr w:type="spellStart"/>
      <w:r w:rsidR="00E61972">
        <w:t>O’Reirdan</w:t>
      </w:r>
      <w:proofErr w:type="spellEnd"/>
      <w:r w:rsidR="00E61972">
        <w:t xml:space="preserve">, 2001). </w:t>
      </w:r>
      <w:proofErr w:type="spellStart"/>
      <w:r w:rsidR="00E61972">
        <w:t>Glazebrook</w:t>
      </w:r>
      <w:proofErr w:type="spellEnd"/>
      <w:r w:rsidR="00E61972">
        <w:t xml:space="preserve"> et </w:t>
      </w:r>
      <w:proofErr w:type="spellStart"/>
      <w:r w:rsidR="00E61972">
        <w:t>al’s</w:t>
      </w:r>
      <w:proofErr w:type="spellEnd"/>
      <w:r w:rsidR="00E61972">
        <w:t xml:space="preserve"> study mirrors that of Baker and Cantwell by </w:t>
      </w:r>
      <w:r w:rsidR="00E61972">
        <w:lastRenderedPageBreak/>
        <w:t>understanding the importance of teachers having a good understanding of sp</w:t>
      </w:r>
      <w:r w:rsidR="00F8192A">
        <w:t>eech and language difficulties as a starting point to managing SEBD.</w:t>
      </w:r>
    </w:p>
    <w:p w:rsidR="00513CF2" w:rsidRDefault="00E61972" w:rsidP="001A005A">
      <w:pPr>
        <w:spacing w:line="360" w:lineRule="auto"/>
      </w:pPr>
      <w:r>
        <w:t>Through personal experience, greater emphasis is placed on behavioural management and ‘dealing with difficult children’ than anything else in schools today. The training menu issued by the loc</w:t>
      </w:r>
      <w:r w:rsidR="003241BF">
        <w:t>al authority I currently work for</w:t>
      </w:r>
      <w:r>
        <w:t xml:space="preserve"> offers 25 courses associated with behaviour and behaviour management across the year, yet only 6 for speech and language.</w:t>
      </w:r>
      <w:r w:rsidR="000D7E2F">
        <w:t xml:space="preserve"> As an authority the behaviour team is considerably bigger than the speech and language team, whic</w:t>
      </w:r>
      <w:r w:rsidR="003241BF">
        <w:t xml:space="preserve">h when you breakdown how big </w:t>
      </w:r>
      <w:r w:rsidR="000D7E2F">
        <w:t xml:space="preserve">a role speech and language can play in behaviour, it feels the authority are currently firefighting the problem as opposed to dealing with the underlying issues. </w:t>
      </w:r>
      <w:r>
        <w:t xml:space="preserve"> The link between speech and language difficulties </w:t>
      </w:r>
      <w:r w:rsidR="000D7E2F">
        <w:t xml:space="preserve">is evident with a multitude of research to support it, yet the practical solution currently is not to address the underlying cause of the behaviour but the result of the speech and language difficulty which is presenting itself as SEBD. Through the research and my current experience I believe as educators we are not looking at the bigger picture, the research carried out by Baker &amp; Cantwell and </w:t>
      </w:r>
      <w:proofErr w:type="spellStart"/>
      <w:r w:rsidR="000D7E2F">
        <w:t>Tommerdahl</w:t>
      </w:r>
      <w:proofErr w:type="spellEnd"/>
      <w:r w:rsidR="000D7E2F">
        <w:t xml:space="preserve"> show the high level </w:t>
      </w:r>
      <w:r w:rsidR="003241BF">
        <w:t xml:space="preserve">of </w:t>
      </w:r>
      <w:r w:rsidR="000D7E2F">
        <w:t>pupils with speech and language difficulties leading to SEBD. With greater training for teaching and non-teaching staff in schools, the speech and language difficulties can be addressed, which in turn could affect the number of children with SEBD as they are able to communicate their needs</w:t>
      </w:r>
      <w:r w:rsidR="006D5841">
        <w:t xml:space="preserve"> appropriately</w:t>
      </w:r>
      <w:r w:rsidR="000D7E2F">
        <w:t xml:space="preserve">. </w:t>
      </w:r>
      <w:r w:rsidR="0051256D">
        <w:t>My own experience and beliefs are similar to Olsen and Cooper</w:t>
      </w:r>
      <w:r w:rsidR="006D5841">
        <w:t>,</w:t>
      </w:r>
      <w:r w:rsidR="0051256D">
        <w:t xml:space="preserve"> who believe there is a root to all SEBD and establishing the source of the root is where greater emphasis needs to be placed. They believe greater intervention in emotional literacy, speech and language</w:t>
      </w:r>
      <w:r w:rsidR="00513CF2">
        <w:t xml:space="preserve"> and</w:t>
      </w:r>
      <w:r w:rsidR="0051256D">
        <w:t xml:space="preserve"> vocational studies can help manage and deal with ‘disruptive students in the classroom’</w:t>
      </w:r>
      <w:r w:rsidR="00513CF2">
        <w:t xml:space="preserve"> (Olsen &amp; Cooper, 2001)</w:t>
      </w:r>
      <w:r w:rsidR="0051256D">
        <w:t>.</w:t>
      </w:r>
    </w:p>
    <w:p w:rsidR="00513CF2" w:rsidRDefault="00513CF2" w:rsidP="001A005A">
      <w:pPr>
        <w:spacing w:line="360" w:lineRule="auto"/>
      </w:pPr>
    </w:p>
    <w:p w:rsidR="002A1BE1" w:rsidRDefault="002D633B" w:rsidP="001A005A">
      <w:pPr>
        <w:spacing w:line="360" w:lineRule="auto"/>
      </w:pPr>
      <w:r>
        <w:t>Self-esteem and SEBD</w:t>
      </w:r>
    </w:p>
    <w:p w:rsidR="002D633B" w:rsidRDefault="002D633B" w:rsidP="001A005A">
      <w:pPr>
        <w:spacing w:line="360" w:lineRule="auto"/>
      </w:pPr>
      <w:r>
        <w:t>Children’s self-esteem has become a hot topic in education today, with more schools becoming aware of the importance of addressing self-esteem and self-worth through the new curriculum (Holmes, 2018).</w:t>
      </w:r>
      <w:r w:rsidR="003241BF">
        <w:t xml:space="preserve"> The concept of self-esteem </w:t>
      </w:r>
      <w:r>
        <w:t xml:space="preserve">first became prominent in 1980 by William James, who defined it as success divided by pretensions </w:t>
      </w:r>
      <w:r w:rsidR="00DA44C1">
        <w:t>(</w:t>
      </w:r>
      <w:r>
        <w:t>James, 1980). His concept of self-esteem as a comparison between ideal self and actual self remains to be widely regarded as the most accurate definition of self-esteem to date</w:t>
      </w:r>
      <w:r w:rsidR="00DA44C1">
        <w:t xml:space="preserve"> (</w:t>
      </w:r>
      <w:proofErr w:type="spellStart"/>
      <w:r w:rsidR="00DA44C1">
        <w:t>Swinson</w:t>
      </w:r>
      <w:proofErr w:type="spellEnd"/>
      <w:r w:rsidR="00DA44C1">
        <w:t>, 2008)</w:t>
      </w:r>
      <w:r>
        <w:t>.</w:t>
      </w:r>
      <w:r w:rsidR="00DA44C1">
        <w:t xml:space="preserve"> Despite </w:t>
      </w:r>
      <w:r w:rsidR="00E40333">
        <w:t>James’ views on self-esteem remaining prominent today, Rosenberg disagreed, he believed self-esteem was ‘contingent upon success and therefore inherently unstable’ and defined it in terms of a ‘stable sense of personal worth and worthiness’ (Rosenberg, 1965). Despite there being differences in their approach to sel</w:t>
      </w:r>
      <w:r w:rsidR="008C748D">
        <w:t>f-esteem</w:t>
      </w:r>
      <w:r w:rsidR="006D5841">
        <w:t>,</w:t>
      </w:r>
      <w:r w:rsidR="008C748D">
        <w:t xml:space="preserve"> they both agree self-esteem is based on our perceptions of our self and low self-esteem can be </w:t>
      </w:r>
      <w:r w:rsidR="008C748D">
        <w:lastRenderedPageBreak/>
        <w:t xml:space="preserve">damaging to all aspects of our lives. </w:t>
      </w:r>
      <w:r w:rsidR="000C7484">
        <w:t>Both agree in</w:t>
      </w:r>
      <w:r w:rsidR="006D5841">
        <w:t xml:space="preserve"> order for children to learn, </w:t>
      </w:r>
      <w:r w:rsidR="000C7484">
        <w:t xml:space="preserve">develop </w:t>
      </w:r>
      <w:r w:rsidR="006D5841">
        <w:t xml:space="preserve">and </w:t>
      </w:r>
      <w:r w:rsidR="000C7484">
        <w:t xml:space="preserve">reach their optimum learning potential, they need a positive perception of themselves. </w:t>
      </w:r>
      <w:proofErr w:type="spellStart"/>
      <w:r w:rsidR="008B03DF">
        <w:t>Baumeis</w:t>
      </w:r>
      <w:r w:rsidR="004B22A3">
        <w:t>ter</w:t>
      </w:r>
      <w:proofErr w:type="spellEnd"/>
      <w:r w:rsidR="004B22A3">
        <w:t xml:space="preserve"> et al echo </w:t>
      </w:r>
      <w:r w:rsidR="008B03DF">
        <w:t>this and describ</w:t>
      </w:r>
      <w:r w:rsidR="004B22A3">
        <w:t xml:space="preserve">e self-esteem as </w:t>
      </w:r>
      <w:r w:rsidR="008B03DF">
        <w:t>an attitude based on the belief that one has worth (</w:t>
      </w:r>
      <w:proofErr w:type="spellStart"/>
      <w:r w:rsidR="008B03DF">
        <w:t>Baumeister</w:t>
      </w:r>
      <w:proofErr w:type="spellEnd"/>
      <w:r w:rsidR="008B03DF">
        <w:t xml:space="preserve"> et al, 2003). Again, their research is underpinned by the importance of having high self-esteem and the negative impact low self-esteem can have on children, especially regarding behaviour and social interaction.  </w:t>
      </w:r>
      <w:proofErr w:type="spellStart"/>
      <w:r w:rsidR="008B03DF">
        <w:t>Baumeister</w:t>
      </w:r>
      <w:proofErr w:type="spellEnd"/>
      <w:r w:rsidR="008B03DF">
        <w:t xml:space="preserve"> et al explains those who suffer from low self-esteem and sense of ‘little worth’ often ‘act out’ in an attempt to justify the way they are feeling, described as a coping mechanism (</w:t>
      </w:r>
      <w:proofErr w:type="spellStart"/>
      <w:r w:rsidR="008B03DF">
        <w:t>Baumeister</w:t>
      </w:r>
      <w:proofErr w:type="spellEnd"/>
      <w:r w:rsidR="008B03DF">
        <w:t xml:space="preserve"> et al, 2003). </w:t>
      </w:r>
      <w:r w:rsidR="008D2BCE">
        <w:t>Burke and Stets however take on a different perspective of self-esteem and SEBD, they believe self-esteem is a ‘reservoir of energy based on the product of identity verification’ (Burke &amp; Stets, 2009). Their study shows how individual’s positive experiences of feeling verified add to their bank of positive energy, allowing them to call on the positive energy supplies when required. The positive energy supplies allow individuals to increase productivity, resilience, appreciate one’s self and be able to deal with new/difficult situations effectively (Burke &amp; Stets, 2009).</w:t>
      </w:r>
      <w:r w:rsidR="003241BF">
        <w:t xml:space="preserve"> Again, despite their opinion of</w:t>
      </w:r>
      <w:r w:rsidR="008D2BCE">
        <w:t xml:space="preserve"> self-esteem differing the impact low self-esteem can have on individuals, especially children</w:t>
      </w:r>
      <w:r w:rsidR="003241BF">
        <w:t>,</w:t>
      </w:r>
      <w:r w:rsidR="008D2BCE">
        <w:t xml:space="preserve"> remains the same, we are unable to manage and cope with situations affectively when we have a low opinion of one’s self. </w:t>
      </w:r>
    </w:p>
    <w:p w:rsidR="004345FB" w:rsidRDefault="00AD1CB2" w:rsidP="001A005A">
      <w:pPr>
        <w:spacing w:line="360" w:lineRule="auto"/>
      </w:pPr>
      <w:r>
        <w:t xml:space="preserve">Burke and Stets’ research also explains when the individual’s energy reservoir is low, they do not have the perseverance to carry out challenges they find difficult, this can then lead to them becoming disengaged, resulting in deterioration in behaviour (Burke &amp; Stets, 2009). </w:t>
      </w:r>
      <w:proofErr w:type="spellStart"/>
      <w:r>
        <w:t>Joffe</w:t>
      </w:r>
      <w:proofErr w:type="spellEnd"/>
      <w:r>
        <w:t xml:space="preserve"> and Black continue this point by saying when learners have low self-esteem and disengage from their learning, the gap between themselves and their peers begin to grow, leading to self-esteem becoming even lower (</w:t>
      </w:r>
      <w:proofErr w:type="spellStart"/>
      <w:r>
        <w:t>Joffe</w:t>
      </w:r>
      <w:proofErr w:type="spellEnd"/>
      <w:r>
        <w:t xml:space="preserve"> &amp; Black, 2012). </w:t>
      </w:r>
      <w:r w:rsidR="008716D8">
        <w:t xml:space="preserve">The concept of the disengagement fuelling the low self-esteem is discussed in Fennel’s research who describes it as ‘shame-cycle’, where the shame of being </w:t>
      </w:r>
      <w:r w:rsidR="006D5841">
        <w:t>un</w:t>
      </w:r>
      <w:r w:rsidR="008716D8">
        <w:t>able to persevere with something an individual finds difficult impacts on relationships with others as a sense of jealousy begins, inability to conform with social expectations and feeling of need to act out in order to feel accepted (Fennel, 2009). The sense of ‘acting out’ being used as a coping strategy for those with low self-esteem is something I experience on a daily basis in school. This is som</w:t>
      </w:r>
      <w:r w:rsidR="00DC2EBB">
        <w:t xml:space="preserve">ething schools are aware of; encouraging </w:t>
      </w:r>
      <w:r w:rsidR="008716D8">
        <w:t>differentiated learning for the abilities present in a class</w:t>
      </w:r>
      <w:r w:rsidR="00DC2EBB">
        <w:t xml:space="preserve"> which</w:t>
      </w:r>
      <w:r w:rsidR="008716D8">
        <w:t xml:space="preserve"> can help reduce the low self-esteem by allowing children to feel a sense of accomplishment through completing a </w:t>
      </w:r>
      <w:r w:rsidR="00875980">
        <w:t>task/activity independently, all be it at level suitable to them. As children grow up they do become more aware their work is differentiated to a level suitable to them and this can the</w:t>
      </w:r>
      <w:r w:rsidR="00DC2EBB">
        <w:t>n</w:t>
      </w:r>
      <w:r w:rsidR="00875980">
        <w:t xml:space="preserve"> restart the ‘shame-cycle’ mentioned by Fennel. </w:t>
      </w:r>
      <w:proofErr w:type="spellStart"/>
      <w:r w:rsidR="00875980">
        <w:t>Roffey</w:t>
      </w:r>
      <w:proofErr w:type="spellEnd"/>
      <w:r w:rsidR="00875980">
        <w:t xml:space="preserve"> and </w:t>
      </w:r>
      <w:proofErr w:type="spellStart"/>
      <w:r w:rsidR="00875980">
        <w:t>O’Reirdan’s</w:t>
      </w:r>
      <w:proofErr w:type="spellEnd"/>
      <w:r w:rsidR="00875980">
        <w:t xml:space="preserve"> approach to combatting the shame-cycle and low self-esteem which can lead to SEBD</w:t>
      </w:r>
      <w:r w:rsidR="006D5841">
        <w:t>,</w:t>
      </w:r>
      <w:r w:rsidR="00875980">
        <w:t xml:space="preserve"> is to make learning more ‘relevant and meaningful’ (</w:t>
      </w:r>
      <w:proofErr w:type="spellStart"/>
      <w:r w:rsidR="00875980">
        <w:t>Roffey</w:t>
      </w:r>
      <w:proofErr w:type="spellEnd"/>
      <w:r w:rsidR="00875980">
        <w:t xml:space="preserve"> &amp; </w:t>
      </w:r>
      <w:proofErr w:type="spellStart"/>
      <w:r w:rsidR="00875980">
        <w:t>O’Reirdan</w:t>
      </w:r>
      <w:proofErr w:type="spellEnd"/>
      <w:r w:rsidR="00875980">
        <w:t xml:space="preserve">, 2000). Those who present with low self-esteem need to be able to </w:t>
      </w:r>
      <w:r w:rsidR="00875980">
        <w:lastRenderedPageBreak/>
        <w:t>experience th</w:t>
      </w:r>
      <w:r w:rsidR="00ED45C5">
        <w:t>e feeling of success and concentrate on what they are able to do, not what they find difficult, by doing this it builds on self-esteem and gives them greater capacity to tackle their areas of difficulty in the future. The need to belong and feel part of the class can impact on self-esteem and SEBD, when children feel they</w:t>
      </w:r>
      <w:r w:rsidR="00DC2EBB">
        <w:t xml:space="preserve"> are on the ‘periphery’ and lack</w:t>
      </w:r>
      <w:r w:rsidR="00ED45C5">
        <w:t xml:space="preserve"> the confidence to be part of the group</w:t>
      </w:r>
      <w:r w:rsidR="00DC2EBB">
        <w:t xml:space="preserve"> they can be distracted </w:t>
      </w:r>
      <w:r w:rsidR="00ED45C5">
        <w:t>from their learning (</w:t>
      </w:r>
      <w:proofErr w:type="spellStart"/>
      <w:r w:rsidR="00ED45C5">
        <w:t>Roffey</w:t>
      </w:r>
      <w:proofErr w:type="spellEnd"/>
      <w:r w:rsidR="00ED45C5">
        <w:t xml:space="preserve"> &amp; </w:t>
      </w:r>
      <w:proofErr w:type="spellStart"/>
      <w:r w:rsidR="00ED45C5">
        <w:t>O’Reirdan</w:t>
      </w:r>
      <w:proofErr w:type="spellEnd"/>
      <w:r w:rsidR="00ED45C5">
        <w:t>, 2000). Coop</w:t>
      </w:r>
      <w:r w:rsidR="00A23F19">
        <w:t>er also discusses the need to belong, and how children who do not feel like they belong</w:t>
      </w:r>
      <w:r w:rsidR="006D5841">
        <w:t>,</w:t>
      </w:r>
      <w:r w:rsidR="00A23F19">
        <w:t xml:space="preserve"> due to different factors including low self-esteem, behave inappropriately in classrooms (Cooper, 1999). The behaviour displayed can lead to them becoming distracted and distracting others from their learning. Fogell and Long support this and believe the effort it takes for children with low self-esteem to ‘fit in’ leaves them distracted from their own learning, feeding into the shame-cycle highlighted by </w:t>
      </w:r>
      <w:r w:rsidR="004345FB">
        <w:t xml:space="preserve">Fennel when children do not have the capacity to persevere with a difficult task when their understanding of the expectation placed on them is unclear (Fogell &amp; Long, 1988). </w:t>
      </w:r>
    </w:p>
    <w:p w:rsidR="00DB1938" w:rsidRDefault="004345FB" w:rsidP="001A005A">
      <w:pPr>
        <w:spacing w:line="360" w:lineRule="auto"/>
      </w:pPr>
      <w:r>
        <w:t xml:space="preserve">Appendix A, where staff at my school identified the causes they felt were the greatest contributing factors to SEBD, clearly show as a school we are aware of the importance of self-esteem on behaviour. As a school we carry out whole school ELSA sessions in an attempt to improve self-esteem of all pupils. The research surrounding the link between SEBD and self-esteem is clear and raising awareness in schools is vital. As Fogell and Long explain, children are not born ‘naughty’, there are contributing factors to everything we do and the way we present ourselves. </w:t>
      </w:r>
    </w:p>
    <w:p w:rsidR="00DB1938" w:rsidRDefault="00DB1938" w:rsidP="001A005A">
      <w:pPr>
        <w:spacing w:line="360" w:lineRule="auto"/>
      </w:pPr>
    </w:p>
    <w:p w:rsidR="00DB1938" w:rsidRDefault="00DB1938" w:rsidP="001A005A">
      <w:pPr>
        <w:spacing w:line="360" w:lineRule="auto"/>
      </w:pPr>
      <w:r>
        <w:t>Conclusion</w:t>
      </w:r>
    </w:p>
    <w:p w:rsidR="00DB1938" w:rsidRDefault="00DB1938" w:rsidP="001A005A">
      <w:pPr>
        <w:spacing w:line="360" w:lineRule="auto"/>
      </w:pPr>
      <w:r>
        <w:t>Despite not having a complete understanding of its definition, there is an understanding of what SEBD is and its causes</w:t>
      </w:r>
      <w:r w:rsidR="006D5841">
        <w:t>,</w:t>
      </w:r>
      <w:r>
        <w:t xml:space="preserve"> even though researchers have varied views on it, what is agreed by all researchers and professionals I work</w:t>
      </w:r>
      <w:r w:rsidR="006D5841">
        <w:t xml:space="preserve"> with</w:t>
      </w:r>
      <w:r>
        <w:t xml:space="preserve"> is the impact it has on learners. SEBD can be a crippling barrier to learning for children and can begin the ‘shame cycle’ which is difficult to stop. Mental health statistics show the percentage of adults who suffer from depression </w:t>
      </w:r>
      <w:r w:rsidR="00551BB7">
        <w:t xml:space="preserve">in 2019 is 34%, the shame cycle brought on in school can be an attributing factor to this (mentalhealth.org, 2019). </w:t>
      </w:r>
      <w:r w:rsidR="00D808C9">
        <w:t>What has become evident through my research</w:t>
      </w:r>
      <w:r w:rsidR="006D5841">
        <w:t>,</w:t>
      </w:r>
      <w:r w:rsidR="00D808C9">
        <w:t xml:space="preserve"> is as practitioners, we are currently placing greater emphasis on the problematic behaviour which can be caused by SEBD as opposed to addressing the cause of the SEBD itself. Early intervention is essential in dealing with SEBD and its causes</w:t>
      </w:r>
      <w:r w:rsidR="006D5841">
        <w:t>,</w:t>
      </w:r>
      <w:r w:rsidR="00D808C9">
        <w:t xml:space="preserve"> and school staff require greater training in identifying the underlying cause to the behaviour (McNamara &amp; Moreton, 1999). Some of the causes to SEBD can be more difficult than others to detect and also support, however with the correct training and support for school staff, greater strides can be made in supporting these children, who if anything are the most vulnerable and in need of the greatest </w:t>
      </w:r>
      <w:r w:rsidR="00D808C9">
        <w:lastRenderedPageBreak/>
        <w:t xml:space="preserve">support in our classes. </w:t>
      </w:r>
      <w:r w:rsidR="00735966">
        <w:t>My focus for the literature review were speech and language and self-esteem, two causes I believe are sometimes overlooked in regards to the cause of SEBD. Too often, speech and language and self-esteem are treated as separate entities and there is little evidence in schools and play settings I have worked in where there is a joined up approach to this. By taking on a more holistic approach</w:t>
      </w:r>
      <w:r w:rsidR="00F3486F">
        <w:t>,</w:t>
      </w:r>
      <w:r w:rsidR="00735966">
        <w:t xml:space="preserve"> where every facet of the child is taken into account, it would be more likely causes to behaviour can be identified earlier, leading to appropriate interventions and bespoke curriculums to support their strengths. </w:t>
      </w:r>
      <w:proofErr w:type="spellStart"/>
      <w:r w:rsidR="00F3486F">
        <w:t>Roffey</w:t>
      </w:r>
      <w:proofErr w:type="spellEnd"/>
      <w:r w:rsidR="00F3486F">
        <w:t xml:space="preserve"> and </w:t>
      </w:r>
      <w:proofErr w:type="spellStart"/>
      <w:r w:rsidR="00F3486F">
        <w:t>O’Reirdan</w:t>
      </w:r>
      <w:proofErr w:type="spellEnd"/>
      <w:r w:rsidR="00F3486F">
        <w:t xml:space="preserve"> address the need for this in their research and explain how children with SEBD need learning experiences where they can express themselves and feel a sense of accomplishment through achieving (</w:t>
      </w:r>
      <w:proofErr w:type="spellStart"/>
      <w:r w:rsidR="00F3486F">
        <w:t>Roffey</w:t>
      </w:r>
      <w:proofErr w:type="spellEnd"/>
      <w:r w:rsidR="00F3486F">
        <w:t xml:space="preserve"> and </w:t>
      </w:r>
      <w:proofErr w:type="spellStart"/>
      <w:r w:rsidR="00F3486F">
        <w:t>O’Reirdan</w:t>
      </w:r>
      <w:proofErr w:type="spellEnd"/>
      <w:r w:rsidR="00F3486F">
        <w:t xml:space="preserve">). The holistic approach can come in the form of a nurturing environment, where school staff are able to learn more about their children in an attempt to identify the causes to SEBD. No child is born naughty, and there are contributing factors to </w:t>
      </w:r>
      <w:r w:rsidR="001936E6">
        <w:t>our behaviour (</w:t>
      </w:r>
      <w:proofErr w:type="spellStart"/>
      <w:r w:rsidR="001936E6">
        <w:t>Ahun</w:t>
      </w:r>
      <w:proofErr w:type="spellEnd"/>
      <w:r w:rsidR="001936E6">
        <w:t xml:space="preserve"> &amp; Cote, 2019). As practitioners, our role is to </w:t>
      </w:r>
      <w:r w:rsidR="00E355FA">
        <w:t>identify the causes and create</w:t>
      </w:r>
      <w:r w:rsidR="001936E6">
        <w:t xml:space="preserve"> strategies and learning opportunities to support </w:t>
      </w:r>
      <w:r w:rsidR="00E355FA">
        <w:t>every child</w:t>
      </w:r>
      <w:r w:rsidR="001936E6">
        <w:t>’s</w:t>
      </w:r>
      <w:r w:rsidR="00DC2EBB">
        <w:t xml:space="preserve"> specific learning </w:t>
      </w:r>
      <w:r w:rsidR="001936E6">
        <w:t xml:space="preserve">needs. </w:t>
      </w:r>
    </w:p>
    <w:p w:rsidR="00DB1938" w:rsidRDefault="00DB1938"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1A005A" w:rsidRDefault="001A005A" w:rsidP="00E61972"/>
    <w:p w:rsidR="00DB1938" w:rsidRDefault="00DB1938" w:rsidP="00E61972"/>
    <w:p w:rsidR="001A005A" w:rsidRDefault="001A005A" w:rsidP="00E61972">
      <w:r>
        <w:t>References</w:t>
      </w:r>
    </w:p>
    <w:p w:rsidR="00330090" w:rsidRPr="00330090" w:rsidRDefault="00330090" w:rsidP="00E61972">
      <w:proofErr w:type="spellStart"/>
      <w:r>
        <w:t>Ahum</w:t>
      </w:r>
      <w:proofErr w:type="spellEnd"/>
      <w:r>
        <w:t xml:space="preserve">, M, Cote, S. (2019), </w:t>
      </w:r>
      <w:r>
        <w:rPr>
          <w:i/>
        </w:rPr>
        <w:t xml:space="preserve">Maternal Depressive Symptoms and Early Childhood Cognitive Development: A Review of Putative Environmental Mediators, </w:t>
      </w:r>
      <w:r>
        <w:t xml:space="preserve">Archives of </w:t>
      </w:r>
      <w:proofErr w:type="spellStart"/>
      <w:r>
        <w:t>Womens</w:t>
      </w:r>
      <w:proofErr w:type="spellEnd"/>
      <w:r>
        <w:t xml:space="preserve"> Health, Vol 22.</w:t>
      </w:r>
    </w:p>
    <w:p w:rsidR="001C166B" w:rsidRDefault="001C166B" w:rsidP="00E61972">
      <w:r>
        <w:t xml:space="preserve">Baker, L, Cantwell, D. (1982), </w:t>
      </w:r>
      <w:r w:rsidRPr="001C166B">
        <w:rPr>
          <w:i/>
        </w:rPr>
        <w:t>Psychiatric Disorder in Children with Different types of Communication Disorders</w:t>
      </w:r>
      <w:r>
        <w:t xml:space="preserve">, Journal of Communication Disorder, </w:t>
      </w:r>
      <w:proofErr w:type="gramStart"/>
      <w:r>
        <w:t>Vol</w:t>
      </w:r>
      <w:proofErr w:type="gramEnd"/>
      <w:r>
        <w:t xml:space="preserve"> 15. </w:t>
      </w:r>
    </w:p>
    <w:p w:rsidR="00F7109A" w:rsidRDefault="00F7109A" w:rsidP="00E61972">
      <w:r>
        <w:t xml:space="preserve">Baker, L, Cantwell, D. (1987), </w:t>
      </w:r>
      <w:r>
        <w:rPr>
          <w:i/>
        </w:rPr>
        <w:t xml:space="preserve">A Prospective Psychiatric Follow Up of Children with Speech and Language Disorders, </w:t>
      </w:r>
      <w:r>
        <w:t>Journal of American Academy of Child and Adolescent Psychiatry, Vol 26.</w:t>
      </w:r>
    </w:p>
    <w:p w:rsidR="00330090" w:rsidRPr="00330090" w:rsidRDefault="00330090" w:rsidP="00E61972">
      <w:proofErr w:type="spellStart"/>
      <w:r>
        <w:t>Baumeister</w:t>
      </w:r>
      <w:proofErr w:type="spellEnd"/>
      <w:r>
        <w:t xml:space="preserve">, RFJ, Campbell, J, Kruger, I, </w:t>
      </w:r>
      <w:proofErr w:type="spellStart"/>
      <w:r>
        <w:t>Vohs</w:t>
      </w:r>
      <w:proofErr w:type="spellEnd"/>
      <w:r>
        <w:t xml:space="preserve">, KD. (2003), </w:t>
      </w:r>
      <w:r>
        <w:rPr>
          <w:i/>
        </w:rPr>
        <w:t xml:space="preserve">Does High Self-Esteem Cause Better Performance, Interpersonal Success, Happiness or Healthier Lifestyles? </w:t>
      </w:r>
      <w:r w:rsidR="00D66EAD">
        <w:t>Psychological Services in Public Interest, Vol 4</w:t>
      </w:r>
    </w:p>
    <w:p w:rsidR="00F7109A" w:rsidRDefault="00F7109A" w:rsidP="00E61972">
      <w:r>
        <w:t xml:space="preserve">Benner, G, Nelson, J, Epstein, </w:t>
      </w:r>
      <w:proofErr w:type="gramStart"/>
      <w:r>
        <w:t>M</w:t>
      </w:r>
      <w:proofErr w:type="gramEnd"/>
      <w:r>
        <w:t xml:space="preserve">. (2002), </w:t>
      </w:r>
      <w:r>
        <w:rPr>
          <w:i/>
        </w:rPr>
        <w:t xml:space="preserve">Language Skills of Children with EBD: A Literature Review, </w:t>
      </w:r>
      <w:r>
        <w:t>Journal of Emotional and Behavioural Disorders, Vol 11.</w:t>
      </w:r>
    </w:p>
    <w:p w:rsidR="00D66EAD" w:rsidRPr="00D66EAD" w:rsidRDefault="00D66EAD" w:rsidP="00E61972">
      <w:r>
        <w:t xml:space="preserve">Burke, PJ, Stets, SE. (2009), </w:t>
      </w:r>
      <w:r>
        <w:rPr>
          <w:i/>
        </w:rPr>
        <w:t xml:space="preserve">Identity Theory, </w:t>
      </w:r>
      <w:r>
        <w:t>Oxford University Press, New York.</w:t>
      </w:r>
    </w:p>
    <w:p w:rsidR="00F7109A" w:rsidRDefault="00F7109A" w:rsidP="00E61972">
      <w:proofErr w:type="spellStart"/>
      <w:r>
        <w:t>Carsch</w:t>
      </w:r>
      <w:proofErr w:type="spellEnd"/>
      <w:r>
        <w:t xml:space="preserve">, MH. (2006), </w:t>
      </w:r>
      <w:proofErr w:type="gramStart"/>
      <w:r>
        <w:rPr>
          <w:i/>
        </w:rPr>
        <w:t>The</w:t>
      </w:r>
      <w:proofErr w:type="gramEnd"/>
      <w:r>
        <w:rPr>
          <w:i/>
        </w:rPr>
        <w:t xml:space="preserve"> Handbook of Social, Emotional, Behavioural Difficulties. </w:t>
      </w:r>
      <w:r>
        <w:t>Continuum, London.</w:t>
      </w:r>
    </w:p>
    <w:p w:rsidR="00330090" w:rsidRDefault="00330090" w:rsidP="00E61972">
      <w:proofErr w:type="spellStart"/>
      <w:r>
        <w:t>Cefai</w:t>
      </w:r>
      <w:proofErr w:type="spellEnd"/>
      <w:r>
        <w:t xml:space="preserve">, C, Cooper, P. (2009), </w:t>
      </w:r>
      <w:r>
        <w:rPr>
          <w:i/>
        </w:rPr>
        <w:t xml:space="preserve">Promoting Emotional Education Engaging Children and Young </w:t>
      </w:r>
      <w:proofErr w:type="spellStart"/>
      <w:r>
        <w:rPr>
          <w:i/>
        </w:rPr>
        <w:t>Prople</w:t>
      </w:r>
      <w:proofErr w:type="spellEnd"/>
      <w:r>
        <w:rPr>
          <w:i/>
        </w:rPr>
        <w:t xml:space="preserve"> with Social Emotional Difficulties, </w:t>
      </w:r>
      <w:r>
        <w:t>Jessica Kingsley Publishers, London.</w:t>
      </w:r>
    </w:p>
    <w:p w:rsidR="00941A77" w:rsidRDefault="00941A77" w:rsidP="00E61972">
      <w:pPr>
        <w:rPr>
          <w:i/>
        </w:rPr>
      </w:pPr>
      <w:r>
        <w:t xml:space="preserve">Cooper, P. (1999), </w:t>
      </w:r>
      <w:r>
        <w:rPr>
          <w:i/>
        </w:rPr>
        <w:t xml:space="preserve">Understanding and Supporting Children with Emotional Behavioural Difficulties, </w:t>
      </w:r>
      <w:r>
        <w:t xml:space="preserve">Jessica Kingsley Publishers, London. </w:t>
      </w:r>
      <w:r>
        <w:rPr>
          <w:i/>
        </w:rPr>
        <w:t xml:space="preserve"> </w:t>
      </w:r>
    </w:p>
    <w:p w:rsidR="001C166B" w:rsidRPr="001C166B" w:rsidRDefault="001C166B" w:rsidP="00E61972">
      <w:r>
        <w:t xml:space="preserve">Cornwall, T. (1998), </w:t>
      </w:r>
      <w:r w:rsidRPr="001C166B">
        <w:rPr>
          <w:i/>
        </w:rPr>
        <w:t>Emotional and Behavioural Difficulties: IEP’s</w:t>
      </w:r>
      <w:r>
        <w:t>, David Fulton Publishers, London</w:t>
      </w:r>
    </w:p>
    <w:p w:rsidR="001A005A" w:rsidRDefault="001A005A" w:rsidP="00E61972">
      <w:r>
        <w:t xml:space="preserve">Cross, M. (2011), </w:t>
      </w:r>
      <w:r>
        <w:rPr>
          <w:i/>
        </w:rPr>
        <w:t xml:space="preserve">Children with Social, Emotional and Behavioural Difficulties and Communication Problems: There is always a reason, </w:t>
      </w:r>
      <w:r>
        <w:t xml:space="preserve">Jessica Kingsley Publishers, Philadelphia. </w:t>
      </w:r>
    </w:p>
    <w:p w:rsidR="00D66EAD" w:rsidRPr="00D66EAD" w:rsidRDefault="00D66EAD" w:rsidP="00E61972">
      <w:r>
        <w:t>Fahey, C. (2019),</w:t>
      </w:r>
      <w:r w:rsidRPr="00D66EAD">
        <w:rPr>
          <w:i/>
        </w:rPr>
        <w:t xml:space="preserve"> Social, Emotional &amp; Behavioural Difficulties and its effect on children, </w:t>
      </w:r>
      <w:proofErr w:type="spellStart"/>
      <w:r>
        <w:t>Powerpoint</w:t>
      </w:r>
      <w:proofErr w:type="spellEnd"/>
      <w:r>
        <w:t xml:space="preserve">. </w:t>
      </w:r>
    </w:p>
    <w:p w:rsidR="00D66EAD" w:rsidRDefault="00D66EAD" w:rsidP="00E61972">
      <w:r>
        <w:t xml:space="preserve">Fennel, JV. (2009), </w:t>
      </w:r>
      <w:r>
        <w:rPr>
          <w:i/>
        </w:rPr>
        <w:t xml:space="preserve">Overcoming Low Self-Esteem: A Self Help Guide Using Cognitive Behaviour Techniques, </w:t>
      </w:r>
      <w:r>
        <w:t xml:space="preserve">Basic Books, </w:t>
      </w:r>
      <w:proofErr w:type="gramStart"/>
      <w:r>
        <w:t>New</w:t>
      </w:r>
      <w:proofErr w:type="gramEnd"/>
      <w:r>
        <w:t xml:space="preserve"> York.</w:t>
      </w:r>
    </w:p>
    <w:p w:rsidR="00941A77" w:rsidRPr="00941A77" w:rsidRDefault="00941A77" w:rsidP="00E61972">
      <w:proofErr w:type="spellStart"/>
      <w:r>
        <w:t>Glazebrook</w:t>
      </w:r>
      <w:proofErr w:type="spellEnd"/>
      <w:r>
        <w:t xml:space="preserve">, C, Hollis, C, </w:t>
      </w:r>
      <w:proofErr w:type="spellStart"/>
      <w:r>
        <w:t>Heussler</w:t>
      </w:r>
      <w:proofErr w:type="spellEnd"/>
      <w:r>
        <w:t xml:space="preserve">, H, Goodman R, Coates, L. (2003), </w:t>
      </w:r>
      <w:r>
        <w:rPr>
          <w:i/>
        </w:rPr>
        <w:t xml:space="preserve">Detecting Emotional and Behavioural Difficulties in Paediatric Clinics, </w:t>
      </w:r>
      <w:r>
        <w:t>Childcare and Health Development, Vol 29.</w:t>
      </w:r>
    </w:p>
    <w:p w:rsidR="00D66EAD" w:rsidRPr="00D66EAD" w:rsidRDefault="00D66EAD" w:rsidP="00E61972">
      <w:r>
        <w:t xml:space="preserve">Holmes, K. (2018), </w:t>
      </w:r>
      <w:r>
        <w:rPr>
          <w:i/>
        </w:rPr>
        <w:t xml:space="preserve">Building Self-Esteem: The New Approach, </w:t>
      </w:r>
      <w:r>
        <w:t>Times Education Supplement, Vol 236</w:t>
      </w:r>
    </w:p>
    <w:p w:rsidR="00330090" w:rsidRDefault="00330090" w:rsidP="00E61972">
      <w:r>
        <w:t xml:space="preserve">James, W. (1980), </w:t>
      </w:r>
      <w:r>
        <w:rPr>
          <w:i/>
        </w:rPr>
        <w:t xml:space="preserve">Principles of Psychology, </w:t>
      </w:r>
      <w:r>
        <w:t>Fulton Press, New York.</w:t>
      </w:r>
    </w:p>
    <w:p w:rsidR="00D66EAD" w:rsidRDefault="00D66EAD" w:rsidP="00E61972">
      <w:proofErr w:type="spellStart"/>
      <w:r>
        <w:t>Joffe</w:t>
      </w:r>
      <w:proofErr w:type="spellEnd"/>
      <w:r>
        <w:t xml:space="preserve">, V, Black, E. (2012), </w:t>
      </w:r>
      <w:r>
        <w:rPr>
          <w:i/>
        </w:rPr>
        <w:t xml:space="preserve">Social Emotional Behavioural Functioning of Secondary School Students with Low Academic and Language Performance: Perspective of Students, Teachers and Parents, </w:t>
      </w:r>
      <w:r>
        <w:t>Language, Speech and Hearing Services in Schools online, Vol 43.</w:t>
      </w:r>
    </w:p>
    <w:p w:rsidR="00941A77" w:rsidRPr="00941A77" w:rsidRDefault="00941A77" w:rsidP="00E61972">
      <w:r>
        <w:t xml:space="preserve">McNamara, S, Moreton, G. (1999). </w:t>
      </w:r>
      <w:r>
        <w:rPr>
          <w:i/>
        </w:rPr>
        <w:t xml:space="preserve">Changing Behaviour Teaching Children with Emotional and Behavioural Difficulties in Primary and Secondary Classrooms, </w:t>
      </w:r>
      <w:r>
        <w:t>David Fulton Publishers, London.</w:t>
      </w:r>
    </w:p>
    <w:p w:rsidR="00941A77" w:rsidRDefault="00941A77" w:rsidP="00E61972">
      <w:r>
        <w:t xml:space="preserve">Mortimer, C. (2002), </w:t>
      </w:r>
      <w:r w:rsidRPr="00941A77">
        <w:rPr>
          <w:i/>
        </w:rPr>
        <w:t>Behavioural and Emotional Difficulties</w:t>
      </w:r>
      <w:r>
        <w:t>, Continuum, London.</w:t>
      </w:r>
    </w:p>
    <w:p w:rsidR="00D66EAD" w:rsidRDefault="00D66EAD" w:rsidP="00E61972">
      <w:r>
        <w:lastRenderedPageBreak/>
        <w:t xml:space="preserve">Ripley, K, Barnet, J, Fleming, P. (2001), </w:t>
      </w:r>
      <w:r w:rsidRPr="00941A77">
        <w:rPr>
          <w:i/>
        </w:rPr>
        <w:t>Inclusion for Children with Speech and Language Impairments</w:t>
      </w:r>
      <w:r w:rsidR="00941A77" w:rsidRPr="00941A77">
        <w:rPr>
          <w:i/>
        </w:rPr>
        <w:t>. Accessing the Curriculum and Promoting Personal and Social Development</w:t>
      </w:r>
      <w:r w:rsidR="00941A77">
        <w:t xml:space="preserve">, David Fulton Publishers, London. </w:t>
      </w:r>
    </w:p>
    <w:p w:rsidR="001C166B" w:rsidRPr="001C166B" w:rsidRDefault="001C166B" w:rsidP="00E61972">
      <w:proofErr w:type="spellStart"/>
      <w:r>
        <w:t>Roffet</w:t>
      </w:r>
      <w:proofErr w:type="spellEnd"/>
      <w:r>
        <w:t xml:space="preserve">, S, </w:t>
      </w:r>
      <w:proofErr w:type="spellStart"/>
      <w:r>
        <w:t>O’Reirdan</w:t>
      </w:r>
      <w:proofErr w:type="spellEnd"/>
      <w:r>
        <w:t xml:space="preserve">, T. (2001), </w:t>
      </w:r>
      <w:r>
        <w:rPr>
          <w:i/>
        </w:rPr>
        <w:t xml:space="preserve">Young Children and Classroom Behaviour. Needs, Perspectives, Strategies, </w:t>
      </w:r>
      <w:r>
        <w:t>David Fulton Publishers, London</w:t>
      </w:r>
    </w:p>
    <w:p w:rsidR="00330090" w:rsidRPr="00330090" w:rsidRDefault="00330090" w:rsidP="00E61972">
      <w:r>
        <w:t xml:space="preserve">Rosenberg, M. (1965), </w:t>
      </w:r>
      <w:r>
        <w:rPr>
          <w:i/>
        </w:rPr>
        <w:t xml:space="preserve">Society and the Adolescent Self Image, </w:t>
      </w:r>
      <w:r>
        <w:t>Princetown University Press, Princetown.</w:t>
      </w:r>
    </w:p>
    <w:p w:rsidR="00F7109A" w:rsidRDefault="00F7109A" w:rsidP="00E61972">
      <w:r>
        <w:t xml:space="preserve">Stiles, M. (2013), </w:t>
      </w:r>
      <w:r>
        <w:rPr>
          <w:i/>
        </w:rPr>
        <w:t xml:space="preserve">Do We Make Ourselves Clear? Developing a Social Emotional Behavioural Difficulties Support Services </w:t>
      </w:r>
      <w:proofErr w:type="spellStart"/>
      <w:r>
        <w:rPr>
          <w:i/>
        </w:rPr>
        <w:t>Effectivness</w:t>
      </w:r>
      <w:proofErr w:type="spellEnd"/>
      <w:r>
        <w:rPr>
          <w:i/>
        </w:rPr>
        <w:t xml:space="preserve"> in Detecting and Supporting Children Experiencing Speech and Language and Communication Difficulties, </w:t>
      </w:r>
      <w:r>
        <w:t>Emotional and Behavioural Difficulties, Vol 18.</w:t>
      </w:r>
    </w:p>
    <w:p w:rsidR="00330090" w:rsidRDefault="00330090" w:rsidP="00E61972">
      <w:proofErr w:type="spellStart"/>
      <w:r>
        <w:t>Swinson</w:t>
      </w:r>
      <w:proofErr w:type="spellEnd"/>
      <w:r>
        <w:t xml:space="preserve">, J. (2008), </w:t>
      </w:r>
      <w:proofErr w:type="gramStart"/>
      <w:r>
        <w:rPr>
          <w:i/>
        </w:rPr>
        <w:t>The</w:t>
      </w:r>
      <w:proofErr w:type="gramEnd"/>
      <w:r>
        <w:rPr>
          <w:i/>
        </w:rPr>
        <w:t xml:space="preserve"> Self-Esteem of Pupils in </w:t>
      </w:r>
      <w:proofErr w:type="spellStart"/>
      <w:r>
        <w:rPr>
          <w:i/>
        </w:rPr>
        <w:t>Schoolsfor</w:t>
      </w:r>
      <w:proofErr w:type="spellEnd"/>
      <w:r>
        <w:rPr>
          <w:i/>
        </w:rPr>
        <w:t xml:space="preserve"> Pupils with SEBD: Myth and Reality, </w:t>
      </w:r>
      <w:r>
        <w:t xml:space="preserve">British Journal of Special Education, Vol 35. </w:t>
      </w:r>
    </w:p>
    <w:p w:rsidR="00941A77" w:rsidRPr="00941A77" w:rsidRDefault="00941A77" w:rsidP="00E61972">
      <w:r>
        <w:t xml:space="preserve">Thompson, J. (2010), </w:t>
      </w:r>
      <w:proofErr w:type="gramStart"/>
      <w:r>
        <w:rPr>
          <w:i/>
        </w:rPr>
        <w:t>The</w:t>
      </w:r>
      <w:proofErr w:type="gramEnd"/>
      <w:r>
        <w:rPr>
          <w:i/>
        </w:rPr>
        <w:t xml:space="preserve"> Essential Guide to Understanding Special Educational Needs, </w:t>
      </w:r>
      <w:r>
        <w:t>Pearson Education Ltd, Harlow.</w:t>
      </w:r>
    </w:p>
    <w:p w:rsidR="00F7109A" w:rsidRPr="00F7109A" w:rsidRDefault="00F7109A" w:rsidP="00E61972">
      <w:proofErr w:type="spellStart"/>
      <w:r>
        <w:t>Tommerdahl</w:t>
      </w:r>
      <w:proofErr w:type="spellEnd"/>
      <w:r>
        <w:t xml:space="preserve">, J. (2009), </w:t>
      </w:r>
      <w:r>
        <w:rPr>
          <w:i/>
        </w:rPr>
        <w:t xml:space="preserve">What Teachers of Students with SEBD Need to Know About Speech and Language, </w:t>
      </w:r>
      <w:r>
        <w:t>Emotional and Behavioural Difficulties, Vol 14.</w:t>
      </w:r>
    </w:p>
    <w:p w:rsidR="00AD1CB2" w:rsidRDefault="00934FB8" w:rsidP="00E61972">
      <w:hyperlink r:id="rId5" w:history="1">
        <w:r w:rsidR="00DB1938">
          <w:rPr>
            <w:rStyle w:val="Hyperlink"/>
          </w:rPr>
          <w:t>https://www.mentalhealth.org.uk/statistics/mental-health-statistics-depression</w:t>
        </w:r>
      </w:hyperlink>
      <w:r w:rsidR="004345FB">
        <w:t xml:space="preserve"> </w:t>
      </w:r>
    </w:p>
    <w:p w:rsidR="004B22A3" w:rsidRDefault="004B22A3" w:rsidP="00E61972"/>
    <w:p w:rsidR="00F12EE0" w:rsidRDefault="004B22A3" w:rsidP="008D2BCE">
      <w:pPr>
        <w:pStyle w:val="body-paragraph"/>
        <w:spacing w:before="0" w:beforeAutospacing="0" w:after="0" w:afterAutospacing="0"/>
        <w:textAlignment w:val="baseline"/>
      </w:pPr>
      <w:r>
        <w:rPr>
          <w:rFonts w:ascii="Helvetica" w:hAnsi="Helvetica" w:cs="Helvetica"/>
          <w:color w:val="333333"/>
          <w:sz w:val="20"/>
          <w:szCs w:val="20"/>
        </w:rPr>
        <w:t> </w:t>
      </w:r>
    </w:p>
    <w:p w:rsidR="00F12EE0" w:rsidRDefault="00F12EE0"/>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p w:rsidR="00934FB8" w:rsidRDefault="00934FB8" w:rsidP="00934FB8">
      <w:r>
        <w:lastRenderedPageBreak/>
        <w:t xml:space="preserve">MA (Education) </w:t>
      </w:r>
    </w:p>
    <w:p w:rsidR="00934FB8" w:rsidRDefault="00934FB8" w:rsidP="00934FB8">
      <w:r>
        <w:t>Social, Emotional and Behavioural Difficulties in Practice</w:t>
      </w:r>
    </w:p>
    <w:p w:rsidR="00934FB8" w:rsidRDefault="00934FB8" w:rsidP="00934FB8">
      <w:pPr>
        <w:spacing w:line="360" w:lineRule="auto"/>
      </w:pPr>
      <w:r>
        <w:t>Use two case studies provided to critically reflect on your own professional practice and make recommendations for how you could use CPD to develop in the future.</w:t>
      </w:r>
    </w:p>
    <w:p w:rsidR="00934FB8" w:rsidRDefault="00934FB8" w:rsidP="00934FB8">
      <w:pPr>
        <w:spacing w:line="360" w:lineRule="auto"/>
      </w:pPr>
    </w:p>
    <w:p w:rsidR="00934FB8" w:rsidRDefault="00934FB8" w:rsidP="00934FB8">
      <w:pPr>
        <w:spacing w:line="360" w:lineRule="auto"/>
      </w:pPr>
      <w:r>
        <w:t>Case Study Ronnie</w:t>
      </w:r>
    </w:p>
    <w:p w:rsidR="00934FB8" w:rsidRDefault="00934FB8" w:rsidP="00934FB8">
      <w:pPr>
        <w:spacing w:line="360" w:lineRule="auto"/>
      </w:pPr>
      <w:r>
        <w:t xml:space="preserve">Identifying the underlying issues regarding Ronnie’s behaviour is of paramount importance, from this, a suitable intervention programme can be designed to best support his needs. In order to fully understand his needs an initial meeting should take place with Ronnie’s parents, teachers, </w:t>
      </w:r>
      <w:proofErr w:type="spellStart"/>
      <w:r>
        <w:t>ALNCo</w:t>
      </w:r>
      <w:proofErr w:type="spellEnd"/>
      <w:r>
        <w:t xml:space="preserve"> and any outside agency working with him, depending on Ronnie’s age and his capacity to understand the situation, he should be part of the meeting also. The aim of the meeting would be for school to have a better understanding of Ronnie’s home life, academic ability, areas he finds difficult and to create an action plan to support him. It would be vital for teachers who believe he is ‘truly SEBD’ to be part of the meeting as they appear to have already made their mind up about Ronnie without all of the information, this can be dangerous as SEBD could just be the area of need which is more visible, as opposed to the area of need which is causing greatest concern. During the meeting an action plan would be created and agreed with time scales. The fact a statutory assessment has been mentioned in his case study, the statementing process would need to be explained to parents. Through personal experience, many parents strive towards getting the statement for their child’s educational needs without fully understanding what a statement is and how it supports their child. They also are often unaware of the process of going through the graduated response before their child is awarded a statement. </w:t>
      </w:r>
    </w:p>
    <w:p w:rsidR="00934FB8" w:rsidRDefault="00934FB8" w:rsidP="00934FB8">
      <w:pPr>
        <w:spacing w:line="360" w:lineRule="auto"/>
      </w:pPr>
    </w:p>
    <w:p w:rsidR="00934FB8" w:rsidRDefault="00934FB8" w:rsidP="00934FB8">
      <w:pPr>
        <w:spacing w:line="360" w:lineRule="auto"/>
      </w:pPr>
      <w:r>
        <w:t>Action Plan</w:t>
      </w:r>
    </w:p>
    <w:p w:rsidR="00934FB8" w:rsidRPr="00560A9B" w:rsidRDefault="00934FB8" w:rsidP="00934FB8">
      <w:pPr>
        <w:spacing w:line="360" w:lineRule="auto"/>
      </w:pPr>
      <w:r>
        <w:t>From the case study of Ronnie, it is clear that Ronnie is finding school especially difficult, this in turn is making him disruptive and problematic for teachers to manage, affecting the whole class. Through my own research and experience, there is always a reason behind the behaviour displayed by children. From the brief case study I begin to question dyspraxia for Ronnie. The Dyspraxia Foundation highlights the symptoms of dyspraxia and some of them could explain Ronnie’s behaviour. Symptoms of dyspraxia include;</w:t>
      </w:r>
    </w:p>
    <w:p w:rsidR="00934FB8" w:rsidRPr="00560A9B" w:rsidRDefault="00934FB8" w:rsidP="00934FB8">
      <w:pPr>
        <w:numPr>
          <w:ilvl w:val="0"/>
          <w:numId w:val="1"/>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Poor balance. Difficulty in riding a bicycle, going up and down hills</w:t>
      </w:r>
    </w:p>
    <w:p w:rsidR="00934FB8" w:rsidRPr="00560A9B" w:rsidRDefault="00934FB8" w:rsidP="00934FB8">
      <w:pPr>
        <w:numPr>
          <w:ilvl w:val="0"/>
          <w:numId w:val="1"/>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lastRenderedPageBreak/>
        <w:t xml:space="preserve">Poor posture and fatigue. Difficulty in standing for a long time as a result of weak muscle tone. </w:t>
      </w:r>
    </w:p>
    <w:p w:rsidR="00934FB8" w:rsidRPr="00560A9B" w:rsidRDefault="00934FB8" w:rsidP="00934FB8">
      <w:pPr>
        <w:numPr>
          <w:ilvl w:val="0"/>
          <w:numId w:val="1"/>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Clumsy gait and movement. Difficulty changing direction, stopping and starting actions</w:t>
      </w:r>
    </w:p>
    <w:p w:rsidR="00934FB8" w:rsidRPr="00560A9B" w:rsidRDefault="00934FB8" w:rsidP="00934FB8">
      <w:pPr>
        <w:numPr>
          <w:ilvl w:val="0"/>
          <w:numId w:val="2"/>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Poor manipulative skills. Difficulty with typing, handwriting and drawing. May have a poor pen grip, press too hard when writing and have difficulty when writing along a line</w:t>
      </w:r>
    </w:p>
    <w:p w:rsidR="00934FB8" w:rsidRPr="00560A9B" w:rsidRDefault="00934FB8" w:rsidP="00934FB8">
      <w:pPr>
        <w:numPr>
          <w:ilvl w:val="0"/>
          <w:numId w:val="3"/>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May talk continuously and repeat themselves. Some people with dyspraxia have difficulty with organising the content and sequence of their language</w:t>
      </w:r>
    </w:p>
    <w:p w:rsidR="00934FB8" w:rsidRPr="00560A9B" w:rsidRDefault="00934FB8" w:rsidP="00934FB8">
      <w:pPr>
        <w:numPr>
          <w:ilvl w:val="0"/>
          <w:numId w:val="4"/>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Unfocused and erratic. Can be messy and cluttered</w:t>
      </w:r>
    </w:p>
    <w:p w:rsidR="00934FB8" w:rsidRPr="00560A9B" w:rsidRDefault="00934FB8" w:rsidP="00934FB8">
      <w:pPr>
        <w:numPr>
          <w:ilvl w:val="0"/>
          <w:numId w:val="4"/>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Difficulty in following instructions, especially more than one at a time</w:t>
      </w:r>
    </w:p>
    <w:p w:rsidR="00934FB8" w:rsidRPr="00560A9B" w:rsidRDefault="00934FB8" w:rsidP="00934FB8">
      <w:pPr>
        <w:numPr>
          <w:ilvl w:val="0"/>
          <w:numId w:val="4"/>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Difficulty with concentration. May be easily distracted</w:t>
      </w:r>
    </w:p>
    <w:p w:rsidR="00934FB8" w:rsidRPr="00560A9B" w:rsidRDefault="00934FB8" w:rsidP="00934FB8">
      <w:pPr>
        <w:numPr>
          <w:ilvl w:val="0"/>
          <w:numId w:val="4"/>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Slow to finish a task. May daydream and wander about aimlessly</w:t>
      </w:r>
    </w:p>
    <w:p w:rsidR="00934FB8" w:rsidRDefault="00934FB8" w:rsidP="00934FB8">
      <w:pPr>
        <w:numPr>
          <w:ilvl w:val="0"/>
          <w:numId w:val="5"/>
        </w:numPr>
        <w:spacing w:before="45" w:after="0" w:line="360" w:lineRule="auto"/>
        <w:ind w:left="165"/>
        <w:rPr>
          <w:rFonts w:eastAsia="Times New Roman" w:cstheme="minorHAnsi"/>
          <w:color w:val="000E29"/>
          <w:lang w:eastAsia="en-GB"/>
        </w:rPr>
      </w:pPr>
      <w:r w:rsidRPr="00560A9B">
        <w:rPr>
          <w:rFonts w:eastAsia="Times New Roman" w:cstheme="minorHAnsi"/>
          <w:color w:val="000E29"/>
          <w:lang w:eastAsia="en-GB"/>
        </w:rPr>
        <w:t>Difficulty in listening to people, especially in large groups. Can be tactless, interrupt frequently. Problems with team work</w:t>
      </w:r>
      <w:r>
        <w:rPr>
          <w:rFonts w:eastAsia="Times New Roman" w:cstheme="minorHAnsi"/>
          <w:color w:val="000E29"/>
          <w:lang w:eastAsia="en-GB"/>
        </w:rPr>
        <w:t xml:space="preserve"> (Dyspraxia Foundation, 2019).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Many of the above symptoms could help explain Ronnie’s behaviour. Through understanding the fact he finds it difficult to finish tasks and appears to daydream, reasonable adjustments can be put in place to support him. Through ‘chunking’ activities for Ronnie, work is separated into smaller, achievable tasks, through ‘chunking’ activities it becomes easier to filter in small breaks for Ronnie, where he is able to take himself to the toilet but in a more structured and managed way. Supplying Ronnie with a fidget toy, something which all teachers are aware of, would reduce his need to fidget with pens, rulers and his mobile phone. Through exploring dyspraxia and putting Ronnie on the dyspraxia pathway, support can be put in place to help develop his gross and fine motor skills. SMART moves could be used as a weekly/daily intervention to develop co-ordination. The improvement of Ronnie’s co-ordination skills can have a significant impact on all aspects of his school life, including engagement, confidence and behaviour (Smith &amp; Bowyer, 2016).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The case study states that Ronnie finds the beginning of lessons especially difficult, the fact it has been identified when he finds it challenging is a positive start. Though formalising the recording of his behaviour would give greater insight into potential triggers. Antecedent Behaviour Consequence (ABC) charts can be used as a formal way of recording behaviour and identifying trends. This can be used as evidence for future referrals to outside agencies but also share with all staff to ensure a consistent approach to dealing with behaviour. When you investigate the symptoms of dyspraxia it is little surprise Ronnie finds the start of lessons difficult. Reasonable adjustments can be put in place where he is given responsibility at the start of lessons to help focus him during what is clearly a challenging time for him.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lastRenderedPageBreak/>
        <w:t xml:space="preserve">Due to the difficulties Ronnie is currently experiencing in school, his self-esteem could be affected. A way in which this could be addressed is by giving Ronnie a key worker he could ‘check-in’ with daily/weekly. The check-in sessions could be an opportunity to set goals and targets for the week which can feed into IEP’s. The sessions can be used for ELSA type activities to build on self-esteem. Research carried out by Hunter et al highlights the importance of having a trusted adult for children with SEBD to check-in with regularly (Hunter et al, 2017). Hunter et </w:t>
      </w:r>
      <w:proofErr w:type="spellStart"/>
      <w:r>
        <w:rPr>
          <w:rFonts w:eastAsia="Times New Roman" w:cstheme="minorHAnsi"/>
          <w:color w:val="000E29"/>
          <w:lang w:eastAsia="en-GB"/>
        </w:rPr>
        <w:t>al’s</w:t>
      </w:r>
      <w:proofErr w:type="spellEnd"/>
      <w:r>
        <w:rPr>
          <w:rFonts w:eastAsia="Times New Roman" w:cstheme="minorHAnsi"/>
          <w:color w:val="000E29"/>
          <w:lang w:eastAsia="en-GB"/>
        </w:rPr>
        <w:t xml:space="preserve"> research proves children who feel secure and safe with a trusted adult improve their productivity in the classroom and are able to engage better. Depending on Ronnie’s home life, this could be the only 1:1 time he has with an adult, so it can be his chance to feel listened to. As the key worker would understand Ronnie, they would be the best person to write a one page profile with him, this one page profile could be shared with all staff for them to have a greater understanding of his needs. Contained within the one page profile could be information about his difficulty with changing after games, this could lead to reasonable adjustments being made by teachers, for example he could be able to leave the lesson before games earlier to allow more time to change.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Ronnie, along with other children is likely to spend too much time on his phone, which is having an impact on his learning. Schools need to be progressive in their teaching and appreciate technology can be used as a positive within teaching and learning. Teachers who incorporate technology, whether it be mobile phones, </w:t>
      </w:r>
      <w:proofErr w:type="spellStart"/>
      <w:r>
        <w:rPr>
          <w:rFonts w:eastAsia="Times New Roman" w:cstheme="minorHAnsi"/>
          <w:color w:val="000E29"/>
          <w:lang w:eastAsia="en-GB"/>
        </w:rPr>
        <w:t>ipads</w:t>
      </w:r>
      <w:proofErr w:type="spellEnd"/>
      <w:r>
        <w:rPr>
          <w:rFonts w:eastAsia="Times New Roman" w:cstheme="minorHAnsi"/>
          <w:color w:val="000E29"/>
          <w:lang w:eastAsia="en-GB"/>
        </w:rPr>
        <w:t xml:space="preserve"> or tablets experience greater engagement from learners and less time is ‘wasted’ by them using the technology as a distraction because they are disengaged (</w:t>
      </w:r>
      <w:proofErr w:type="spellStart"/>
      <w:r>
        <w:rPr>
          <w:rFonts w:eastAsia="Times New Roman" w:cstheme="minorHAnsi"/>
          <w:color w:val="000E29"/>
          <w:lang w:eastAsia="en-GB"/>
        </w:rPr>
        <w:t>Dawabi</w:t>
      </w:r>
      <w:proofErr w:type="spellEnd"/>
      <w:r>
        <w:rPr>
          <w:rFonts w:eastAsia="Times New Roman" w:cstheme="minorHAnsi"/>
          <w:color w:val="000E29"/>
          <w:lang w:eastAsia="en-GB"/>
        </w:rPr>
        <w:t xml:space="preserve"> et al, 2017). Through using applications like </w:t>
      </w:r>
      <w:proofErr w:type="spellStart"/>
      <w:r>
        <w:rPr>
          <w:rFonts w:eastAsia="Times New Roman" w:cstheme="minorHAnsi"/>
          <w:color w:val="000E29"/>
          <w:lang w:eastAsia="en-GB"/>
        </w:rPr>
        <w:t>Kahoot</w:t>
      </w:r>
      <w:proofErr w:type="spellEnd"/>
      <w:r>
        <w:rPr>
          <w:rFonts w:eastAsia="Times New Roman" w:cstheme="minorHAnsi"/>
          <w:color w:val="000E29"/>
          <w:lang w:eastAsia="en-GB"/>
        </w:rPr>
        <w:t xml:space="preserve"> and Socrates, children can use the technology in a productive way, often offering a purpose to their learning.</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From reading the case study of Ronnie, my greatest concern is that of the ethos at the school regarding pupils with additional learning needs. Extensive CPD training is required for the staff at Ronnie’s school. The case study is littered with negative language when describing Ronnie and it is evident from the brief description that they have already made their judgements of Ronnie. The case study states he is ‘making life difficult’, every lesson is a ‘battle’, deserves the label and ‘truly SEBD’, all of this is negative and there is little evidence there are any positive or endearing qualities which Ronnie possesses. The case study sounds more of an opportunity for the teachers to vent their frustrations towards Ronnie, not offer constructive information which can be used to support him. A pen portrait like this should give the reader information about the difficulties Ronnie faces but in a professional and constructive manner with emphasis on positives. There is a training implication which needs to be carried out by all staff at the school, which can have an impact on the school’s ethos and mind-set towards ALN and in particular SEBD. The SEN code of practice states ‘all teachers are teachers of SEN’, with this in mind, it is the responsibility of all teachers to provide learning opportunities for all </w:t>
      </w:r>
      <w:r>
        <w:rPr>
          <w:rFonts w:eastAsia="Times New Roman" w:cstheme="minorHAnsi"/>
          <w:color w:val="000E29"/>
          <w:lang w:eastAsia="en-GB"/>
        </w:rPr>
        <w:lastRenderedPageBreak/>
        <w:t xml:space="preserve">children, regardless of their area of difficulty (SEN Code of Practice, 2002). From the wording of the case study it appears the teachers are looking for justification of being unable to manage him within their classes, by explaining he needs a statutory assessment in order to ‘prove’ the label he deserves. From the language used in the case study, it appears the teachers have already given Ronnie a label of ‘truly SEBD’, yet there is nothing to suggest they have explored why he is behaving this way. If teachers had a greater awareness of why children behave in a certain way, it can allow for a more proactive approach to dealing with the behaviour, at present, they are very much working in a reactive way, where they are only managing the disruptive behaviour. The iceberg approach needs to be embedded, where we need to investigate the antecedents hidden under water to combat how the child presents themselves. Through doing this, teaching and non-teaching staff will not only have a greater understanding of how to best support Ronnie, but also show greater empathy towards him. From the way the case study is written, the teachers have made their decision that Ronnie is simply a difficult child who is affecting the learning of the class, there is little to suggest they see him as the most vulnerable member of the class who needs and ultimately deserves the greatest support and nurturing.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One of the difficulties Ronnie faces now is that his reputation goes before him. The teachers at his school have clearly already made their minds up about Ronnie and he will begin to live up to his reputation. This concern is supported by </w:t>
      </w:r>
      <w:proofErr w:type="spellStart"/>
      <w:r>
        <w:rPr>
          <w:rFonts w:eastAsia="Times New Roman" w:cstheme="minorHAnsi"/>
          <w:color w:val="000E29"/>
          <w:lang w:eastAsia="en-GB"/>
        </w:rPr>
        <w:t>McDermot’s</w:t>
      </w:r>
      <w:proofErr w:type="spellEnd"/>
      <w:r>
        <w:rPr>
          <w:rFonts w:eastAsia="Times New Roman" w:cstheme="minorHAnsi"/>
          <w:color w:val="000E29"/>
          <w:lang w:eastAsia="en-GB"/>
        </w:rPr>
        <w:t xml:space="preserve"> research regarding how children who are made out to feel like ‘the naughty boy in </w:t>
      </w:r>
      <w:proofErr w:type="gramStart"/>
      <w:r>
        <w:rPr>
          <w:rFonts w:eastAsia="Times New Roman" w:cstheme="minorHAnsi"/>
          <w:color w:val="000E29"/>
          <w:lang w:eastAsia="en-GB"/>
        </w:rPr>
        <w:t>class’</w:t>
      </w:r>
      <w:proofErr w:type="gramEnd"/>
      <w:r>
        <w:rPr>
          <w:rFonts w:eastAsia="Times New Roman" w:cstheme="minorHAnsi"/>
          <w:color w:val="000E29"/>
          <w:lang w:eastAsia="en-GB"/>
        </w:rPr>
        <w:t xml:space="preserve"> will soon turn into their labels (</w:t>
      </w:r>
      <w:proofErr w:type="spellStart"/>
      <w:r>
        <w:rPr>
          <w:rFonts w:eastAsia="Times New Roman" w:cstheme="minorHAnsi"/>
          <w:color w:val="000E29"/>
          <w:lang w:eastAsia="en-GB"/>
        </w:rPr>
        <w:t>McDermot</w:t>
      </w:r>
      <w:proofErr w:type="spellEnd"/>
      <w:r>
        <w:rPr>
          <w:rFonts w:eastAsia="Times New Roman" w:cstheme="minorHAnsi"/>
          <w:color w:val="000E29"/>
          <w:lang w:eastAsia="en-GB"/>
        </w:rPr>
        <w:t xml:space="preserve">, 1989). With staff who are able to identify underlying issues and reasons behind behaviour, children are less likely to be given a label which is difficult for them to lose. Through having a greater awareness of this, staff would have a greater understanding of how case studies/pen portraits/one page profiles should be written. The case study does not mention any of Ronnie’s strengths and paints a very negative picture of Ronnie. If this is shared with new teachers to the school, before even meeting Ronnie they will have a preconceived idea of how he is going to behave and could already subconsciously have a less than favourable opinion of him. Also, if the case study is used for referrals to outside agencies for additional support it would need to be shared with Ronnie’s parents. The negativity throughout the case study could cause a breakdown in the relationship between school and parents, something which is vital when supporting children with additional learning needs. Potentially the most damaging of all, would be if Ronnie read the case study about himself. The Dyspraxia Foundation state low self-esteem can be a symptom of dyspraxia, this would only be made worse by Ronnie seeing in writing exactly how teachers feel about him. Through training, staff should be able to give the relevant information regarding Ronnie’s difficulties in a constructive way, identifying how best to support him and focusing on positives. </w:t>
      </w: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tbl>
      <w:tblPr>
        <w:tblStyle w:val="TableGrid"/>
        <w:tblW w:w="9673" w:type="dxa"/>
        <w:tblInd w:w="-195" w:type="dxa"/>
        <w:tblLook w:val="04A0" w:firstRow="1" w:lastRow="0" w:firstColumn="1" w:lastColumn="0" w:noHBand="0" w:noVBand="1"/>
      </w:tblPr>
      <w:tblGrid>
        <w:gridCol w:w="6311"/>
        <w:gridCol w:w="1842"/>
        <w:gridCol w:w="1520"/>
      </w:tblGrid>
      <w:tr w:rsidR="00934FB8" w:rsidRPr="007B03A9" w:rsidTr="00414105">
        <w:trPr>
          <w:trHeight w:val="516"/>
        </w:trPr>
        <w:tc>
          <w:tcPr>
            <w:tcW w:w="9673" w:type="dxa"/>
            <w:gridSpan w:val="3"/>
            <w:shd w:val="clear" w:color="auto" w:fill="C5E0B3" w:themeFill="accent6" w:themeFillTint="66"/>
          </w:tcPr>
          <w:p w:rsidR="00934FB8" w:rsidRPr="007B03A9" w:rsidRDefault="00934FB8" w:rsidP="00414105">
            <w:pPr>
              <w:spacing w:before="45" w:line="360" w:lineRule="auto"/>
              <w:jc w:val="center"/>
              <w:rPr>
                <w:rFonts w:eastAsia="Times New Roman" w:cstheme="minorHAnsi"/>
                <w:b/>
                <w:color w:val="000E29"/>
                <w:sz w:val="24"/>
                <w:highlight w:val="green"/>
                <w:lang w:eastAsia="en-GB"/>
              </w:rPr>
            </w:pPr>
            <w:r w:rsidRPr="00322C53">
              <w:rPr>
                <w:rFonts w:eastAsia="Times New Roman" w:cstheme="minorHAnsi"/>
                <w:b/>
                <w:color w:val="000E29"/>
                <w:sz w:val="24"/>
                <w:lang w:eastAsia="en-GB"/>
              </w:rPr>
              <w:t>Action Plan Ronnie</w:t>
            </w:r>
          </w:p>
        </w:tc>
      </w:tr>
      <w:tr w:rsidR="00934FB8" w:rsidRPr="007B03A9" w:rsidTr="00414105">
        <w:trPr>
          <w:trHeight w:val="504"/>
        </w:trPr>
        <w:tc>
          <w:tcPr>
            <w:tcW w:w="6340" w:type="dxa"/>
          </w:tcPr>
          <w:p w:rsidR="00934FB8" w:rsidRPr="007B03A9" w:rsidRDefault="00934FB8" w:rsidP="00414105">
            <w:pPr>
              <w:spacing w:before="45" w:line="360" w:lineRule="auto"/>
              <w:rPr>
                <w:rFonts w:eastAsia="Times New Roman" w:cstheme="minorHAnsi"/>
                <w:b/>
                <w:color w:val="000E29"/>
                <w:sz w:val="24"/>
                <w:lang w:eastAsia="en-GB"/>
              </w:rPr>
            </w:pPr>
            <w:r w:rsidRPr="007B03A9">
              <w:rPr>
                <w:rFonts w:eastAsia="Times New Roman" w:cstheme="minorHAnsi"/>
                <w:b/>
                <w:color w:val="000E29"/>
                <w:sz w:val="24"/>
                <w:lang w:eastAsia="en-GB"/>
              </w:rPr>
              <w:t>Action</w:t>
            </w:r>
          </w:p>
        </w:tc>
        <w:tc>
          <w:tcPr>
            <w:tcW w:w="1812" w:type="dxa"/>
          </w:tcPr>
          <w:p w:rsidR="00934FB8" w:rsidRPr="007B03A9" w:rsidRDefault="00934FB8" w:rsidP="00414105">
            <w:pPr>
              <w:spacing w:before="45" w:line="360" w:lineRule="auto"/>
              <w:rPr>
                <w:rFonts w:eastAsia="Times New Roman" w:cstheme="minorHAnsi"/>
                <w:b/>
                <w:color w:val="000E29"/>
                <w:sz w:val="24"/>
                <w:lang w:eastAsia="en-GB"/>
              </w:rPr>
            </w:pPr>
            <w:r w:rsidRPr="007B03A9">
              <w:rPr>
                <w:rFonts w:eastAsia="Times New Roman" w:cstheme="minorHAnsi"/>
                <w:b/>
                <w:color w:val="000E29"/>
                <w:sz w:val="24"/>
                <w:lang w:eastAsia="en-GB"/>
              </w:rPr>
              <w:t>By whom</w:t>
            </w:r>
          </w:p>
        </w:tc>
        <w:tc>
          <w:tcPr>
            <w:tcW w:w="1520" w:type="dxa"/>
          </w:tcPr>
          <w:p w:rsidR="00934FB8" w:rsidRPr="007B03A9" w:rsidRDefault="00934FB8" w:rsidP="00414105">
            <w:pPr>
              <w:spacing w:before="45" w:line="360" w:lineRule="auto"/>
              <w:rPr>
                <w:rFonts w:eastAsia="Times New Roman" w:cstheme="minorHAnsi"/>
                <w:b/>
                <w:color w:val="000E29"/>
                <w:sz w:val="24"/>
                <w:lang w:eastAsia="en-GB"/>
              </w:rPr>
            </w:pPr>
            <w:r w:rsidRPr="007B03A9">
              <w:rPr>
                <w:rFonts w:eastAsia="Times New Roman" w:cstheme="minorHAnsi"/>
                <w:b/>
                <w:color w:val="000E29"/>
                <w:sz w:val="24"/>
                <w:lang w:eastAsia="en-GB"/>
              </w:rPr>
              <w:t>When</w:t>
            </w:r>
          </w:p>
        </w:tc>
      </w:tr>
      <w:tr w:rsidR="00934FB8" w:rsidTr="00414105">
        <w:trPr>
          <w:trHeight w:val="481"/>
        </w:trPr>
        <w:tc>
          <w:tcPr>
            <w:tcW w:w="634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Begin dyspraxia pathway</w:t>
            </w:r>
          </w:p>
        </w:tc>
        <w:tc>
          <w:tcPr>
            <w:tcW w:w="1812" w:type="dxa"/>
          </w:tcPr>
          <w:p w:rsidR="00934FB8" w:rsidRDefault="00934FB8" w:rsidP="00414105">
            <w:pPr>
              <w:spacing w:before="45" w:line="360" w:lineRule="auto"/>
              <w:rPr>
                <w:rFonts w:eastAsia="Times New Roman" w:cstheme="minorHAnsi"/>
                <w:color w:val="000E29"/>
                <w:lang w:eastAsia="en-GB"/>
              </w:rPr>
            </w:pPr>
            <w:proofErr w:type="spellStart"/>
            <w:r>
              <w:rPr>
                <w:rFonts w:eastAsia="Times New Roman" w:cstheme="minorHAnsi"/>
                <w:color w:val="000E29"/>
                <w:lang w:eastAsia="en-GB"/>
              </w:rPr>
              <w:t>ALNCo</w:t>
            </w:r>
            <w:proofErr w:type="spellEnd"/>
          </w:p>
        </w:tc>
        <w:tc>
          <w:tcPr>
            <w:tcW w:w="152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r w:rsidR="00934FB8" w:rsidTr="00414105">
        <w:trPr>
          <w:trHeight w:val="892"/>
        </w:trPr>
        <w:tc>
          <w:tcPr>
            <w:tcW w:w="634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Use ABC forms</w:t>
            </w:r>
          </w:p>
        </w:tc>
        <w:tc>
          <w:tcPr>
            <w:tcW w:w="1812"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Class teachers/parents</w:t>
            </w:r>
          </w:p>
        </w:tc>
        <w:tc>
          <w:tcPr>
            <w:tcW w:w="152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r w:rsidR="00934FB8" w:rsidTr="00414105">
        <w:trPr>
          <w:trHeight w:val="481"/>
        </w:trPr>
        <w:tc>
          <w:tcPr>
            <w:tcW w:w="634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Establish a key worker</w:t>
            </w:r>
          </w:p>
        </w:tc>
        <w:tc>
          <w:tcPr>
            <w:tcW w:w="1812" w:type="dxa"/>
          </w:tcPr>
          <w:p w:rsidR="00934FB8" w:rsidRDefault="00934FB8" w:rsidP="00414105">
            <w:pPr>
              <w:spacing w:before="45" w:line="360" w:lineRule="auto"/>
              <w:rPr>
                <w:rFonts w:eastAsia="Times New Roman" w:cstheme="minorHAnsi"/>
                <w:color w:val="000E29"/>
                <w:lang w:eastAsia="en-GB"/>
              </w:rPr>
            </w:pPr>
            <w:proofErr w:type="spellStart"/>
            <w:r>
              <w:rPr>
                <w:rFonts w:eastAsia="Times New Roman" w:cstheme="minorHAnsi"/>
                <w:color w:val="000E29"/>
                <w:lang w:eastAsia="en-GB"/>
              </w:rPr>
              <w:t>ALNCo</w:t>
            </w:r>
            <w:proofErr w:type="spellEnd"/>
            <w:r>
              <w:rPr>
                <w:rFonts w:eastAsia="Times New Roman" w:cstheme="minorHAnsi"/>
                <w:color w:val="000E29"/>
                <w:lang w:eastAsia="en-GB"/>
              </w:rPr>
              <w:t>/keyworker</w:t>
            </w:r>
          </w:p>
        </w:tc>
        <w:tc>
          <w:tcPr>
            <w:tcW w:w="152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r w:rsidR="00934FB8" w:rsidTr="00414105">
        <w:trPr>
          <w:trHeight w:val="892"/>
        </w:trPr>
        <w:tc>
          <w:tcPr>
            <w:tcW w:w="634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Introduction of technology in lessons</w:t>
            </w:r>
          </w:p>
        </w:tc>
        <w:tc>
          <w:tcPr>
            <w:tcW w:w="1812"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Class teachers</w:t>
            </w:r>
          </w:p>
        </w:tc>
        <w:tc>
          <w:tcPr>
            <w:tcW w:w="152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Whenever appropriate</w:t>
            </w:r>
          </w:p>
        </w:tc>
      </w:tr>
      <w:tr w:rsidR="00934FB8" w:rsidTr="00414105">
        <w:trPr>
          <w:trHeight w:val="904"/>
        </w:trPr>
        <w:tc>
          <w:tcPr>
            <w:tcW w:w="634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Staff training for all staff regarding schools’ ethos on additional learning needs</w:t>
            </w:r>
          </w:p>
        </w:tc>
        <w:tc>
          <w:tcPr>
            <w:tcW w:w="1812"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All staff</w:t>
            </w:r>
          </w:p>
        </w:tc>
        <w:tc>
          <w:tcPr>
            <w:tcW w:w="152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r w:rsidR="00934FB8" w:rsidTr="00414105">
        <w:trPr>
          <w:trHeight w:val="469"/>
        </w:trPr>
        <w:tc>
          <w:tcPr>
            <w:tcW w:w="634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Leave lesson before PE early to allow more time to change</w:t>
            </w:r>
          </w:p>
        </w:tc>
        <w:tc>
          <w:tcPr>
            <w:tcW w:w="1812"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All staff aware</w:t>
            </w:r>
          </w:p>
        </w:tc>
        <w:tc>
          <w:tcPr>
            <w:tcW w:w="1520"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bl>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rPr>
          <w:rFonts w:eastAsia="Times New Roman" w:cstheme="minorHAnsi"/>
          <w:color w:val="000E29"/>
          <w:lang w:eastAsia="en-GB"/>
        </w:rPr>
      </w:pPr>
    </w:p>
    <w:p w:rsidR="00934FB8" w:rsidRDefault="00934FB8" w:rsidP="00934FB8">
      <w:pPr>
        <w:spacing w:before="45" w:after="0" w:line="360" w:lineRule="auto"/>
        <w:rPr>
          <w:rFonts w:eastAsia="Times New Roman" w:cstheme="minorHAnsi"/>
          <w:color w:val="000E29"/>
          <w:lang w:eastAsia="en-GB"/>
        </w:rPr>
      </w:pPr>
    </w:p>
    <w:p w:rsidR="00934FB8" w:rsidRDefault="00934FB8" w:rsidP="00934FB8">
      <w:pPr>
        <w:spacing w:before="45" w:after="0" w:line="360" w:lineRule="auto"/>
        <w:jc w:val="both"/>
        <w:rPr>
          <w:rFonts w:eastAsia="Times New Roman" w:cstheme="minorHAnsi"/>
          <w:color w:val="000E29"/>
          <w:lang w:eastAsia="en-GB"/>
        </w:rPr>
      </w:pPr>
      <w:r>
        <w:rPr>
          <w:rFonts w:eastAsia="Times New Roman" w:cstheme="minorHAnsi"/>
          <w:color w:val="000E29"/>
          <w:lang w:eastAsia="en-GB"/>
        </w:rPr>
        <w:t>Case study Jack</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Similarly to Ronnie, to create an action plan for Jack, an initial multi-agency meeting would need to take place with class teachers, </w:t>
      </w:r>
      <w:proofErr w:type="spellStart"/>
      <w:r>
        <w:rPr>
          <w:rFonts w:eastAsia="Times New Roman" w:cstheme="minorHAnsi"/>
          <w:color w:val="000E29"/>
          <w:lang w:eastAsia="en-GB"/>
        </w:rPr>
        <w:t>ALNCo</w:t>
      </w:r>
      <w:proofErr w:type="spellEnd"/>
      <w:r>
        <w:rPr>
          <w:rFonts w:eastAsia="Times New Roman" w:cstheme="minorHAnsi"/>
          <w:color w:val="000E29"/>
          <w:lang w:eastAsia="en-GB"/>
        </w:rPr>
        <w:t xml:space="preserve">, foster parents, social worker and any other outside agency involved with Jack. Jack’s case study however does give greater insight into his area of difficulty and need, despite this, the meeting would be essential in building the relationship with all parties working with Jack, to ensure a consistent approach, where everybody is aware of what is being done to support Jack.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During the multi-agency meeting, one of the things which would need to be established is the form and level of neglect experienced and the difficult circumstances Jack was subjected to. The fact he is in a long-term foster placement could potentially mean social services are no longer involved with Jack, however social services would have a greater understanding of the reasons behind him leaving his biological parents. The differing circumstances in which he left his biological parents could have an effect on the support he requires. Finding out information about the biological parents can be difficult and often harrowing when dealing with similar situations but again helps to establish a better understanding of Jack, what he has been subjected to and how to best support him. There are a number of outside agencies and interventions young people can access as a result of the abuse/trauma/neglect they have faced. Social services involvement in the meeting would be imperative as they would be able to outline the interventions put in place by their service to date, ensuring there is not a duplication in the interventions offered to Jack. Social services are also able to offer interventions which are unable to be accessed through school. Social services would also be able to share information on how many foster families Jack had lived with before settling with the current long-term family. Again, this can have an impact on the level and type of attachment Jack is likely to present with.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Thorough and robust assessments need to be carried out with Jack to understand where his current cognitive ability is. Social services could have an insight and an awareness of whether Jack met his developmental milestones growing up before settling with his current long-term foster family, however it is likely they would be unaware of this. From the case study, it states Jack started to talk at 2years of age, which is behind the milestone for talking which could suggest he was delayed for other milestones. Through the thorough assessments being carried out, a cognitive awareness could be established. The assessments which could be carried out are;</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-foundation phase baseline</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 </w:t>
      </w:r>
      <w:proofErr w:type="gramStart"/>
      <w:r>
        <w:rPr>
          <w:rFonts w:eastAsia="Times New Roman" w:cstheme="minorHAnsi"/>
          <w:color w:val="000E29"/>
          <w:lang w:eastAsia="en-GB"/>
        </w:rPr>
        <w:t>language</w:t>
      </w:r>
      <w:proofErr w:type="gramEnd"/>
      <w:r>
        <w:rPr>
          <w:rFonts w:eastAsia="Times New Roman" w:cstheme="minorHAnsi"/>
          <w:color w:val="000E29"/>
          <w:lang w:eastAsia="en-GB"/>
        </w:rPr>
        <w:t xml:space="preserve"> link</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-speech link</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lastRenderedPageBreak/>
        <w:t xml:space="preserve">These would give a general appreciation of Jack’s ability. To get a more detailed understanding and specific areas which could be delayed in his cognitive understanding the Aston Index could be used. Through the 16 tests within the Aston Index, teachers and the </w:t>
      </w:r>
      <w:proofErr w:type="spellStart"/>
      <w:r>
        <w:rPr>
          <w:rFonts w:eastAsia="Times New Roman" w:cstheme="minorHAnsi"/>
          <w:color w:val="000E29"/>
          <w:lang w:eastAsia="en-GB"/>
        </w:rPr>
        <w:t>ALNCo</w:t>
      </w:r>
      <w:proofErr w:type="spellEnd"/>
      <w:r>
        <w:rPr>
          <w:rFonts w:eastAsia="Times New Roman" w:cstheme="minorHAnsi"/>
          <w:color w:val="000E29"/>
          <w:lang w:eastAsia="en-GB"/>
        </w:rPr>
        <w:t xml:space="preserve"> are able to recognise the areas of language Jack has greatest difficulty with. If referrals to the Local Authority are required to access support at School Action +, the results from the Aston Index would be used as evidence, with some Local Authorities refusing to accept referral for speech and language or general learning difficulties without the Aston Index being completed by school first.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Another assessment which would need to be carried out to establish an awareness of the attachment difficulties Jack faces is the ‘Attachment Disorder Checklist’. The Attachment Disorder Checklist needs to be completed by a member of staff who knows Jack well, it will help identify the type of attachment he has, as well as offering strategies of dealing with behaviour. By completing the checklist, the scores will identify whether Jack presents as having secure, avoidant, ambivalent or disorganised attachment. Using ‘Observing Children with Attachment Disorders in School: A tool for Identifying and Supporting Emotional and Social Difficulties in Children aged 5-11’, generates a tool kit to support the child. The four types of attachment can present themselves very differently and the support and advice given to practitioners reflects this (Golding et al, 2012).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The difficult circumstances Jack left his family under and the neglect he was subjected to will have impacted on his self-esteem. Building on his self-esteem will come through different therapies which will be part of the action plan, however I feel the time Jack spends in school will also impact on his self-esteem. It is understandable if Jack is becoming overly distressed in school, his timetable is reduced. A reduced timetable needs to be managed appropriately, because ultimately Jack is entitled to full time education and needs this to develop academically and socially. Review meetings should take place fortnightly at the very least in an attempt to increase the time he is in school. Jack’s timetable when he is in school may look considerably different to the other children in his class, with more play opportunities for him in an attempt for him to feel safe at school. Once Jack becomes comfortable at school, only then can greater emphasis be placed on more structured tasks to be completed. During the review meetings, parents and class teachers can meet to discuss the progress from the previous meeting using the ‘working and not working’ approach. Jack needs the opportunity to learn from and alongside his peers, building his self-esteem in the process. Vygotsky was an advocate of children learning from each other and his research into the zone of proximal development is underpinned by spending time with peers who are able to support each other, if Jack is only in school for 60 minutes a day he has limited opportunity to do this (Vygotsky, 1978). His current timetable suggests he is in school for the same 60 minutes every day after lunch, Jack is missing learning and social opportunities which can occur throughout the school day. Snack time, lunch time and play time are essential times </w:t>
      </w:r>
      <w:r>
        <w:rPr>
          <w:rFonts w:eastAsia="Times New Roman" w:cstheme="minorHAnsi"/>
          <w:color w:val="000E29"/>
          <w:lang w:eastAsia="en-GB"/>
        </w:rPr>
        <w:lastRenderedPageBreak/>
        <w:t xml:space="preserve">for children and their development, all of which can positively affect self-esteem, yet it would appear Jack does not access these. With Jack’s potential attachment difficulties, forming relationships with peers is vital for his development, by spending only 60 minutes a day with his peers, this again gives limited chance for him to do this.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With Jack’s difficult upbringing, interventions and therapy sessions could prove to be vital for his development. Through training, Jack’s school would be able to offer an intervention package which would build on his self-esteem, emotional literacy and academic ability. Interventions which could be implemented include;</w:t>
      </w:r>
    </w:p>
    <w:p w:rsidR="00934FB8" w:rsidRPr="00990B77" w:rsidRDefault="00934FB8" w:rsidP="00934FB8">
      <w:pPr>
        <w:pStyle w:val="ListParagraph"/>
        <w:numPr>
          <w:ilvl w:val="0"/>
          <w:numId w:val="6"/>
        </w:numPr>
        <w:spacing w:before="45" w:after="0" w:line="360" w:lineRule="auto"/>
        <w:rPr>
          <w:rFonts w:eastAsia="Times New Roman" w:cstheme="minorHAnsi"/>
          <w:color w:val="000E29"/>
          <w:lang w:eastAsia="en-GB"/>
        </w:rPr>
      </w:pPr>
      <w:r w:rsidRPr="00990B77">
        <w:rPr>
          <w:rFonts w:eastAsia="Times New Roman" w:cstheme="minorHAnsi"/>
          <w:color w:val="000E29"/>
          <w:lang w:eastAsia="en-GB"/>
        </w:rPr>
        <w:t>ELSA- this could be an opportunity for Jack to develop his emotional literacy and understanding of how to voice his emotions. When completed in 1:1 sessions with an adult, a relationship can be built where children confide in the adult and see them as a safe person in school.</w:t>
      </w:r>
    </w:p>
    <w:p w:rsidR="00934FB8" w:rsidRPr="00990B77" w:rsidRDefault="00934FB8" w:rsidP="00934FB8">
      <w:pPr>
        <w:pStyle w:val="ListParagraph"/>
        <w:numPr>
          <w:ilvl w:val="0"/>
          <w:numId w:val="6"/>
        </w:numPr>
        <w:spacing w:before="45" w:after="0" w:line="360" w:lineRule="auto"/>
        <w:rPr>
          <w:rFonts w:eastAsia="Times New Roman" w:cstheme="minorHAnsi"/>
          <w:color w:val="000E29"/>
          <w:lang w:eastAsia="en-GB"/>
        </w:rPr>
      </w:pPr>
      <w:r w:rsidRPr="00990B77">
        <w:rPr>
          <w:rFonts w:eastAsia="Times New Roman" w:cstheme="minorHAnsi"/>
          <w:color w:val="000E29"/>
          <w:lang w:eastAsia="en-GB"/>
        </w:rPr>
        <w:t>Lego therapy- with Jack language difficulties, Lego therapy could be a chance for Jack to build on his social communication skills whilst doing an activity he enjoys. Lego therapy can be completed with an adult and a small group of children, where the adult can model good social communication.</w:t>
      </w:r>
    </w:p>
    <w:p w:rsidR="00934FB8" w:rsidRPr="00990B77" w:rsidRDefault="00934FB8" w:rsidP="00934FB8">
      <w:pPr>
        <w:pStyle w:val="ListParagraph"/>
        <w:numPr>
          <w:ilvl w:val="0"/>
          <w:numId w:val="6"/>
        </w:numPr>
        <w:spacing w:before="45" w:after="0" w:line="360" w:lineRule="auto"/>
        <w:rPr>
          <w:rFonts w:eastAsia="Times New Roman" w:cstheme="minorHAnsi"/>
          <w:color w:val="000E29"/>
          <w:lang w:eastAsia="en-GB"/>
        </w:rPr>
      </w:pPr>
      <w:proofErr w:type="spellStart"/>
      <w:r w:rsidRPr="00990B77">
        <w:rPr>
          <w:rFonts w:eastAsia="Times New Roman" w:cstheme="minorHAnsi"/>
          <w:color w:val="000E29"/>
          <w:lang w:eastAsia="en-GB"/>
        </w:rPr>
        <w:t>Talkabout</w:t>
      </w:r>
      <w:proofErr w:type="spellEnd"/>
      <w:r w:rsidRPr="00990B77">
        <w:rPr>
          <w:rFonts w:eastAsia="Times New Roman" w:cstheme="minorHAnsi"/>
          <w:color w:val="000E29"/>
          <w:lang w:eastAsia="en-GB"/>
        </w:rPr>
        <w:t xml:space="preserve">- similar to Lego therapy, </w:t>
      </w:r>
      <w:proofErr w:type="spellStart"/>
      <w:r w:rsidRPr="00990B77">
        <w:rPr>
          <w:rFonts w:eastAsia="Times New Roman" w:cstheme="minorHAnsi"/>
          <w:color w:val="000E29"/>
          <w:lang w:eastAsia="en-GB"/>
        </w:rPr>
        <w:t>Talkabout</w:t>
      </w:r>
      <w:proofErr w:type="spellEnd"/>
      <w:r w:rsidRPr="00990B77">
        <w:rPr>
          <w:rFonts w:eastAsia="Times New Roman" w:cstheme="minorHAnsi"/>
          <w:color w:val="000E29"/>
          <w:lang w:eastAsia="en-GB"/>
        </w:rPr>
        <w:t xml:space="preserve"> can be used to build on social communication skills in a group setting. </w:t>
      </w:r>
      <w:proofErr w:type="spellStart"/>
      <w:r w:rsidRPr="00990B77">
        <w:rPr>
          <w:rFonts w:eastAsia="Times New Roman" w:cstheme="minorHAnsi"/>
          <w:color w:val="000E29"/>
          <w:lang w:eastAsia="en-GB"/>
        </w:rPr>
        <w:t>Talkabout</w:t>
      </w:r>
      <w:proofErr w:type="spellEnd"/>
      <w:r w:rsidRPr="00990B77">
        <w:rPr>
          <w:rFonts w:eastAsia="Times New Roman" w:cstheme="minorHAnsi"/>
          <w:color w:val="000E29"/>
          <w:lang w:eastAsia="en-GB"/>
        </w:rPr>
        <w:t xml:space="preserve"> is more often used with children who suffer from social communication disorders like autism, but children who have attachment difficulties can also benefit from the intervention (Clarke, 2016).</w:t>
      </w:r>
    </w:p>
    <w:p w:rsidR="00934FB8" w:rsidRPr="00990B77" w:rsidRDefault="00934FB8" w:rsidP="00934FB8">
      <w:pPr>
        <w:pStyle w:val="ListParagraph"/>
        <w:numPr>
          <w:ilvl w:val="0"/>
          <w:numId w:val="6"/>
        </w:numPr>
        <w:spacing w:before="45" w:after="0" w:line="360" w:lineRule="auto"/>
        <w:rPr>
          <w:rFonts w:eastAsia="Times New Roman" w:cstheme="minorHAnsi"/>
          <w:color w:val="000E29"/>
          <w:lang w:eastAsia="en-GB"/>
        </w:rPr>
      </w:pPr>
      <w:r w:rsidRPr="00990B77">
        <w:rPr>
          <w:rFonts w:eastAsia="Times New Roman" w:cstheme="minorHAnsi"/>
          <w:color w:val="000E29"/>
          <w:lang w:eastAsia="en-GB"/>
        </w:rPr>
        <w:t xml:space="preserve">Relationship based play- this can be used to build positive relationships and attachments to others. Jack may have missed out on play opportunities when he was very young, this intervention can be used to build trust in others whilst completing fun and exciting activities. </w:t>
      </w:r>
    </w:p>
    <w:p w:rsidR="00934FB8" w:rsidRPr="00990B77" w:rsidRDefault="00934FB8" w:rsidP="00934FB8">
      <w:pPr>
        <w:pStyle w:val="ListParagraph"/>
        <w:numPr>
          <w:ilvl w:val="0"/>
          <w:numId w:val="6"/>
        </w:numPr>
        <w:spacing w:before="45" w:after="0" w:line="360" w:lineRule="auto"/>
        <w:rPr>
          <w:rFonts w:eastAsia="Times New Roman" w:cstheme="minorHAnsi"/>
          <w:color w:val="000E29"/>
          <w:lang w:eastAsia="en-GB"/>
        </w:rPr>
      </w:pPr>
      <w:r w:rsidRPr="00990B77">
        <w:rPr>
          <w:rFonts w:eastAsia="Times New Roman" w:cstheme="minorHAnsi"/>
          <w:color w:val="000E29"/>
          <w:lang w:eastAsia="en-GB"/>
        </w:rPr>
        <w:t>Play therapy- directive and non-directive play therapy can be used for Jack to work towards his own solutions through play activities. Given Jack’s early childhood, this could be an invaluable intervention as there could be feelings and emotions he is internalising and play therapy would be a useful intervention to combat this.</w:t>
      </w:r>
    </w:p>
    <w:p w:rsidR="00934FB8" w:rsidRPr="00990B77" w:rsidRDefault="00934FB8" w:rsidP="00934FB8">
      <w:pPr>
        <w:pStyle w:val="ListParagraph"/>
        <w:numPr>
          <w:ilvl w:val="0"/>
          <w:numId w:val="6"/>
        </w:numPr>
        <w:spacing w:before="45" w:after="0" w:line="360" w:lineRule="auto"/>
        <w:rPr>
          <w:rFonts w:eastAsia="Times New Roman" w:cstheme="minorHAnsi"/>
          <w:color w:val="000E29"/>
          <w:lang w:eastAsia="en-GB"/>
        </w:rPr>
      </w:pPr>
      <w:r w:rsidRPr="00990B77">
        <w:rPr>
          <w:rFonts w:eastAsia="Times New Roman" w:cstheme="minorHAnsi"/>
          <w:color w:val="000E29"/>
          <w:lang w:eastAsia="en-GB"/>
        </w:rPr>
        <w:t xml:space="preserve">Speech and language link- when carried out well, speech and language link can play a significant role in communication development. Through improvement in communication skills, Jack will be able to share his thoughts and feeling more effectively. </w:t>
      </w: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The case study states the reason behind Jack only being in school in school for 60 minutes a day is due to his ‘very short attention and oppositional behaviour’. Jack’s foster family could possibly already be investigating the reasons behind his behaviour and question Attention Deficit Hyperactivity Disorder </w:t>
      </w:r>
      <w:r>
        <w:rPr>
          <w:rFonts w:eastAsia="Times New Roman" w:cstheme="minorHAnsi"/>
          <w:color w:val="000E29"/>
          <w:lang w:eastAsia="en-GB"/>
        </w:rPr>
        <w:lastRenderedPageBreak/>
        <w:t xml:space="preserve">(ADHD) as there are many Additional Learning Needs (ALN) websites and forums which could signpost them in this direction. As an </w:t>
      </w:r>
      <w:proofErr w:type="spellStart"/>
      <w:r>
        <w:rPr>
          <w:rFonts w:eastAsia="Times New Roman" w:cstheme="minorHAnsi"/>
          <w:color w:val="000E29"/>
          <w:lang w:eastAsia="en-GB"/>
        </w:rPr>
        <w:t>ALNCo</w:t>
      </w:r>
      <w:proofErr w:type="spellEnd"/>
      <w:r>
        <w:rPr>
          <w:rFonts w:eastAsia="Times New Roman" w:cstheme="minorHAnsi"/>
          <w:color w:val="000E29"/>
          <w:lang w:eastAsia="en-GB"/>
        </w:rPr>
        <w:t xml:space="preserve">, I would be reluctant to proceed with the ADHD pathway at this stage due to his age and the likelihood the behaviour displayed is due to attachment. Explaining the similarities in behaviour between ADHD, ASD and attachment would be invaluable as it can help reduce anxiety of parents. The Attachment Disorder Checklist would identify the type of behaviour and strategies moving forward. Parents could also be given the ‘Coventry Grid’ which is a checklist for ASD and attachment, it highlights how similar the behaviour can be and how easy it can be to misdiagnose a disorder. Individual Education Plan (IEP) targets can be set which can address the short attention span and oppositional behaviour, this would ensure there is a record of school trying to address the issues as in the future the ADHD pathway may need to investigated.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A training implication for the staff at Jack’s school could includ</w:t>
      </w:r>
      <w:bookmarkStart w:id="0" w:name="_GoBack"/>
      <w:bookmarkEnd w:id="0"/>
      <w:r>
        <w:rPr>
          <w:rFonts w:eastAsia="Times New Roman" w:cstheme="minorHAnsi"/>
          <w:color w:val="000E29"/>
          <w:lang w:eastAsia="en-GB"/>
        </w:rPr>
        <w:t xml:space="preserve">e the intervention previously mentioned for individual members of staff who work with Jack, but also a whole school trauma and attachment training. With trauma and attachment in schools becoming more significant and prominent, a whole school understanding of its effect on children would be a positive step moving forward. The school ethos towards trauma and attachment can benefit all children, not just those who present with the difficulties associated with trauma and attachment as it can be a mind-set which looks to understand the ‘whole’ child when dealing with behaviour. </w:t>
      </w: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tbl>
      <w:tblPr>
        <w:tblStyle w:val="TableGrid"/>
        <w:tblW w:w="10073" w:type="dxa"/>
        <w:tblInd w:w="-195" w:type="dxa"/>
        <w:tblLook w:val="04A0" w:firstRow="1" w:lastRow="0" w:firstColumn="1" w:lastColumn="0" w:noHBand="0" w:noVBand="1"/>
      </w:tblPr>
      <w:tblGrid>
        <w:gridCol w:w="6857"/>
        <w:gridCol w:w="1619"/>
        <w:gridCol w:w="1597"/>
      </w:tblGrid>
      <w:tr w:rsidR="00934FB8" w:rsidTr="00414105">
        <w:trPr>
          <w:trHeight w:val="502"/>
        </w:trPr>
        <w:tc>
          <w:tcPr>
            <w:tcW w:w="10073" w:type="dxa"/>
            <w:gridSpan w:val="3"/>
            <w:shd w:val="clear" w:color="auto" w:fill="C5E0B3" w:themeFill="accent6" w:themeFillTint="66"/>
          </w:tcPr>
          <w:p w:rsidR="00934FB8" w:rsidRPr="007B03A9" w:rsidRDefault="00934FB8" w:rsidP="00414105">
            <w:pPr>
              <w:spacing w:before="45" w:line="360" w:lineRule="auto"/>
              <w:jc w:val="center"/>
              <w:rPr>
                <w:rFonts w:eastAsia="Times New Roman" w:cstheme="minorHAnsi"/>
                <w:b/>
                <w:color w:val="000E29"/>
                <w:sz w:val="24"/>
                <w:highlight w:val="green"/>
                <w:lang w:eastAsia="en-GB"/>
              </w:rPr>
            </w:pPr>
            <w:r w:rsidRPr="00322C53">
              <w:rPr>
                <w:rFonts w:eastAsia="Times New Roman" w:cstheme="minorHAnsi"/>
                <w:b/>
                <w:color w:val="000E29"/>
                <w:sz w:val="24"/>
                <w:lang w:eastAsia="en-GB"/>
              </w:rPr>
              <w:t>Action Plan Jack</w:t>
            </w:r>
          </w:p>
        </w:tc>
      </w:tr>
      <w:tr w:rsidR="00934FB8" w:rsidTr="00414105">
        <w:trPr>
          <w:trHeight w:val="491"/>
        </w:trPr>
        <w:tc>
          <w:tcPr>
            <w:tcW w:w="6857" w:type="dxa"/>
          </w:tcPr>
          <w:p w:rsidR="00934FB8" w:rsidRPr="007B03A9" w:rsidRDefault="00934FB8" w:rsidP="00414105">
            <w:pPr>
              <w:spacing w:before="45" w:line="360" w:lineRule="auto"/>
              <w:rPr>
                <w:rFonts w:eastAsia="Times New Roman" w:cstheme="minorHAnsi"/>
                <w:b/>
                <w:color w:val="000E29"/>
                <w:sz w:val="24"/>
                <w:lang w:eastAsia="en-GB"/>
              </w:rPr>
            </w:pPr>
            <w:r w:rsidRPr="007B03A9">
              <w:rPr>
                <w:rFonts w:eastAsia="Times New Roman" w:cstheme="minorHAnsi"/>
                <w:b/>
                <w:color w:val="000E29"/>
                <w:sz w:val="24"/>
                <w:lang w:eastAsia="en-GB"/>
              </w:rPr>
              <w:t>Action</w:t>
            </w:r>
          </w:p>
        </w:tc>
        <w:tc>
          <w:tcPr>
            <w:tcW w:w="1619" w:type="dxa"/>
          </w:tcPr>
          <w:p w:rsidR="00934FB8" w:rsidRPr="007B03A9" w:rsidRDefault="00934FB8" w:rsidP="00414105">
            <w:pPr>
              <w:spacing w:before="45" w:line="360" w:lineRule="auto"/>
              <w:rPr>
                <w:rFonts w:eastAsia="Times New Roman" w:cstheme="minorHAnsi"/>
                <w:b/>
                <w:color w:val="000E29"/>
                <w:sz w:val="24"/>
                <w:lang w:eastAsia="en-GB"/>
              </w:rPr>
            </w:pPr>
            <w:r w:rsidRPr="007B03A9">
              <w:rPr>
                <w:rFonts w:eastAsia="Times New Roman" w:cstheme="minorHAnsi"/>
                <w:b/>
                <w:color w:val="000E29"/>
                <w:sz w:val="24"/>
                <w:lang w:eastAsia="en-GB"/>
              </w:rPr>
              <w:t>By whom</w:t>
            </w:r>
          </w:p>
        </w:tc>
        <w:tc>
          <w:tcPr>
            <w:tcW w:w="1596" w:type="dxa"/>
          </w:tcPr>
          <w:p w:rsidR="00934FB8" w:rsidRPr="007B03A9" w:rsidRDefault="00934FB8" w:rsidP="00414105">
            <w:pPr>
              <w:spacing w:before="45" w:line="360" w:lineRule="auto"/>
              <w:rPr>
                <w:rFonts w:eastAsia="Times New Roman" w:cstheme="minorHAnsi"/>
                <w:b/>
                <w:color w:val="000E29"/>
                <w:sz w:val="24"/>
                <w:lang w:eastAsia="en-GB"/>
              </w:rPr>
            </w:pPr>
            <w:r w:rsidRPr="007B03A9">
              <w:rPr>
                <w:rFonts w:eastAsia="Times New Roman" w:cstheme="minorHAnsi"/>
                <w:b/>
                <w:color w:val="000E29"/>
                <w:sz w:val="24"/>
                <w:lang w:eastAsia="en-GB"/>
              </w:rPr>
              <w:t>When</w:t>
            </w:r>
          </w:p>
        </w:tc>
      </w:tr>
      <w:tr w:rsidR="00934FB8" w:rsidTr="00414105">
        <w:trPr>
          <w:trHeight w:val="879"/>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Carried out thorough and robust assessments</w:t>
            </w:r>
          </w:p>
        </w:tc>
        <w:tc>
          <w:tcPr>
            <w:tcW w:w="1619"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Class teacher/</w:t>
            </w:r>
            <w:proofErr w:type="spellStart"/>
            <w:r>
              <w:rPr>
                <w:rFonts w:eastAsia="Times New Roman" w:cstheme="minorHAnsi"/>
                <w:color w:val="000E29"/>
                <w:lang w:eastAsia="en-GB"/>
              </w:rPr>
              <w:t>ALNCo</w:t>
            </w:r>
            <w:proofErr w:type="spellEnd"/>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r w:rsidR="00934FB8" w:rsidTr="00414105">
        <w:trPr>
          <w:trHeight w:val="456"/>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Background information of biological parents</w:t>
            </w:r>
          </w:p>
        </w:tc>
        <w:tc>
          <w:tcPr>
            <w:tcW w:w="1619"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Social services</w:t>
            </w:r>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r w:rsidR="00934FB8" w:rsidTr="00414105">
        <w:trPr>
          <w:trHeight w:val="1291"/>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Increase timetable- review meeting</w:t>
            </w:r>
          </w:p>
        </w:tc>
        <w:tc>
          <w:tcPr>
            <w:tcW w:w="1619"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 xml:space="preserve">Class teacher, </w:t>
            </w:r>
            <w:proofErr w:type="spellStart"/>
            <w:r>
              <w:rPr>
                <w:rFonts w:eastAsia="Times New Roman" w:cstheme="minorHAnsi"/>
                <w:color w:val="000E29"/>
                <w:lang w:eastAsia="en-GB"/>
              </w:rPr>
              <w:t>ALNCo</w:t>
            </w:r>
            <w:proofErr w:type="spellEnd"/>
            <w:r>
              <w:rPr>
                <w:rFonts w:eastAsia="Times New Roman" w:cstheme="minorHAnsi"/>
                <w:color w:val="000E29"/>
                <w:lang w:eastAsia="en-GB"/>
              </w:rPr>
              <w:t>, parents</w:t>
            </w:r>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2 weeks</w:t>
            </w:r>
          </w:p>
        </w:tc>
      </w:tr>
      <w:tr w:rsidR="00934FB8" w:rsidTr="00414105">
        <w:trPr>
          <w:trHeight w:val="1714"/>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Complete Attachment Disorder Checklist</w:t>
            </w:r>
          </w:p>
        </w:tc>
        <w:tc>
          <w:tcPr>
            <w:tcW w:w="1619"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Member of staff who knows Jack well</w:t>
            </w:r>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ASAP</w:t>
            </w:r>
          </w:p>
        </w:tc>
      </w:tr>
      <w:tr w:rsidR="00934FB8" w:rsidTr="00414105">
        <w:trPr>
          <w:trHeight w:val="879"/>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Review IEP targets</w:t>
            </w:r>
          </w:p>
        </w:tc>
        <w:tc>
          <w:tcPr>
            <w:tcW w:w="1619"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Class teacher/</w:t>
            </w:r>
            <w:proofErr w:type="spellStart"/>
            <w:r>
              <w:rPr>
                <w:rFonts w:eastAsia="Times New Roman" w:cstheme="minorHAnsi"/>
                <w:color w:val="000E29"/>
                <w:lang w:eastAsia="en-GB"/>
              </w:rPr>
              <w:t>ALNCo</w:t>
            </w:r>
            <w:proofErr w:type="spellEnd"/>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Termly</w:t>
            </w:r>
          </w:p>
        </w:tc>
      </w:tr>
      <w:tr w:rsidR="00934FB8" w:rsidTr="00414105">
        <w:trPr>
          <w:trHeight w:val="1291"/>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Begin interventions</w:t>
            </w:r>
          </w:p>
        </w:tc>
        <w:tc>
          <w:tcPr>
            <w:tcW w:w="1619"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Class teacher/</w:t>
            </w:r>
            <w:proofErr w:type="spellStart"/>
            <w:r>
              <w:rPr>
                <w:rFonts w:eastAsia="Times New Roman" w:cstheme="minorHAnsi"/>
                <w:color w:val="000E29"/>
                <w:lang w:eastAsia="en-GB"/>
              </w:rPr>
              <w:t>ALNCo</w:t>
            </w:r>
            <w:proofErr w:type="spellEnd"/>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Once assessments complete</w:t>
            </w:r>
          </w:p>
        </w:tc>
      </w:tr>
      <w:tr w:rsidR="00934FB8" w:rsidTr="00414105">
        <w:trPr>
          <w:trHeight w:val="868"/>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Hearing and eye test</w:t>
            </w:r>
          </w:p>
        </w:tc>
        <w:tc>
          <w:tcPr>
            <w:tcW w:w="1619"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Parents</w:t>
            </w:r>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Within 6 weeks</w:t>
            </w:r>
          </w:p>
        </w:tc>
      </w:tr>
      <w:tr w:rsidR="00934FB8" w:rsidTr="00414105">
        <w:trPr>
          <w:trHeight w:val="1291"/>
        </w:trPr>
        <w:tc>
          <w:tcPr>
            <w:tcW w:w="6857"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Graduated response explained</w:t>
            </w:r>
          </w:p>
        </w:tc>
        <w:tc>
          <w:tcPr>
            <w:tcW w:w="1619" w:type="dxa"/>
          </w:tcPr>
          <w:p w:rsidR="00934FB8" w:rsidRDefault="00934FB8" w:rsidP="00414105">
            <w:pPr>
              <w:spacing w:before="45" w:line="360" w:lineRule="auto"/>
              <w:rPr>
                <w:rFonts w:eastAsia="Times New Roman" w:cstheme="minorHAnsi"/>
                <w:color w:val="000E29"/>
                <w:lang w:eastAsia="en-GB"/>
              </w:rPr>
            </w:pPr>
            <w:proofErr w:type="spellStart"/>
            <w:r>
              <w:rPr>
                <w:rFonts w:eastAsia="Times New Roman" w:cstheme="minorHAnsi"/>
                <w:color w:val="000E29"/>
                <w:lang w:eastAsia="en-GB"/>
              </w:rPr>
              <w:t>ALNCo</w:t>
            </w:r>
            <w:proofErr w:type="spellEnd"/>
          </w:p>
        </w:tc>
        <w:tc>
          <w:tcPr>
            <w:tcW w:w="1596" w:type="dxa"/>
          </w:tcPr>
          <w:p w:rsidR="00934FB8" w:rsidRDefault="00934FB8" w:rsidP="00414105">
            <w:pPr>
              <w:spacing w:before="45" w:line="360" w:lineRule="auto"/>
              <w:rPr>
                <w:rFonts w:eastAsia="Times New Roman" w:cstheme="minorHAnsi"/>
                <w:color w:val="000E29"/>
                <w:lang w:eastAsia="en-GB"/>
              </w:rPr>
            </w:pPr>
            <w:r>
              <w:rPr>
                <w:rFonts w:eastAsia="Times New Roman" w:cstheme="minorHAnsi"/>
                <w:color w:val="000E29"/>
                <w:lang w:eastAsia="en-GB"/>
              </w:rPr>
              <w:t>Once assessments complete</w:t>
            </w:r>
          </w:p>
        </w:tc>
      </w:tr>
    </w:tbl>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 </w:t>
      </w: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lastRenderedPageBreak/>
        <w:t>References</w:t>
      </w:r>
    </w:p>
    <w:p w:rsidR="00934FB8" w:rsidRDefault="00934FB8" w:rsidP="00934FB8">
      <w:pPr>
        <w:spacing w:before="45" w:after="0" w:line="360" w:lineRule="auto"/>
        <w:ind w:left="-195"/>
        <w:rPr>
          <w:rFonts w:eastAsia="Times New Roman" w:cstheme="minorHAnsi"/>
          <w:color w:val="000E29"/>
          <w:lang w:eastAsia="en-GB"/>
        </w:rPr>
      </w:pPr>
      <w:proofErr w:type="spellStart"/>
      <w:r>
        <w:rPr>
          <w:rFonts w:eastAsia="Times New Roman" w:cstheme="minorHAnsi"/>
          <w:color w:val="000E29"/>
          <w:lang w:eastAsia="en-GB"/>
        </w:rPr>
        <w:t>Dawabi</w:t>
      </w:r>
      <w:proofErr w:type="spellEnd"/>
      <w:r>
        <w:rPr>
          <w:rFonts w:eastAsia="Times New Roman" w:cstheme="minorHAnsi"/>
          <w:color w:val="000E29"/>
          <w:lang w:eastAsia="en-GB"/>
        </w:rPr>
        <w:t xml:space="preserve">, P, </w:t>
      </w:r>
      <w:proofErr w:type="spellStart"/>
      <w:r>
        <w:rPr>
          <w:rFonts w:eastAsia="Times New Roman" w:cstheme="minorHAnsi"/>
          <w:color w:val="000E29"/>
          <w:lang w:eastAsia="en-GB"/>
        </w:rPr>
        <w:t>Wessner</w:t>
      </w:r>
      <w:proofErr w:type="spellEnd"/>
      <w:r>
        <w:rPr>
          <w:rFonts w:eastAsia="Times New Roman" w:cstheme="minorHAnsi"/>
          <w:color w:val="000E29"/>
          <w:lang w:eastAsia="en-GB"/>
        </w:rPr>
        <w:t xml:space="preserve">, M, </w:t>
      </w:r>
      <w:proofErr w:type="spellStart"/>
      <w:r>
        <w:rPr>
          <w:rFonts w:eastAsia="Times New Roman" w:cstheme="minorHAnsi"/>
          <w:color w:val="000E29"/>
          <w:lang w:eastAsia="en-GB"/>
        </w:rPr>
        <w:t>Weuhold</w:t>
      </w:r>
      <w:proofErr w:type="spellEnd"/>
      <w:r>
        <w:rPr>
          <w:rFonts w:eastAsia="Times New Roman" w:cstheme="minorHAnsi"/>
          <w:color w:val="000E29"/>
          <w:lang w:eastAsia="en-GB"/>
        </w:rPr>
        <w:t xml:space="preserve">, E. (2017), </w:t>
      </w:r>
      <w:r w:rsidRPr="00161166">
        <w:rPr>
          <w:rFonts w:eastAsia="Times New Roman" w:cstheme="minorHAnsi"/>
          <w:i/>
          <w:color w:val="000E29"/>
          <w:lang w:eastAsia="en-GB"/>
        </w:rPr>
        <w:t>Using Mobile Devices for the Classroom of the Future</w:t>
      </w:r>
      <w:r>
        <w:rPr>
          <w:rFonts w:eastAsia="Times New Roman" w:cstheme="minorHAnsi"/>
          <w:color w:val="000E29"/>
          <w:lang w:eastAsia="en-GB"/>
        </w:rPr>
        <w:t xml:space="preserve">, </w:t>
      </w:r>
      <w:proofErr w:type="spellStart"/>
      <w:r>
        <w:rPr>
          <w:rFonts w:eastAsia="Times New Roman" w:cstheme="minorHAnsi"/>
          <w:color w:val="000E29"/>
          <w:lang w:eastAsia="en-GB"/>
        </w:rPr>
        <w:t>Fraunhofer</w:t>
      </w:r>
      <w:proofErr w:type="spellEnd"/>
      <w:r>
        <w:rPr>
          <w:rFonts w:eastAsia="Times New Roman" w:cstheme="minorHAnsi"/>
          <w:color w:val="000E29"/>
          <w:lang w:eastAsia="en-GB"/>
        </w:rPr>
        <w:t xml:space="preserve"> Integrated Publications and Information Systems Institute, Vol 23.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Golding, KS, </w:t>
      </w:r>
      <w:proofErr w:type="spellStart"/>
      <w:r>
        <w:rPr>
          <w:rFonts w:eastAsia="Times New Roman" w:cstheme="minorHAnsi"/>
          <w:color w:val="000E29"/>
          <w:lang w:eastAsia="en-GB"/>
        </w:rPr>
        <w:t>Worral</w:t>
      </w:r>
      <w:proofErr w:type="spellEnd"/>
      <w:r>
        <w:rPr>
          <w:rFonts w:eastAsia="Times New Roman" w:cstheme="minorHAnsi"/>
          <w:color w:val="000E29"/>
          <w:lang w:eastAsia="en-GB"/>
        </w:rPr>
        <w:t xml:space="preserve">, H, Fain, J, Frost, A, Mill, C. (2012), </w:t>
      </w:r>
      <w:r>
        <w:rPr>
          <w:rFonts w:eastAsia="Times New Roman" w:cstheme="minorHAnsi"/>
          <w:i/>
          <w:color w:val="000E29"/>
          <w:lang w:eastAsia="en-GB"/>
        </w:rPr>
        <w:t>Observing Children with Attachment Difficulties in School: A Tool for Identifying and Supporting Emotional and Social Difficulties in Children Aged 5-11,</w:t>
      </w:r>
      <w:r>
        <w:rPr>
          <w:rFonts w:eastAsia="Times New Roman" w:cstheme="minorHAnsi"/>
          <w:color w:val="000E29"/>
          <w:lang w:eastAsia="en-GB"/>
        </w:rPr>
        <w:t xml:space="preserve"> Jessica Kingsley Publishers, London. </w:t>
      </w:r>
    </w:p>
    <w:p w:rsidR="00934FB8" w:rsidRPr="00A95F12"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Hunter, S, Thorpe I, </w:t>
      </w:r>
      <w:proofErr w:type="spellStart"/>
      <w:r>
        <w:rPr>
          <w:rFonts w:eastAsia="Times New Roman" w:cstheme="minorHAnsi"/>
          <w:color w:val="000E29"/>
          <w:lang w:eastAsia="en-GB"/>
        </w:rPr>
        <w:t>Greetles</w:t>
      </w:r>
      <w:proofErr w:type="spellEnd"/>
      <w:r>
        <w:rPr>
          <w:rFonts w:eastAsia="Times New Roman" w:cstheme="minorHAnsi"/>
          <w:color w:val="000E29"/>
          <w:lang w:eastAsia="en-GB"/>
        </w:rPr>
        <w:t xml:space="preserve">, P. (2017), </w:t>
      </w:r>
      <w:r>
        <w:rPr>
          <w:rFonts w:eastAsia="Times New Roman" w:cstheme="minorHAnsi"/>
          <w:i/>
          <w:color w:val="000E29"/>
          <w:lang w:eastAsia="en-GB"/>
        </w:rPr>
        <w:t xml:space="preserve">Understanding SEBD in the Classroom, </w:t>
      </w:r>
      <w:r>
        <w:rPr>
          <w:rFonts w:eastAsia="Times New Roman" w:cstheme="minorHAnsi"/>
          <w:color w:val="000E29"/>
          <w:lang w:eastAsia="en-GB"/>
        </w:rPr>
        <w:t xml:space="preserve">Jessica Kingsley Publishers, London. </w:t>
      </w:r>
    </w:p>
    <w:p w:rsidR="00934FB8" w:rsidRDefault="00934FB8" w:rsidP="00934FB8">
      <w:pPr>
        <w:spacing w:before="45" w:after="0" w:line="360" w:lineRule="auto"/>
        <w:ind w:left="-195"/>
        <w:rPr>
          <w:rFonts w:eastAsia="Times New Roman" w:cstheme="minorHAnsi"/>
          <w:color w:val="000E29"/>
          <w:lang w:eastAsia="en-GB"/>
        </w:rPr>
      </w:pPr>
      <w:proofErr w:type="spellStart"/>
      <w:r>
        <w:rPr>
          <w:rFonts w:eastAsia="Times New Roman" w:cstheme="minorHAnsi"/>
          <w:color w:val="000E29"/>
          <w:lang w:eastAsia="en-GB"/>
        </w:rPr>
        <w:t>McDermot</w:t>
      </w:r>
      <w:proofErr w:type="spellEnd"/>
      <w:r>
        <w:rPr>
          <w:rFonts w:eastAsia="Times New Roman" w:cstheme="minorHAnsi"/>
          <w:color w:val="000E29"/>
          <w:lang w:eastAsia="en-GB"/>
        </w:rPr>
        <w:t xml:space="preserve">, RP. (1989), </w:t>
      </w:r>
      <w:r>
        <w:rPr>
          <w:rFonts w:eastAsia="Times New Roman" w:cstheme="minorHAnsi"/>
          <w:i/>
          <w:color w:val="000E29"/>
          <w:lang w:eastAsia="en-GB"/>
        </w:rPr>
        <w:t xml:space="preserve">Understanding Learning, </w:t>
      </w:r>
      <w:r>
        <w:rPr>
          <w:rFonts w:eastAsia="Times New Roman" w:cstheme="minorHAnsi"/>
          <w:color w:val="000E29"/>
          <w:lang w:eastAsia="en-GB"/>
        </w:rPr>
        <w:t>Paul Chapman Publishers, London.</w:t>
      </w:r>
    </w:p>
    <w:p w:rsidR="00934FB8" w:rsidRPr="00A95F12" w:rsidRDefault="00934FB8" w:rsidP="00934FB8">
      <w:pPr>
        <w:spacing w:before="45" w:after="0" w:line="360" w:lineRule="auto"/>
        <w:ind w:left="-195"/>
        <w:rPr>
          <w:rFonts w:eastAsia="Times New Roman" w:cstheme="minorHAnsi"/>
          <w:i/>
          <w:color w:val="000E29"/>
          <w:lang w:eastAsia="en-GB"/>
        </w:rPr>
      </w:pPr>
      <w:r>
        <w:rPr>
          <w:rFonts w:eastAsia="Times New Roman" w:cstheme="minorHAnsi"/>
          <w:color w:val="000E29"/>
          <w:lang w:eastAsia="en-GB"/>
        </w:rPr>
        <w:t xml:space="preserve">Smith A, Bowyer, L. (2016), </w:t>
      </w:r>
      <w:r>
        <w:rPr>
          <w:rFonts w:eastAsia="Times New Roman" w:cstheme="minorHAnsi"/>
          <w:i/>
          <w:color w:val="000E29"/>
          <w:lang w:eastAsia="en-GB"/>
        </w:rPr>
        <w:t xml:space="preserve">Developing Co-ordination with Primary and Secondary Children, Paul </w:t>
      </w:r>
      <w:proofErr w:type="spellStart"/>
      <w:r>
        <w:rPr>
          <w:rFonts w:eastAsia="Times New Roman" w:cstheme="minorHAnsi"/>
          <w:i/>
          <w:color w:val="000E29"/>
          <w:lang w:eastAsia="en-GB"/>
        </w:rPr>
        <w:t>Faulton</w:t>
      </w:r>
      <w:proofErr w:type="spellEnd"/>
      <w:r>
        <w:rPr>
          <w:rFonts w:eastAsia="Times New Roman" w:cstheme="minorHAnsi"/>
          <w:i/>
          <w:color w:val="000E29"/>
          <w:lang w:eastAsia="en-GB"/>
        </w:rPr>
        <w:t xml:space="preserve"> Publishers, London</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Special Educational Needs Code of Practice 2012</w:t>
      </w:r>
    </w:p>
    <w:p w:rsidR="00934FB8" w:rsidRPr="00161166"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Vygotsky, L. (1978), </w:t>
      </w:r>
      <w:r w:rsidRPr="00161166">
        <w:rPr>
          <w:rFonts w:eastAsia="Times New Roman" w:cstheme="minorHAnsi"/>
          <w:i/>
          <w:color w:val="000E29"/>
          <w:lang w:eastAsia="en-GB"/>
        </w:rPr>
        <w:t>Mind in Society: Development of Higher Psychological Processes</w:t>
      </w:r>
      <w:r>
        <w:rPr>
          <w:rFonts w:eastAsia="Times New Roman" w:cstheme="minorHAnsi"/>
          <w:color w:val="000E29"/>
          <w:lang w:eastAsia="en-GB"/>
        </w:rPr>
        <w:t xml:space="preserve">, Harvard Press, New York. </w:t>
      </w:r>
    </w:p>
    <w:p w:rsidR="00934FB8" w:rsidRDefault="00934FB8" w:rsidP="00934FB8">
      <w:pPr>
        <w:spacing w:before="45" w:after="0" w:line="360" w:lineRule="auto"/>
        <w:ind w:left="-195"/>
        <w:rPr>
          <w:rFonts w:eastAsia="Times New Roman" w:cstheme="minorHAnsi"/>
          <w:color w:val="000E29"/>
          <w:lang w:eastAsia="en-GB"/>
        </w:rPr>
      </w:pPr>
      <w:r>
        <w:rPr>
          <w:rFonts w:eastAsia="Times New Roman" w:cstheme="minorHAnsi"/>
          <w:color w:val="000E29"/>
          <w:lang w:eastAsia="en-GB"/>
        </w:rPr>
        <w:t xml:space="preserve">Dyspraxia Foundation, </w:t>
      </w:r>
      <w:hyperlink r:id="rId6" w:history="1">
        <w:r w:rsidRPr="00DA7B06">
          <w:rPr>
            <w:rStyle w:val="Hyperlink"/>
            <w:rFonts w:eastAsia="Times New Roman" w:cstheme="minorHAnsi"/>
            <w:lang w:eastAsia="en-GB"/>
          </w:rPr>
          <w:t>https://dyspraxiafoundation.org.uk/dyspraxia-adults/</w:t>
        </w:r>
      </w:hyperlink>
      <w:r>
        <w:rPr>
          <w:rFonts w:eastAsia="Times New Roman" w:cstheme="minorHAnsi"/>
          <w:color w:val="000E29"/>
          <w:lang w:eastAsia="en-GB"/>
        </w:rPr>
        <w:t xml:space="preserve"> July 27</w:t>
      </w:r>
      <w:r w:rsidRPr="00A95F12">
        <w:rPr>
          <w:rFonts w:eastAsia="Times New Roman" w:cstheme="minorHAnsi"/>
          <w:color w:val="000E29"/>
          <w:vertAlign w:val="superscript"/>
          <w:lang w:eastAsia="en-GB"/>
        </w:rPr>
        <w:t>th</w:t>
      </w:r>
      <w:r>
        <w:rPr>
          <w:rFonts w:eastAsia="Times New Roman" w:cstheme="minorHAnsi"/>
          <w:color w:val="000E29"/>
          <w:lang w:eastAsia="en-GB"/>
        </w:rPr>
        <w:t xml:space="preserve"> 2019.</w:t>
      </w:r>
    </w:p>
    <w:p w:rsidR="00934FB8" w:rsidRPr="00560A9B" w:rsidRDefault="00934FB8" w:rsidP="00934FB8">
      <w:pPr>
        <w:spacing w:before="45" w:after="0" w:line="360" w:lineRule="auto"/>
        <w:ind w:left="-195"/>
        <w:rPr>
          <w:rFonts w:eastAsia="Times New Roman" w:cstheme="minorHAnsi"/>
          <w:color w:val="000E29"/>
          <w:lang w:eastAsia="en-GB"/>
        </w:rPr>
      </w:pPr>
    </w:p>
    <w:p w:rsidR="00934FB8" w:rsidRDefault="00934FB8" w:rsidP="00934FB8"/>
    <w:p w:rsidR="00934FB8" w:rsidRDefault="00934FB8" w:rsidP="00934FB8"/>
    <w:p w:rsidR="00934FB8" w:rsidRDefault="00934FB8"/>
    <w:sectPr w:rsidR="00934F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F22"/>
    <w:multiLevelType w:val="multilevel"/>
    <w:tmpl w:val="C7BC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F278B"/>
    <w:multiLevelType w:val="hybridMultilevel"/>
    <w:tmpl w:val="254049B0"/>
    <w:lvl w:ilvl="0" w:tplc="08090001">
      <w:start w:val="1"/>
      <w:numFmt w:val="bullet"/>
      <w:lvlText w:val=""/>
      <w:lvlJc w:val="left"/>
      <w:pPr>
        <w:ind w:left="525" w:hanging="360"/>
      </w:pPr>
      <w:rPr>
        <w:rFonts w:ascii="Symbol" w:hAnsi="Symbol" w:hint="default"/>
      </w:rPr>
    </w:lvl>
    <w:lvl w:ilvl="1" w:tplc="08090003" w:tentative="1">
      <w:start w:val="1"/>
      <w:numFmt w:val="bullet"/>
      <w:lvlText w:val="o"/>
      <w:lvlJc w:val="left"/>
      <w:pPr>
        <w:ind w:left="1245" w:hanging="360"/>
      </w:pPr>
      <w:rPr>
        <w:rFonts w:ascii="Courier New" w:hAnsi="Courier New" w:cs="Courier New"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2" w15:restartNumberingAfterBreak="0">
    <w:nsid w:val="2946134B"/>
    <w:multiLevelType w:val="multilevel"/>
    <w:tmpl w:val="ACCA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506E6C"/>
    <w:multiLevelType w:val="multilevel"/>
    <w:tmpl w:val="C4CC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E75AB7"/>
    <w:multiLevelType w:val="multilevel"/>
    <w:tmpl w:val="E6AE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A5538A"/>
    <w:multiLevelType w:val="multilevel"/>
    <w:tmpl w:val="5260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D59"/>
    <w:rsid w:val="000C7484"/>
    <w:rsid w:val="000D7E2F"/>
    <w:rsid w:val="000E0577"/>
    <w:rsid w:val="00122460"/>
    <w:rsid w:val="00124D59"/>
    <w:rsid w:val="00145235"/>
    <w:rsid w:val="001923A1"/>
    <w:rsid w:val="001936E6"/>
    <w:rsid w:val="001A005A"/>
    <w:rsid w:val="001C166B"/>
    <w:rsid w:val="001C6882"/>
    <w:rsid w:val="002A1BE1"/>
    <w:rsid w:val="002D633B"/>
    <w:rsid w:val="002F76ED"/>
    <w:rsid w:val="003241BF"/>
    <w:rsid w:val="00330090"/>
    <w:rsid w:val="00382822"/>
    <w:rsid w:val="003A2C60"/>
    <w:rsid w:val="003B3EC4"/>
    <w:rsid w:val="004345FB"/>
    <w:rsid w:val="004B22A3"/>
    <w:rsid w:val="004B4AF1"/>
    <w:rsid w:val="004F64FB"/>
    <w:rsid w:val="0051256D"/>
    <w:rsid w:val="00513CF2"/>
    <w:rsid w:val="00551BB7"/>
    <w:rsid w:val="0055656F"/>
    <w:rsid w:val="00562566"/>
    <w:rsid w:val="005962CF"/>
    <w:rsid w:val="005D3A5B"/>
    <w:rsid w:val="00603F0B"/>
    <w:rsid w:val="006D5841"/>
    <w:rsid w:val="006E53DF"/>
    <w:rsid w:val="00735966"/>
    <w:rsid w:val="00737040"/>
    <w:rsid w:val="0077255C"/>
    <w:rsid w:val="007B187E"/>
    <w:rsid w:val="007D1CD0"/>
    <w:rsid w:val="008003BD"/>
    <w:rsid w:val="00866E01"/>
    <w:rsid w:val="008716D8"/>
    <w:rsid w:val="00875980"/>
    <w:rsid w:val="008B03DF"/>
    <w:rsid w:val="008C748D"/>
    <w:rsid w:val="008D2BCE"/>
    <w:rsid w:val="0091445F"/>
    <w:rsid w:val="00932ADD"/>
    <w:rsid w:val="00934FB8"/>
    <w:rsid w:val="00941A77"/>
    <w:rsid w:val="00990E38"/>
    <w:rsid w:val="00991E2B"/>
    <w:rsid w:val="00A223A1"/>
    <w:rsid w:val="00A23F19"/>
    <w:rsid w:val="00AD1CB2"/>
    <w:rsid w:val="00CF59B3"/>
    <w:rsid w:val="00D17B65"/>
    <w:rsid w:val="00D3242E"/>
    <w:rsid w:val="00D66EAD"/>
    <w:rsid w:val="00D808C9"/>
    <w:rsid w:val="00DA44C1"/>
    <w:rsid w:val="00DA47E5"/>
    <w:rsid w:val="00DB1938"/>
    <w:rsid w:val="00DB6F48"/>
    <w:rsid w:val="00DC2EBB"/>
    <w:rsid w:val="00E310D0"/>
    <w:rsid w:val="00E355FA"/>
    <w:rsid w:val="00E40333"/>
    <w:rsid w:val="00E55847"/>
    <w:rsid w:val="00E61972"/>
    <w:rsid w:val="00ED161C"/>
    <w:rsid w:val="00ED45C5"/>
    <w:rsid w:val="00EE6230"/>
    <w:rsid w:val="00EF26C0"/>
    <w:rsid w:val="00F12EE0"/>
    <w:rsid w:val="00F15245"/>
    <w:rsid w:val="00F3486F"/>
    <w:rsid w:val="00F7109A"/>
    <w:rsid w:val="00F8192A"/>
    <w:rsid w:val="00F84B4C"/>
    <w:rsid w:val="00F962F1"/>
    <w:rsid w:val="00FB6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9A500"/>
  <w15:chartTrackingRefBased/>
  <w15:docId w15:val="{9EB7B6AE-6A5F-410C-B2C7-52D276B66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61C"/>
    <w:pPr>
      <w:ind w:left="720"/>
      <w:contextualSpacing/>
    </w:pPr>
  </w:style>
  <w:style w:type="character" w:styleId="Hyperlink">
    <w:name w:val="Hyperlink"/>
    <w:basedOn w:val="DefaultParagraphFont"/>
    <w:uiPriority w:val="99"/>
    <w:semiHidden/>
    <w:unhideWhenUsed/>
    <w:rsid w:val="00F12EE0"/>
    <w:rPr>
      <w:color w:val="0000FF"/>
      <w:u w:val="single"/>
    </w:rPr>
  </w:style>
  <w:style w:type="paragraph" w:customStyle="1" w:styleId="body-paragraph">
    <w:name w:val="body-paragraph"/>
    <w:basedOn w:val="Normal"/>
    <w:rsid w:val="004B22A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34F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02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yspraxiafoundation.org.uk/dyspraxia-adults/" TargetMode="External"/><Relationship Id="rId5" Type="http://schemas.openxmlformats.org/officeDocument/2006/relationships/hyperlink" Target="https://www.mentalhealth.org.uk/statistics/mental-health-statistics-depres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7507</Words>
  <Characters>42793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50200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L.A.</dc:creator>
  <cp:keywords/>
  <dc:description/>
  <cp:lastModifiedBy>Hughes L.A.</cp:lastModifiedBy>
  <cp:revision>2</cp:revision>
  <dcterms:created xsi:type="dcterms:W3CDTF">2019-09-04T17:00:00Z</dcterms:created>
  <dcterms:modified xsi:type="dcterms:W3CDTF">2019-09-04T17:00:00Z</dcterms:modified>
</cp:coreProperties>
</file>