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tabs>
          <w:tab w:val="center" w:pos="4680" w:leader="none"/>
          <w:tab w:val="right" w:pos="9360" w:leader="none"/>
        </w:tabs>
        <w:spacing w:before="0" w:after="0" w:line="240"/>
        <w:ind w:right="0" w:left="0" w:firstLine="0"/>
        <w:jc w:val="right"/>
        <w:rPr>
          <w:rFonts w:ascii="Times New Roman" w:hAnsi="Times New Roman" w:cs="Times New Roman" w:eastAsia="Times New Roman"/>
          <w:b/>
          <w:color w:val="000000"/>
          <w:spacing w:val="0"/>
          <w:position w:val="0"/>
          <w:sz w:val="28"/>
          <w:u w:val="single"/>
          <w:shd w:fill="auto" w:val="clear"/>
        </w:rPr>
      </w:pPr>
      <w:r>
        <w:rPr>
          <w:rFonts w:ascii="Times New Roman" w:hAnsi="Times New Roman" w:cs="Times New Roman" w:eastAsia="Times New Roman"/>
          <w:color w:val="000000"/>
          <w:spacing w:val="0"/>
          <w:position w:val="0"/>
          <w:sz w:val="24"/>
          <w:u w:val="single"/>
          <w:shd w:fill="auto" w:val="clear"/>
        </w:rPr>
        <w:t xml:space="preserve"> </w:t>
        <w:br/>
      </w:r>
      <w:r>
        <w:rPr>
          <w:rFonts w:ascii="Times New Roman" w:hAnsi="Times New Roman" w:cs="Times New Roman" w:eastAsia="Times New Roman"/>
          <w:b/>
          <w:color w:val="000000"/>
          <w:spacing w:val="0"/>
          <w:position w:val="0"/>
          <w:sz w:val="28"/>
          <w:u w:val="single"/>
          <w:shd w:fill="auto" w:val="clear"/>
        </w:rPr>
        <w:t xml:space="preserve">APPENDIX GA36a</w:t>
      </w:r>
      <w:r>
        <w:object w:dxaOrig="2736" w:dyaOrig="1094">
          <v:rect xmlns:o="urn:schemas-microsoft-com:office:office" xmlns:v="urn:schemas-microsoft-com:vml" id="rectole0000000000" style="width:136.800000pt;height:54.7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both"/>
        <w:rPr>
          <w:rFonts w:ascii="Calibri" w:hAnsi="Calibri" w:cs="Calibri" w:eastAsia="Calibri"/>
          <w:color w:val="auto"/>
          <w:spacing w:val="0"/>
          <w:position w:val="0"/>
          <w:sz w:val="24"/>
          <w:shd w:fill="auto" w:val="clear"/>
        </w:rPr>
      </w:pPr>
    </w:p>
    <w:tbl>
      <w:tblPr/>
      <w:tblGrid>
        <w:gridCol w:w="9350"/>
      </w:tblGrid>
      <w:tr>
        <w:trPr>
          <w:trHeight w:val="1" w:hRule="atLeast"/>
          <w:jc w:val="center"/>
        </w:trPr>
        <w:tc>
          <w:tcPr>
            <w:tcW w:w="9350" w:type="dxa"/>
            <w:tcBorders>
              <w:top w:val="single" w:color="000000" w:sz="4"/>
              <w:left w:val="single" w:color="000000" w:sz="4"/>
              <w:bottom w:val="single" w:color="000000" w:sz="4"/>
              <w:right w:val="single" w:color="000000" w:sz="4"/>
            </w:tcBorders>
            <w:shd w:color="000000" w:fill="c0c0c0" w:val="clear"/>
            <w:tcMar>
              <w:left w:w="114" w:type="dxa"/>
              <w:right w:w="114" w:type="dxa"/>
            </w:tcMar>
            <w:vAlign w:val="top"/>
          </w:tcPr>
          <w:p>
            <w:pPr>
              <w:keepNext w:val="true"/>
              <w:keepLines w:val="true"/>
              <w:spacing w:before="40" w:after="0" w:line="240"/>
              <w:ind w:right="0" w:left="0" w:firstLine="0"/>
              <w:jc w:val="both"/>
              <w:rPr>
                <w:spacing w:val="0"/>
                <w:position w:val="0"/>
                <w:shd w:fill="auto" w:val="clear"/>
              </w:rPr>
            </w:pPr>
            <w:r>
              <w:rPr>
                <w:rFonts w:ascii="Times New Roman" w:hAnsi="Times New Roman" w:cs="Times New Roman" w:eastAsia="Times New Roman"/>
                <w:b/>
                <w:i/>
                <w:color w:val="2F5496"/>
                <w:spacing w:val="0"/>
                <w:position w:val="0"/>
                <w:sz w:val="24"/>
                <w:shd w:fill="auto" w:val="clear"/>
              </w:rPr>
              <w:t xml:space="preserve">LEVEL 4 ASSESSMENT 2 SPECIFICATION </w:t>
            </w:r>
          </w:p>
        </w:tc>
      </w:tr>
    </w:tbl>
    <w:p>
      <w:pPr>
        <w:spacing w:before="0" w:after="0" w:line="360"/>
        <w:ind w:right="0" w:left="0" w:firstLine="0"/>
        <w:jc w:val="center"/>
        <w:rPr>
          <w:rFonts w:ascii="Calibri" w:hAnsi="Calibri" w:cs="Calibri" w:eastAsia="Calibri"/>
          <w:b/>
          <w:i/>
          <w:color w:val="auto"/>
          <w:spacing w:val="0"/>
          <w:position w:val="0"/>
          <w:sz w:val="32"/>
          <w:shd w:fill="auto" w:val="clear"/>
        </w:rPr>
      </w:pPr>
    </w:p>
    <w:tbl>
      <w:tblPr/>
      <w:tblGrid>
        <w:gridCol w:w="2093"/>
        <w:gridCol w:w="3293"/>
        <w:gridCol w:w="2268"/>
        <w:gridCol w:w="2268"/>
      </w:tblGrid>
      <w:tr>
        <w:trPr>
          <w:trHeight w:val="480" w:hRule="auto"/>
          <w:jc w:val="center"/>
        </w:trPr>
        <w:tc>
          <w:tcPr>
            <w:tcW w:w="2093" w:type="dxa"/>
            <w:tcBorders>
              <w:top w:val="single" w:color="000000" w:sz="4"/>
              <w:left w:val="single" w:color="000000" w:sz="4"/>
              <w:bottom w:val="single" w:color="000000" w:sz="4"/>
              <w:right w:val="single" w:color="000000" w:sz="4"/>
            </w:tcBorders>
            <w:shd w:color="000000" w:fill="auto" w:val="clear"/>
            <w:tcMar>
              <w:left w:w="114" w:type="dxa"/>
              <w:right w:w="114" w:type="dxa"/>
            </w:tcMar>
            <w:vAlign w:val="top"/>
          </w:tcPr>
          <w:p>
            <w:pPr>
              <w:spacing w:before="120" w:after="120" w:line="24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Student name:</w:t>
            </w:r>
          </w:p>
        </w:tc>
        <w:tc>
          <w:tcPr>
            <w:tcW w:w="3293" w:type="dxa"/>
            <w:tcBorders>
              <w:top w:val="single" w:color="000000" w:sz="4"/>
              <w:left w:val="single" w:color="000000" w:sz="4"/>
              <w:bottom w:val="single" w:color="000000" w:sz="4"/>
              <w:right w:val="single" w:color="000000" w:sz="4"/>
            </w:tcBorders>
            <w:shd w:color="000000" w:fill="ffffff" w:val="clear"/>
            <w:tcMar>
              <w:left w:w="114" w:type="dxa"/>
              <w:right w:w="114" w:type="dxa"/>
            </w:tcMar>
            <w:vAlign w:val="top"/>
          </w:tcPr>
          <w:p>
            <w:pPr>
              <w:spacing w:before="120" w:after="120" w:line="24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     </w:t>
            </w:r>
            <w:r>
              <w:rPr>
                <w:rFonts w:ascii="Calibri" w:hAnsi="Calibri" w:cs="Calibri" w:eastAsia="Calibri"/>
                <w:b/>
                <w:color w:val="auto"/>
                <w:spacing w:val="0"/>
                <w:position w:val="0"/>
                <w:sz w:val="22"/>
                <w:shd w:fill="auto" w:val="clear"/>
              </w:rPr>
              <w:t xml:space="preserve">Elena Teodora Galban</w:t>
            </w:r>
          </w:p>
        </w:tc>
        <w:tc>
          <w:tcPr>
            <w:tcW w:w="2268" w:type="dxa"/>
            <w:tcBorders>
              <w:top w:val="single" w:color="000000" w:sz="4"/>
              <w:left w:val="single" w:color="000000" w:sz="4"/>
              <w:bottom w:val="single" w:color="000000" w:sz="4"/>
              <w:right w:val="single" w:color="000000" w:sz="4"/>
            </w:tcBorders>
            <w:shd w:color="000000" w:fill="d9d9d9" w:val="clear"/>
            <w:tcMar>
              <w:left w:w="114" w:type="dxa"/>
              <w:right w:w="114" w:type="dxa"/>
            </w:tcMar>
            <w:vAlign w:val="top"/>
          </w:tcPr>
          <w:p>
            <w:pPr>
              <w:spacing w:before="120" w:after="120" w:line="24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Student ID number:</w:t>
            </w:r>
          </w:p>
        </w:tc>
        <w:tc>
          <w:tcPr>
            <w:tcW w:w="2268" w:type="dxa"/>
            <w:tcBorders>
              <w:top w:val="single" w:color="000000" w:sz="4"/>
              <w:left w:val="single" w:color="000000" w:sz="4"/>
              <w:bottom w:val="single" w:color="000000" w:sz="4"/>
              <w:right w:val="single" w:color="000000" w:sz="4"/>
            </w:tcBorders>
            <w:shd w:color="000000" w:fill="ffffff" w:val="clear"/>
            <w:tcMar>
              <w:left w:w="114" w:type="dxa"/>
              <w:right w:w="114" w:type="dxa"/>
            </w:tcMar>
            <w:vAlign w:val="top"/>
          </w:tcPr>
          <w:p>
            <w:pPr>
              <w:spacing w:before="120" w:after="120" w:line="24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2209098</w:t>
            </w:r>
          </w:p>
        </w:tc>
      </w:tr>
      <w:tr>
        <w:trPr>
          <w:trHeight w:val="1" w:hRule="atLeast"/>
          <w:jc w:val="center"/>
        </w:trPr>
        <w:tc>
          <w:tcPr>
            <w:tcW w:w="2093" w:type="dxa"/>
            <w:tcBorders>
              <w:top w:val="single" w:color="000000" w:sz="4"/>
              <w:left w:val="single" w:color="000000" w:sz="4"/>
              <w:bottom w:val="single" w:color="000000" w:sz="4"/>
              <w:right w:val="single" w:color="000000" w:sz="4"/>
            </w:tcBorders>
            <w:shd w:color="000000" w:fill="auto" w:val="clear"/>
            <w:tcMar>
              <w:left w:w="114" w:type="dxa"/>
              <w:right w:w="114" w:type="dxa"/>
            </w:tcMar>
            <w:vAlign w:val="top"/>
          </w:tcPr>
          <w:p>
            <w:pPr>
              <w:spacing w:before="120" w:after="120" w:line="24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Programme:</w:t>
            </w:r>
          </w:p>
        </w:tc>
        <w:tc>
          <w:tcPr>
            <w:tcW w:w="7829" w:type="dxa"/>
            <w:gridSpan w:val="3"/>
            <w:tcBorders>
              <w:top w:val="single" w:color="000000" w:sz="4"/>
              <w:left w:val="single" w:color="000000" w:sz="4"/>
              <w:bottom w:val="single" w:color="000000" w:sz="4"/>
              <w:right w:val="single" w:color="000000" w:sz="4"/>
            </w:tcBorders>
            <w:shd w:color="000000" w:fill="ffffff" w:val="clear"/>
            <w:tcMar>
              <w:left w:w="114" w:type="dxa"/>
              <w:right w:w="114" w:type="dxa"/>
            </w:tcMar>
            <w:vAlign w:val="top"/>
          </w:tcPr>
          <w:p>
            <w:pPr>
              <w:spacing w:before="120" w:after="120" w:line="24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Policing</w:t>
            </w:r>
          </w:p>
        </w:tc>
      </w:tr>
      <w:tr>
        <w:trPr>
          <w:trHeight w:val="1" w:hRule="atLeast"/>
          <w:jc w:val="center"/>
        </w:trPr>
        <w:tc>
          <w:tcPr>
            <w:tcW w:w="2093" w:type="dxa"/>
            <w:tcBorders>
              <w:top w:val="single" w:color="000000" w:sz="4"/>
              <w:left w:val="single" w:color="000000" w:sz="4"/>
              <w:bottom w:val="single" w:color="000000" w:sz="4"/>
              <w:right w:val="single" w:color="000000" w:sz="4"/>
            </w:tcBorders>
            <w:shd w:color="000000" w:fill="auto" w:val="clear"/>
            <w:tcMar>
              <w:left w:w="114" w:type="dxa"/>
              <w:right w:w="114" w:type="dxa"/>
            </w:tcMar>
            <w:vAlign w:val="top"/>
          </w:tcPr>
          <w:p>
            <w:pPr>
              <w:spacing w:before="120" w:after="120" w:line="24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Module:</w:t>
            </w:r>
          </w:p>
        </w:tc>
        <w:tc>
          <w:tcPr>
            <w:tcW w:w="7829" w:type="dxa"/>
            <w:gridSpan w:val="3"/>
            <w:tcBorders>
              <w:top w:val="single" w:color="000000" w:sz="4"/>
              <w:left w:val="single" w:color="000000" w:sz="4"/>
              <w:bottom w:val="single" w:color="000000" w:sz="4"/>
              <w:right w:val="single" w:color="000000" w:sz="4"/>
            </w:tcBorders>
            <w:shd w:color="000000" w:fill="auto" w:val="clear"/>
            <w:tcMar>
              <w:left w:w="114" w:type="dxa"/>
              <w:right w:w="114" w:type="dxa"/>
            </w:tcMar>
            <w:vAlign w:val="top"/>
          </w:tcPr>
          <w:p>
            <w:pPr>
              <w:spacing w:before="120" w:after="120" w:line="240"/>
              <w:ind w:right="0" w:left="0" w:firstLine="0"/>
              <w:jc w:val="both"/>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Evidence Based Policing</w:t>
            </w:r>
          </w:p>
          <w:p>
            <w:pPr>
              <w:spacing w:before="120" w:after="120" w:line="240"/>
              <w:ind w:right="0" w:left="0" w:firstLine="0"/>
              <w:jc w:val="both"/>
              <w:rPr>
                <w:rFonts w:ascii="Calibri" w:hAnsi="Calibri" w:cs="Calibri" w:eastAsia="Calibri"/>
                <w:color w:val="auto"/>
                <w:spacing w:val="0"/>
                <w:position w:val="0"/>
                <w:sz w:val="22"/>
                <w:shd w:fill="auto" w:val="clear"/>
              </w:rPr>
            </w:pPr>
          </w:p>
        </w:tc>
      </w:tr>
      <w:tr>
        <w:trPr>
          <w:trHeight w:val="1" w:hRule="atLeast"/>
          <w:jc w:val="center"/>
        </w:trPr>
        <w:tc>
          <w:tcPr>
            <w:tcW w:w="2093" w:type="dxa"/>
            <w:tcBorders>
              <w:top w:val="single" w:color="000000" w:sz="4"/>
              <w:left w:val="single" w:color="000000" w:sz="4"/>
              <w:bottom w:val="single" w:color="000000" w:sz="4"/>
              <w:right w:val="single" w:color="000000" w:sz="4"/>
            </w:tcBorders>
            <w:shd w:color="000000" w:fill="auto" w:val="clear"/>
            <w:tcMar>
              <w:left w:w="114" w:type="dxa"/>
              <w:right w:w="114" w:type="dxa"/>
            </w:tcMar>
            <w:vAlign w:val="top"/>
          </w:tcPr>
          <w:p>
            <w:pPr>
              <w:spacing w:before="120" w:after="120" w:line="24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Module code:</w:t>
            </w:r>
          </w:p>
        </w:tc>
        <w:tc>
          <w:tcPr>
            <w:tcW w:w="3293" w:type="dxa"/>
            <w:tcBorders>
              <w:top w:val="single" w:color="000000" w:sz="4"/>
              <w:left w:val="single" w:color="000000" w:sz="4"/>
              <w:bottom w:val="single" w:color="000000" w:sz="4"/>
              <w:right w:val="single" w:color="000000" w:sz="4"/>
            </w:tcBorders>
            <w:shd w:color="000000" w:fill="ffffff" w:val="clear"/>
            <w:tcMar>
              <w:left w:w="114" w:type="dxa"/>
              <w:right w:w="114" w:type="dxa"/>
            </w:tcMar>
            <w:vAlign w:val="top"/>
          </w:tcPr>
          <w:p>
            <w:pPr>
              <w:spacing w:before="120" w:after="120" w:line="24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BMPL 4001</w:t>
            </w:r>
          </w:p>
        </w:tc>
        <w:tc>
          <w:tcPr>
            <w:tcW w:w="2268" w:type="dxa"/>
            <w:tcBorders>
              <w:top w:val="single" w:color="000000" w:sz="4"/>
              <w:left w:val="single" w:color="000000" w:sz="4"/>
              <w:bottom w:val="single" w:color="000000" w:sz="4"/>
              <w:right w:val="single" w:color="000000" w:sz="4"/>
            </w:tcBorders>
            <w:shd w:color="000000" w:fill="d9d9d9" w:val="clear"/>
            <w:tcMar>
              <w:left w:w="114" w:type="dxa"/>
              <w:right w:w="114" w:type="dxa"/>
            </w:tcMar>
            <w:vAlign w:val="top"/>
          </w:tcPr>
          <w:p>
            <w:pPr>
              <w:keepNext w:val="true"/>
              <w:keepLines w:val="true"/>
              <w:spacing w:before="40" w:after="0" w:line="24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Contribution to Overall Module Assessment (%):</w:t>
            </w:r>
          </w:p>
        </w:tc>
        <w:tc>
          <w:tcPr>
            <w:tcW w:w="2268" w:type="dxa"/>
            <w:tcBorders>
              <w:top w:val="single" w:color="000000" w:sz="4"/>
              <w:left w:val="single" w:color="000000" w:sz="4"/>
              <w:bottom w:val="single" w:color="000000" w:sz="4"/>
              <w:right w:val="single" w:color="000000" w:sz="4"/>
            </w:tcBorders>
            <w:shd w:color="000000" w:fill="ffffff" w:val="clear"/>
            <w:tcMar>
              <w:left w:w="114" w:type="dxa"/>
              <w:right w:w="114" w:type="dxa"/>
            </w:tcMar>
            <w:vAlign w:val="top"/>
          </w:tcPr>
          <w:p>
            <w:pPr>
              <w:spacing w:before="120" w:after="120" w:line="24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50%</w:t>
            </w:r>
          </w:p>
        </w:tc>
      </w:tr>
      <w:tr>
        <w:trPr>
          <w:trHeight w:val="1" w:hRule="atLeast"/>
          <w:jc w:val="center"/>
        </w:trPr>
        <w:tc>
          <w:tcPr>
            <w:tcW w:w="2093" w:type="dxa"/>
            <w:tcBorders>
              <w:top w:val="single" w:color="000000" w:sz="4"/>
              <w:left w:val="single" w:color="000000" w:sz="4"/>
              <w:bottom w:val="single" w:color="000000" w:sz="4"/>
              <w:right w:val="single" w:color="000000" w:sz="4"/>
            </w:tcBorders>
            <w:shd w:color="000000" w:fill="auto" w:val="clear"/>
            <w:tcMar>
              <w:left w:w="114" w:type="dxa"/>
              <w:right w:w="114" w:type="dxa"/>
            </w:tcMar>
            <w:vAlign w:val="top"/>
          </w:tcPr>
          <w:p>
            <w:pPr>
              <w:spacing w:before="120" w:after="120" w:line="24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Lecturer:</w:t>
            </w:r>
          </w:p>
        </w:tc>
        <w:tc>
          <w:tcPr>
            <w:tcW w:w="3293" w:type="dxa"/>
            <w:tcBorders>
              <w:top w:val="single" w:color="000000" w:sz="4"/>
              <w:left w:val="single" w:color="000000" w:sz="4"/>
              <w:bottom w:val="single" w:color="000000" w:sz="4"/>
              <w:right w:val="single" w:color="000000" w:sz="4"/>
            </w:tcBorders>
            <w:shd w:color="000000" w:fill="ffffff" w:val="clear"/>
            <w:tcMar>
              <w:left w:w="114" w:type="dxa"/>
              <w:right w:w="114" w:type="dxa"/>
            </w:tcMar>
            <w:vAlign w:val="top"/>
          </w:tcPr>
          <w:p>
            <w:pPr>
              <w:spacing w:before="120" w:after="120" w:line="24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Luke Roach</w:t>
            </w:r>
          </w:p>
        </w:tc>
        <w:tc>
          <w:tcPr>
            <w:tcW w:w="2268" w:type="dxa"/>
            <w:tcBorders>
              <w:top w:val="single" w:color="000000" w:sz="4"/>
              <w:left w:val="single" w:color="000000" w:sz="4"/>
              <w:bottom w:val="single" w:color="000000" w:sz="4"/>
              <w:right w:val="single" w:color="000000" w:sz="4"/>
            </w:tcBorders>
            <w:shd w:color="000000" w:fill="d9d9d9" w:val="clear"/>
            <w:tcMar>
              <w:left w:w="114" w:type="dxa"/>
              <w:right w:w="114" w:type="dxa"/>
            </w:tcMar>
            <w:vAlign w:val="top"/>
          </w:tcPr>
          <w:p>
            <w:pPr>
              <w:spacing w:before="120" w:after="120" w:line="24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Internal Verifier:</w:t>
            </w:r>
          </w:p>
        </w:tc>
        <w:tc>
          <w:tcPr>
            <w:tcW w:w="2268" w:type="dxa"/>
            <w:tcBorders>
              <w:top w:val="single" w:color="000000" w:sz="4"/>
              <w:left w:val="single" w:color="000000" w:sz="4"/>
              <w:bottom w:val="single" w:color="000000" w:sz="4"/>
              <w:right w:val="single" w:color="000000" w:sz="4"/>
            </w:tcBorders>
            <w:shd w:color="000000" w:fill="ffffff" w:val="clear"/>
            <w:tcMar>
              <w:left w:w="114" w:type="dxa"/>
              <w:right w:w="114" w:type="dxa"/>
            </w:tcMar>
            <w:vAlign w:val="top"/>
          </w:tcPr>
          <w:p>
            <w:pPr>
              <w:spacing w:before="120" w:after="120" w:line="24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Jane Thomas</w:t>
            </w:r>
          </w:p>
        </w:tc>
      </w:tr>
      <w:tr>
        <w:trPr>
          <w:trHeight w:val="1" w:hRule="atLeast"/>
          <w:jc w:val="center"/>
        </w:trPr>
        <w:tc>
          <w:tcPr>
            <w:tcW w:w="2093" w:type="dxa"/>
            <w:tcBorders>
              <w:top w:val="single" w:color="000000" w:sz="4"/>
              <w:left w:val="single" w:color="000000" w:sz="4"/>
              <w:bottom w:val="single" w:color="000000" w:sz="4"/>
              <w:right w:val="single" w:color="000000" w:sz="4"/>
            </w:tcBorders>
            <w:shd w:color="000000" w:fill="auto" w:val="clear"/>
            <w:tcMar>
              <w:left w:w="114" w:type="dxa"/>
              <w:right w:w="114" w:type="dxa"/>
            </w:tcMar>
            <w:vAlign w:val="top"/>
          </w:tcPr>
          <w:p>
            <w:pPr>
              <w:spacing w:before="120" w:after="120" w:line="24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Assignment Title:</w:t>
            </w:r>
          </w:p>
        </w:tc>
        <w:tc>
          <w:tcPr>
            <w:tcW w:w="3293" w:type="dxa"/>
            <w:tcBorders>
              <w:top w:val="single" w:color="000000" w:sz="4"/>
              <w:left w:val="single" w:color="000000" w:sz="4"/>
              <w:bottom w:val="single" w:color="000000" w:sz="4"/>
              <w:right w:val="single" w:color="000000" w:sz="4"/>
            </w:tcBorders>
            <w:shd w:color="000000" w:fill="ffffff" w:val="clear"/>
            <w:tcMar>
              <w:left w:w="114" w:type="dxa"/>
              <w:right w:w="114" w:type="dxa"/>
            </w:tcMar>
            <w:vAlign w:val="top"/>
          </w:tcPr>
          <w:p>
            <w:pPr>
              <w:spacing w:before="120" w:after="120" w:line="24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Evidence Based Policing &amp; Applications</w:t>
            </w:r>
          </w:p>
        </w:tc>
        <w:tc>
          <w:tcPr>
            <w:tcW w:w="2268" w:type="dxa"/>
            <w:tcBorders>
              <w:top w:val="single" w:color="000000" w:sz="4"/>
              <w:left w:val="single" w:color="000000" w:sz="4"/>
              <w:bottom w:val="single" w:color="000000" w:sz="4"/>
              <w:right w:val="single" w:color="000000" w:sz="4"/>
            </w:tcBorders>
            <w:shd w:color="000000" w:fill="auto" w:val="clear"/>
            <w:tcMar>
              <w:left w:w="114" w:type="dxa"/>
              <w:right w:w="114" w:type="dxa"/>
            </w:tcMar>
            <w:vAlign w:val="top"/>
          </w:tcPr>
          <w:p>
            <w:pPr>
              <w:spacing w:before="120" w:after="120" w:line="24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Word count (or equivalent):</w:t>
            </w:r>
          </w:p>
        </w:tc>
        <w:tc>
          <w:tcPr>
            <w:tcW w:w="2268" w:type="dxa"/>
            <w:tcBorders>
              <w:top w:val="single" w:color="000000" w:sz="4"/>
              <w:left w:val="single" w:color="000000" w:sz="4"/>
              <w:bottom w:val="single" w:color="000000" w:sz="4"/>
              <w:right w:val="single" w:color="000000" w:sz="4"/>
            </w:tcBorders>
            <w:shd w:color="000000" w:fill="ffffff" w:val="clear"/>
            <w:tcMar>
              <w:left w:w="114" w:type="dxa"/>
              <w:right w:w="114" w:type="dxa"/>
            </w:tcMar>
            <w:vAlign w:val="top"/>
          </w:tcPr>
          <w:p>
            <w:pPr>
              <w:spacing w:before="120" w:after="120" w:line="24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2000</w:t>
            </w:r>
          </w:p>
        </w:tc>
      </w:tr>
      <w:tr>
        <w:trPr>
          <w:trHeight w:val="1" w:hRule="atLeast"/>
          <w:jc w:val="center"/>
        </w:trPr>
        <w:tc>
          <w:tcPr>
            <w:tcW w:w="2093" w:type="dxa"/>
            <w:tcBorders>
              <w:top w:val="single" w:color="000000" w:sz="4"/>
              <w:left w:val="single" w:color="000000" w:sz="4"/>
              <w:bottom w:val="single" w:color="000000" w:sz="4"/>
              <w:right w:val="single" w:color="000000" w:sz="4"/>
            </w:tcBorders>
            <w:shd w:color="000000" w:fill="auto" w:val="clear"/>
            <w:tcMar>
              <w:left w:w="114" w:type="dxa"/>
              <w:right w:w="114" w:type="dxa"/>
            </w:tcMar>
            <w:vAlign w:val="top"/>
          </w:tcPr>
          <w:p>
            <w:pPr>
              <w:spacing w:before="120" w:after="120" w:line="24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Submission deadline:</w:t>
            </w:r>
          </w:p>
        </w:tc>
        <w:tc>
          <w:tcPr>
            <w:tcW w:w="3293" w:type="dxa"/>
            <w:tcBorders>
              <w:top w:val="single" w:color="000000" w:sz="4"/>
              <w:left w:val="single" w:color="000000" w:sz="4"/>
              <w:bottom w:val="single" w:color="000000" w:sz="4"/>
              <w:right w:val="single" w:color="000000" w:sz="4"/>
            </w:tcBorders>
            <w:shd w:color="000000" w:fill="auto" w:val="clear"/>
            <w:tcMar>
              <w:left w:w="114" w:type="dxa"/>
              <w:right w:w="114" w:type="dxa"/>
            </w:tcMar>
            <w:vAlign w:val="top"/>
          </w:tcPr>
          <w:p>
            <w:pPr>
              <w:spacing w:before="120" w:after="120" w:line="24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23:59 Friday 5</w:t>
            </w:r>
            <w:r>
              <w:rPr>
                <w:rFonts w:ascii="Calibri" w:hAnsi="Calibri" w:cs="Calibri" w:eastAsia="Calibri"/>
                <w:b/>
                <w:color w:val="auto"/>
                <w:spacing w:val="0"/>
                <w:position w:val="0"/>
                <w:sz w:val="22"/>
                <w:shd w:fill="auto" w:val="clear"/>
                <w:vertAlign w:val="superscript"/>
              </w:rPr>
              <w:t xml:space="preserve">th</w:t>
            </w:r>
            <w:r>
              <w:rPr>
                <w:rFonts w:ascii="Calibri" w:hAnsi="Calibri" w:cs="Calibri" w:eastAsia="Calibri"/>
                <w:b/>
                <w:color w:val="auto"/>
                <w:spacing w:val="0"/>
                <w:position w:val="0"/>
                <w:sz w:val="22"/>
                <w:shd w:fill="auto" w:val="clear"/>
              </w:rPr>
              <w:t xml:space="preserve"> May 2023</w:t>
            </w:r>
          </w:p>
        </w:tc>
        <w:tc>
          <w:tcPr>
            <w:tcW w:w="2268" w:type="dxa"/>
            <w:tcBorders>
              <w:top w:val="single" w:color="000000" w:sz="4"/>
              <w:left w:val="single" w:color="000000" w:sz="4"/>
              <w:bottom w:val="single" w:color="000000" w:sz="4"/>
              <w:right w:val="single" w:color="000000" w:sz="4"/>
            </w:tcBorders>
            <w:shd w:color="000000" w:fill="auto" w:val="clear"/>
            <w:tcMar>
              <w:left w:w="114" w:type="dxa"/>
              <w:right w:w="114" w:type="dxa"/>
            </w:tcMar>
            <w:vAlign w:val="top"/>
          </w:tcPr>
          <w:p>
            <w:pPr>
              <w:spacing w:before="120" w:after="120" w:line="24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Return date of provisional marks &amp; written feedback:</w:t>
            </w:r>
          </w:p>
        </w:tc>
        <w:tc>
          <w:tcPr>
            <w:tcW w:w="2268" w:type="dxa"/>
            <w:tcBorders>
              <w:top w:val="single" w:color="000000" w:sz="4"/>
              <w:left w:val="single" w:color="000000" w:sz="4"/>
              <w:bottom w:val="single" w:color="000000" w:sz="4"/>
              <w:right w:val="single" w:color="000000" w:sz="4"/>
            </w:tcBorders>
            <w:shd w:color="000000" w:fill="ffffff" w:val="clear"/>
            <w:tcMar>
              <w:left w:w="114" w:type="dxa"/>
              <w:right w:w="114" w:type="dxa"/>
            </w:tcMar>
            <w:vAlign w:val="top"/>
          </w:tcPr>
          <w:p>
            <w:pPr>
              <w:spacing w:before="120" w:after="120" w:line="259"/>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09:00 5</w:t>
            </w:r>
            <w:r>
              <w:rPr>
                <w:rFonts w:ascii="Calibri" w:hAnsi="Calibri" w:cs="Calibri" w:eastAsia="Calibri"/>
                <w:b/>
                <w:color w:val="auto"/>
                <w:spacing w:val="0"/>
                <w:position w:val="0"/>
                <w:sz w:val="22"/>
                <w:shd w:fill="auto" w:val="clear"/>
                <w:vertAlign w:val="superscript"/>
              </w:rPr>
              <w:t xml:space="preserve">th</w:t>
            </w:r>
            <w:r>
              <w:rPr>
                <w:rFonts w:ascii="Calibri" w:hAnsi="Calibri" w:cs="Calibri" w:eastAsia="Calibri"/>
                <w:b/>
                <w:color w:val="auto"/>
                <w:spacing w:val="0"/>
                <w:position w:val="0"/>
                <w:sz w:val="22"/>
                <w:shd w:fill="auto" w:val="clear"/>
              </w:rPr>
              <w:t xml:space="preserve"> June 2023</w:t>
            </w:r>
          </w:p>
        </w:tc>
      </w:tr>
      <w:tr>
        <w:trPr>
          <w:trHeight w:val="1" w:hRule="atLeast"/>
          <w:jc w:val="center"/>
        </w:trPr>
        <w:tc>
          <w:tcPr>
            <w:tcW w:w="2093" w:type="dxa"/>
            <w:tcBorders>
              <w:top w:val="single" w:color="000000" w:sz="4"/>
              <w:left w:val="single" w:color="000000" w:sz="4"/>
              <w:bottom w:val="single" w:color="000000" w:sz="4"/>
              <w:right w:val="single" w:color="000000" w:sz="4"/>
            </w:tcBorders>
            <w:shd w:color="000000" w:fill="auto" w:val="clear"/>
            <w:tcMar>
              <w:left w:w="114" w:type="dxa"/>
              <w:right w:w="114" w:type="dxa"/>
            </w:tcMar>
            <w:vAlign w:val="top"/>
          </w:tcPr>
          <w:p>
            <w:pPr>
              <w:spacing w:before="120" w:after="120" w:line="24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Submission method:</w:t>
            </w:r>
          </w:p>
        </w:tc>
        <w:tc>
          <w:tcPr>
            <w:tcW w:w="7829" w:type="dxa"/>
            <w:gridSpan w:val="3"/>
            <w:tcBorders>
              <w:top w:val="single" w:color="000000" w:sz="4"/>
              <w:left w:val="single" w:color="000000" w:sz="4"/>
              <w:bottom w:val="single" w:color="000000" w:sz="4"/>
              <w:right w:val="single" w:color="000000" w:sz="4"/>
            </w:tcBorders>
            <w:shd w:color="000000" w:fill="auto" w:val="clear"/>
            <w:tcMar>
              <w:left w:w="114" w:type="dxa"/>
              <w:right w:w="114"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w:t>
            </w:r>
          </w:p>
          <w:p>
            <w:pPr>
              <w:spacing w:before="120" w:after="120" w:line="240"/>
              <w:ind w:right="0" w:left="0" w:firstLine="0"/>
              <w:jc w:val="both"/>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Alternative submission method (if applicable): </w:t>
            </w:r>
          </w:p>
          <w:p>
            <w:pPr>
              <w:spacing w:before="120" w:after="120" w:line="24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Late submission of the assessment will result in a late penalty mark.  </w:t>
            </w:r>
            <w:r>
              <w:rPr>
                <w:rFonts w:ascii="Calibri" w:hAnsi="Calibri" w:cs="Calibri" w:eastAsia="Calibri"/>
                <w:color w:val="auto"/>
                <w:spacing w:val="0"/>
                <w:position w:val="0"/>
                <w:sz w:val="22"/>
                <w:shd w:fill="auto" w:val="clear"/>
              </w:rPr>
              <w:t xml:space="preserve">Penalties for late submission: Up to one week late, maximum mark of 40%.  Over one week late, 0%.  Only the Extenuating Circumstances Panel may approve a change to submission dates.</w:t>
            </w:r>
          </w:p>
        </w:tc>
      </w:tr>
      <w:tr>
        <w:trPr>
          <w:trHeight w:val="1" w:hRule="atLeast"/>
          <w:jc w:val="center"/>
        </w:trPr>
        <w:tc>
          <w:tcPr>
            <w:tcW w:w="2093" w:type="dxa"/>
            <w:tcBorders>
              <w:top w:val="single" w:color="000000" w:sz="4"/>
              <w:left w:val="single" w:color="000000" w:sz="4"/>
              <w:bottom w:val="single" w:color="000000" w:sz="4"/>
              <w:right w:val="single" w:color="000000" w:sz="4"/>
            </w:tcBorders>
            <w:shd w:color="000000" w:fill="auto" w:val="clear"/>
            <w:tcMar>
              <w:left w:w="114" w:type="dxa"/>
              <w:right w:w="114" w:type="dxa"/>
            </w:tcMar>
            <w:vAlign w:val="top"/>
          </w:tcPr>
          <w:p>
            <w:pPr>
              <w:spacing w:before="120" w:after="120" w:line="24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Academic honesty / referencing:</w:t>
            </w:r>
          </w:p>
        </w:tc>
        <w:tc>
          <w:tcPr>
            <w:tcW w:w="7829" w:type="dxa"/>
            <w:gridSpan w:val="3"/>
            <w:tcBorders>
              <w:top w:val="single" w:color="000000" w:sz="4"/>
              <w:left w:val="single" w:color="000000" w:sz="4"/>
              <w:bottom w:val="single" w:color="000000" w:sz="4"/>
              <w:right w:val="single" w:color="000000" w:sz="4"/>
            </w:tcBorders>
            <w:shd w:color="000000" w:fill="auto" w:val="clear"/>
            <w:tcMar>
              <w:left w:w="114" w:type="dxa"/>
              <w:right w:w="114" w:type="dxa"/>
            </w:tcMar>
            <w:vAlign w:val="top"/>
          </w:tcPr>
          <w:p>
            <w:pPr>
              <w:spacing w:before="120" w:after="120" w:line="24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pPr>
        <w:spacing w:before="0" w:after="0" w:line="360"/>
        <w:ind w:right="0" w:left="0" w:firstLine="0"/>
        <w:jc w:val="center"/>
        <w:rPr>
          <w:rFonts w:ascii="Calibri" w:hAnsi="Calibri" w:cs="Calibri" w:eastAsia="Calibri"/>
          <w:b/>
          <w:color w:val="auto"/>
          <w:spacing w:val="0"/>
          <w:position w:val="0"/>
          <w:sz w:val="36"/>
          <w:u w:val="single"/>
          <w:shd w:fill="auto" w:val="clear"/>
        </w:rPr>
      </w:pPr>
    </w:p>
    <w:p>
      <w:pPr>
        <w:spacing w:before="0" w:after="0" w:line="360"/>
        <w:ind w:right="0" w:left="0" w:firstLine="0"/>
        <w:jc w:val="center"/>
        <w:rPr>
          <w:rFonts w:ascii="Calibri" w:hAnsi="Calibri" w:cs="Calibri" w:eastAsia="Calibri"/>
          <w:b/>
          <w:color w:val="auto"/>
          <w:spacing w:val="0"/>
          <w:position w:val="0"/>
          <w:sz w:val="36"/>
          <w:u w:val="single"/>
          <w:shd w:fill="auto" w:val="clear"/>
        </w:rPr>
      </w:pPr>
    </w:p>
    <w:p>
      <w:pPr>
        <w:spacing w:before="0" w:after="0" w:line="360"/>
        <w:ind w:right="0" w:left="0" w:firstLine="0"/>
        <w:jc w:val="center"/>
        <w:rPr>
          <w:rFonts w:ascii="Calibri" w:hAnsi="Calibri" w:cs="Calibri" w:eastAsia="Calibri"/>
          <w:b/>
          <w:color w:val="auto"/>
          <w:spacing w:val="0"/>
          <w:position w:val="0"/>
          <w:sz w:val="36"/>
          <w:u w:val="single"/>
          <w:shd w:fill="auto" w:val="clear"/>
        </w:rPr>
      </w:pPr>
    </w:p>
    <w:p>
      <w:pPr>
        <w:spacing w:before="0" w:after="0" w:line="360"/>
        <w:ind w:right="0" w:left="0" w:firstLine="0"/>
        <w:jc w:val="center"/>
        <w:rPr>
          <w:rFonts w:ascii="Calibri" w:hAnsi="Calibri" w:cs="Calibri" w:eastAsia="Calibri"/>
          <w:b/>
          <w:color w:val="auto"/>
          <w:spacing w:val="0"/>
          <w:position w:val="0"/>
          <w:sz w:val="36"/>
          <w:u w:val="single"/>
          <w:shd w:fill="auto" w:val="clear"/>
        </w:rPr>
      </w:pPr>
    </w:p>
    <w:p>
      <w:pPr>
        <w:spacing w:before="0" w:after="0" w:line="360"/>
        <w:ind w:right="0" w:left="0" w:firstLine="0"/>
        <w:jc w:val="center"/>
        <w:rPr>
          <w:rFonts w:ascii="Calibri" w:hAnsi="Calibri" w:cs="Calibri" w:eastAsia="Calibri"/>
          <w:b/>
          <w:color w:val="auto"/>
          <w:spacing w:val="0"/>
          <w:position w:val="0"/>
          <w:sz w:val="36"/>
          <w:u w:val="single"/>
          <w:shd w:fill="auto" w:val="clear"/>
        </w:rPr>
      </w:pPr>
    </w:p>
    <w:p>
      <w:pPr>
        <w:spacing w:before="0" w:after="160" w:line="259"/>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160" w:line="259"/>
        <w:ind w:right="0" w:left="0" w:firstLine="0"/>
        <w:jc w:val="both"/>
        <w:rPr>
          <w:rFonts w:ascii="Calibri" w:hAnsi="Calibri" w:cs="Calibri" w:eastAsia="Calibri"/>
          <w:b/>
          <w:color w:val="auto"/>
          <w:spacing w:val="0"/>
          <w:position w:val="0"/>
          <w:sz w:val="36"/>
          <w:u w:val="single"/>
          <w:shd w:fill="auto" w:val="clear"/>
        </w:rPr>
      </w:pPr>
    </w:p>
    <w:p>
      <w:pPr>
        <w:keepNext w:val="true"/>
        <w:keepLines w:val="true"/>
        <w:spacing w:before="240" w:after="0" w:line="360"/>
        <w:ind w:right="0" w:left="0" w:firstLine="0"/>
        <w:jc w:val="center"/>
        <w:rPr>
          <w:rFonts w:ascii="Times New Roman" w:hAnsi="Times New Roman" w:cs="Times New Roman" w:eastAsia="Times New Roman"/>
          <w:b/>
          <w:color w:val="000000"/>
          <w:spacing w:val="0"/>
          <w:position w:val="0"/>
          <w:sz w:val="32"/>
          <w:u w:val="single"/>
          <w:shd w:fill="auto" w:val="clear"/>
        </w:rPr>
      </w:pPr>
      <w:r>
        <w:rPr>
          <w:rFonts w:ascii="Times New Roman" w:hAnsi="Times New Roman" w:cs="Times New Roman" w:eastAsia="Times New Roman"/>
          <w:b/>
          <w:color w:val="000000"/>
          <w:spacing w:val="0"/>
          <w:position w:val="0"/>
          <w:sz w:val="32"/>
          <w:u w:val="single"/>
          <w:shd w:fill="auto" w:val="clear"/>
        </w:rPr>
        <w:t xml:space="preserve">Table of Contents</w:t>
      </w:r>
    </w:p>
    <w:p>
      <w:pPr>
        <w:spacing w:before="0" w:after="160" w:line="259"/>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160" w:line="259"/>
        <w:ind w:right="0" w:left="0" w:firstLine="0"/>
        <w:jc w:val="both"/>
        <w:rPr>
          <w:rFonts w:ascii="Calibri" w:hAnsi="Calibri" w:cs="Calibri" w:eastAsia="Calibri"/>
          <w:color w:val="auto"/>
          <w:spacing w:val="0"/>
          <w:position w:val="0"/>
          <w:sz w:val="24"/>
          <w:shd w:fill="auto" w:val="clear"/>
        </w:rPr>
      </w:pPr>
    </w:p>
    <w:p>
      <w:pPr>
        <w:keepNext w:val="true"/>
        <w:keepLines w:val="true"/>
        <w:spacing w:before="240" w:after="0" w:line="240"/>
        <w:ind w:right="0" w:left="0" w:firstLine="0"/>
        <w:jc w:val="both"/>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Introduction </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police system of the United Kingdom is an integral part of the criminal justice system of the United Kingdom. The policing system has the responsibility to investigate a criminal case with the use of all possible resources and techniques. Evidence-based policing has also the same bases which suggests to use of the best available evidence in the policing technique. It is an approach through which policies are prepared and tactical decisions are made by the police departments in the United Kingdom and it roots in the concept of evidence-based practices in the police department. In this essay, the concept of evidence-based policing and the use of body-worn cameras in the collection of evidence by the law enforcement agency will be assessed.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160" w:line="259"/>
        <w:ind w:right="0" w:left="0" w:firstLine="0"/>
        <w:jc w:val="left"/>
        <w:rPr>
          <w:rFonts w:ascii="Calibri" w:hAnsi="Calibri" w:cs="Calibri" w:eastAsia="Calibri"/>
          <w:color w:val="auto"/>
          <w:spacing w:val="0"/>
          <w:position w:val="0"/>
          <w:sz w:val="24"/>
          <w:shd w:fill="auto" w:val="clear"/>
        </w:rPr>
      </w:pPr>
    </w:p>
    <w:p>
      <w:pPr>
        <w:keepNext w:val="true"/>
        <w:keepLines w:val="true"/>
        <w:spacing w:before="240" w:after="0" w:line="240"/>
        <w:ind w:right="0" w:left="0" w:firstLine="0"/>
        <w:jc w:val="both"/>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Main Body</w:t>
      </w:r>
    </w:p>
    <w:p>
      <w:pPr>
        <w:spacing w:before="0" w:after="0" w:line="360"/>
        <w:ind w:right="0" w:left="0" w:firstLine="0"/>
        <w:jc w:val="both"/>
        <w:rPr>
          <w:rFonts w:ascii="Calibri" w:hAnsi="Calibri" w:cs="Calibri" w:eastAsia="Calibri"/>
          <w:color w:val="auto"/>
          <w:spacing w:val="0"/>
          <w:position w:val="0"/>
          <w:sz w:val="24"/>
          <w:shd w:fill="auto" w:val="clear"/>
        </w:rPr>
      </w:pPr>
    </w:p>
    <w:p>
      <w:pPr>
        <w:spacing w:before="0" w:after="0" w:line="360"/>
        <w:ind w:right="0" w:left="0" w:firstLine="0"/>
        <w:jc w:val="both"/>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The Concept of Evidence-Based Policing</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Evidence-based policing (EBP) means the best available evidence which is used to challenge the policies of the police along with information, decisions, and practices by the policing system. The approach of evidence-based policing can be used by everyone in the police department to promote better practices in the police department. This practice can be supported and promoted by collaboration with academics and other partners. The police organization along with its leaders at all levels has the responsibility of preparing the police workforce for the future while understanding the possible effects of developments and changes in the society on the policing system. The police system finds it interesting to concentrate on the present problems for policing, but it is crucial for police leaders to face the challenges that may arise in the future and prepare strategies to deal with such challenges. The police department must prepare the organization to succeed in the conditions and requirements of future changes (</w:t>
      </w:r>
      <w:r>
        <w:rPr>
          <w:rFonts w:ascii="Calibri" w:hAnsi="Calibri" w:cs="Calibri" w:eastAsia="Calibri"/>
          <w:color w:val="auto"/>
          <w:spacing w:val="0"/>
          <w:position w:val="0"/>
          <w:sz w:val="24"/>
          <w:shd w:fill="FFFFFF" w:val="clear"/>
        </w:rPr>
        <w:t xml:space="preserve">Fox and Morris, 2021</w:t>
      </w:r>
      <w:r>
        <w:rPr>
          <w:rFonts w:ascii="Calibri" w:hAnsi="Calibri" w:cs="Calibri" w:eastAsia="Calibri"/>
          <w:color w:val="auto"/>
          <w:spacing w:val="0"/>
          <w:position w:val="0"/>
          <w:sz w:val="24"/>
          <w:shd w:fill="auto" w:val="clear"/>
        </w:rPr>
        <w:t xml:space="preserve">). </w:t>
      </w:r>
    </w:p>
    <w:p>
      <w:pPr>
        <w:spacing w:before="0" w:after="0" w:line="360"/>
        <w:ind w:right="0" w:left="0" w:firstLine="0"/>
        <w:jc w:val="both"/>
        <w:rPr>
          <w:rFonts w:ascii="Calibri" w:hAnsi="Calibri" w:cs="Calibri" w:eastAsia="Calibri"/>
          <w:color w:val="auto"/>
          <w:spacing w:val="0"/>
          <w:position w:val="0"/>
          <w:sz w:val="24"/>
          <w:shd w:fill="auto" w:val="clear"/>
        </w:rPr>
      </w:pP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To deal with future challenges and meet future requirements, the police department needs to be well aware of the knowledge, skills, behavior, and understanding combined with appropriate resources so that the department can guide the police force appropriately in the future. The evidence-based policing prepares the police force for future endeavors and therefore the leaders in the police department must prepare themselves for advocating good practices and serving the communities while protecting their integrity at the same time. The future challenges for the police department and the partners working in the Criminal Justice System are increasing at an extensive rate. This will result in the need for more informed and adaptive approaches which have to be sufficient enough to mix improved technical skills with interpersonal skills such as creativity, collaboration, and empathy.  </w:t>
      </w:r>
    </w:p>
    <w:p>
      <w:pPr>
        <w:spacing w:before="0" w:after="0" w:line="360"/>
        <w:ind w:right="0" w:left="0" w:firstLine="0"/>
        <w:jc w:val="both"/>
        <w:rPr>
          <w:rFonts w:ascii="Calibri" w:hAnsi="Calibri" w:cs="Calibri" w:eastAsia="Calibri"/>
          <w:color w:val="auto"/>
          <w:spacing w:val="0"/>
          <w:position w:val="0"/>
          <w:sz w:val="24"/>
          <w:shd w:fill="auto" w:val="clear"/>
        </w:rPr>
      </w:pP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current structure which is being followed by the police department is modeled with major inspiration from the early period of industrial development which is vertical, and hierarchical and follows the bureaucratic methods of dealing with the issues and the cases. The current practices of the police department can hinder the efficacy of the department to deal with the challenges and threats. The evidence-based policing of the United Kingdom is the most suitable aspect of the criminal justice system as it prepares the police departments as well as the criminal justice system to deal with the problems of crime (</w:t>
      </w:r>
      <w:r>
        <w:rPr>
          <w:rFonts w:ascii="Calibri" w:hAnsi="Calibri" w:cs="Calibri" w:eastAsia="Calibri"/>
          <w:color w:val="auto"/>
          <w:spacing w:val="0"/>
          <w:position w:val="0"/>
          <w:sz w:val="24"/>
          <w:shd w:fill="FFFFFF" w:val="clear"/>
        </w:rPr>
        <w:t xml:space="preserve">Stott </w:t>
      </w:r>
      <w:r>
        <w:rPr>
          <w:rFonts w:ascii="Calibri" w:hAnsi="Calibri" w:cs="Calibri" w:eastAsia="Calibri"/>
          <w:i/>
          <w:color w:val="auto"/>
          <w:spacing w:val="0"/>
          <w:position w:val="0"/>
          <w:sz w:val="24"/>
          <w:shd w:fill="FFFFFF" w:val="clear"/>
        </w:rPr>
        <w:t xml:space="preserve">et al., </w:t>
      </w:r>
      <w:r>
        <w:rPr>
          <w:rFonts w:ascii="Calibri" w:hAnsi="Calibri" w:cs="Calibri" w:eastAsia="Calibri"/>
          <w:color w:val="auto"/>
          <w:spacing w:val="0"/>
          <w:position w:val="0"/>
          <w:sz w:val="24"/>
          <w:shd w:fill="FFFFFF" w:val="clear"/>
        </w:rPr>
        <w:t xml:space="preserve">2020</w:t>
      </w:r>
      <w:r>
        <w:rPr>
          <w:rFonts w:ascii="Calibri" w:hAnsi="Calibri" w:cs="Calibri" w:eastAsia="Calibri"/>
          <w:color w:val="auto"/>
          <w:spacing w:val="0"/>
          <w:position w:val="0"/>
          <w:sz w:val="24"/>
          <w:shd w:fill="auto" w:val="clear"/>
        </w:rPr>
        <w:t xml:space="preserve">). </w:t>
      </w:r>
    </w:p>
    <w:p>
      <w:pPr>
        <w:spacing w:before="0" w:after="0" w:line="360"/>
        <w:ind w:right="0" w:left="0" w:firstLine="0"/>
        <w:jc w:val="both"/>
        <w:rPr>
          <w:rFonts w:ascii="Calibri" w:hAnsi="Calibri" w:cs="Calibri" w:eastAsia="Calibri"/>
          <w:b/>
          <w:color w:val="auto"/>
          <w:spacing w:val="0"/>
          <w:position w:val="0"/>
          <w:sz w:val="24"/>
          <w:shd w:fill="auto" w:val="clear"/>
        </w:rPr>
      </w:pPr>
    </w:p>
    <w:p>
      <w:pPr>
        <w:spacing w:before="0" w:after="0" w:line="360"/>
        <w:ind w:right="0" w:left="0" w:firstLine="0"/>
        <w:jc w:val="both"/>
        <w:rPr>
          <w:rFonts w:ascii="Calibri" w:hAnsi="Calibri" w:cs="Calibri" w:eastAsia="Calibri"/>
          <w:b/>
          <w:color w:val="auto"/>
          <w:spacing w:val="0"/>
          <w:position w:val="0"/>
          <w:sz w:val="24"/>
          <w:shd w:fill="auto" w:val="clear"/>
        </w:rPr>
      </w:pPr>
    </w:p>
    <w:p>
      <w:pPr>
        <w:spacing w:before="0" w:after="0" w:line="360"/>
        <w:ind w:right="0" w:left="0" w:firstLine="0"/>
        <w:jc w:val="both"/>
        <w:rPr>
          <w:rFonts w:ascii="Calibri" w:hAnsi="Calibri" w:cs="Calibri" w:eastAsia="Calibri"/>
          <w:b/>
          <w:color w:val="auto"/>
          <w:spacing w:val="0"/>
          <w:position w:val="0"/>
          <w:sz w:val="24"/>
          <w:shd w:fill="auto" w:val="clear"/>
        </w:rPr>
      </w:pPr>
    </w:p>
    <w:p>
      <w:pPr>
        <w:spacing w:before="0" w:after="0" w:line="360"/>
        <w:ind w:right="0" w:left="0" w:firstLine="0"/>
        <w:jc w:val="both"/>
        <w:rPr>
          <w:rFonts w:ascii="Calibri" w:hAnsi="Calibri" w:cs="Calibri" w:eastAsia="Calibri"/>
          <w:b/>
          <w:color w:val="auto"/>
          <w:spacing w:val="0"/>
          <w:position w:val="0"/>
          <w:sz w:val="24"/>
          <w:shd w:fill="auto" w:val="clear"/>
        </w:rPr>
      </w:pPr>
    </w:p>
    <w:p>
      <w:pPr>
        <w:spacing w:before="0" w:after="0" w:line="360"/>
        <w:ind w:right="0" w:left="0" w:firstLine="0"/>
        <w:jc w:val="both"/>
        <w:rPr>
          <w:rFonts w:ascii="Calibri" w:hAnsi="Calibri" w:cs="Calibri" w:eastAsia="Calibri"/>
          <w:b/>
          <w:color w:val="auto"/>
          <w:spacing w:val="0"/>
          <w:position w:val="0"/>
          <w:sz w:val="24"/>
          <w:shd w:fill="auto" w:val="clear"/>
        </w:rPr>
      </w:pPr>
    </w:p>
    <w:p>
      <w:pPr>
        <w:spacing w:before="0" w:after="0" w:line="360"/>
        <w:ind w:right="0" w:left="0" w:firstLine="0"/>
        <w:jc w:val="both"/>
        <w:rPr>
          <w:rFonts w:ascii="Calibri" w:hAnsi="Calibri" w:cs="Calibri" w:eastAsia="Calibri"/>
          <w:b/>
          <w:color w:val="auto"/>
          <w:spacing w:val="0"/>
          <w:position w:val="0"/>
          <w:sz w:val="24"/>
          <w:shd w:fill="auto" w:val="clear"/>
        </w:rPr>
      </w:pPr>
    </w:p>
    <w:p>
      <w:pPr>
        <w:spacing w:before="0" w:after="0" w:line="360"/>
        <w:ind w:right="0" w:left="0" w:firstLine="0"/>
        <w:jc w:val="both"/>
        <w:rPr>
          <w:rFonts w:ascii="Calibri" w:hAnsi="Calibri" w:cs="Calibri" w:eastAsia="Calibri"/>
          <w:b/>
          <w:color w:val="auto"/>
          <w:spacing w:val="0"/>
          <w:position w:val="0"/>
          <w:sz w:val="24"/>
          <w:shd w:fill="auto" w:val="clear"/>
        </w:rPr>
      </w:pPr>
    </w:p>
    <w:p>
      <w:pPr>
        <w:spacing w:before="0" w:after="0" w:line="360"/>
        <w:ind w:right="0" w:left="0" w:firstLine="0"/>
        <w:jc w:val="both"/>
        <w:rPr>
          <w:rFonts w:ascii="Calibri" w:hAnsi="Calibri" w:cs="Calibri" w:eastAsia="Calibri"/>
          <w:b/>
          <w:color w:val="auto"/>
          <w:spacing w:val="0"/>
          <w:position w:val="0"/>
          <w:sz w:val="24"/>
          <w:shd w:fill="auto" w:val="clear"/>
        </w:rPr>
      </w:pPr>
    </w:p>
    <w:p>
      <w:pPr>
        <w:spacing w:before="0" w:after="0" w:line="360"/>
        <w:ind w:right="0" w:left="0" w:firstLine="0"/>
        <w:jc w:val="both"/>
        <w:rPr>
          <w:rFonts w:ascii="Calibri" w:hAnsi="Calibri" w:cs="Calibri" w:eastAsia="Calibri"/>
          <w:b/>
          <w:color w:val="auto"/>
          <w:spacing w:val="0"/>
          <w:position w:val="0"/>
          <w:sz w:val="24"/>
          <w:shd w:fill="auto" w:val="clear"/>
        </w:rPr>
      </w:pPr>
    </w:p>
    <w:p>
      <w:pPr>
        <w:spacing w:before="0" w:after="0" w:line="360"/>
        <w:ind w:right="0" w:left="0" w:firstLine="0"/>
        <w:jc w:val="both"/>
        <w:rPr>
          <w:rFonts w:ascii="Calibri" w:hAnsi="Calibri" w:cs="Calibri" w:eastAsia="Calibri"/>
          <w:b/>
          <w:color w:val="auto"/>
          <w:spacing w:val="0"/>
          <w:position w:val="0"/>
          <w:sz w:val="24"/>
          <w:shd w:fill="auto" w:val="clear"/>
        </w:rPr>
      </w:pPr>
    </w:p>
    <w:p>
      <w:pPr>
        <w:spacing w:before="0" w:after="0" w:line="360"/>
        <w:ind w:right="0" w:left="0" w:firstLine="0"/>
        <w:jc w:val="both"/>
        <w:rPr>
          <w:rFonts w:ascii="Calibri" w:hAnsi="Calibri" w:cs="Calibri" w:eastAsia="Calibri"/>
          <w:b/>
          <w:color w:val="auto"/>
          <w:spacing w:val="0"/>
          <w:position w:val="0"/>
          <w:sz w:val="24"/>
          <w:shd w:fill="auto" w:val="clear"/>
        </w:rPr>
      </w:pPr>
    </w:p>
    <w:p>
      <w:pPr>
        <w:spacing w:before="0" w:after="0" w:line="360"/>
        <w:ind w:right="0" w:left="0" w:firstLine="0"/>
        <w:jc w:val="both"/>
        <w:rPr>
          <w:rFonts w:ascii="Calibri" w:hAnsi="Calibri" w:cs="Calibri" w:eastAsia="Calibri"/>
          <w:b/>
          <w:color w:val="auto"/>
          <w:spacing w:val="0"/>
          <w:position w:val="0"/>
          <w:sz w:val="24"/>
          <w:shd w:fill="auto" w:val="clear"/>
        </w:rPr>
      </w:pPr>
    </w:p>
    <w:p>
      <w:pPr>
        <w:spacing w:before="0" w:after="0" w:line="360"/>
        <w:ind w:right="0" w:left="0" w:firstLine="0"/>
        <w:jc w:val="both"/>
        <w:rPr>
          <w:rFonts w:ascii="Calibri" w:hAnsi="Calibri" w:cs="Calibri" w:eastAsia="Calibri"/>
          <w:b/>
          <w:color w:val="auto"/>
          <w:spacing w:val="0"/>
          <w:position w:val="0"/>
          <w:sz w:val="24"/>
          <w:shd w:fill="auto" w:val="clear"/>
        </w:rPr>
      </w:pPr>
    </w:p>
    <w:p>
      <w:pPr>
        <w:spacing w:before="0" w:after="0" w:line="360"/>
        <w:ind w:right="0" w:left="0" w:firstLine="0"/>
        <w:jc w:val="both"/>
        <w:rPr>
          <w:rFonts w:ascii="Calibri" w:hAnsi="Calibri" w:cs="Calibri" w:eastAsia="Calibri"/>
          <w:b/>
          <w:color w:val="auto"/>
          <w:spacing w:val="0"/>
          <w:position w:val="0"/>
          <w:sz w:val="24"/>
          <w:shd w:fill="auto" w:val="clear"/>
        </w:rPr>
      </w:pPr>
    </w:p>
    <w:p>
      <w:pPr>
        <w:spacing w:before="0" w:after="0" w:line="360"/>
        <w:ind w:right="0" w:left="0" w:firstLine="0"/>
        <w:jc w:val="both"/>
        <w:rPr>
          <w:rFonts w:ascii="Calibri" w:hAnsi="Calibri" w:cs="Calibri" w:eastAsia="Calibri"/>
          <w:b/>
          <w:color w:val="auto"/>
          <w:spacing w:val="0"/>
          <w:position w:val="0"/>
          <w:sz w:val="24"/>
          <w:shd w:fill="auto" w:val="clear"/>
        </w:rPr>
      </w:pPr>
    </w:p>
    <w:p>
      <w:pPr>
        <w:spacing w:before="0" w:after="0" w:line="360"/>
        <w:ind w:right="0" w:left="0" w:firstLine="0"/>
        <w:jc w:val="both"/>
        <w:rPr>
          <w:rFonts w:ascii="Calibri" w:hAnsi="Calibri" w:cs="Calibri" w:eastAsia="Calibri"/>
          <w:b/>
          <w:color w:val="auto"/>
          <w:spacing w:val="0"/>
          <w:position w:val="0"/>
          <w:sz w:val="24"/>
          <w:shd w:fill="auto" w:val="clear"/>
        </w:rPr>
      </w:pPr>
    </w:p>
    <w:p>
      <w:pPr>
        <w:spacing w:before="0" w:after="0" w:line="360"/>
        <w:ind w:right="0" w:left="0" w:firstLine="0"/>
        <w:jc w:val="both"/>
        <w:rPr>
          <w:rFonts w:ascii="Calibri" w:hAnsi="Calibri" w:cs="Calibri" w:eastAsia="Calibri"/>
          <w:b/>
          <w:color w:val="auto"/>
          <w:spacing w:val="0"/>
          <w:position w:val="0"/>
          <w:sz w:val="24"/>
          <w:shd w:fill="auto" w:val="clear"/>
        </w:rPr>
      </w:pPr>
    </w:p>
    <w:p>
      <w:pPr>
        <w:spacing w:before="0" w:after="0" w:line="360"/>
        <w:ind w:right="0" w:left="0" w:firstLine="0"/>
        <w:jc w:val="both"/>
        <w:rPr>
          <w:rFonts w:ascii="Calibri" w:hAnsi="Calibri" w:cs="Calibri" w:eastAsia="Calibri"/>
          <w:b/>
          <w:color w:val="auto"/>
          <w:spacing w:val="0"/>
          <w:position w:val="0"/>
          <w:sz w:val="24"/>
          <w:shd w:fill="auto" w:val="clear"/>
        </w:rPr>
      </w:pPr>
    </w:p>
    <w:p>
      <w:pPr>
        <w:spacing w:before="0" w:after="0" w:line="360"/>
        <w:ind w:right="0" w:left="0" w:firstLine="0"/>
        <w:jc w:val="both"/>
        <w:rPr>
          <w:rFonts w:ascii="Calibri" w:hAnsi="Calibri" w:cs="Calibri" w:eastAsia="Calibri"/>
          <w:b/>
          <w:color w:val="auto"/>
          <w:spacing w:val="0"/>
          <w:position w:val="0"/>
          <w:sz w:val="24"/>
          <w:shd w:fill="auto" w:val="clear"/>
        </w:rPr>
      </w:pPr>
    </w:p>
    <w:p>
      <w:pPr>
        <w:spacing w:before="0" w:after="0" w:line="360"/>
        <w:ind w:right="0" w:left="0" w:firstLine="0"/>
        <w:jc w:val="both"/>
        <w:rPr>
          <w:rFonts w:ascii="Calibri" w:hAnsi="Calibri" w:cs="Calibri" w:eastAsia="Calibri"/>
          <w:b/>
          <w:color w:val="auto"/>
          <w:spacing w:val="0"/>
          <w:position w:val="0"/>
          <w:sz w:val="24"/>
          <w:shd w:fill="auto" w:val="clear"/>
        </w:rPr>
      </w:pPr>
    </w:p>
    <w:p>
      <w:pPr>
        <w:spacing w:before="0" w:after="0" w:line="360"/>
        <w:ind w:right="0" w:left="0" w:firstLine="0"/>
        <w:jc w:val="both"/>
        <w:rPr>
          <w:rFonts w:ascii="Calibri" w:hAnsi="Calibri" w:cs="Calibri" w:eastAsia="Calibri"/>
          <w:b/>
          <w:color w:val="auto"/>
          <w:spacing w:val="0"/>
          <w:position w:val="0"/>
          <w:sz w:val="24"/>
          <w:shd w:fill="auto" w:val="clear"/>
        </w:rPr>
      </w:pPr>
    </w:p>
    <w:p>
      <w:pPr>
        <w:spacing w:before="0" w:after="0" w:line="360"/>
        <w:ind w:right="0" w:left="0" w:firstLine="0"/>
        <w:jc w:val="both"/>
        <w:rPr>
          <w:rFonts w:ascii="Calibri" w:hAnsi="Calibri" w:cs="Calibri" w:eastAsia="Calibri"/>
          <w:b/>
          <w:color w:val="auto"/>
          <w:spacing w:val="0"/>
          <w:position w:val="0"/>
          <w:sz w:val="24"/>
          <w:shd w:fill="auto" w:val="clear"/>
        </w:rPr>
      </w:pPr>
    </w:p>
    <w:p>
      <w:pPr>
        <w:spacing w:before="0" w:after="0" w:line="360"/>
        <w:ind w:right="0" w:left="0" w:firstLine="0"/>
        <w:jc w:val="both"/>
        <w:rPr>
          <w:rFonts w:ascii="Calibri" w:hAnsi="Calibri" w:cs="Calibri" w:eastAsia="Calibri"/>
          <w:b/>
          <w:color w:val="auto"/>
          <w:spacing w:val="0"/>
          <w:position w:val="0"/>
          <w:sz w:val="24"/>
          <w:shd w:fill="auto" w:val="clear"/>
        </w:rPr>
      </w:pPr>
    </w:p>
    <w:p>
      <w:pPr>
        <w:spacing w:before="0" w:after="0" w:line="360"/>
        <w:ind w:right="0" w:left="0" w:firstLine="0"/>
        <w:jc w:val="both"/>
        <w:rPr>
          <w:rFonts w:ascii="Calibri" w:hAnsi="Calibri" w:cs="Calibri" w:eastAsia="Calibri"/>
          <w:b/>
          <w:color w:val="auto"/>
          <w:spacing w:val="0"/>
          <w:position w:val="0"/>
          <w:sz w:val="24"/>
          <w:shd w:fill="auto" w:val="clear"/>
        </w:rPr>
      </w:pPr>
    </w:p>
    <w:p>
      <w:pPr>
        <w:spacing w:before="0" w:after="0" w:line="360"/>
        <w:ind w:right="0" w:left="0" w:firstLine="0"/>
        <w:jc w:val="both"/>
        <w:rPr>
          <w:rFonts w:ascii="Calibri" w:hAnsi="Calibri" w:cs="Calibri" w:eastAsia="Calibri"/>
          <w:b/>
          <w:color w:val="auto"/>
          <w:spacing w:val="0"/>
          <w:position w:val="0"/>
          <w:sz w:val="24"/>
          <w:shd w:fill="auto" w:val="clear"/>
        </w:rPr>
      </w:pPr>
    </w:p>
    <w:p>
      <w:pPr>
        <w:spacing w:before="0" w:after="0" w:line="360"/>
        <w:ind w:right="0" w:left="0" w:firstLine="0"/>
        <w:jc w:val="both"/>
        <w:rPr>
          <w:rFonts w:ascii="Calibri" w:hAnsi="Calibri" w:cs="Calibri" w:eastAsia="Calibri"/>
          <w:b/>
          <w:color w:val="auto"/>
          <w:spacing w:val="0"/>
          <w:position w:val="0"/>
          <w:sz w:val="24"/>
          <w:shd w:fill="auto" w:val="clear"/>
        </w:rPr>
      </w:pPr>
    </w:p>
    <w:p>
      <w:pPr>
        <w:spacing w:before="0" w:after="0" w:line="360"/>
        <w:ind w:right="0" w:left="0" w:firstLine="0"/>
        <w:jc w:val="both"/>
        <w:rPr>
          <w:rFonts w:ascii="Calibri" w:hAnsi="Calibri" w:cs="Calibri" w:eastAsia="Calibri"/>
          <w:b/>
          <w:color w:val="auto"/>
          <w:spacing w:val="0"/>
          <w:position w:val="0"/>
          <w:sz w:val="24"/>
          <w:shd w:fill="auto" w:val="clear"/>
        </w:rPr>
      </w:pPr>
    </w:p>
    <w:p>
      <w:pPr>
        <w:spacing w:before="0" w:after="0" w:line="360"/>
        <w:ind w:right="0" w:left="0" w:firstLine="0"/>
        <w:jc w:val="both"/>
        <w:rPr>
          <w:rFonts w:ascii="Calibri" w:hAnsi="Calibri" w:cs="Calibri" w:eastAsia="Calibri"/>
          <w:b/>
          <w:color w:val="auto"/>
          <w:spacing w:val="0"/>
          <w:position w:val="0"/>
          <w:sz w:val="24"/>
          <w:shd w:fill="auto" w:val="clear"/>
        </w:rPr>
      </w:pPr>
    </w:p>
    <w:p>
      <w:pPr>
        <w:spacing w:before="0" w:after="0" w:line="360"/>
        <w:ind w:right="0" w:left="0" w:firstLine="0"/>
        <w:jc w:val="both"/>
        <w:rPr>
          <w:rFonts w:ascii="Calibri" w:hAnsi="Calibri" w:cs="Calibri" w:eastAsia="Calibri"/>
          <w:b/>
          <w:color w:val="auto"/>
          <w:spacing w:val="0"/>
          <w:position w:val="0"/>
          <w:sz w:val="24"/>
          <w:shd w:fill="auto" w:val="clear"/>
        </w:rPr>
      </w:pPr>
    </w:p>
    <w:p>
      <w:pPr>
        <w:spacing w:before="0" w:after="0" w:line="360"/>
        <w:ind w:right="0" w:left="0" w:firstLine="0"/>
        <w:jc w:val="both"/>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Criminological Theories</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criminology theories are based on the psychological theories of crime and explain the psychology of the criminals that commit serious offenses which are harmful to the criminal justice system and the legal system of the country. Those people who are interested in the field of criminal justice quickly learn and understand the criminology theories which explain why people turn to crime. The understanding of criminology theories helps in reducing crime rates. Following are the criminology theories that can be used by the police system of the United Kingdom to understand the motive of criminals and why they commit offenses. </w:t>
      </w:r>
    </w:p>
    <w:p>
      <w:pPr>
        <w:spacing w:before="0" w:after="0" w:line="360"/>
        <w:ind w:right="0" w:left="0" w:firstLine="0"/>
        <w:jc w:val="both"/>
        <w:rPr>
          <w:rFonts w:ascii="Calibri" w:hAnsi="Calibri" w:cs="Calibri" w:eastAsia="Calibri"/>
          <w:color w:val="auto"/>
          <w:spacing w:val="0"/>
          <w:position w:val="0"/>
          <w:sz w:val="24"/>
          <w:shd w:fill="auto" w:val="clear"/>
        </w:rPr>
      </w:pPr>
    </w:p>
    <w:p>
      <w:pPr>
        <w:numPr>
          <w:ilvl w:val="0"/>
          <w:numId w:val="46"/>
        </w:numPr>
        <w:spacing w:before="0" w:after="0" w:line="360"/>
        <w:ind w:right="0" w:left="720" w:hanging="360"/>
        <w:jc w:val="both"/>
        <w:rPr>
          <w:rFonts w:ascii="Times New Roman" w:hAnsi="Times New Roman" w:cs="Times New Roman" w:eastAsia="Times New Roman"/>
          <w:b/>
          <w:i/>
          <w:color w:val="000000"/>
          <w:spacing w:val="0"/>
          <w:position w:val="0"/>
          <w:sz w:val="24"/>
          <w:u w:val="single"/>
          <w:shd w:fill="auto" w:val="clear"/>
        </w:rPr>
      </w:pPr>
      <w:r>
        <w:rPr>
          <w:rFonts w:ascii="Times New Roman" w:hAnsi="Times New Roman" w:cs="Times New Roman" w:eastAsia="Times New Roman"/>
          <w:b/>
          <w:i/>
          <w:color w:val="000000"/>
          <w:spacing w:val="0"/>
          <w:position w:val="0"/>
          <w:sz w:val="24"/>
          <w:u w:val="single"/>
          <w:shd w:fill="auto" w:val="clear"/>
        </w:rPr>
        <w:t xml:space="preserve">Psychodynamic Theory  </w:t>
      </w:r>
    </w:p>
    <w:p>
      <w:pPr>
        <w:spacing w:before="0" w:after="0" w:line="360"/>
        <w:ind w:right="0" w:left="720" w:firstLine="0"/>
        <w:jc w:val="both"/>
        <w:rPr>
          <w:rFonts w:ascii="Times New Roman" w:hAnsi="Times New Roman" w:cs="Times New Roman" w:eastAsia="Times New Roman"/>
          <w:color w:val="000000"/>
          <w:spacing w:val="0"/>
          <w:position w:val="0"/>
          <w:sz w:val="24"/>
          <w:u w:val="single"/>
          <w:shd w:fill="auto" w:val="clear"/>
        </w:rPr>
      </w:pPr>
      <w:r>
        <w:rPr>
          <w:rFonts w:ascii="Times New Roman" w:hAnsi="Times New Roman" w:cs="Times New Roman" w:eastAsia="Times New Roman"/>
          <w:color w:val="000000"/>
          <w:spacing w:val="0"/>
          <w:position w:val="0"/>
          <w:sz w:val="24"/>
          <w:u w:val="single"/>
          <w:shd w:fill="auto" w:val="clear"/>
        </w:rPr>
        <w:t xml:space="preserve">The psychodynamic theory is based on the mind of the people and suggests that every person has instinctual drives which demand respect. The moral and ethical values in a person regulate the instinct in a person which later converts into a rational personality. This idea of criminology perceives criminal behavior primarily as a failure of the superego. Additionally, the psychodynamic theory considers the criminal behavior of a person as a conflict between the ego, identity, and superego. This criminology theory tries to understand the behavior of a person that strives for recognition in society and commits an offense to satisfy the inner ego. This criminology theory is based on the behavior of a person and the conduct of that particular person who is responsible for the commission of a crime (</w:t>
      </w:r>
      <w:r>
        <w:rPr>
          <w:rFonts w:ascii="Times New Roman" w:hAnsi="Times New Roman" w:cs="Times New Roman" w:eastAsia="Times New Roman"/>
          <w:color w:val="000000"/>
          <w:spacing w:val="0"/>
          <w:position w:val="0"/>
          <w:sz w:val="24"/>
          <w:u w:val="single"/>
          <w:shd w:fill="FFFFFF" w:val="clear"/>
        </w:rPr>
        <w:t xml:space="preserve">Donnermeyer, 2019</w:t>
      </w:r>
      <w:r>
        <w:rPr>
          <w:rFonts w:ascii="Times New Roman" w:hAnsi="Times New Roman" w:cs="Times New Roman" w:eastAsia="Times New Roman"/>
          <w:color w:val="000000"/>
          <w:spacing w:val="0"/>
          <w:position w:val="0"/>
          <w:sz w:val="24"/>
          <w:u w:val="single"/>
          <w:shd w:fill="auto" w:val="clear"/>
        </w:rPr>
        <w:t xml:space="preserve">).</w:t>
      </w:r>
    </w:p>
    <w:p>
      <w:pPr>
        <w:spacing w:before="0" w:after="0" w:line="360"/>
        <w:ind w:right="0" w:left="720" w:firstLine="0"/>
        <w:jc w:val="both"/>
        <w:rPr>
          <w:rFonts w:ascii="Times New Roman" w:hAnsi="Times New Roman" w:cs="Times New Roman" w:eastAsia="Times New Roman"/>
          <w:color w:val="000000"/>
          <w:spacing w:val="0"/>
          <w:position w:val="0"/>
          <w:sz w:val="24"/>
          <w:u w:val="single"/>
          <w:shd w:fill="auto" w:val="clear"/>
        </w:rPr>
      </w:pPr>
    </w:p>
    <w:p>
      <w:pPr>
        <w:numPr>
          <w:ilvl w:val="0"/>
          <w:numId w:val="48"/>
        </w:numPr>
        <w:spacing w:before="0" w:after="0" w:line="360"/>
        <w:ind w:right="0" w:left="720" w:hanging="360"/>
        <w:jc w:val="both"/>
        <w:rPr>
          <w:rFonts w:ascii="Times New Roman" w:hAnsi="Times New Roman" w:cs="Times New Roman" w:eastAsia="Times New Roman"/>
          <w:b/>
          <w:i/>
          <w:color w:val="000000"/>
          <w:spacing w:val="0"/>
          <w:position w:val="0"/>
          <w:sz w:val="24"/>
          <w:u w:val="single"/>
          <w:shd w:fill="auto" w:val="clear"/>
        </w:rPr>
      </w:pPr>
      <w:r>
        <w:rPr>
          <w:rFonts w:ascii="Times New Roman" w:hAnsi="Times New Roman" w:cs="Times New Roman" w:eastAsia="Times New Roman"/>
          <w:b/>
          <w:i/>
          <w:color w:val="000000"/>
          <w:spacing w:val="0"/>
          <w:position w:val="0"/>
          <w:sz w:val="24"/>
          <w:u w:val="single"/>
          <w:shd w:fill="auto" w:val="clear"/>
        </w:rPr>
        <w:t xml:space="preserve">Behavioural Theory </w:t>
      </w:r>
    </w:p>
    <w:p>
      <w:pPr>
        <w:spacing w:before="0" w:after="0" w:line="360"/>
        <w:ind w:right="0" w:left="720" w:firstLine="0"/>
        <w:jc w:val="both"/>
        <w:rPr>
          <w:rFonts w:ascii="Times New Roman" w:hAnsi="Times New Roman" w:cs="Times New Roman" w:eastAsia="Times New Roman"/>
          <w:color w:val="000000"/>
          <w:spacing w:val="0"/>
          <w:position w:val="0"/>
          <w:sz w:val="24"/>
          <w:u w:val="single"/>
          <w:shd w:fill="auto" w:val="clear"/>
        </w:rPr>
      </w:pPr>
      <w:r>
        <w:rPr>
          <w:rFonts w:ascii="Times New Roman" w:hAnsi="Times New Roman" w:cs="Times New Roman" w:eastAsia="Times New Roman"/>
          <w:color w:val="000000"/>
          <w:spacing w:val="0"/>
          <w:position w:val="0"/>
          <w:sz w:val="24"/>
          <w:u w:val="single"/>
          <w:shd w:fill="auto" w:val="clear"/>
        </w:rPr>
        <w:t xml:space="preserve">The concept of this criminological theory revolves around the idea that the development of human behaviour is based on life experiences. This theory of crime focuses on the notion that people develop their behaviour based on the response or the reaction they received from the people around them. This theory is a kind of conditioning where behaviour is learned and supported by rewards or punishment based on the authority perceiving such behaviour. As per this concept, if a person is in a company where criminal behaviour is rewarded then that specific person will continue to engage and be involved in that behaviour.</w:t>
      </w:r>
    </w:p>
    <w:p>
      <w:pPr>
        <w:spacing w:before="0" w:after="0" w:line="360"/>
        <w:ind w:right="0" w:left="720" w:firstLine="0"/>
        <w:jc w:val="both"/>
        <w:rPr>
          <w:rFonts w:ascii="Times New Roman" w:hAnsi="Times New Roman" w:cs="Times New Roman" w:eastAsia="Times New Roman"/>
          <w:color w:val="000000"/>
          <w:spacing w:val="0"/>
          <w:position w:val="0"/>
          <w:sz w:val="24"/>
          <w:u w:val="single"/>
          <w:shd w:fill="auto" w:val="clear"/>
        </w:rPr>
      </w:pPr>
    </w:p>
    <w:p>
      <w:pPr>
        <w:numPr>
          <w:ilvl w:val="0"/>
          <w:numId w:val="50"/>
        </w:numPr>
        <w:spacing w:before="0" w:after="0" w:line="360"/>
        <w:ind w:right="0" w:left="720" w:hanging="360"/>
        <w:jc w:val="both"/>
        <w:rPr>
          <w:rFonts w:ascii="Times New Roman" w:hAnsi="Times New Roman" w:cs="Times New Roman" w:eastAsia="Times New Roman"/>
          <w:b/>
          <w:i/>
          <w:color w:val="000000"/>
          <w:spacing w:val="0"/>
          <w:position w:val="0"/>
          <w:sz w:val="24"/>
          <w:u w:val="single"/>
          <w:shd w:fill="auto" w:val="clear"/>
        </w:rPr>
      </w:pPr>
      <w:r>
        <w:rPr>
          <w:rFonts w:ascii="Times New Roman" w:hAnsi="Times New Roman" w:cs="Times New Roman" w:eastAsia="Times New Roman"/>
          <w:b/>
          <w:i/>
          <w:color w:val="000000"/>
          <w:spacing w:val="0"/>
          <w:position w:val="0"/>
          <w:sz w:val="24"/>
          <w:u w:val="single"/>
          <w:shd w:fill="auto" w:val="clear"/>
        </w:rPr>
        <w:t xml:space="preserve">Cognitive Theory  </w:t>
      </w:r>
    </w:p>
    <w:p>
      <w:pPr>
        <w:spacing w:before="0" w:after="0" w:line="360"/>
        <w:ind w:right="0" w:left="720" w:firstLine="0"/>
        <w:jc w:val="both"/>
        <w:rPr>
          <w:rFonts w:ascii="Times New Roman" w:hAnsi="Times New Roman" w:cs="Times New Roman" w:eastAsia="Times New Roman"/>
          <w:b/>
          <w:i/>
          <w:color w:val="000000"/>
          <w:spacing w:val="0"/>
          <w:position w:val="0"/>
          <w:sz w:val="24"/>
          <w:u w:val="single"/>
          <w:shd w:fill="auto" w:val="clear"/>
        </w:rPr>
      </w:pPr>
      <w:r>
        <w:rPr>
          <w:rFonts w:ascii="Times New Roman" w:hAnsi="Times New Roman" w:cs="Times New Roman" w:eastAsia="Times New Roman"/>
          <w:color w:val="000000"/>
          <w:spacing w:val="0"/>
          <w:position w:val="0"/>
          <w:sz w:val="24"/>
          <w:u w:val="single"/>
          <w:shd w:fill="auto" w:val="clear"/>
        </w:rPr>
        <w:t xml:space="preserve">This theory is based on the perception of people about the world and how this perception governs the actions, emotions, and thoughts of the people. The perception of a person related to society or the place in which they live is based on personal experience. The cognitive theory is divided into three levels of moral development that help the theorists to understand this particular theory clearly. These categories or the echelons are; pre-conventional equal along with conventional level as well as post-conventional level. All these points are based on different demographic levels of people and the experience they get at different age levels in their lives (</w:t>
      </w:r>
      <w:r>
        <w:rPr>
          <w:rFonts w:ascii="Times New Roman" w:hAnsi="Times New Roman" w:cs="Times New Roman" w:eastAsia="Times New Roman"/>
          <w:color w:val="000000"/>
          <w:spacing w:val="0"/>
          <w:position w:val="0"/>
          <w:sz w:val="24"/>
          <w:u w:val="single"/>
          <w:shd w:fill="FFFFFF" w:val="clear"/>
        </w:rPr>
        <w:t xml:space="preserve">Opp, 2020</w:t>
      </w:r>
      <w:r>
        <w:rPr>
          <w:rFonts w:ascii="Times New Roman" w:hAnsi="Times New Roman" w:cs="Times New Roman" w:eastAsia="Times New Roman"/>
          <w:color w:val="000000"/>
          <w:spacing w:val="0"/>
          <w:position w:val="0"/>
          <w:sz w:val="24"/>
          <w:u w:val="single"/>
          <w:shd w:fill="auto" w:val="clear"/>
        </w:rPr>
        <w:t xml:space="preserve">).</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0" w:line="360"/>
        <w:ind w:right="0" w:left="0" w:firstLine="0"/>
        <w:jc w:val="both"/>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Body-Worn Video Cameras and Their Use in Evidence-Based Policing</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Body-worn cameras are the devices used for recording incidents and are worn by police officers. These cameras have the capacity of collecting video and audio data during the operations conducted by the police such as police encounters with the public. There is data that reflects that these cameras have either increased or decreased the crime rates in the places where it is used. However, the majority of the data shows that these cameras do not have any statistically significant impact on crime rates. The aim of body-worn cameras (BWC) is to provide improved evidence capture and to augment the answerability and slides related to police behaviour. These cameras are devoted to the clothing of the officers or any equipment carried by them which is switched on during the patrols at the site of an incident to record all the activities in that place. These cameras can be used overtly and cannot be placed in a hidden or concealed place by Police officers. It is advisable to police officers to inform about the use of these cameras before using them (researchbriefings.files.parliament.uk, 2023).</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use of these cameras can help the police system with evidence-based policing in the United Kingdom. The camera helps the police officers to record any incident or any offence committed by any person at the place of the incident. These cameras have the potential to record the audio and videos of the incident which can be used as one of the primary pieces of evidence in a criminal or police case. This technology helps the police department and police officers in doing their job with the most efficiency and improves the overall productivity of the police department. The police department has multiple things to keep a check on as well as the introduction of body-worn cameras has enabled the police department to utilize the resources to release the desired outputs. The introduction of these cameras does not replace traditional forms of collecting evidence such as the oral statements and the written statements, but this technology is used to complement and support the process of collecting evidence related to a particular case. These cameras are used by police officers for recording the visuals and audio of a particular place of the incident which also benefits the police department and collects more useful evidence that can make the work easier for the police department (</w:t>
      </w:r>
      <w:r>
        <w:rPr>
          <w:rFonts w:ascii="Calibri" w:hAnsi="Calibri" w:cs="Calibri" w:eastAsia="Calibri"/>
          <w:color w:val="auto"/>
          <w:spacing w:val="0"/>
          <w:position w:val="0"/>
          <w:sz w:val="24"/>
          <w:shd w:fill="FFFFFF" w:val="clear"/>
        </w:rPr>
        <w:t xml:space="preserve">Clare </w:t>
      </w:r>
      <w:r>
        <w:rPr>
          <w:rFonts w:ascii="Calibri" w:hAnsi="Calibri" w:cs="Calibri" w:eastAsia="Calibri"/>
          <w:i/>
          <w:color w:val="auto"/>
          <w:spacing w:val="0"/>
          <w:position w:val="0"/>
          <w:sz w:val="24"/>
          <w:shd w:fill="FFFFFF" w:val="clear"/>
        </w:rPr>
        <w:t xml:space="preserve">et al., </w:t>
      </w:r>
      <w:r>
        <w:rPr>
          <w:rFonts w:ascii="Calibri" w:hAnsi="Calibri" w:cs="Calibri" w:eastAsia="Calibri"/>
          <w:color w:val="auto"/>
          <w:spacing w:val="0"/>
          <w:position w:val="0"/>
          <w:sz w:val="24"/>
          <w:shd w:fill="FFFFFF" w:val="clear"/>
        </w:rPr>
        <w:t xml:space="preserve">2019</w:t>
      </w:r>
      <w:r>
        <w:rPr>
          <w:rFonts w:ascii="Calibri" w:hAnsi="Calibri" w:cs="Calibri" w:eastAsia="Calibri"/>
          <w:color w:val="auto"/>
          <w:spacing w:val="0"/>
          <w:position w:val="0"/>
          <w:sz w:val="24"/>
          <w:shd w:fill="auto" w:val="clear"/>
        </w:rPr>
        <w:t xml:space="preserve">).</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evidence collected by the police during the investigation of a case helps them to provide justice to the citizens of the United Kingdom. Police are an integral part of the criminal justice system that helps the other mechanisms of the criminal justice system in providing justice to the victims of the crime and punishing the offenders.</w:t>
      </w:r>
    </w:p>
    <w:p>
      <w:pPr>
        <w:spacing w:before="0" w:after="0" w:line="360"/>
        <w:ind w:right="0" w:left="0" w:firstLine="0"/>
        <w:jc w:val="both"/>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Strengths, Weaknesses, and Ethical Limitations of Body-worn Cameras</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enactment of body-worn cameras or BWC in police subdivisions commenced as a consequence of pressure from the public along with the media as numerous prominent police cases complicated fire and the use of vigour incidents. These cameras were executed and made mandatory to use by many police departments very quickly which had a very high expectation but the effectiveness of these cameras are relatively low as there are various practices that need to be complied with the moral and ethical values. The use of these cameras helps in recording the audio and visuals of the incidents which is of high importance to the police during their investigation. But it is mandatory for the police department to get approval or information before using these cameras. These cameras are expensive and are attached to the uniform of the police officers and there are high chances of these cameras getting damaged during a conflict. The intention behind the use of these cameras is to get clear evidence that can help the police department in ensuring justice for the people who are the victims of the crime (</w:t>
      </w:r>
      <w:r>
        <w:rPr>
          <w:rFonts w:ascii="Calibri" w:hAnsi="Calibri" w:cs="Calibri" w:eastAsia="Calibri"/>
          <w:color w:val="auto"/>
          <w:spacing w:val="0"/>
          <w:position w:val="0"/>
          <w:sz w:val="24"/>
          <w:shd w:fill="FFFFFF" w:val="clear"/>
        </w:rPr>
        <w:t xml:space="preserve">Jiang </w:t>
      </w:r>
      <w:r>
        <w:rPr>
          <w:rFonts w:ascii="Calibri" w:hAnsi="Calibri" w:cs="Calibri" w:eastAsia="Calibri"/>
          <w:i/>
          <w:color w:val="auto"/>
          <w:spacing w:val="0"/>
          <w:position w:val="0"/>
          <w:sz w:val="24"/>
          <w:shd w:fill="FFFFFF" w:val="clear"/>
        </w:rPr>
        <w:t xml:space="preserve">et al., </w:t>
      </w:r>
      <w:r>
        <w:rPr>
          <w:rFonts w:ascii="Calibri" w:hAnsi="Calibri" w:cs="Calibri" w:eastAsia="Calibri"/>
          <w:color w:val="auto"/>
          <w:spacing w:val="0"/>
          <w:position w:val="0"/>
          <w:sz w:val="24"/>
          <w:shd w:fill="FFFFFF" w:val="clear"/>
        </w:rPr>
        <w:t xml:space="preserve">2021</w:t>
      </w:r>
      <w:r>
        <w:rPr>
          <w:rFonts w:ascii="Calibri" w:hAnsi="Calibri" w:cs="Calibri" w:eastAsia="Calibri"/>
          <w:color w:val="auto"/>
          <w:spacing w:val="0"/>
          <w:position w:val="0"/>
          <w:sz w:val="24"/>
          <w:shd w:fill="auto" w:val="clear"/>
        </w:rPr>
        <w:t xml:space="preserve">).</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Body-worn cameras have been made compulsory and have become standard police equipment for law implementation interventions in the United Kingdom. The introduction of these cameras has made the police more accountable and reduced the number of misconduct by the police as it is impossible to disagree with the results of the audio and video recorded in these cameras. The use of BWC by the police department ensures that the functions of the police department are done as per the standard procedure. The police officers cannot commit any wrong while wearing these cameras since all their activities and their conduct are recorded and the higher authorities of the police department have access to these recordings. These are the strengths of using body-worn cameras by police officers. However, the use of this equipment also has some drawbacks. Body cameras can reach privacy concerns for police officers and can be misused by the higher authorities as the surveillance camera keeps a check on the personal activities of the police officers as well. The recordings sometimes contain video footage which are not meant to be released at any cost as there are some cases for the police department which are of a very sensitive nature. Such issues also collide with the ethical values of the police department and therefore sometimes the use of body cameras is prohibited.</w:t>
      </w:r>
    </w:p>
    <w:p>
      <w:pPr>
        <w:spacing w:before="0" w:after="0" w:line="360"/>
        <w:ind w:right="0" w:left="0" w:firstLine="0"/>
        <w:jc w:val="both"/>
        <w:rPr>
          <w:rFonts w:ascii="Calibri" w:hAnsi="Calibri" w:cs="Calibri" w:eastAsia="Calibri"/>
          <w:color w:val="auto"/>
          <w:spacing w:val="0"/>
          <w:position w:val="0"/>
          <w:sz w:val="24"/>
          <w:shd w:fill="auto" w:val="clear"/>
        </w:rPr>
      </w:pPr>
    </w:p>
    <w:p>
      <w:pPr>
        <w:spacing w:before="0" w:after="0" w:line="360"/>
        <w:ind w:right="0" w:left="0" w:firstLine="0"/>
        <w:jc w:val="both"/>
        <w:rPr>
          <w:rFonts w:ascii="Calibri" w:hAnsi="Calibri" w:cs="Calibri" w:eastAsia="Calibri"/>
          <w:color w:val="auto"/>
          <w:spacing w:val="0"/>
          <w:position w:val="0"/>
          <w:sz w:val="24"/>
          <w:shd w:fill="auto" w:val="clear"/>
        </w:rPr>
      </w:pPr>
    </w:p>
    <w:p>
      <w:pPr>
        <w:spacing w:before="0" w:after="0" w:line="360"/>
        <w:ind w:right="0" w:left="0" w:firstLine="0"/>
        <w:jc w:val="both"/>
        <w:rPr>
          <w:rFonts w:ascii="Calibri" w:hAnsi="Calibri" w:cs="Calibri" w:eastAsia="Calibri"/>
          <w:color w:val="auto"/>
          <w:spacing w:val="0"/>
          <w:position w:val="0"/>
          <w:sz w:val="24"/>
          <w:shd w:fill="auto" w:val="clear"/>
        </w:rPr>
      </w:pPr>
    </w:p>
    <w:p>
      <w:pPr>
        <w:spacing w:before="0" w:after="0" w:line="360"/>
        <w:ind w:right="0" w:left="0" w:firstLine="0"/>
        <w:jc w:val="both"/>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Use of BWC in Street Crime</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Body cameras can be proven of high utility during the happening of street crimes. The police officers report to the place of incident to stop a particular Street crime such as fighting between two rival groups or snatching of valuable items by the thief, and when the police officer reports at the place of incident, such incidents are recorded in the body cameras which can be of high utility while deciding such criminal cases. The evidence in the form of a video with clear image and audio are very helpful for the criminal justice system in deciding criminal cases and ensuring justice for the citizens of the United Kingdom. Body cameras can be used effectively in street crimes and can also be used to reduce the number of crimes happening on the streets by using body cameras efficiently. The performance of the police department also enhances the use of body cameras to eradicate street criminals which creates a ruckus among the public and makes them feel unsafe (</w:t>
      </w:r>
      <w:r>
        <w:rPr>
          <w:rFonts w:ascii="Calibri" w:hAnsi="Calibri" w:cs="Calibri" w:eastAsia="Calibri"/>
          <w:color w:val="auto"/>
          <w:spacing w:val="0"/>
          <w:position w:val="0"/>
          <w:sz w:val="24"/>
          <w:shd w:fill="FFFFFF" w:val="clear"/>
        </w:rPr>
        <w:t xml:space="preserve">Malm, 2019</w:t>
      </w:r>
      <w:r>
        <w:rPr>
          <w:rFonts w:ascii="Calibri" w:hAnsi="Calibri" w:cs="Calibri" w:eastAsia="Calibri"/>
          <w:color w:val="auto"/>
          <w:spacing w:val="0"/>
          <w:position w:val="0"/>
          <w:sz w:val="24"/>
          <w:shd w:fill="auto" w:val="clear"/>
        </w:rPr>
        <w:t xml:space="preserve">).</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160" w:line="259"/>
        <w:ind w:right="0" w:left="0" w:firstLine="0"/>
        <w:jc w:val="left"/>
        <w:rPr>
          <w:rFonts w:ascii="Calibri" w:hAnsi="Calibri" w:cs="Calibri" w:eastAsia="Calibri"/>
          <w:color w:val="auto"/>
          <w:spacing w:val="0"/>
          <w:position w:val="0"/>
          <w:sz w:val="24"/>
          <w:shd w:fill="auto" w:val="clear"/>
        </w:rPr>
      </w:pPr>
    </w:p>
    <w:p>
      <w:pPr>
        <w:keepNext w:val="true"/>
        <w:keepLines w:val="true"/>
        <w:spacing w:before="240" w:after="0" w:line="240"/>
        <w:ind w:right="0" w:left="0" w:firstLine="0"/>
        <w:jc w:val="both"/>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Conclusion</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importance of the police department in the criminal justice system is very high. The police department of the United Kingdom uses various mechanisms and methods to collect evidence in criminal cases Also, the practice of evidence-based policing by the police department of the United Kingdom has enhanced the productivity of the police department in ensuring justice for the citizens of the United Kingdom and ensuring the public order as well. In this essay, the concept of evidence-based policing with its advantages and disadvantages was discussed in detail. Additionally, the influence of body cameras or the BWCs on the evidence-based police system along with the strengths and weaknesses of the body cameras were discussed in this essay.</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160" w:line="259"/>
        <w:ind w:right="0" w:left="0" w:firstLine="0"/>
        <w:jc w:val="left"/>
        <w:rPr>
          <w:rFonts w:ascii="Calibri" w:hAnsi="Calibri" w:cs="Calibri" w:eastAsia="Calibri"/>
          <w:color w:val="auto"/>
          <w:spacing w:val="0"/>
          <w:position w:val="0"/>
          <w:sz w:val="24"/>
          <w:shd w:fill="auto" w:val="clear"/>
        </w:rPr>
      </w:pPr>
    </w:p>
    <w:p>
      <w:pPr>
        <w:keepNext w:val="true"/>
        <w:keepLines w:val="true"/>
        <w:spacing w:before="240" w:after="0" w:line="240"/>
        <w:ind w:right="0" w:left="0" w:firstLine="0"/>
        <w:jc w:val="both"/>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References</w:t>
      </w:r>
    </w:p>
    <w:p>
      <w:pPr>
        <w:spacing w:before="0" w:after="0" w:line="360"/>
        <w:ind w:right="0" w:left="720" w:hanging="72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Clare, J., Henstock, D., McComb, C., Newland, R., Barnes, G.C., Lee, M. and Taylor, E., (2019). Police, public, and arrestee perceptions of body-worn video: A single jurisdictional multiple-perspective analysis. </w:t>
      </w:r>
      <w:r>
        <w:rPr>
          <w:rFonts w:ascii="Calibri" w:hAnsi="Calibri" w:cs="Calibri" w:eastAsia="Calibri"/>
          <w:i/>
          <w:color w:val="auto"/>
          <w:spacing w:val="0"/>
          <w:position w:val="0"/>
          <w:sz w:val="24"/>
          <w:shd w:fill="FFFFFF" w:val="clear"/>
        </w:rPr>
        <w:t xml:space="preserve">Criminal justice review</w:t>
      </w:r>
      <w:r>
        <w:rPr>
          <w:rFonts w:ascii="Calibri" w:hAnsi="Calibri" w:cs="Calibri" w:eastAsia="Calibri"/>
          <w:color w:val="auto"/>
          <w:spacing w:val="0"/>
          <w:position w:val="0"/>
          <w:sz w:val="24"/>
          <w:shd w:fill="FFFFFF" w:val="clear"/>
        </w:rPr>
        <w:t xml:space="preserve">, </w:t>
      </w:r>
      <w:r>
        <w:rPr>
          <w:rFonts w:ascii="Calibri" w:hAnsi="Calibri" w:cs="Calibri" w:eastAsia="Calibri"/>
          <w:i/>
          <w:color w:val="auto"/>
          <w:spacing w:val="0"/>
          <w:position w:val="0"/>
          <w:sz w:val="24"/>
          <w:shd w:fill="FFFFFF" w:val="clear"/>
        </w:rPr>
        <w:t xml:space="preserve">44</w:t>
      </w:r>
      <w:r>
        <w:rPr>
          <w:rFonts w:ascii="Calibri" w:hAnsi="Calibri" w:cs="Calibri" w:eastAsia="Calibri"/>
          <w:color w:val="auto"/>
          <w:spacing w:val="0"/>
          <w:position w:val="0"/>
          <w:sz w:val="24"/>
          <w:shd w:fill="FFFFFF" w:val="clear"/>
        </w:rPr>
        <w:t xml:space="preserve">(3), pp.304-321.</w:t>
      </w:r>
    </w:p>
    <w:p>
      <w:pPr>
        <w:spacing w:before="0" w:after="0" w:line="360"/>
        <w:ind w:right="0" w:left="720" w:hanging="72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FFFFFF" w:val="clear"/>
        </w:rPr>
        <w:t xml:space="preserve">Donnermeyer, J.F., (2019). The international emergence of rural criminology: Implications for the development and revision of criminological theory for rural contexts.</w:t>
      </w:r>
    </w:p>
    <w:p>
      <w:pPr>
        <w:spacing w:before="0" w:after="0" w:line="360"/>
        <w:ind w:right="0" w:left="720" w:hanging="72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Fox, C. and Morris, S., (2021). Evaluating outcome-based payment programmes: challenges for evidence-based policy. </w:t>
      </w:r>
      <w:r>
        <w:rPr>
          <w:rFonts w:ascii="Calibri" w:hAnsi="Calibri" w:cs="Calibri" w:eastAsia="Calibri"/>
          <w:i/>
          <w:color w:val="auto"/>
          <w:spacing w:val="0"/>
          <w:position w:val="0"/>
          <w:sz w:val="24"/>
          <w:shd w:fill="FFFFFF" w:val="clear"/>
        </w:rPr>
        <w:t xml:space="preserve">Journal of Economic Policy Reform</w:t>
      </w:r>
      <w:r>
        <w:rPr>
          <w:rFonts w:ascii="Calibri" w:hAnsi="Calibri" w:cs="Calibri" w:eastAsia="Calibri"/>
          <w:color w:val="auto"/>
          <w:spacing w:val="0"/>
          <w:position w:val="0"/>
          <w:sz w:val="24"/>
          <w:shd w:fill="FFFFFF" w:val="clear"/>
        </w:rPr>
        <w:t xml:space="preserve">, </w:t>
      </w:r>
      <w:r>
        <w:rPr>
          <w:rFonts w:ascii="Calibri" w:hAnsi="Calibri" w:cs="Calibri" w:eastAsia="Calibri"/>
          <w:i/>
          <w:color w:val="auto"/>
          <w:spacing w:val="0"/>
          <w:position w:val="0"/>
          <w:sz w:val="24"/>
          <w:shd w:fill="FFFFFF" w:val="clear"/>
        </w:rPr>
        <w:t xml:space="preserve">24</w:t>
      </w:r>
      <w:r>
        <w:rPr>
          <w:rFonts w:ascii="Calibri" w:hAnsi="Calibri" w:cs="Calibri" w:eastAsia="Calibri"/>
          <w:color w:val="auto"/>
          <w:spacing w:val="0"/>
          <w:position w:val="0"/>
          <w:sz w:val="24"/>
          <w:shd w:fill="FFFFFF" w:val="clear"/>
        </w:rPr>
        <w:t xml:space="preserve">(1), pp.61-77.</w:t>
      </w:r>
    </w:p>
    <w:p>
      <w:pPr>
        <w:spacing w:before="0" w:after="0" w:line="360"/>
        <w:ind w:right="0" w:left="720" w:hanging="72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FFFFFF" w:val="clear"/>
        </w:rPr>
        <w:t xml:space="preserve">Jiang, F., Xie, C. and Ellis, T., (2021). Police officers’ perceptions of body-worn video cameras in Beijing. </w:t>
      </w:r>
      <w:r>
        <w:rPr>
          <w:rFonts w:ascii="Calibri" w:hAnsi="Calibri" w:cs="Calibri" w:eastAsia="Calibri"/>
          <w:i/>
          <w:color w:val="auto"/>
          <w:spacing w:val="0"/>
          <w:position w:val="0"/>
          <w:sz w:val="24"/>
          <w:shd w:fill="FFFFFF" w:val="clear"/>
        </w:rPr>
        <w:t xml:space="preserve">International criminal justice review</w:t>
      </w:r>
      <w:r>
        <w:rPr>
          <w:rFonts w:ascii="Calibri" w:hAnsi="Calibri" w:cs="Calibri" w:eastAsia="Calibri"/>
          <w:color w:val="auto"/>
          <w:spacing w:val="0"/>
          <w:position w:val="0"/>
          <w:sz w:val="24"/>
          <w:shd w:fill="FFFFFF" w:val="clear"/>
        </w:rPr>
        <w:t xml:space="preserve">, </w:t>
      </w:r>
      <w:r>
        <w:rPr>
          <w:rFonts w:ascii="Calibri" w:hAnsi="Calibri" w:cs="Calibri" w:eastAsia="Calibri"/>
          <w:i/>
          <w:color w:val="auto"/>
          <w:spacing w:val="0"/>
          <w:position w:val="0"/>
          <w:sz w:val="24"/>
          <w:shd w:fill="FFFFFF" w:val="clear"/>
        </w:rPr>
        <w:t xml:space="preserve">31</w:t>
      </w:r>
      <w:r>
        <w:rPr>
          <w:rFonts w:ascii="Calibri" w:hAnsi="Calibri" w:cs="Calibri" w:eastAsia="Calibri"/>
          <w:color w:val="auto"/>
          <w:spacing w:val="0"/>
          <w:position w:val="0"/>
          <w:sz w:val="24"/>
          <w:shd w:fill="FFFFFF" w:val="clear"/>
        </w:rPr>
        <w:t xml:space="preserve">(3), pp.286-303.</w:t>
      </w:r>
    </w:p>
    <w:p>
      <w:pPr>
        <w:spacing w:before="0" w:after="0" w:line="360"/>
        <w:ind w:right="0" w:left="720" w:hanging="72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FFFFFF" w:val="clear"/>
        </w:rPr>
        <w:t xml:space="preserve">Malm, A., (2019). Promise of police body-worn cameras. </w:t>
      </w:r>
      <w:r>
        <w:rPr>
          <w:rFonts w:ascii="Calibri" w:hAnsi="Calibri" w:cs="Calibri" w:eastAsia="Calibri"/>
          <w:i/>
          <w:color w:val="auto"/>
          <w:spacing w:val="0"/>
          <w:position w:val="0"/>
          <w:sz w:val="24"/>
          <w:shd w:fill="FFFFFF" w:val="clear"/>
        </w:rPr>
        <w:t xml:space="preserve">Criminology &amp; Pub. Pol'y</w:t>
      </w:r>
      <w:r>
        <w:rPr>
          <w:rFonts w:ascii="Calibri" w:hAnsi="Calibri" w:cs="Calibri" w:eastAsia="Calibri"/>
          <w:color w:val="auto"/>
          <w:spacing w:val="0"/>
          <w:position w:val="0"/>
          <w:sz w:val="24"/>
          <w:shd w:fill="FFFFFF" w:val="clear"/>
        </w:rPr>
        <w:t xml:space="preserve">, </w:t>
      </w:r>
      <w:r>
        <w:rPr>
          <w:rFonts w:ascii="Calibri" w:hAnsi="Calibri" w:cs="Calibri" w:eastAsia="Calibri"/>
          <w:i/>
          <w:color w:val="auto"/>
          <w:spacing w:val="0"/>
          <w:position w:val="0"/>
          <w:sz w:val="24"/>
          <w:shd w:fill="FFFFFF" w:val="clear"/>
        </w:rPr>
        <w:t xml:space="preserve">18</w:t>
      </w:r>
      <w:r>
        <w:rPr>
          <w:rFonts w:ascii="Calibri" w:hAnsi="Calibri" w:cs="Calibri" w:eastAsia="Calibri"/>
          <w:color w:val="auto"/>
          <w:spacing w:val="0"/>
          <w:position w:val="0"/>
          <w:sz w:val="24"/>
          <w:shd w:fill="FFFFFF" w:val="clear"/>
        </w:rPr>
        <w:t xml:space="preserve">, p.119.</w:t>
      </w:r>
    </w:p>
    <w:p>
      <w:pPr>
        <w:spacing w:before="0" w:after="0" w:line="360"/>
        <w:ind w:right="0" w:left="720" w:hanging="72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Opp, K.D., (2020). Analytical criminology: Integrating explanations of crime and deviant behavior. Routledge.</w:t>
      </w:r>
    </w:p>
    <w:p>
      <w:pPr>
        <w:spacing w:before="0" w:after="0" w:line="360"/>
        <w:ind w:right="0" w:left="720" w:hanging="72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researchbriefings.files.parliament.uk, (2023) Research Briefings UK Parliament [Online] Body-Worn Video in UK Policing Available at: </w:t>
      </w:r>
      <w:hyperlink xmlns:r="http://schemas.openxmlformats.org/officeDocument/2006/relationships" r:id="docRId2">
        <w:r>
          <w:rPr>
            <w:rFonts w:ascii="Calibri" w:hAnsi="Calibri" w:cs="Calibri" w:eastAsia="Calibri"/>
            <w:color w:val="0000FF"/>
            <w:spacing w:val="0"/>
            <w:position w:val="0"/>
            <w:sz w:val="24"/>
            <w:u w:val="single"/>
            <w:shd w:fill="auto" w:val="clear"/>
          </w:rPr>
          <w:t xml:space="preserve">https://researchbriefings.files.parliament.uk/documents/POST-PB-0014/POST-PB-0014.pdf</w:t>
        </w:r>
      </w:hyperlink>
      <w:r>
        <w:rPr>
          <w:rFonts w:ascii="Calibri" w:hAnsi="Calibri" w:cs="Calibri" w:eastAsia="Calibri"/>
          <w:color w:val="auto"/>
          <w:spacing w:val="0"/>
          <w:position w:val="0"/>
          <w:sz w:val="24"/>
          <w:shd w:fill="auto" w:val="clear"/>
        </w:rPr>
        <w:t xml:space="preserve"> [Accessed on 3 May 2023]. </w:t>
      </w:r>
    </w:p>
    <w:p>
      <w:pPr>
        <w:spacing w:before="0" w:after="0" w:line="360"/>
        <w:ind w:right="0" w:left="720" w:hanging="72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Stott, C., Pearson, G. and West, O., (2020). Enabling an evidence-based approach to policing football in the UK. </w:t>
      </w:r>
      <w:r>
        <w:rPr>
          <w:rFonts w:ascii="Calibri" w:hAnsi="Calibri" w:cs="Calibri" w:eastAsia="Calibri"/>
          <w:i/>
          <w:color w:val="auto"/>
          <w:spacing w:val="0"/>
          <w:position w:val="0"/>
          <w:sz w:val="24"/>
          <w:shd w:fill="FFFFFF" w:val="clear"/>
        </w:rPr>
        <w:t xml:space="preserve">Policing: a journal of policy and practice</w:t>
      </w:r>
      <w:r>
        <w:rPr>
          <w:rFonts w:ascii="Calibri" w:hAnsi="Calibri" w:cs="Calibri" w:eastAsia="Calibri"/>
          <w:color w:val="auto"/>
          <w:spacing w:val="0"/>
          <w:position w:val="0"/>
          <w:sz w:val="24"/>
          <w:shd w:fill="FFFFFF" w:val="clear"/>
        </w:rPr>
        <w:t xml:space="preserve">, </w:t>
      </w:r>
      <w:r>
        <w:rPr>
          <w:rFonts w:ascii="Calibri" w:hAnsi="Calibri" w:cs="Calibri" w:eastAsia="Calibri"/>
          <w:i/>
          <w:color w:val="auto"/>
          <w:spacing w:val="0"/>
          <w:position w:val="0"/>
          <w:sz w:val="24"/>
          <w:shd w:fill="FFFFFF" w:val="clear"/>
        </w:rPr>
        <w:t xml:space="preserve">14</w:t>
      </w:r>
      <w:r>
        <w:rPr>
          <w:rFonts w:ascii="Calibri" w:hAnsi="Calibri" w:cs="Calibri" w:eastAsia="Calibri"/>
          <w:color w:val="auto"/>
          <w:spacing w:val="0"/>
          <w:position w:val="0"/>
          <w:sz w:val="24"/>
          <w:shd w:fill="FFFFFF" w:val="clear"/>
        </w:rPr>
        <w:t xml:space="preserve">(4), pp.977-994.</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num w:numId="46">
    <w:abstractNumId w:val="12"/>
  </w:num>
  <w:num w:numId="48">
    <w:abstractNumId w:val="6"/>
  </w:num>
  <w:num w:numId="50">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numbering.xml" Id="docRId3" Type="http://schemas.openxmlformats.org/officeDocument/2006/relationships/numbering" /><Relationship Target="embeddings/oleObject0.bin" Id="docRId0" Type="http://schemas.openxmlformats.org/officeDocument/2006/relationships/oleObject" /><Relationship TargetMode="External" Target="https://researchbriefings.files.parliament.uk/documents/POST-PB-0014/POST-PB-0014.pdf" Id="docRId2" Type="http://schemas.openxmlformats.org/officeDocument/2006/relationships/hyperlink" /><Relationship Target="styles.xml" Id="docRId4" Type="http://schemas.openxmlformats.org/officeDocument/2006/relationships/styles" /></Relationships>
</file>