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FF31A" w14:textId="77777777" w:rsidR="00491B19" w:rsidRPr="00955A2D" w:rsidRDefault="00491B19" w:rsidP="00491B19">
      <w:pPr>
        <w:spacing w:before="100" w:beforeAutospacing="1" w:after="100" w:afterAutospacing="1" w:line="360" w:lineRule="auto"/>
        <w:outlineLvl w:val="0"/>
        <w:rPr>
          <w:rFonts w:ascii="Arial" w:eastAsia="Times New Roman" w:hAnsi="Arial" w:cs="Arial"/>
          <w:b/>
          <w:bCs/>
          <w:kern w:val="36"/>
          <w:sz w:val="22"/>
          <w:szCs w:val="22"/>
          <w:u w:val="single"/>
          <w:lang w:eastAsia="en-GB"/>
          <w14:ligatures w14:val="none"/>
        </w:rPr>
      </w:pPr>
      <w:r w:rsidRPr="00955A2D">
        <w:rPr>
          <w:rFonts w:ascii="Arial" w:eastAsia="Times New Roman" w:hAnsi="Arial" w:cs="Arial"/>
          <w:b/>
          <w:bCs/>
          <w:kern w:val="36"/>
          <w:sz w:val="22"/>
          <w:szCs w:val="22"/>
          <w:u w:val="single"/>
          <w:lang w:eastAsia="en-GB"/>
          <w14:ligatures w14:val="none"/>
        </w:rPr>
        <w:t>Project Proposal</w:t>
      </w:r>
    </w:p>
    <w:p w14:paraId="52DDE5C4" w14:textId="77777777" w:rsidR="00491B19" w:rsidRPr="00955A2D" w:rsidRDefault="00491B19" w:rsidP="00491B19">
      <w:p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b/>
          <w:bCs/>
          <w:kern w:val="0"/>
          <w:sz w:val="22"/>
          <w:szCs w:val="22"/>
          <w:lang w:eastAsia="en-GB"/>
          <w14:ligatures w14:val="none"/>
        </w:rPr>
        <w:t>Title:</w:t>
      </w:r>
      <w:r w:rsidRPr="00955A2D">
        <w:rPr>
          <w:rFonts w:ascii="Arial" w:eastAsia="Times New Roman" w:hAnsi="Arial" w:cs="Arial"/>
          <w:kern w:val="0"/>
          <w:sz w:val="22"/>
          <w:szCs w:val="22"/>
          <w:lang w:eastAsia="en-GB"/>
          <w14:ligatures w14:val="none"/>
        </w:rPr>
        <w:t xml:space="preserve"> </w:t>
      </w:r>
      <w:r w:rsidRPr="00955A2D">
        <w:rPr>
          <w:rFonts w:ascii="Arial" w:eastAsia="Times New Roman" w:hAnsi="Arial" w:cs="Arial"/>
          <w:i/>
          <w:iCs/>
          <w:kern w:val="0"/>
          <w:sz w:val="22"/>
          <w:szCs w:val="22"/>
          <w:lang w:eastAsia="en-GB"/>
          <w14:ligatures w14:val="none"/>
        </w:rPr>
        <w:t>Exploring the Relationship Between Alcohol Abuse, Socioeconomic Deprivation, and Young Onset Dementia: Implications for Health and Social Care</w:t>
      </w:r>
    </w:p>
    <w:p w14:paraId="25C46852"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Aim</w:t>
      </w:r>
    </w:p>
    <w:p w14:paraId="7AE2DCA4" w14:textId="77777777" w:rsidR="00491B19" w:rsidRPr="00955A2D" w:rsidRDefault="00491B19" w:rsidP="00491B19">
      <w:p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The aim of this research proposal is to investigate how alcohol abuse contributes to the development of young onset dementia (YOD) in individuals living in socioeconomically deprived areas, and to critically evaluate the adequacy of health and social care responses to this growing challenge.</w:t>
      </w:r>
    </w:p>
    <w:p w14:paraId="6C376B06"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Objectives</w:t>
      </w:r>
    </w:p>
    <w:p w14:paraId="2511B14E" w14:textId="77777777" w:rsidR="00491B19" w:rsidRPr="00955A2D" w:rsidRDefault="00491B19" w:rsidP="00491B19">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bookmarkStart w:id="0" w:name="_Hlk211249573"/>
      <w:r w:rsidRPr="00955A2D">
        <w:rPr>
          <w:rFonts w:ascii="Arial" w:eastAsia="Times New Roman" w:hAnsi="Arial" w:cs="Arial"/>
          <w:b/>
          <w:bCs/>
          <w:kern w:val="0"/>
          <w:sz w:val="22"/>
          <w:szCs w:val="22"/>
          <w:lang w:eastAsia="en-GB"/>
          <w14:ligatures w14:val="none"/>
        </w:rPr>
        <w:t>Define alcohol abuse, socioeconomic deprivation and early onset dementia and examine</w:t>
      </w:r>
      <w:r w:rsidRPr="00955A2D">
        <w:rPr>
          <w:rFonts w:ascii="Arial" w:eastAsia="Times New Roman" w:hAnsi="Arial" w:cs="Arial"/>
          <w:kern w:val="0"/>
          <w:sz w:val="22"/>
          <w:szCs w:val="22"/>
          <w:lang w:eastAsia="en-GB"/>
          <w14:ligatures w14:val="none"/>
        </w:rPr>
        <w:t xml:space="preserve"> the association between alcohol misuse and young onset dementia, drawing on peer-reviewed evidence (</w:t>
      </w:r>
      <w:r w:rsidRPr="00955A2D">
        <w:rPr>
          <w:rFonts w:ascii="Arial" w:hAnsi="Arial" w:cs="Arial"/>
          <w:sz w:val="22"/>
          <w:szCs w:val="22"/>
        </w:rPr>
        <w:t>Zahr, 2024).</w:t>
      </w:r>
    </w:p>
    <w:bookmarkEnd w:id="0"/>
    <w:p w14:paraId="32CBB502" w14:textId="77777777" w:rsidR="00491B19" w:rsidRPr="00955A2D" w:rsidRDefault="00491B19" w:rsidP="00491B19">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b/>
          <w:bCs/>
          <w:kern w:val="0"/>
          <w:sz w:val="22"/>
          <w:szCs w:val="22"/>
          <w:lang w:eastAsia="en-GB"/>
          <w14:ligatures w14:val="none"/>
        </w:rPr>
        <w:t>Analyse</w:t>
      </w:r>
      <w:r w:rsidRPr="00955A2D">
        <w:rPr>
          <w:rFonts w:ascii="Arial" w:eastAsia="Times New Roman" w:hAnsi="Arial" w:cs="Arial"/>
          <w:kern w:val="0"/>
          <w:sz w:val="22"/>
          <w:szCs w:val="22"/>
          <w:lang w:eastAsia="en-GB"/>
          <w14:ligatures w14:val="none"/>
        </w:rPr>
        <w:t xml:space="preserve"> the impact of socioeconomic deprivation on risk factors, diagnosis, and management of alcohol-related, policy and Care acts for dementia (Mayrhofer, et.al., 2020).</w:t>
      </w:r>
    </w:p>
    <w:p w14:paraId="4BEBE5FE" w14:textId="77777777" w:rsidR="00491B19" w:rsidRPr="00955A2D" w:rsidRDefault="00491B19" w:rsidP="00491B19">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b/>
          <w:bCs/>
          <w:kern w:val="0"/>
          <w:sz w:val="22"/>
          <w:szCs w:val="22"/>
          <w:lang w:eastAsia="en-GB"/>
          <w14:ligatures w14:val="none"/>
        </w:rPr>
        <w:t>Evaluate</w:t>
      </w:r>
      <w:r w:rsidRPr="00955A2D">
        <w:rPr>
          <w:rFonts w:ascii="Arial" w:eastAsia="Times New Roman" w:hAnsi="Arial" w:cs="Arial"/>
          <w:kern w:val="0"/>
          <w:sz w:val="22"/>
          <w:szCs w:val="22"/>
          <w:lang w:eastAsia="en-GB"/>
          <w14:ligatures w14:val="none"/>
        </w:rPr>
        <w:t xml:space="preserve"> existing health and social care strategies addressing YOD in deprived communities, identifying strengths and limitations.</w:t>
      </w:r>
    </w:p>
    <w:p w14:paraId="33E31A11" w14:textId="77777777" w:rsidR="00491B19" w:rsidRPr="00955A2D" w:rsidRDefault="00491B19" w:rsidP="00491B19">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b/>
          <w:bCs/>
          <w:kern w:val="0"/>
          <w:sz w:val="22"/>
          <w:szCs w:val="22"/>
          <w:lang w:eastAsia="en-GB"/>
          <w14:ligatures w14:val="none"/>
        </w:rPr>
        <w:t>Provide recommendations</w:t>
      </w:r>
      <w:r w:rsidRPr="00955A2D">
        <w:rPr>
          <w:rFonts w:ascii="Arial" w:eastAsia="Times New Roman" w:hAnsi="Arial" w:cs="Arial"/>
          <w:kern w:val="0"/>
          <w:sz w:val="22"/>
          <w:szCs w:val="22"/>
          <w:lang w:eastAsia="en-GB"/>
          <w14:ligatures w14:val="none"/>
        </w:rPr>
        <w:t xml:space="preserve"> for prevention, early intervention, and improved service delivery to reduce inequalities in dementia care and outcomes.</w:t>
      </w:r>
    </w:p>
    <w:p w14:paraId="2A6BBB05" w14:textId="77777777" w:rsidR="00491B19" w:rsidRPr="00955A2D" w:rsidRDefault="00491B19" w:rsidP="00491B19">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Background / Rationale</w:t>
      </w:r>
    </w:p>
    <w:p w14:paraId="01F2752E" w14:textId="77777777" w:rsidR="00491B19" w:rsidRPr="00BC0FB0" w:rsidRDefault="00491B19" w:rsidP="00491B19">
      <w:pPr>
        <w:spacing w:line="360" w:lineRule="auto"/>
        <w:rPr>
          <w:rFonts w:ascii="Times New Roman" w:eastAsia="Times New Roman" w:hAnsi="Times New Roman" w:cs="Times New Roman"/>
          <w:kern w:val="0"/>
          <w:lang w:eastAsia="en-GB"/>
          <w14:ligatures w14:val="none"/>
        </w:rPr>
      </w:pPr>
      <w:r w:rsidRPr="00955A2D">
        <w:rPr>
          <w:rFonts w:ascii="Arial" w:eastAsia="Times New Roman" w:hAnsi="Arial" w:cs="Arial"/>
          <w:kern w:val="0"/>
          <w:sz w:val="22"/>
          <w:szCs w:val="22"/>
          <w:lang w:eastAsia="en-GB"/>
          <w14:ligatures w14:val="none"/>
        </w:rPr>
        <w:t>Young onset dementia (YOD), diagnosed before the age of 65, accounts for approximately 5–9% of dementia cases globally (Harvey et al.,</w:t>
      </w:r>
      <w:r>
        <w:rPr>
          <w:rFonts w:ascii="Arial" w:eastAsia="Times New Roman" w:hAnsi="Arial" w:cs="Arial"/>
          <w:kern w:val="0"/>
          <w:sz w:val="22"/>
          <w:szCs w:val="22"/>
          <w:lang w:eastAsia="en-GB"/>
          <w14:ligatures w14:val="none"/>
        </w:rPr>
        <w:t xml:space="preserve"> </w:t>
      </w:r>
      <w:r w:rsidRPr="00955A2D">
        <w:rPr>
          <w:rFonts w:ascii="Arial" w:eastAsia="Times New Roman" w:hAnsi="Arial" w:cs="Arial"/>
          <w:kern w:val="0"/>
          <w:sz w:val="22"/>
          <w:szCs w:val="22"/>
          <w:lang w:eastAsia="en-GB"/>
          <w14:ligatures w14:val="none"/>
        </w:rPr>
        <w:t>2003;</w:t>
      </w:r>
      <w:r w:rsidRPr="00642545">
        <w:rPr>
          <w:rFonts w:ascii="Arial" w:eastAsia="Times New Roman" w:hAnsi="Arial" w:cs="Arial"/>
          <w:kern w:val="0"/>
          <w:sz w:val="22"/>
          <w:szCs w:val="22"/>
          <w:lang w:eastAsia="en-GB"/>
          <w14:ligatures w14:val="none"/>
        </w:rPr>
        <w:t>Hendriks et al., 2021)</w:t>
      </w:r>
      <w:r w:rsidRPr="00955A2D">
        <w:rPr>
          <w:rFonts w:ascii="Arial" w:eastAsia="Times New Roman" w:hAnsi="Arial" w:cs="Arial"/>
          <w:kern w:val="0"/>
          <w:sz w:val="22"/>
          <w:szCs w:val="22"/>
          <w:lang w:eastAsia="en-GB"/>
          <w14:ligatures w14:val="none"/>
        </w:rPr>
        <w:t>. Alcohol misuse is recognised as a modifiable risk factor for early cognitive decline, associated with structural brain damage and increased vulnerability to neurodegenerative conditions (Sabia et al., 2018). Individuals in socioeconomically deprived areas experience higher rates of alcohol misuse, poorer access to healthcare, and limited support services, intensifying their risk (Erskine et al., 2010</w:t>
      </w:r>
      <w:r>
        <w:rPr>
          <w:rFonts w:ascii="Arial" w:eastAsia="Times New Roman" w:hAnsi="Arial" w:cs="Arial"/>
          <w:kern w:val="0"/>
          <w:sz w:val="22"/>
          <w:szCs w:val="22"/>
          <w:lang w:eastAsia="en-GB"/>
          <w14:ligatures w14:val="none"/>
        </w:rPr>
        <w:t>;</w:t>
      </w:r>
      <w:r w:rsidRPr="00BC0FB0">
        <w:rPr>
          <w:rFonts w:ascii="Times New Roman" w:eastAsia="Times New Roman" w:hAnsi="Times New Roman" w:cs="Times New Roman"/>
          <w:kern w:val="0"/>
          <w:lang w:eastAsia="en-GB"/>
          <w14:ligatures w14:val="none"/>
        </w:rPr>
        <w:t>Li et al., 2023)</w:t>
      </w:r>
      <w:r>
        <w:rPr>
          <w:rFonts w:ascii="Times New Roman" w:eastAsia="Times New Roman" w:hAnsi="Times New Roman" w:cs="Times New Roman"/>
          <w:kern w:val="0"/>
          <w:lang w:eastAsia="en-GB"/>
          <w14:ligatures w14:val="none"/>
        </w:rPr>
        <w:t>.</w:t>
      </w:r>
    </w:p>
    <w:p w14:paraId="4D860854" w14:textId="77777777" w:rsidR="00491B19" w:rsidRPr="00CD738F" w:rsidRDefault="00491B19" w:rsidP="00491B19">
      <w:pPr>
        <w:spacing w:line="360" w:lineRule="auto"/>
        <w:rPr>
          <w:rFonts w:ascii="Times New Roman" w:eastAsia="Times New Roman" w:hAnsi="Times New Roman" w:cs="Times New Roman"/>
          <w:kern w:val="0"/>
          <w:lang w:eastAsia="en-GB"/>
          <w14:ligatures w14:val="none"/>
        </w:rPr>
      </w:pPr>
      <w:r w:rsidRPr="00955A2D">
        <w:rPr>
          <w:rFonts w:ascii="Arial" w:hAnsi="Arial" w:cs="Arial"/>
          <w:sz w:val="22"/>
          <w:szCs w:val="22"/>
        </w:rPr>
        <w:t>Despite evidence linking alcohol to dementia, research disproportionately focuses on late-onset cases, with limited attention to YOD in deprived populations</w:t>
      </w:r>
      <w:r w:rsidRPr="00955A2D">
        <w:rPr>
          <w:rFonts w:ascii="Arial" w:hAnsi="Arial" w:cs="Arial"/>
          <w:color w:val="2C3E50"/>
          <w:sz w:val="22"/>
          <w:szCs w:val="22"/>
          <w:shd w:val="clear" w:color="auto" w:fill="FFFFFF"/>
        </w:rPr>
        <w:t xml:space="preserve"> </w:t>
      </w:r>
      <w:r w:rsidRPr="00955A2D">
        <w:rPr>
          <w:rFonts w:ascii="Arial" w:hAnsi="Arial" w:cs="Arial"/>
          <w:sz w:val="22"/>
          <w:szCs w:val="22"/>
        </w:rPr>
        <w:t xml:space="preserve">(Hendriks et al., 2023). This gap has significant implications for health and social care, as early-onset cases often affect working-age adults with dependent families, creating wider social and economic </w:t>
      </w:r>
      <w:r w:rsidRPr="00955A2D">
        <w:rPr>
          <w:rFonts w:ascii="Arial" w:hAnsi="Arial" w:cs="Arial"/>
          <w:sz w:val="22"/>
          <w:szCs w:val="22"/>
        </w:rPr>
        <w:lastRenderedPageBreak/>
        <w:t>burdens</w:t>
      </w:r>
      <w:r w:rsidRPr="00955A2D">
        <w:rPr>
          <w:rFonts w:ascii="Arial" w:hAnsi="Arial" w:cs="Arial"/>
          <w:color w:val="2C3E50"/>
          <w:sz w:val="22"/>
          <w:szCs w:val="22"/>
          <w:shd w:val="clear" w:color="auto" w:fill="FFFFFF"/>
        </w:rPr>
        <w:t xml:space="preserve"> </w:t>
      </w:r>
      <w:r w:rsidRPr="00955A2D">
        <w:rPr>
          <w:rFonts w:ascii="Arial" w:hAnsi="Arial" w:cs="Arial"/>
          <w:sz w:val="22"/>
          <w:szCs w:val="22"/>
        </w:rPr>
        <w:t>(Roach, Drummond and Keady, 2016</w:t>
      </w:r>
      <w:r>
        <w:rPr>
          <w:rFonts w:ascii="Arial" w:hAnsi="Arial" w:cs="Arial"/>
          <w:sz w:val="22"/>
          <w:szCs w:val="22"/>
        </w:rPr>
        <w:t>;He et al., 2025</w:t>
      </w:r>
      <w:r w:rsidRPr="00955A2D">
        <w:rPr>
          <w:rFonts w:ascii="Arial" w:hAnsi="Arial" w:cs="Arial"/>
          <w:sz w:val="22"/>
          <w:szCs w:val="22"/>
        </w:rPr>
        <w:t xml:space="preserve">). This research is therefore timely and necessary to generate evidence-based recommendations for policy and practice, targeting a neglected and vulnerable group. Relevant legislation, including the Care Act 2014 and Equality Act 2010, underpins equitable dementia support and service provision, </w:t>
      </w:r>
      <w:r w:rsidRPr="008A44E9">
        <w:rPr>
          <w:rFonts w:ascii="Ariel" w:hAnsi="Ariel" w:cs="Arial"/>
          <w:sz w:val="22"/>
          <w:szCs w:val="22"/>
        </w:rPr>
        <w:t>(</w:t>
      </w:r>
      <w:r w:rsidRPr="008A44E9">
        <w:rPr>
          <w:rFonts w:ascii="Ariel" w:hAnsi="Ariel"/>
          <w:sz w:val="22"/>
          <w:szCs w:val="22"/>
        </w:rPr>
        <w:t>James et al., 2022</w:t>
      </w:r>
      <w:r>
        <w:rPr>
          <w:rFonts w:ascii="Times New Roman" w:eastAsia="Times New Roman" w:hAnsi="Times New Roman" w:cs="Times New Roman"/>
          <w:kern w:val="0"/>
          <w:lang w:eastAsia="en-GB"/>
          <w14:ligatures w14:val="none"/>
        </w:rPr>
        <w:t>;</w:t>
      </w:r>
      <w:r w:rsidRPr="008A44E9">
        <w:rPr>
          <w:rFonts w:ascii="Ariel" w:hAnsi="Ariel"/>
          <w:sz w:val="22"/>
          <w:szCs w:val="22"/>
        </w:rPr>
        <w:t>Vinay et al. 2023)</w:t>
      </w:r>
      <w:r w:rsidRPr="008A44E9">
        <w:rPr>
          <w:rFonts w:ascii="Ariel" w:eastAsia="Times New Roman" w:hAnsi="Ariel" w:cs="Times New Roman"/>
          <w:kern w:val="0"/>
          <w:sz w:val="22"/>
          <w:szCs w:val="22"/>
          <w:lang w:eastAsia="en-GB"/>
          <w14:ligatures w14:val="none"/>
        </w:rPr>
        <w:t>.</w:t>
      </w:r>
    </w:p>
    <w:p w14:paraId="29FA5536"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Methods</w:t>
      </w:r>
    </w:p>
    <w:p w14:paraId="03A3C92B" w14:textId="77777777" w:rsidR="00491B19" w:rsidRPr="00955A2D" w:rsidRDefault="00491B19" w:rsidP="00491B1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This project will employ a secondary research methodology. Data will be obtained from peer-reviewed research publications, policy documents, and systematic reviews published in the past 20 years. The selection criteria will encompass relevance to YOD, alcohol misuse, and socioeconomic disadvantage. The analysis will employ a thematic evaluation to find repeating themes across research, thereby highlighting deficiencies in practice and evidence. Ethical implications have been acknowledged, which encompass precise citation, compliance with UWTSD Harvard referencing style, and the avoidance of plagiarism by paraphrasing and critical engagement with sources (UWTSD, 2025).</w:t>
      </w:r>
    </w:p>
    <w:p w14:paraId="3D693436"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Resources</w:t>
      </w:r>
    </w:p>
    <w:p w14:paraId="0804E14C" w14:textId="77777777" w:rsidR="00491B19" w:rsidRPr="00955A2D" w:rsidRDefault="00491B19" w:rsidP="00491B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 xml:space="preserve">Online databases: PubMed, PsycINFO, </w:t>
      </w:r>
    </w:p>
    <w:p w14:paraId="3E43E6BE" w14:textId="77777777" w:rsidR="00491B19" w:rsidRPr="00955A2D" w:rsidRDefault="00491B19" w:rsidP="00491B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University library access</w:t>
      </w:r>
    </w:p>
    <w:p w14:paraId="4DF7E176" w14:textId="77777777" w:rsidR="00491B19" w:rsidRPr="00955A2D" w:rsidRDefault="00491B19" w:rsidP="00491B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Webpages</w:t>
      </w:r>
    </w:p>
    <w:p w14:paraId="39914EEC" w14:textId="77777777" w:rsidR="00491B19" w:rsidRPr="00955A2D" w:rsidRDefault="00491B19" w:rsidP="00491B19">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Books</w:t>
      </w:r>
    </w:p>
    <w:p w14:paraId="168D9286"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 xml:space="preserve">Timescale Table </w:t>
      </w:r>
    </w:p>
    <w:tbl>
      <w:tblPr>
        <w:tblStyle w:val="TableGrid"/>
        <w:tblW w:w="0" w:type="auto"/>
        <w:tblLook w:val="04A0" w:firstRow="1" w:lastRow="0" w:firstColumn="1" w:lastColumn="0" w:noHBand="0" w:noVBand="1"/>
      </w:tblPr>
      <w:tblGrid>
        <w:gridCol w:w="3539"/>
        <w:gridCol w:w="5477"/>
      </w:tblGrid>
      <w:tr w:rsidR="00491B19" w:rsidRPr="00955A2D" w14:paraId="4B6184DA" w14:textId="77777777" w:rsidTr="009A5160">
        <w:tc>
          <w:tcPr>
            <w:tcW w:w="3539" w:type="dxa"/>
          </w:tcPr>
          <w:p w14:paraId="503AC98A"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Weeks 1-3</w:t>
            </w:r>
          </w:p>
        </w:tc>
        <w:tc>
          <w:tcPr>
            <w:tcW w:w="5477" w:type="dxa"/>
          </w:tcPr>
          <w:p w14:paraId="7A528913"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Project Proposal 500-words</w:t>
            </w:r>
          </w:p>
        </w:tc>
      </w:tr>
      <w:tr w:rsidR="00491B19" w:rsidRPr="00955A2D" w14:paraId="2BF2A9BA" w14:textId="77777777" w:rsidTr="009A5160">
        <w:tc>
          <w:tcPr>
            <w:tcW w:w="3539" w:type="dxa"/>
          </w:tcPr>
          <w:p w14:paraId="77328F36"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Weeks 4-5</w:t>
            </w:r>
          </w:p>
        </w:tc>
        <w:tc>
          <w:tcPr>
            <w:tcW w:w="5477" w:type="dxa"/>
          </w:tcPr>
          <w:p w14:paraId="69ACF9A9"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Introduction 1,000 words</w:t>
            </w:r>
          </w:p>
        </w:tc>
      </w:tr>
      <w:tr w:rsidR="00491B19" w:rsidRPr="00955A2D" w14:paraId="11EC9B0D" w14:textId="77777777" w:rsidTr="009A5160">
        <w:tc>
          <w:tcPr>
            <w:tcW w:w="3539" w:type="dxa"/>
          </w:tcPr>
          <w:p w14:paraId="17661C8A"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Weeks 6-7</w:t>
            </w:r>
          </w:p>
        </w:tc>
        <w:tc>
          <w:tcPr>
            <w:tcW w:w="5477" w:type="dxa"/>
          </w:tcPr>
          <w:p w14:paraId="4361970D"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Literature Review Background 2,000 words</w:t>
            </w:r>
          </w:p>
        </w:tc>
      </w:tr>
      <w:tr w:rsidR="00491B19" w:rsidRPr="00955A2D" w14:paraId="479CAF8D" w14:textId="77777777" w:rsidTr="009A5160">
        <w:tc>
          <w:tcPr>
            <w:tcW w:w="3539" w:type="dxa"/>
          </w:tcPr>
          <w:p w14:paraId="3D050695"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Weeks 8-9</w:t>
            </w:r>
          </w:p>
        </w:tc>
        <w:tc>
          <w:tcPr>
            <w:tcW w:w="5477" w:type="dxa"/>
          </w:tcPr>
          <w:p w14:paraId="04DA5933"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Methodology poster + Methods 1,500 words</w:t>
            </w:r>
          </w:p>
        </w:tc>
      </w:tr>
      <w:tr w:rsidR="00491B19" w:rsidRPr="00955A2D" w14:paraId="375B0B84" w14:textId="77777777" w:rsidTr="009A5160">
        <w:tc>
          <w:tcPr>
            <w:tcW w:w="3539" w:type="dxa"/>
          </w:tcPr>
          <w:p w14:paraId="61078CA3"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Weeks10-13</w:t>
            </w:r>
          </w:p>
        </w:tc>
        <w:tc>
          <w:tcPr>
            <w:tcW w:w="5477" w:type="dxa"/>
          </w:tcPr>
          <w:p w14:paraId="79AB2FF0"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Data collection and Analysis</w:t>
            </w:r>
          </w:p>
        </w:tc>
      </w:tr>
      <w:tr w:rsidR="00491B19" w:rsidRPr="00955A2D" w14:paraId="59841660" w14:textId="77777777" w:rsidTr="009A5160">
        <w:tc>
          <w:tcPr>
            <w:tcW w:w="3539" w:type="dxa"/>
          </w:tcPr>
          <w:p w14:paraId="3AD58E36"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Weeks 14-17</w:t>
            </w:r>
          </w:p>
        </w:tc>
        <w:tc>
          <w:tcPr>
            <w:tcW w:w="5477" w:type="dxa"/>
          </w:tcPr>
          <w:p w14:paraId="2DBD7D7E"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Thematic review 4,000 words</w:t>
            </w:r>
          </w:p>
        </w:tc>
      </w:tr>
      <w:tr w:rsidR="00491B19" w:rsidRPr="00955A2D" w14:paraId="69201424" w14:textId="77777777" w:rsidTr="009A5160">
        <w:tc>
          <w:tcPr>
            <w:tcW w:w="3539" w:type="dxa"/>
          </w:tcPr>
          <w:p w14:paraId="3B5B4548"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 18</w:t>
            </w:r>
          </w:p>
        </w:tc>
        <w:tc>
          <w:tcPr>
            <w:tcW w:w="5477" w:type="dxa"/>
          </w:tcPr>
          <w:p w14:paraId="377D9DEB"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Recommendation and conclusion 1,000 words</w:t>
            </w:r>
          </w:p>
        </w:tc>
      </w:tr>
      <w:tr w:rsidR="00491B19" w:rsidRPr="00955A2D" w14:paraId="0FA48E3C" w14:textId="77777777" w:rsidTr="009A5160">
        <w:tc>
          <w:tcPr>
            <w:tcW w:w="3539" w:type="dxa"/>
          </w:tcPr>
          <w:p w14:paraId="0EB185C5"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 19</w:t>
            </w:r>
          </w:p>
        </w:tc>
        <w:tc>
          <w:tcPr>
            <w:tcW w:w="5477" w:type="dxa"/>
          </w:tcPr>
          <w:p w14:paraId="4B657E21"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Full Draft 10,000 words complied</w:t>
            </w:r>
          </w:p>
        </w:tc>
      </w:tr>
      <w:tr w:rsidR="00491B19" w:rsidRPr="00955A2D" w14:paraId="39BEAB02" w14:textId="77777777" w:rsidTr="009A5160">
        <w:tc>
          <w:tcPr>
            <w:tcW w:w="3539" w:type="dxa"/>
          </w:tcPr>
          <w:p w14:paraId="36F149E5" w14:textId="77777777" w:rsidR="00491B19" w:rsidRPr="00955A2D" w:rsidRDefault="00491B19" w:rsidP="009A5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55A2D">
              <w:rPr>
                <w:rFonts w:ascii="Arial" w:eastAsia="Times New Roman" w:hAnsi="Arial" w:cs="Arial"/>
                <w:b/>
                <w:bCs/>
                <w:kern w:val="0"/>
                <w:sz w:val="22"/>
                <w:szCs w:val="22"/>
                <w:lang w:eastAsia="en-GB"/>
                <w14:ligatures w14:val="none"/>
              </w:rPr>
              <w:t>Week 20</w:t>
            </w:r>
          </w:p>
        </w:tc>
        <w:tc>
          <w:tcPr>
            <w:tcW w:w="5477" w:type="dxa"/>
          </w:tcPr>
          <w:p w14:paraId="61ACB593" w14:textId="77777777" w:rsidR="00491B19" w:rsidRPr="00955A2D" w:rsidRDefault="00491B19" w:rsidP="009A5160">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Final review and submission of dissertation</w:t>
            </w:r>
          </w:p>
        </w:tc>
      </w:tr>
    </w:tbl>
    <w:p w14:paraId="62B34710"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noProof/>
          <w:kern w:val="0"/>
          <w:sz w:val="22"/>
          <w:szCs w:val="22"/>
          <w:u w:val="single"/>
          <w:lang w:eastAsia="en-GB"/>
          <w14:ligatures w14:val="none"/>
        </w:rPr>
        <w:lastRenderedPageBreak/>
        <w:drawing>
          <wp:inline distT="0" distB="0" distL="0" distR="0" wp14:anchorId="23DBE381" wp14:editId="5BCE664E">
            <wp:extent cx="6072235" cy="3735070"/>
            <wp:effectExtent l="0" t="0" r="5080" b="0"/>
            <wp:docPr id="717107577" name="Picture 1" descr="A graph showing a number of wee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07577" name="Picture 1" descr="A graph showing a number of weeks&#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115759" cy="3761842"/>
                    </a:xfrm>
                    <a:prstGeom prst="rect">
                      <a:avLst/>
                    </a:prstGeom>
                    <a:noFill/>
                  </pic:spPr>
                </pic:pic>
              </a:graphicData>
            </a:graphic>
          </wp:inline>
        </w:drawing>
      </w:r>
    </w:p>
    <w:p w14:paraId="12BA1AC4" w14:textId="77777777" w:rsidR="00491B19" w:rsidRPr="00955A2D" w:rsidRDefault="00491B19" w:rsidP="00491B19">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Above bar graph is showing the whole dissertation Schedule. Weeks 10/13 is data collecting weeks, week 20 is submission week for dissertation. .</w:t>
      </w:r>
    </w:p>
    <w:p w14:paraId="08A17E8A" w14:textId="77777777" w:rsidR="00491B19" w:rsidRPr="00955A2D" w:rsidRDefault="00491B19" w:rsidP="00491B19">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955A2D">
        <w:rPr>
          <w:rFonts w:ascii="Arial" w:eastAsia="Times New Roman" w:hAnsi="Arial" w:cs="Arial"/>
          <w:b/>
          <w:bCs/>
          <w:kern w:val="0"/>
          <w:sz w:val="22"/>
          <w:szCs w:val="22"/>
          <w:u w:val="single"/>
          <w:lang w:eastAsia="en-GB"/>
          <w14:ligatures w14:val="none"/>
        </w:rPr>
        <w:t>Self-reflection as researcher</w:t>
      </w:r>
    </w:p>
    <w:p w14:paraId="3680237D" w14:textId="77777777" w:rsidR="00491B19" w:rsidRPr="00955A2D" w:rsidRDefault="00491B19" w:rsidP="00491B19">
      <w:pPr>
        <w:spacing w:after="0" w:line="360" w:lineRule="auto"/>
        <w:rPr>
          <w:rFonts w:ascii="Arial" w:eastAsia="Times New Roman" w:hAnsi="Arial" w:cs="Arial"/>
          <w:kern w:val="0"/>
          <w:sz w:val="22"/>
          <w:szCs w:val="22"/>
          <w:lang w:eastAsia="en-GB"/>
          <w14:ligatures w14:val="none"/>
        </w:rPr>
      </w:pPr>
      <w:r w:rsidRPr="00955A2D">
        <w:rPr>
          <w:rFonts w:ascii="Arial" w:eastAsia="Times New Roman" w:hAnsi="Arial" w:cs="Arial"/>
          <w:kern w:val="0"/>
          <w:sz w:val="22"/>
          <w:szCs w:val="22"/>
          <w:lang w:eastAsia="en-GB"/>
          <w14:ligatures w14:val="none"/>
        </w:rPr>
        <w:t>The researcher exhibits exceptional organizational abilities and expertise in the critical evaluation of peer-reviewed literature. A primary issue expected in the study is the delineation of scope, considering the scant research on alcohol-related young-onset dementia (YOD). The researcher aims to enhance proficiency in systematic literature reviewing, thematic analysis, and critical evaluation to promote future research and inform professional practice.</w:t>
      </w:r>
    </w:p>
    <w:p w14:paraId="6CDE4474" w14:textId="77777777" w:rsidR="00491B19" w:rsidRPr="00955A2D" w:rsidRDefault="00491B19" w:rsidP="00491B19">
      <w:pPr>
        <w:spacing w:before="100" w:beforeAutospacing="1" w:after="100" w:afterAutospacing="1" w:line="360" w:lineRule="auto"/>
        <w:outlineLvl w:val="1"/>
        <w:rPr>
          <w:rFonts w:ascii="Arial" w:eastAsia="Times New Roman" w:hAnsi="Arial" w:cs="Arial"/>
          <w:b/>
          <w:bCs/>
          <w:kern w:val="0"/>
          <w:sz w:val="22"/>
          <w:szCs w:val="22"/>
          <w:u w:val="single"/>
          <w:lang w:eastAsia="en-GB"/>
          <w14:ligatures w14:val="none"/>
        </w:rPr>
      </w:pPr>
    </w:p>
    <w:p w14:paraId="25F51260" w14:textId="77777777" w:rsidR="00491B19" w:rsidRPr="00B67E95" w:rsidRDefault="00491B19" w:rsidP="00491B19">
      <w:pPr>
        <w:spacing w:before="100" w:beforeAutospacing="1" w:after="100" w:afterAutospacing="1" w:line="360" w:lineRule="auto"/>
        <w:outlineLvl w:val="1"/>
        <w:rPr>
          <w:rFonts w:ascii="Ariel" w:eastAsia="Times New Roman" w:hAnsi="Ariel" w:cs="Times New Roman"/>
          <w:b/>
          <w:bCs/>
          <w:kern w:val="0"/>
          <w:sz w:val="22"/>
          <w:szCs w:val="22"/>
          <w:u w:val="single"/>
          <w:lang w:eastAsia="en-GB"/>
          <w14:ligatures w14:val="none"/>
        </w:rPr>
      </w:pPr>
    </w:p>
    <w:p w14:paraId="45CEA6A5" w14:textId="77777777" w:rsidR="00491B19" w:rsidRDefault="00491B19" w:rsidP="00491B19">
      <w:pPr>
        <w:spacing w:before="100" w:beforeAutospacing="1" w:after="100" w:afterAutospacing="1" w:line="360" w:lineRule="auto"/>
        <w:outlineLvl w:val="1"/>
        <w:rPr>
          <w:rFonts w:ascii="Times New Roman" w:eastAsia="Times New Roman" w:hAnsi="Times New Roman" w:cs="Times New Roman"/>
          <w:b/>
          <w:bCs/>
          <w:kern w:val="0"/>
          <w:sz w:val="36"/>
          <w:szCs w:val="36"/>
          <w:u w:val="single"/>
          <w:lang w:eastAsia="en-GB"/>
          <w14:ligatures w14:val="none"/>
        </w:rPr>
      </w:pPr>
    </w:p>
    <w:p w14:paraId="3D8C8FA9" w14:textId="77777777" w:rsidR="00491B19" w:rsidRDefault="00491B19"/>
    <w:sectPr w:rsidR="00491B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25379"/>
    <w:multiLevelType w:val="multilevel"/>
    <w:tmpl w:val="22348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057938"/>
    <w:multiLevelType w:val="multilevel"/>
    <w:tmpl w:val="7DC4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6188835">
    <w:abstractNumId w:val="1"/>
  </w:num>
  <w:num w:numId="2" w16cid:durableId="801074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B19"/>
    <w:rsid w:val="00021079"/>
    <w:rsid w:val="00491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155DD"/>
  <w15:chartTrackingRefBased/>
  <w15:docId w15:val="{3CA728A5-FDE6-45AD-829A-C0C818FF1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B19"/>
  </w:style>
  <w:style w:type="paragraph" w:styleId="Heading1">
    <w:name w:val="heading 1"/>
    <w:basedOn w:val="Normal"/>
    <w:next w:val="Normal"/>
    <w:link w:val="Heading1Char"/>
    <w:uiPriority w:val="9"/>
    <w:qFormat/>
    <w:rsid w:val="00491B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1B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B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B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B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B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B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B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B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B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1B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B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B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B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B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B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B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B19"/>
    <w:rPr>
      <w:rFonts w:eastAsiaTheme="majorEastAsia" w:cstheme="majorBidi"/>
      <w:color w:val="272727" w:themeColor="text1" w:themeTint="D8"/>
    </w:rPr>
  </w:style>
  <w:style w:type="paragraph" w:styleId="Title">
    <w:name w:val="Title"/>
    <w:basedOn w:val="Normal"/>
    <w:next w:val="Normal"/>
    <w:link w:val="TitleChar"/>
    <w:uiPriority w:val="10"/>
    <w:qFormat/>
    <w:rsid w:val="00491B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B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B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B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B19"/>
    <w:pPr>
      <w:spacing w:before="160"/>
      <w:jc w:val="center"/>
    </w:pPr>
    <w:rPr>
      <w:i/>
      <w:iCs/>
      <w:color w:val="404040" w:themeColor="text1" w:themeTint="BF"/>
    </w:rPr>
  </w:style>
  <w:style w:type="character" w:customStyle="1" w:styleId="QuoteChar">
    <w:name w:val="Quote Char"/>
    <w:basedOn w:val="DefaultParagraphFont"/>
    <w:link w:val="Quote"/>
    <w:uiPriority w:val="29"/>
    <w:rsid w:val="00491B19"/>
    <w:rPr>
      <w:i/>
      <w:iCs/>
      <w:color w:val="404040" w:themeColor="text1" w:themeTint="BF"/>
    </w:rPr>
  </w:style>
  <w:style w:type="paragraph" w:styleId="ListParagraph">
    <w:name w:val="List Paragraph"/>
    <w:basedOn w:val="Normal"/>
    <w:uiPriority w:val="34"/>
    <w:qFormat/>
    <w:rsid w:val="00491B19"/>
    <w:pPr>
      <w:ind w:left="720"/>
      <w:contextualSpacing/>
    </w:pPr>
  </w:style>
  <w:style w:type="character" w:styleId="IntenseEmphasis">
    <w:name w:val="Intense Emphasis"/>
    <w:basedOn w:val="DefaultParagraphFont"/>
    <w:uiPriority w:val="21"/>
    <w:qFormat/>
    <w:rsid w:val="00491B19"/>
    <w:rPr>
      <w:i/>
      <w:iCs/>
      <w:color w:val="0F4761" w:themeColor="accent1" w:themeShade="BF"/>
    </w:rPr>
  </w:style>
  <w:style w:type="paragraph" w:styleId="IntenseQuote">
    <w:name w:val="Intense Quote"/>
    <w:basedOn w:val="Normal"/>
    <w:next w:val="Normal"/>
    <w:link w:val="IntenseQuoteChar"/>
    <w:uiPriority w:val="30"/>
    <w:qFormat/>
    <w:rsid w:val="00491B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B19"/>
    <w:rPr>
      <w:i/>
      <w:iCs/>
      <w:color w:val="0F4761" w:themeColor="accent1" w:themeShade="BF"/>
    </w:rPr>
  </w:style>
  <w:style w:type="character" w:styleId="IntenseReference">
    <w:name w:val="Intense Reference"/>
    <w:basedOn w:val="DefaultParagraphFont"/>
    <w:uiPriority w:val="32"/>
    <w:qFormat/>
    <w:rsid w:val="00491B19"/>
    <w:rPr>
      <w:b/>
      <w:bCs/>
      <w:smallCaps/>
      <w:color w:val="0F4761" w:themeColor="accent1" w:themeShade="BF"/>
      <w:spacing w:val="5"/>
    </w:rPr>
  </w:style>
  <w:style w:type="table" w:styleId="TableGrid">
    <w:name w:val="Table Grid"/>
    <w:basedOn w:val="TableNormal"/>
    <w:uiPriority w:val="39"/>
    <w:rsid w:val="00491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644</Words>
  <Characters>3674</Characters>
  <Application>Microsoft Office Word</Application>
  <DocSecurity>0</DocSecurity>
  <Lines>30</Lines>
  <Paragraphs>8</Paragraphs>
  <ScaleCrop>false</ScaleCrop>
  <Company/>
  <LinksUpToDate>false</LinksUpToDate>
  <CharactersWithSpaces>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Begum</dc:creator>
  <cp:keywords/>
  <dc:description/>
  <cp:lastModifiedBy>Zak Begum</cp:lastModifiedBy>
  <cp:revision>1</cp:revision>
  <dcterms:created xsi:type="dcterms:W3CDTF">2025-10-17T14:04:00Z</dcterms:created>
  <dcterms:modified xsi:type="dcterms:W3CDTF">2025-10-17T14:04:00Z</dcterms:modified>
</cp:coreProperties>
</file>