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943A4" w14:textId="77777777" w:rsidR="00063B4C" w:rsidRDefault="00063B4C" w:rsidP="003D79B5">
      <w:pPr>
        <w:jc w:val="left"/>
      </w:pPr>
    </w:p>
    <w:p w14:paraId="7CE514EB" w14:textId="77777777" w:rsidR="00995444" w:rsidRPr="00CF4B34" w:rsidRDefault="00995444" w:rsidP="00B3533B">
      <w:pPr>
        <w:jc w:val="center"/>
        <w:rPr>
          <w:rFonts w:ascii="Arial" w:eastAsia="Arial Unicode MS" w:hAnsi="Arial" w:cs="Arial"/>
          <w:b/>
          <w:sz w:val="36"/>
          <w:szCs w:val="36"/>
        </w:rPr>
      </w:pPr>
    </w:p>
    <w:p w14:paraId="0FC75915" w14:textId="48B51CFD" w:rsidR="00995444" w:rsidRPr="00CF4B34" w:rsidRDefault="00706ECD" w:rsidP="00B3533B">
      <w:pPr>
        <w:jc w:val="center"/>
        <w:rPr>
          <w:rFonts w:eastAsia="Times New Roman" w:cs="Times New Roman"/>
          <w:b/>
          <w:sz w:val="36"/>
          <w:szCs w:val="36"/>
        </w:rPr>
      </w:pPr>
      <w:r w:rsidRPr="00CF4B34">
        <w:rPr>
          <w:b/>
          <w:sz w:val="36"/>
          <w:szCs w:val="36"/>
        </w:rPr>
        <w:t>The Impact of Family Support in Improving Mental Health Outcomes Among Adults with Chronic Conditions in the UK.</w:t>
      </w:r>
    </w:p>
    <w:p w14:paraId="4F2E3EB5" w14:textId="77777777" w:rsidR="00B3533B" w:rsidRPr="00CF4B34" w:rsidRDefault="00B3533B" w:rsidP="00B3533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36"/>
        </w:rPr>
      </w:pPr>
    </w:p>
    <w:p w14:paraId="7B237FD3" w14:textId="77777777" w:rsidR="00B3533B" w:rsidRPr="00CF4B34" w:rsidRDefault="00B3533B" w:rsidP="00B3533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36"/>
        </w:rPr>
      </w:pPr>
    </w:p>
    <w:p w14:paraId="048AA63B" w14:textId="3C288FDA" w:rsidR="00B3533B" w:rsidRPr="00B3533B" w:rsidRDefault="00B3533B" w:rsidP="00B3533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36"/>
        </w:rPr>
      </w:pPr>
      <w:r w:rsidRPr="00B3533B">
        <w:rPr>
          <w:rFonts w:eastAsia="Arial Unicode MS" w:cs="Arial"/>
          <w:b/>
          <w:sz w:val="36"/>
          <w:szCs w:val="36"/>
        </w:rPr>
        <w:t>Student ID: 2239088</w:t>
      </w:r>
    </w:p>
    <w:p w14:paraId="5617D59D" w14:textId="77777777" w:rsidR="00B3533B" w:rsidRPr="00B3533B" w:rsidRDefault="00B3533B" w:rsidP="00B3533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36"/>
        </w:rPr>
      </w:pPr>
    </w:p>
    <w:p w14:paraId="11885DD2" w14:textId="49316AA2" w:rsidR="00995444" w:rsidRPr="00CF4B34" w:rsidRDefault="00B3533B" w:rsidP="00B3533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36"/>
        </w:rPr>
      </w:pPr>
      <w:r w:rsidRPr="00CF4B34">
        <w:rPr>
          <w:rFonts w:eastAsia="Arial Unicode MS" w:cs="Arial"/>
          <w:b/>
          <w:sz w:val="36"/>
          <w:szCs w:val="36"/>
        </w:rPr>
        <w:t xml:space="preserve">Student Name: </w:t>
      </w:r>
      <w:r w:rsidR="0094296D" w:rsidRPr="00CF4B34">
        <w:rPr>
          <w:rFonts w:eastAsia="Arial Unicode MS" w:cs="Arial"/>
          <w:b/>
          <w:sz w:val="36"/>
          <w:szCs w:val="36"/>
        </w:rPr>
        <w:t>Somia kausar</w:t>
      </w:r>
    </w:p>
    <w:p w14:paraId="3B886820" w14:textId="77777777" w:rsidR="00706ECD" w:rsidRPr="00995444" w:rsidRDefault="00706ECD" w:rsidP="003D7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sz w:val="40"/>
          <w:szCs w:val="40"/>
        </w:rPr>
      </w:pPr>
    </w:p>
    <w:p w14:paraId="40A3E6C2" w14:textId="77777777" w:rsidR="00995444" w:rsidRDefault="00995444" w:rsidP="003D79B5">
      <w:pPr>
        <w:jc w:val="left"/>
      </w:pPr>
    </w:p>
    <w:p w14:paraId="7EA8A979" w14:textId="77777777" w:rsidR="0073280B" w:rsidRDefault="0073280B" w:rsidP="003D79B5">
      <w:pPr>
        <w:jc w:val="left"/>
      </w:pPr>
    </w:p>
    <w:p w14:paraId="3EF52184" w14:textId="77777777" w:rsidR="00804B94" w:rsidRDefault="00804B94" w:rsidP="003D79B5">
      <w:pPr>
        <w:jc w:val="left"/>
        <w:rPr>
          <w:rFonts w:eastAsia="Calibri Light" w:cs="Calibri Light"/>
          <w:b/>
          <w:kern w:val="0"/>
          <w:sz w:val="32"/>
          <w:szCs w:val="32"/>
          <w:lang w:eastAsia="en-GB" w:bidi="en-GB"/>
          <w14:ligatures w14:val="none"/>
        </w:rPr>
      </w:pPr>
    </w:p>
    <w:p w14:paraId="7ABC388A" w14:textId="77777777" w:rsidR="003D79B5" w:rsidRDefault="003D79B5" w:rsidP="003D79B5">
      <w:pPr>
        <w:jc w:val="left"/>
      </w:pPr>
    </w:p>
    <w:p w14:paraId="52F0D83D" w14:textId="77777777" w:rsidR="00804B94" w:rsidRDefault="00804B94" w:rsidP="003D79B5">
      <w:pPr>
        <w:jc w:val="left"/>
      </w:pPr>
    </w:p>
    <w:p w14:paraId="016AA06A" w14:textId="77777777" w:rsidR="002107BE" w:rsidRDefault="002107BE" w:rsidP="003D79B5">
      <w:pPr>
        <w:jc w:val="left"/>
      </w:pPr>
    </w:p>
    <w:p w14:paraId="6684C1FD" w14:textId="77777777" w:rsidR="002107BE" w:rsidRDefault="002107BE" w:rsidP="003D79B5">
      <w:pPr>
        <w:jc w:val="left"/>
      </w:pPr>
    </w:p>
    <w:p w14:paraId="4DF07CEB" w14:textId="77777777" w:rsidR="00804B94" w:rsidRDefault="00804B94" w:rsidP="003D79B5">
      <w:pPr>
        <w:jc w:val="left"/>
      </w:pPr>
    </w:p>
    <w:p w14:paraId="66BE3F66" w14:textId="77777777" w:rsidR="00730C3C" w:rsidRDefault="00730C3C" w:rsidP="006253F8">
      <w:pPr>
        <w:pStyle w:val="Heading1"/>
        <w:ind w:left="0"/>
        <w:jc w:val="center"/>
      </w:pPr>
    </w:p>
    <w:p w14:paraId="00A49641" w14:textId="77777777" w:rsidR="009E17B9" w:rsidRDefault="009E17B9" w:rsidP="006253F8">
      <w:pPr>
        <w:pStyle w:val="Heading1"/>
        <w:ind w:left="0"/>
        <w:jc w:val="center"/>
      </w:pPr>
    </w:p>
    <w:p w14:paraId="69941E5D" w14:textId="1AC16987" w:rsidR="00EF6341" w:rsidRPr="00D71C73" w:rsidRDefault="00730C3C" w:rsidP="006253F8">
      <w:pPr>
        <w:pStyle w:val="Heading1"/>
        <w:spacing w:line="360" w:lineRule="auto"/>
        <w:ind w:left="0"/>
        <w:jc w:val="center"/>
        <w:rPr>
          <w:rFonts w:ascii="Aptos" w:hAnsi="Aptos"/>
          <w:b w:val="0"/>
        </w:rPr>
      </w:pPr>
      <w:bookmarkStart w:id="0" w:name="_Toc225717812"/>
      <w:r w:rsidRPr="00730C3C">
        <w:rPr>
          <w:rFonts w:ascii="Aptos" w:hAnsi="Aptos"/>
        </w:rPr>
        <w:t>CHAPTER 1: Introduction</w:t>
      </w:r>
      <w:bookmarkEnd w:id="0"/>
    </w:p>
    <w:p w14:paraId="7EB24CC9" w14:textId="613F1073" w:rsidR="00BD2909" w:rsidRPr="00BD2909" w:rsidRDefault="00BD2909" w:rsidP="003D79B5">
      <w:pPr>
        <w:pStyle w:val="Heading2"/>
        <w:jc w:val="left"/>
        <w:rPr>
          <w:rFonts w:cs="Segoe UI"/>
          <w:sz w:val="16"/>
          <w:szCs w:val="16"/>
        </w:rPr>
      </w:pPr>
      <w:bookmarkStart w:id="1" w:name="_Toc225717813"/>
      <w:r w:rsidRPr="00BD2909">
        <w:rPr>
          <w:rStyle w:val="normaltextrun"/>
          <w:rFonts w:cs="Arial"/>
          <w:color w:val="0F4761"/>
        </w:rPr>
        <w:t>1.1 Introduction</w:t>
      </w:r>
      <w:bookmarkEnd w:id="1"/>
      <w:r w:rsidRPr="00BD2909">
        <w:rPr>
          <w:rStyle w:val="normaltextrun"/>
          <w:rFonts w:cs="Arial"/>
          <w:color w:val="0F4761"/>
        </w:rPr>
        <w:t xml:space="preserve"> </w:t>
      </w:r>
    </w:p>
    <w:p w14:paraId="3D1C0DE6" w14:textId="1AAEA84E" w:rsidR="00D71C73" w:rsidRPr="00D71C73" w:rsidRDefault="00D71C73" w:rsidP="003D79B5">
      <w:pPr>
        <w:jc w:val="left"/>
        <w:rPr>
          <w:rFonts w:eastAsia="Times New Roman" w:cs="Times New Roman"/>
          <w:sz w:val="24"/>
          <w:szCs w:val="24"/>
        </w:rPr>
      </w:pPr>
      <w:r w:rsidRPr="00D71C73">
        <w:rPr>
          <w:rFonts w:eastAsia="Times New Roman" w:cs="Times New Roman"/>
          <w:sz w:val="24"/>
          <w:szCs w:val="24"/>
        </w:rPr>
        <w:t>In the context of public health, the effects of chronic illnesses on mental health remain a major concern. There is a direct association between mental health issues and chronic diseases, with each influencing the other, according to numerous studies</w:t>
      </w:r>
      <w:r>
        <w:rPr>
          <w:rFonts w:eastAsia="Times New Roman" w:cs="Times New Roman"/>
          <w:sz w:val="24"/>
          <w:szCs w:val="24"/>
        </w:rPr>
        <w:t xml:space="preserve"> </w:t>
      </w:r>
      <w:r w:rsidRPr="00D71C73">
        <w:rPr>
          <w:rFonts w:eastAsia="Times New Roman" w:cs="Times New Roman"/>
          <w:sz w:val="24"/>
          <w:szCs w:val="24"/>
        </w:rPr>
        <w:t xml:space="preserve">(Huang </w:t>
      </w:r>
      <w:r w:rsidRPr="00D71C73">
        <w:rPr>
          <w:rFonts w:eastAsia="Times New Roman" w:cs="Times New Roman"/>
          <w:i/>
          <w:iCs/>
          <w:sz w:val="24"/>
          <w:szCs w:val="24"/>
        </w:rPr>
        <w:t>et al.</w:t>
      </w:r>
      <w:r w:rsidRPr="00D71C73">
        <w:rPr>
          <w:rFonts w:eastAsia="Times New Roman" w:cs="Times New Roman"/>
          <w:sz w:val="24"/>
          <w:szCs w:val="24"/>
        </w:rPr>
        <w:t>, 2023)</w:t>
      </w:r>
      <w:r>
        <w:rPr>
          <w:rFonts w:eastAsia="Times New Roman" w:cs="Times New Roman"/>
          <w:sz w:val="24"/>
          <w:szCs w:val="24"/>
        </w:rPr>
        <w:t>.</w:t>
      </w:r>
      <w:r w:rsidRPr="00D71C73">
        <w:rPr>
          <w:rFonts w:eastAsia="Times New Roman" w:cs="Times New Roman"/>
          <w:sz w:val="24"/>
          <w:szCs w:val="24"/>
        </w:rPr>
        <w:t xml:space="preserve"> Chronic conditions that impact both physical and emotional well-being, such as diabetes, hypertension, asthma, and cancer, are a significant national and international public health concern (World Health Organization, 2024). In the UK, more than 15 million people, or 30% of the population, suffer from one or more chronic illnesses, and more than 4 million of them also have mental health problems (Mental Health Foundation, 2023).</w:t>
      </w:r>
      <w:r w:rsidR="001C38C9">
        <w:rPr>
          <w:rFonts w:eastAsia="Times New Roman" w:cs="Times New Roman"/>
          <w:sz w:val="24"/>
          <w:szCs w:val="24"/>
        </w:rPr>
        <w:t xml:space="preserve"> Family support, encompassing emotional, practical and informational assistance, plays a crucial role in better health outcome and disease management in the long term. </w:t>
      </w:r>
      <w:r w:rsidR="0063363D" w:rsidRPr="0063363D">
        <w:rPr>
          <w:rFonts w:eastAsia="Times New Roman" w:cs="Times New Roman"/>
          <w:sz w:val="24"/>
          <w:szCs w:val="24"/>
        </w:rPr>
        <w:t>Family members serve as gatekeepers, allowing for the early detection of indicators of mental illness and prompt medical intervention</w:t>
      </w:r>
      <w:r w:rsidR="0063363D">
        <w:rPr>
          <w:rFonts w:eastAsia="Times New Roman" w:cs="Times New Roman"/>
          <w:sz w:val="24"/>
          <w:szCs w:val="24"/>
        </w:rPr>
        <w:t xml:space="preserve">. </w:t>
      </w:r>
      <w:r w:rsidR="0063363D" w:rsidRPr="0063363D">
        <w:rPr>
          <w:rFonts w:eastAsia="Times New Roman" w:cs="Times New Roman"/>
          <w:sz w:val="24"/>
          <w:szCs w:val="24"/>
        </w:rPr>
        <w:t>Additionally, they promote social functioning, enable people with mental diseases and chronic conditions manage their symptoms, and improve their quality of life</w:t>
      </w:r>
      <w:r w:rsidR="0063363D">
        <w:rPr>
          <w:rFonts w:eastAsia="Times New Roman" w:cs="Times New Roman"/>
          <w:sz w:val="24"/>
          <w:szCs w:val="24"/>
        </w:rPr>
        <w:t xml:space="preserve"> </w:t>
      </w:r>
      <w:r w:rsidR="0063363D" w:rsidRPr="0063363D">
        <w:rPr>
          <w:rFonts w:eastAsia="Times New Roman" w:cs="Times New Roman"/>
          <w:sz w:val="24"/>
          <w:szCs w:val="24"/>
        </w:rPr>
        <w:t xml:space="preserve">(Hu </w:t>
      </w:r>
      <w:r w:rsidR="0063363D" w:rsidRPr="0063363D">
        <w:rPr>
          <w:rFonts w:eastAsia="Times New Roman" w:cs="Times New Roman"/>
          <w:i/>
          <w:iCs/>
          <w:sz w:val="24"/>
          <w:szCs w:val="24"/>
        </w:rPr>
        <w:t>et al.</w:t>
      </w:r>
      <w:r w:rsidR="0063363D" w:rsidRPr="0063363D">
        <w:rPr>
          <w:rFonts w:eastAsia="Times New Roman" w:cs="Times New Roman"/>
          <w:sz w:val="24"/>
          <w:szCs w:val="24"/>
        </w:rPr>
        <w:t>, 2024)</w:t>
      </w:r>
      <w:r w:rsidR="0063363D">
        <w:rPr>
          <w:rFonts w:eastAsia="Times New Roman" w:cs="Times New Roman"/>
          <w:sz w:val="24"/>
          <w:szCs w:val="24"/>
        </w:rPr>
        <w:t xml:space="preserve">. </w:t>
      </w:r>
      <w:r w:rsidR="001C38C9">
        <w:rPr>
          <w:rFonts w:eastAsia="Times New Roman" w:cs="Times New Roman"/>
          <w:sz w:val="24"/>
          <w:szCs w:val="24"/>
        </w:rPr>
        <w:t>However, current health and social care systems often prioritise clinical interventions over family involvement.</w:t>
      </w:r>
      <w:r w:rsidR="007C6564">
        <w:rPr>
          <w:rFonts w:eastAsia="Times New Roman" w:cs="Times New Roman"/>
          <w:sz w:val="24"/>
          <w:szCs w:val="24"/>
        </w:rPr>
        <w:t xml:space="preserve">  According to </w:t>
      </w:r>
      <w:r w:rsidR="007C6564" w:rsidRPr="007C6564">
        <w:rPr>
          <w:rFonts w:eastAsia="Times New Roman" w:cs="Times New Roman"/>
          <w:sz w:val="24"/>
          <w:szCs w:val="24"/>
        </w:rPr>
        <w:t xml:space="preserve">Aass </w:t>
      </w:r>
      <w:r w:rsidR="007C6564" w:rsidRPr="007C6564">
        <w:rPr>
          <w:rFonts w:eastAsia="Times New Roman" w:cs="Times New Roman"/>
          <w:i/>
          <w:iCs/>
          <w:sz w:val="24"/>
          <w:szCs w:val="24"/>
        </w:rPr>
        <w:t>et al.</w:t>
      </w:r>
      <w:r w:rsidR="007C6564">
        <w:rPr>
          <w:rFonts w:eastAsia="Times New Roman" w:cs="Times New Roman"/>
          <w:i/>
          <w:iCs/>
          <w:sz w:val="24"/>
          <w:szCs w:val="24"/>
        </w:rPr>
        <w:t xml:space="preserve"> </w:t>
      </w:r>
      <w:r w:rsidR="007C6564">
        <w:rPr>
          <w:rFonts w:eastAsia="Times New Roman" w:cs="Times New Roman"/>
          <w:sz w:val="24"/>
          <w:szCs w:val="24"/>
        </w:rPr>
        <w:t>(</w:t>
      </w:r>
      <w:r w:rsidR="007C6564" w:rsidRPr="007C6564">
        <w:rPr>
          <w:rFonts w:eastAsia="Times New Roman" w:cs="Times New Roman"/>
          <w:sz w:val="24"/>
          <w:szCs w:val="24"/>
        </w:rPr>
        <w:t>2025)</w:t>
      </w:r>
      <w:r w:rsidR="007C6564">
        <w:rPr>
          <w:rFonts w:eastAsia="Times New Roman" w:cs="Times New Roman"/>
          <w:sz w:val="24"/>
          <w:szCs w:val="24"/>
        </w:rPr>
        <w:t>, f</w:t>
      </w:r>
      <w:r w:rsidR="007C6564" w:rsidRPr="007C6564">
        <w:rPr>
          <w:rFonts w:eastAsia="Times New Roman" w:cs="Times New Roman"/>
          <w:sz w:val="24"/>
          <w:szCs w:val="24"/>
        </w:rPr>
        <w:t>amily-focused practice can serve as a bridge to enhance cooperation and raise the standard of care for patients, families, and medical staff.</w:t>
      </w:r>
    </w:p>
    <w:p w14:paraId="25D926A3" w14:textId="77777777" w:rsidR="00BD2909" w:rsidRPr="00BD2909" w:rsidRDefault="00BD2909" w:rsidP="003D79B5">
      <w:pPr>
        <w:pStyle w:val="paragraph"/>
        <w:spacing w:before="0" w:beforeAutospacing="0" w:after="0" w:afterAutospacing="0" w:line="360" w:lineRule="auto"/>
        <w:textAlignment w:val="baseline"/>
        <w:rPr>
          <w:rFonts w:ascii="Aptos" w:hAnsi="Aptos" w:cs="Arial"/>
          <w:sz w:val="22"/>
          <w:szCs w:val="22"/>
        </w:rPr>
      </w:pPr>
      <w:r w:rsidRPr="00BD2909">
        <w:rPr>
          <w:rStyle w:val="normaltextrun"/>
          <w:rFonts w:ascii="Aptos" w:hAnsi="Aptos" w:cs="Arial"/>
          <w:b/>
          <w:bCs/>
          <w:sz w:val="22"/>
          <w:szCs w:val="22"/>
        </w:rPr>
        <w:t>Aim of the Dissertation:</w:t>
      </w:r>
      <w:r w:rsidRPr="00BD2909">
        <w:rPr>
          <w:rStyle w:val="eop"/>
          <w:rFonts w:ascii="Aptos" w:hAnsi="Aptos" w:cs="Arial"/>
          <w:sz w:val="22"/>
          <w:szCs w:val="22"/>
        </w:rPr>
        <w:t> </w:t>
      </w:r>
    </w:p>
    <w:p w14:paraId="624BFBC9" w14:textId="63419E17" w:rsidR="00BD2909" w:rsidRPr="008F0314" w:rsidRDefault="007C6564" w:rsidP="003D79B5">
      <w:pPr>
        <w:pStyle w:val="paragraph"/>
        <w:spacing w:before="0" w:beforeAutospacing="0" w:after="0" w:afterAutospacing="0" w:line="360" w:lineRule="auto"/>
        <w:textAlignment w:val="baseline"/>
        <w:rPr>
          <w:rFonts w:ascii="Aptos" w:hAnsi="Aptos" w:cs="Arial"/>
        </w:rPr>
      </w:pPr>
      <w:r w:rsidRPr="008F0314">
        <w:rPr>
          <w:rStyle w:val="normaltextrun"/>
          <w:rFonts w:ascii="Aptos" w:hAnsi="Aptos" w:cs="Arial"/>
        </w:rPr>
        <w:t>The primary aim of this research is to examine the role and impact of family support in improving mental health outcomes among adults living with chronic conditions in the UK. It seeks to explore how emotional, practical and informational support from family members influence experiences of anxiety, depression and overall mental wellbeing. The study also aims to assess how socio-economic factors and multiple chronic conditions affect the effectiveness of such support. Ultimately, this research intends to contribute to health and social care practices by informing more holistic and family centred approaches. It will also support policy makers in improving integrated care strategies for long term condition management.</w:t>
      </w:r>
    </w:p>
    <w:p w14:paraId="18072CD8" w14:textId="100D6266" w:rsidR="00BD2909" w:rsidRPr="00BD2909" w:rsidRDefault="00BD2909" w:rsidP="003D79B5">
      <w:pPr>
        <w:pStyle w:val="paragraph"/>
        <w:spacing w:before="0" w:beforeAutospacing="0" w:after="0" w:afterAutospacing="0" w:line="360" w:lineRule="auto"/>
        <w:ind w:left="1080"/>
        <w:textAlignment w:val="baseline"/>
        <w:rPr>
          <w:rFonts w:ascii="Aptos" w:hAnsi="Aptos" w:cs="Segoe UI"/>
          <w:sz w:val="16"/>
          <w:szCs w:val="16"/>
        </w:rPr>
      </w:pPr>
    </w:p>
    <w:p w14:paraId="66501BF4" w14:textId="12262EEB" w:rsidR="00BD2909" w:rsidRPr="00BD2909" w:rsidRDefault="00BD2909" w:rsidP="003D79B5">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 xml:space="preserve">1.2 </w:t>
      </w:r>
      <w:r w:rsidRPr="00346D33">
        <w:rPr>
          <w:rStyle w:val="Heading2Char"/>
        </w:rPr>
        <w:t>Definitions and Terminology</w:t>
      </w:r>
      <w:r w:rsidRPr="00BD2909">
        <w:rPr>
          <w:rStyle w:val="normaltextrun"/>
          <w:rFonts w:ascii="Aptos" w:hAnsi="Aptos" w:cs="Arial"/>
          <w:color w:val="0F4761"/>
        </w:rPr>
        <w:t xml:space="preserve"> </w:t>
      </w:r>
    </w:p>
    <w:p w14:paraId="7FCCED5E" w14:textId="77777777" w:rsidR="00346D33" w:rsidRDefault="00346D33" w:rsidP="003D79B5">
      <w:pPr>
        <w:pStyle w:val="paragraph"/>
        <w:spacing w:before="0" w:beforeAutospacing="0" w:after="0" w:afterAutospacing="0" w:line="360" w:lineRule="auto"/>
        <w:textAlignment w:val="baseline"/>
        <w:rPr>
          <w:rStyle w:val="normaltextrun"/>
          <w:rFonts w:ascii="Aptos" w:hAnsi="Aptos" w:cs="Arial"/>
          <w:b/>
          <w:bCs/>
          <w:sz w:val="22"/>
          <w:szCs w:val="22"/>
        </w:rPr>
      </w:pPr>
      <w:r>
        <w:rPr>
          <w:rStyle w:val="normaltextrun"/>
          <w:rFonts w:ascii="Aptos" w:hAnsi="Aptos" w:cs="Arial"/>
          <w:b/>
          <w:bCs/>
          <w:sz w:val="22"/>
          <w:szCs w:val="22"/>
        </w:rPr>
        <w:t>List of Acronyms and Abbreviations:</w:t>
      </w:r>
    </w:p>
    <w:p w14:paraId="5BB725B1" w14:textId="3960A969" w:rsidR="00346D33" w:rsidRPr="00BD0188" w:rsidRDefault="00346D33" w:rsidP="003D79B5">
      <w:pPr>
        <w:pStyle w:val="paragraph"/>
        <w:spacing w:before="0" w:beforeAutospacing="0" w:after="0" w:afterAutospacing="0" w:line="360" w:lineRule="auto"/>
        <w:textAlignment w:val="baseline"/>
        <w:rPr>
          <w:rStyle w:val="normaltextrun"/>
          <w:rFonts w:ascii="Aptos" w:hAnsi="Aptos" w:cs="Arial"/>
          <w:sz w:val="22"/>
          <w:szCs w:val="22"/>
        </w:rPr>
      </w:pPr>
      <w:r w:rsidRPr="00BD0188">
        <w:rPr>
          <w:rStyle w:val="normaltextrun"/>
          <w:rFonts w:ascii="Aptos" w:hAnsi="Aptos" w:cs="Arial"/>
          <w:sz w:val="22"/>
          <w:szCs w:val="22"/>
        </w:rPr>
        <w:t>BMA: British Medical Association</w:t>
      </w:r>
    </w:p>
    <w:p w14:paraId="76EBA183" w14:textId="16F7D1D7" w:rsidR="00346D33" w:rsidRPr="00BD0188" w:rsidRDefault="00346D33" w:rsidP="003D79B5">
      <w:pPr>
        <w:pStyle w:val="paragraph"/>
        <w:spacing w:before="0" w:beforeAutospacing="0" w:after="0" w:afterAutospacing="0" w:line="360" w:lineRule="auto"/>
        <w:textAlignment w:val="baseline"/>
        <w:rPr>
          <w:rStyle w:val="normaltextrun"/>
          <w:rFonts w:ascii="Aptos" w:hAnsi="Aptos" w:cs="Arial"/>
          <w:sz w:val="22"/>
          <w:szCs w:val="22"/>
        </w:rPr>
      </w:pPr>
      <w:r w:rsidRPr="00BD0188">
        <w:rPr>
          <w:rStyle w:val="normaltextrun"/>
          <w:rFonts w:ascii="Aptos" w:hAnsi="Aptos" w:cs="Arial"/>
          <w:sz w:val="22"/>
          <w:szCs w:val="22"/>
        </w:rPr>
        <w:t>HSC</w:t>
      </w:r>
      <w:r w:rsidR="008F0314" w:rsidRPr="00BD0188">
        <w:rPr>
          <w:rStyle w:val="normaltextrun"/>
          <w:rFonts w:ascii="Aptos" w:hAnsi="Aptos" w:cs="Arial"/>
          <w:sz w:val="22"/>
          <w:szCs w:val="22"/>
        </w:rPr>
        <w:t>: Health and Social Care</w:t>
      </w:r>
    </w:p>
    <w:p w14:paraId="351D095E" w14:textId="1FE0018F" w:rsidR="00346D33" w:rsidRPr="00BD0188" w:rsidRDefault="00346D33" w:rsidP="003D79B5">
      <w:pPr>
        <w:pStyle w:val="paragraph"/>
        <w:spacing w:before="0" w:beforeAutospacing="0" w:after="0" w:afterAutospacing="0" w:line="360" w:lineRule="auto"/>
        <w:textAlignment w:val="baseline"/>
        <w:rPr>
          <w:rStyle w:val="normaltextrun"/>
          <w:rFonts w:ascii="Aptos" w:hAnsi="Aptos" w:cs="Arial"/>
          <w:sz w:val="22"/>
          <w:szCs w:val="22"/>
        </w:rPr>
      </w:pPr>
      <w:r w:rsidRPr="00BD0188">
        <w:rPr>
          <w:rStyle w:val="normaltextrun"/>
          <w:rFonts w:ascii="Aptos" w:hAnsi="Aptos" w:cs="Arial"/>
          <w:sz w:val="22"/>
          <w:szCs w:val="22"/>
        </w:rPr>
        <w:t>NHS</w:t>
      </w:r>
      <w:r w:rsidR="008F0314" w:rsidRPr="00BD0188">
        <w:rPr>
          <w:rStyle w:val="normaltextrun"/>
          <w:rFonts w:ascii="Aptos" w:hAnsi="Aptos" w:cs="Arial"/>
          <w:sz w:val="22"/>
          <w:szCs w:val="22"/>
        </w:rPr>
        <w:t>: National Health Service</w:t>
      </w:r>
    </w:p>
    <w:p w14:paraId="6348C475" w14:textId="1805D1B9" w:rsidR="00346D33" w:rsidRPr="00BD0188" w:rsidRDefault="00346D33" w:rsidP="003D79B5">
      <w:pPr>
        <w:pStyle w:val="paragraph"/>
        <w:spacing w:before="0" w:beforeAutospacing="0" w:after="0" w:afterAutospacing="0" w:line="360" w:lineRule="auto"/>
        <w:textAlignment w:val="baseline"/>
        <w:rPr>
          <w:rStyle w:val="normaltextrun"/>
          <w:rFonts w:ascii="Aptos" w:hAnsi="Aptos" w:cs="Arial"/>
          <w:sz w:val="22"/>
          <w:szCs w:val="22"/>
        </w:rPr>
      </w:pPr>
      <w:r w:rsidRPr="00BD0188">
        <w:rPr>
          <w:rStyle w:val="normaltextrun"/>
          <w:rFonts w:ascii="Aptos" w:hAnsi="Aptos" w:cs="Arial"/>
          <w:sz w:val="22"/>
          <w:szCs w:val="22"/>
        </w:rPr>
        <w:t>WHO</w:t>
      </w:r>
      <w:r w:rsidR="008F0314" w:rsidRPr="00BD0188">
        <w:rPr>
          <w:rStyle w:val="normaltextrun"/>
          <w:rFonts w:ascii="Aptos" w:hAnsi="Aptos" w:cs="Arial"/>
          <w:sz w:val="22"/>
          <w:szCs w:val="22"/>
        </w:rPr>
        <w:t>: World Health Organization</w:t>
      </w:r>
    </w:p>
    <w:p w14:paraId="17630E16" w14:textId="621F07EF" w:rsidR="00346D33" w:rsidRPr="00BD0188" w:rsidRDefault="00346D33" w:rsidP="003D79B5">
      <w:pPr>
        <w:pStyle w:val="paragraph"/>
        <w:spacing w:before="0" w:beforeAutospacing="0" w:after="0" w:afterAutospacing="0" w:line="360" w:lineRule="auto"/>
        <w:textAlignment w:val="baseline"/>
        <w:rPr>
          <w:rStyle w:val="normaltextrun"/>
          <w:rFonts w:ascii="Aptos" w:hAnsi="Aptos" w:cs="Arial"/>
          <w:sz w:val="22"/>
          <w:szCs w:val="22"/>
        </w:rPr>
      </w:pPr>
      <w:r w:rsidRPr="00BD0188">
        <w:rPr>
          <w:rStyle w:val="normaltextrun"/>
          <w:rFonts w:ascii="Aptos" w:hAnsi="Aptos" w:cs="Arial"/>
          <w:sz w:val="22"/>
          <w:szCs w:val="22"/>
        </w:rPr>
        <w:t>MHF</w:t>
      </w:r>
      <w:r w:rsidR="008F0314" w:rsidRPr="00BD0188">
        <w:rPr>
          <w:rStyle w:val="normaltextrun"/>
          <w:rFonts w:ascii="Aptos" w:hAnsi="Aptos" w:cs="Arial"/>
          <w:sz w:val="22"/>
          <w:szCs w:val="22"/>
        </w:rPr>
        <w:t>: Mental Health Foundation</w:t>
      </w:r>
    </w:p>
    <w:p w14:paraId="6C669F89" w14:textId="78903B6B" w:rsidR="00346D33" w:rsidRPr="00BD0188" w:rsidRDefault="00346D33" w:rsidP="003D79B5">
      <w:pPr>
        <w:pStyle w:val="paragraph"/>
        <w:spacing w:before="0" w:beforeAutospacing="0" w:after="0" w:afterAutospacing="0" w:line="360" w:lineRule="auto"/>
        <w:textAlignment w:val="baseline"/>
        <w:rPr>
          <w:rStyle w:val="normaltextrun"/>
          <w:rFonts w:ascii="Aptos" w:hAnsi="Aptos" w:cs="Arial"/>
          <w:sz w:val="22"/>
          <w:szCs w:val="22"/>
        </w:rPr>
      </w:pPr>
      <w:r w:rsidRPr="00BD0188">
        <w:rPr>
          <w:rStyle w:val="normaltextrun"/>
          <w:rFonts w:ascii="Aptos" w:hAnsi="Aptos" w:cs="Arial"/>
          <w:sz w:val="22"/>
          <w:szCs w:val="22"/>
        </w:rPr>
        <w:t>PHE</w:t>
      </w:r>
      <w:r w:rsidR="008F0314" w:rsidRPr="00BD0188">
        <w:rPr>
          <w:rStyle w:val="normaltextrun"/>
          <w:rFonts w:ascii="Aptos" w:hAnsi="Aptos" w:cs="Arial"/>
          <w:sz w:val="22"/>
          <w:szCs w:val="22"/>
        </w:rPr>
        <w:t>: Public Health England</w:t>
      </w:r>
    </w:p>
    <w:p w14:paraId="63C8A0FB" w14:textId="68030221" w:rsidR="00346D33" w:rsidRPr="00BD0188" w:rsidRDefault="00346D33" w:rsidP="003D79B5">
      <w:pPr>
        <w:pStyle w:val="paragraph"/>
        <w:spacing w:before="0" w:beforeAutospacing="0" w:after="0" w:afterAutospacing="0" w:line="360" w:lineRule="auto"/>
        <w:textAlignment w:val="baseline"/>
        <w:rPr>
          <w:rStyle w:val="normaltextrun"/>
          <w:rFonts w:ascii="Aptos" w:hAnsi="Aptos" w:cs="Arial"/>
          <w:sz w:val="22"/>
          <w:szCs w:val="22"/>
        </w:rPr>
      </w:pPr>
      <w:r w:rsidRPr="00BD0188">
        <w:rPr>
          <w:rStyle w:val="normaltextrun"/>
          <w:rFonts w:ascii="Aptos" w:hAnsi="Aptos" w:cs="Arial"/>
          <w:sz w:val="22"/>
          <w:szCs w:val="22"/>
        </w:rPr>
        <w:t>UK</w:t>
      </w:r>
      <w:r w:rsidR="008F0314" w:rsidRPr="00BD0188">
        <w:rPr>
          <w:rStyle w:val="normaltextrun"/>
          <w:rFonts w:ascii="Aptos" w:hAnsi="Aptos" w:cs="Arial"/>
          <w:sz w:val="22"/>
          <w:szCs w:val="22"/>
        </w:rPr>
        <w:t>: United Kingdom</w:t>
      </w:r>
    </w:p>
    <w:p w14:paraId="62DB7F1F" w14:textId="75F478B1" w:rsidR="00346D33" w:rsidRPr="00BD0188" w:rsidRDefault="00346D33" w:rsidP="003D79B5">
      <w:pPr>
        <w:pStyle w:val="paragraph"/>
        <w:spacing w:before="0" w:beforeAutospacing="0" w:after="0" w:afterAutospacing="0" w:line="360" w:lineRule="auto"/>
        <w:textAlignment w:val="baseline"/>
        <w:rPr>
          <w:rStyle w:val="normaltextrun"/>
          <w:rFonts w:ascii="Aptos" w:hAnsi="Aptos" w:cs="Arial"/>
          <w:sz w:val="22"/>
          <w:szCs w:val="22"/>
        </w:rPr>
      </w:pPr>
      <w:r w:rsidRPr="00BD0188">
        <w:rPr>
          <w:rStyle w:val="normaltextrun"/>
          <w:rFonts w:ascii="Aptos" w:hAnsi="Aptos" w:cs="Arial"/>
          <w:sz w:val="22"/>
          <w:szCs w:val="22"/>
        </w:rPr>
        <w:t>QoL</w:t>
      </w:r>
      <w:r w:rsidR="008F0314" w:rsidRPr="00BD0188">
        <w:rPr>
          <w:rStyle w:val="normaltextrun"/>
          <w:rFonts w:ascii="Aptos" w:hAnsi="Aptos" w:cs="Arial"/>
          <w:sz w:val="22"/>
          <w:szCs w:val="22"/>
        </w:rPr>
        <w:t>: Quality of Life</w:t>
      </w:r>
    </w:p>
    <w:p w14:paraId="20FD7AAB" w14:textId="4F23988F" w:rsidR="00346D33" w:rsidRPr="00BD0188" w:rsidRDefault="00346D33" w:rsidP="003D79B5">
      <w:pPr>
        <w:pStyle w:val="paragraph"/>
        <w:spacing w:before="0" w:beforeAutospacing="0" w:after="0" w:afterAutospacing="0" w:line="360" w:lineRule="auto"/>
        <w:textAlignment w:val="baseline"/>
        <w:rPr>
          <w:rStyle w:val="normaltextrun"/>
          <w:rFonts w:ascii="Aptos" w:hAnsi="Aptos" w:cs="Arial"/>
          <w:sz w:val="22"/>
          <w:szCs w:val="22"/>
        </w:rPr>
      </w:pPr>
      <w:r w:rsidRPr="00BD0188">
        <w:rPr>
          <w:rStyle w:val="normaltextrun"/>
          <w:rFonts w:ascii="Aptos" w:hAnsi="Aptos" w:cs="Arial"/>
          <w:sz w:val="22"/>
          <w:szCs w:val="22"/>
        </w:rPr>
        <w:t>LTCs</w:t>
      </w:r>
      <w:r w:rsidR="008F0314" w:rsidRPr="00BD0188">
        <w:rPr>
          <w:rStyle w:val="normaltextrun"/>
          <w:rFonts w:ascii="Aptos" w:hAnsi="Aptos" w:cs="Arial"/>
          <w:sz w:val="22"/>
          <w:szCs w:val="22"/>
        </w:rPr>
        <w:t>: Long Term Conditions</w:t>
      </w:r>
    </w:p>
    <w:p w14:paraId="4BC66D2F" w14:textId="04FC9E9A" w:rsidR="00BD2909" w:rsidRPr="00BD0188" w:rsidRDefault="00346D33" w:rsidP="003D79B5">
      <w:pPr>
        <w:pStyle w:val="paragraph"/>
        <w:spacing w:before="0" w:beforeAutospacing="0" w:after="0" w:afterAutospacing="0" w:line="360" w:lineRule="auto"/>
        <w:textAlignment w:val="baseline"/>
        <w:rPr>
          <w:rFonts w:ascii="Aptos" w:hAnsi="Aptos" w:cs="Arial"/>
          <w:sz w:val="22"/>
          <w:szCs w:val="22"/>
        </w:rPr>
      </w:pPr>
      <w:r w:rsidRPr="00BD0188">
        <w:rPr>
          <w:rStyle w:val="normaltextrun"/>
          <w:rFonts w:ascii="Aptos" w:hAnsi="Aptos" w:cs="Arial"/>
          <w:sz w:val="22"/>
          <w:szCs w:val="22"/>
        </w:rPr>
        <w:t>SES</w:t>
      </w:r>
      <w:r w:rsidR="008F0314" w:rsidRPr="00BD0188">
        <w:rPr>
          <w:rStyle w:val="normaltextrun"/>
          <w:rFonts w:ascii="Aptos" w:hAnsi="Aptos" w:cs="Arial"/>
          <w:sz w:val="22"/>
          <w:szCs w:val="22"/>
        </w:rPr>
        <w:t>: Socio Economic Status</w:t>
      </w:r>
      <w:r w:rsidR="00BD2909" w:rsidRPr="00BD0188">
        <w:rPr>
          <w:rStyle w:val="eop"/>
          <w:rFonts w:ascii="Aptos" w:hAnsi="Aptos" w:cs="Arial"/>
          <w:sz w:val="22"/>
          <w:szCs w:val="22"/>
        </w:rPr>
        <w:t>  </w:t>
      </w:r>
    </w:p>
    <w:p w14:paraId="33FC7D66" w14:textId="42B9E89D" w:rsidR="00BD2909" w:rsidRPr="00E0057D" w:rsidRDefault="00BD2909" w:rsidP="003D79B5">
      <w:pPr>
        <w:pStyle w:val="paragraph"/>
        <w:spacing w:before="0" w:beforeAutospacing="0" w:after="0" w:afterAutospacing="0" w:line="360" w:lineRule="auto"/>
        <w:textAlignment w:val="baseline"/>
        <w:rPr>
          <w:rStyle w:val="eop"/>
          <w:rFonts w:ascii="Aptos" w:hAnsi="Aptos" w:cs="Segoe UI"/>
          <w:color w:val="0F4761"/>
          <w:sz w:val="16"/>
          <w:szCs w:val="16"/>
        </w:rPr>
      </w:pPr>
      <w:bookmarkStart w:id="2" w:name="_Toc225717814"/>
      <w:r w:rsidRPr="008F0314">
        <w:rPr>
          <w:rStyle w:val="Heading2Char"/>
        </w:rPr>
        <w:t>1.3 Rationale for Research</w:t>
      </w:r>
      <w:bookmarkEnd w:id="2"/>
      <w:r w:rsidRPr="00BD2909">
        <w:rPr>
          <w:rStyle w:val="normaltextrun"/>
          <w:rFonts w:ascii="Aptos" w:hAnsi="Aptos" w:cs="Arial"/>
          <w:color w:val="0F4761"/>
        </w:rPr>
        <w:t xml:space="preserve"> </w:t>
      </w:r>
    </w:p>
    <w:p w14:paraId="1C489565" w14:textId="663A216F" w:rsidR="00BD2909" w:rsidRPr="00BF4B0E" w:rsidRDefault="008F0314" w:rsidP="003D79B5">
      <w:pPr>
        <w:pStyle w:val="paragraph"/>
        <w:spacing w:before="0" w:beforeAutospacing="0" w:after="0" w:afterAutospacing="0" w:line="360" w:lineRule="auto"/>
        <w:textAlignment w:val="baseline"/>
        <w:rPr>
          <w:rFonts w:ascii="Aptos" w:hAnsi="Aptos" w:cs="Arial"/>
        </w:rPr>
      </w:pPr>
      <w:r w:rsidRPr="00BF4B0E">
        <w:rPr>
          <w:rFonts w:ascii="Aptos" w:hAnsi="Aptos" w:cs="Arial"/>
        </w:rPr>
        <w:t>The research topic was chosen in response to the growing prevalence of chronic conditions in the UK and their well-established association with poor mental health. While existing literature widely recognises the importance of social support, there is limited focus on the specific role of family support and how individuals perceive its effectiveness</w:t>
      </w:r>
      <w:r w:rsidR="00BF4B0E" w:rsidRPr="00BF4B0E">
        <w:rPr>
          <w:rFonts w:ascii="Aptos" w:hAnsi="Aptos" w:cs="Arial"/>
        </w:rPr>
        <w:t xml:space="preserve"> (Alkaki </w:t>
      </w:r>
      <w:r w:rsidR="00BF4B0E" w:rsidRPr="00BF4B0E">
        <w:rPr>
          <w:rFonts w:ascii="Aptos" w:hAnsi="Aptos" w:cs="Arial"/>
          <w:i/>
          <w:iCs/>
        </w:rPr>
        <w:t>et al.</w:t>
      </w:r>
      <w:r w:rsidR="00BF4B0E" w:rsidRPr="00BF4B0E">
        <w:rPr>
          <w:rFonts w:ascii="Aptos" w:hAnsi="Aptos" w:cs="Arial"/>
        </w:rPr>
        <w:t xml:space="preserve">, 2025). </w:t>
      </w:r>
      <w:r w:rsidRPr="00BF4B0E">
        <w:rPr>
          <w:rFonts w:ascii="Aptos" w:hAnsi="Aptos" w:cs="Arial"/>
        </w:rPr>
        <w:t xml:space="preserve"> This gap is significant as family members often support the patient as primary care givers influencing both emotional wellbeing and long-term condition management</w:t>
      </w:r>
      <w:r w:rsidR="00BF4B0E" w:rsidRPr="00BF4B0E">
        <w:rPr>
          <w:rFonts w:ascii="Aptos" w:hAnsi="Aptos" w:cs="Arial"/>
        </w:rPr>
        <w:t xml:space="preserve"> (BMA, 2024).</w:t>
      </w:r>
    </w:p>
    <w:p w14:paraId="26652190" w14:textId="5BCE9BBD" w:rsidR="00BF4B0E" w:rsidRPr="009032EE" w:rsidRDefault="00BF4B0E" w:rsidP="003D79B5">
      <w:pPr>
        <w:pStyle w:val="paragraph"/>
        <w:spacing w:after="0" w:line="360" w:lineRule="auto"/>
        <w:textAlignment w:val="baseline"/>
        <w:rPr>
          <w:rFonts w:cs="Arial"/>
        </w:rPr>
      </w:pPr>
      <w:r w:rsidRPr="00BF4B0E">
        <w:rPr>
          <w:rFonts w:ascii="Aptos" w:hAnsi="Aptos" w:cs="Arial"/>
        </w:rPr>
        <w:t>This research shows significance as it builds on existing literature that highlights social support as key determinant of health</w:t>
      </w:r>
      <w:r w:rsidR="009032EE" w:rsidRPr="009032EE">
        <w:rPr>
          <w:rFonts w:ascii="Arial" w:hAnsi="Arial" w:cs="Arial"/>
          <w:lang w:eastAsia="en-GB"/>
        </w:rPr>
        <w:t xml:space="preserve"> </w:t>
      </w:r>
      <w:r w:rsidR="009032EE" w:rsidRPr="009032EE">
        <w:rPr>
          <w:rFonts w:ascii="Aptos" w:hAnsi="Aptos" w:cs="Arial"/>
        </w:rPr>
        <w:t>(Drageset, 2021)</w:t>
      </w:r>
      <w:r w:rsidRPr="009032EE">
        <w:rPr>
          <w:rFonts w:ascii="Aptos" w:hAnsi="Aptos" w:cs="Arial"/>
        </w:rPr>
        <w:t>,</w:t>
      </w:r>
      <w:r w:rsidRPr="00BF4B0E">
        <w:rPr>
          <w:rFonts w:ascii="Aptos" w:hAnsi="Aptos" w:cs="Arial"/>
        </w:rPr>
        <w:t xml:space="preserve"> while addressing a critical gap in understanding the specific role of the family support in mental health outcomes among adults with chronic conditions</w:t>
      </w:r>
      <w:r w:rsidR="009032EE">
        <w:rPr>
          <w:rFonts w:ascii="Aptos" w:hAnsi="Aptos" w:cs="Arial"/>
        </w:rPr>
        <w:t xml:space="preserve"> </w:t>
      </w:r>
      <w:r w:rsidR="009032EE" w:rsidRPr="009032EE">
        <w:rPr>
          <w:rFonts w:ascii="Aptos" w:hAnsi="Aptos" w:cs="Arial"/>
        </w:rPr>
        <w:t xml:space="preserve">(Amin </w:t>
      </w:r>
      <w:r w:rsidR="009032EE" w:rsidRPr="009032EE">
        <w:rPr>
          <w:rFonts w:ascii="Aptos" w:hAnsi="Aptos" w:cs="Arial"/>
          <w:i/>
          <w:iCs/>
        </w:rPr>
        <w:t>et al.</w:t>
      </w:r>
      <w:r w:rsidR="009032EE" w:rsidRPr="009032EE">
        <w:rPr>
          <w:rFonts w:ascii="Aptos" w:hAnsi="Aptos" w:cs="Arial"/>
        </w:rPr>
        <w:t>, 2025).</w:t>
      </w:r>
      <w:r w:rsidRPr="00BF4B0E">
        <w:rPr>
          <w:rFonts w:ascii="Aptos" w:hAnsi="Aptos" w:cs="Arial"/>
        </w:rPr>
        <w:t xml:space="preserve"> A wealth of literature generalises social support, overlooking the complexity of family dynamics, individual perceptions and challenges posed by socio-economic context and complexity of the long-term conditions.</w:t>
      </w:r>
    </w:p>
    <w:p w14:paraId="636A08D3" w14:textId="41B17428" w:rsidR="00BD2909" w:rsidRDefault="00BF4B0E" w:rsidP="003D79B5">
      <w:pPr>
        <w:pStyle w:val="paragraph"/>
        <w:spacing w:before="0" w:beforeAutospacing="0" w:after="0" w:afterAutospacing="0" w:line="360" w:lineRule="auto"/>
        <w:textAlignment w:val="baseline"/>
        <w:rPr>
          <w:rFonts w:ascii="Aptos" w:hAnsi="Aptos" w:cs="Arial"/>
        </w:rPr>
      </w:pPr>
      <w:r>
        <w:rPr>
          <w:rFonts w:ascii="Aptos" w:hAnsi="Aptos" w:cs="Arial"/>
        </w:rPr>
        <w:t xml:space="preserve">In contemporary health and social care context there is a </w:t>
      </w:r>
      <w:r w:rsidR="00E0057D">
        <w:rPr>
          <w:rFonts w:ascii="Aptos" w:hAnsi="Aptos" w:cs="Arial"/>
        </w:rPr>
        <w:t>remarkable</w:t>
      </w:r>
      <w:r>
        <w:rPr>
          <w:rFonts w:ascii="Aptos" w:hAnsi="Aptos" w:cs="Arial"/>
        </w:rPr>
        <w:t xml:space="preserve"> shift towards </w:t>
      </w:r>
      <w:r w:rsidR="00E0057D">
        <w:rPr>
          <w:rFonts w:ascii="Aptos" w:hAnsi="Aptos" w:cs="Arial"/>
        </w:rPr>
        <w:t>holistic,</w:t>
      </w:r>
      <w:r>
        <w:rPr>
          <w:rFonts w:ascii="Aptos" w:hAnsi="Aptos" w:cs="Arial"/>
        </w:rPr>
        <w:t xml:space="preserve"> person-</w:t>
      </w:r>
      <w:r w:rsidR="00E0057D">
        <w:rPr>
          <w:rFonts w:ascii="Aptos" w:hAnsi="Aptos" w:cs="Arial"/>
        </w:rPr>
        <w:t>centred</w:t>
      </w:r>
      <w:r>
        <w:rPr>
          <w:rFonts w:ascii="Aptos" w:hAnsi="Aptos" w:cs="Arial"/>
        </w:rPr>
        <w:t xml:space="preserve"> and integrated care in </w:t>
      </w:r>
      <w:r w:rsidR="00E0057D">
        <w:rPr>
          <w:rFonts w:ascii="Aptos" w:hAnsi="Aptos" w:cs="Arial"/>
        </w:rPr>
        <w:t>UK.</w:t>
      </w:r>
      <w:r>
        <w:rPr>
          <w:rFonts w:ascii="Aptos" w:hAnsi="Aptos" w:cs="Arial"/>
        </w:rPr>
        <w:t xml:space="preserve"> Policies and frameworks advocate for collaborative approaches involving </w:t>
      </w:r>
      <w:r w:rsidR="00E0057D">
        <w:rPr>
          <w:rFonts w:ascii="Aptos" w:hAnsi="Aptos" w:cs="Arial"/>
        </w:rPr>
        <w:t>patients,</w:t>
      </w:r>
      <w:r>
        <w:rPr>
          <w:rFonts w:ascii="Aptos" w:hAnsi="Aptos" w:cs="Arial"/>
        </w:rPr>
        <w:t xml:space="preserve"> families and multidisciplinary teams. However, implementation remains inconsistent. This research is therefore, highly relevant to ongoing debates around integration of health and social care</w:t>
      </w:r>
      <w:r w:rsidR="00E0057D">
        <w:rPr>
          <w:rFonts w:ascii="Aptos" w:hAnsi="Aptos" w:cs="Arial"/>
        </w:rPr>
        <w:t xml:space="preserve">, the sustainability of better health outcomes and provision of high-quality care. </w:t>
      </w:r>
    </w:p>
    <w:p w14:paraId="00AD9191" w14:textId="68840D58" w:rsidR="00E0057D" w:rsidRPr="00E0057D" w:rsidRDefault="00E0057D" w:rsidP="003D79B5">
      <w:pPr>
        <w:pStyle w:val="paragraph"/>
        <w:spacing w:before="0" w:beforeAutospacing="0" w:after="0" w:afterAutospacing="0" w:line="360" w:lineRule="auto"/>
        <w:textAlignment w:val="baseline"/>
        <w:rPr>
          <w:rFonts w:ascii="Aptos" w:hAnsi="Aptos" w:cs="Arial"/>
          <w:b/>
          <w:bCs/>
        </w:rPr>
      </w:pPr>
      <w:r w:rsidRPr="00E0057D">
        <w:rPr>
          <w:rFonts w:ascii="Aptos" w:hAnsi="Aptos" w:cs="Arial"/>
          <w:b/>
          <w:bCs/>
        </w:rPr>
        <w:t>Research Gap:</w:t>
      </w:r>
    </w:p>
    <w:p w14:paraId="5F1E4424" w14:textId="074C0ACE" w:rsidR="00E0057D" w:rsidRDefault="00E0057D" w:rsidP="003D79B5">
      <w:pPr>
        <w:pStyle w:val="paragraph"/>
        <w:spacing w:before="0" w:beforeAutospacing="0" w:after="0" w:afterAutospacing="0" w:line="360" w:lineRule="auto"/>
        <w:textAlignment w:val="baseline"/>
        <w:rPr>
          <w:rFonts w:ascii="Aptos" w:hAnsi="Aptos" w:cs="Arial"/>
        </w:rPr>
      </w:pPr>
      <w:r>
        <w:rPr>
          <w:rFonts w:ascii="Aptos" w:hAnsi="Aptos" w:cs="Arial"/>
        </w:rPr>
        <w:t xml:space="preserve">The available evidence on social support and health outcomes has limited focus on family specific support. There is in sufficient exploration of individual perception of support and existing studies rarely consider hoe socio-economic status and complexity of disease influence effectiveness of family support leading to a lack of nuanced understanding. UK based research often highlights policy support </w:t>
      </w:r>
      <w:r w:rsidR="00BD0188">
        <w:rPr>
          <w:rFonts w:ascii="Aptos" w:hAnsi="Aptos" w:cs="Arial"/>
        </w:rPr>
        <w:t>yet there is a gap between policy and real-world implementation within HSC systems.</w:t>
      </w:r>
    </w:p>
    <w:p w14:paraId="5DF08D5D" w14:textId="0B4742DA" w:rsidR="00BD0188" w:rsidRPr="00E0057D" w:rsidRDefault="00BD0188" w:rsidP="003D79B5">
      <w:pPr>
        <w:pStyle w:val="paragraph"/>
        <w:spacing w:before="0" w:beforeAutospacing="0" w:after="0" w:afterAutospacing="0" w:line="360" w:lineRule="auto"/>
        <w:textAlignment w:val="baseline"/>
        <w:rPr>
          <w:rFonts w:ascii="Aptos" w:hAnsi="Aptos" w:cs="Arial"/>
        </w:rPr>
      </w:pPr>
      <w:r>
        <w:rPr>
          <w:rFonts w:ascii="Aptos" w:hAnsi="Aptos" w:cs="Arial"/>
        </w:rPr>
        <w:t>The study aims to address these gaps by providing focused analysis of family support and its relevance in supporting mental wellbeing, targeting anxiety, depression and stress management in patients suffering from LTCs.</w:t>
      </w:r>
    </w:p>
    <w:p w14:paraId="75E17D56" w14:textId="77777777" w:rsidR="00BD2909" w:rsidRPr="00BD2909" w:rsidRDefault="00BD2909" w:rsidP="003D79B5">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669241A7" w14:textId="3E9688E2" w:rsidR="00BD2909" w:rsidRPr="00BD2909" w:rsidRDefault="00BD2909" w:rsidP="003D79B5">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 xml:space="preserve">1.4 </w:t>
      </w:r>
      <w:r w:rsidRPr="00E0057D">
        <w:rPr>
          <w:rStyle w:val="Heading2Char"/>
        </w:rPr>
        <w:t>Aim and Objectives</w:t>
      </w:r>
      <w:r w:rsidRPr="00BD2909">
        <w:rPr>
          <w:rStyle w:val="normaltextrun"/>
          <w:rFonts w:ascii="Aptos" w:hAnsi="Aptos" w:cs="Arial"/>
          <w:color w:val="0F4761"/>
        </w:rPr>
        <w:t xml:space="preserve"> </w:t>
      </w:r>
    </w:p>
    <w:p w14:paraId="068B4EA8" w14:textId="256A321A" w:rsidR="00E0057D" w:rsidRPr="00E0057D" w:rsidRDefault="00E0057D" w:rsidP="003D79B5">
      <w:pPr>
        <w:pStyle w:val="paragraph"/>
        <w:spacing w:line="360" w:lineRule="auto"/>
        <w:textAlignment w:val="baseline"/>
        <w:rPr>
          <w:rFonts w:ascii="Aptos" w:hAnsi="Aptos" w:cs="Arial"/>
        </w:rPr>
      </w:pPr>
      <w:r w:rsidRPr="00E0057D">
        <w:rPr>
          <w:rFonts w:ascii="Aptos" w:hAnsi="Aptos" w:cs="Arial"/>
        </w:rPr>
        <w:t>The aim of the study is to investigate how family support affects the mental health of persons with long-term illnesses in the United Kingdom.</w:t>
      </w:r>
    </w:p>
    <w:p w14:paraId="462C7513" w14:textId="77777777" w:rsidR="00E0057D" w:rsidRPr="00E0057D" w:rsidRDefault="00BD2909" w:rsidP="003D79B5">
      <w:pPr>
        <w:pStyle w:val="ListParagraph"/>
        <w:widowControl/>
        <w:numPr>
          <w:ilvl w:val="0"/>
          <w:numId w:val="145"/>
        </w:numPr>
        <w:autoSpaceDE/>
        <w:autoSpaceDN/>
        <w:spacing w:after="160" w:line="360" w:lineRule="auto"/>
        <w:contextualSpacing/>
        <w:rPr>
          <w:rStyle w:val="eop"/>
          <w:rFonts w:ascii="Aptos" w:hAnsi="Aptos" w:cs="Arial"/>
          <w:sz w:val="24"/>
          <w:szCs w:val="24"/>
        </w:rPr>
      </w:pPr>
      <w:r w:rsidRPr="00E0057D">
        <w:rPr>
          <w:rStyle w:val="normaltextrun"/>
          <w:rFonts w:ascii="Aptos" w:hAnsi="Aptos" w:cs="Arial"/>
          <w:b/>
          <w:bCs/>
          <w:sz w:val="24"/>
          <w:szCs w:val="24"/>
        </w:rPr>
        <w:t>Objective 1:</w:t>
      </w:r>
      <w:r w:rsidRPr="00E0057D">
        <w:rPr>
          <w:rStyle w:val="normaltextrun"/>
          <w:rFonts w:ascii="Aptos" w:hAnsi="Aptos" w:cs="Arial"/>
          <w:sz w:val="24"/>
          <w:szCs w:val="24"/>
        </w:rPr>
        <w:t> </w:t>
      </w:r>
      <w:r w:rsidRPr="00E0057D">
        <w:rPr>
          <w:rStyle w:val="eop"/>
          <w:rFonts w:ascii="Aptos" w:hAnsi="Aptos" w:cs="Arial"/>
          <w:sz w:val="24"/>
          <w:szCs w:val="24"/>
        </w:rPr>
        <w:t> </w:t>
      </w:r>
    </w:p>
    <w:p w14:paraId="352EEA17" w14:textId="0C7A2D67" w:rsidR="00E0057D" w:rsidRPr="00E0057D" w:rsidRDefault="00E0057D" w:rsidP="003D79B5">
      <w:pPr>
        <w:pStyle w:val="ListParagraph"/>
        <w:widowControl/>
        <w:numPr>
          <w:ilvl w:val="0"/>
          <w:numId w:val="145"/>
        </w:numPr>
        <w:autoSpaceDE/>
        <w:autoSpaceDN/>
        <w:spacing w:after="160" w:line="360" w:lineRule="auto"/>
        <w:contextualSpacing/>
        <w:rPr>
          <w:rFonts w:ascii="Aptos" w:hAnsi="Aptos" w:cs="Arial"/>
          <w:sz w:val="24"/>
          <w:szCs w:val="24"/>
        </w:rPr>
      </w:pPr>
      <w:r w:rsidRPr="00E0057D">
        <w:rPr>
          <w:rFonts w:ascii="Aptos" w:hAnsi="Aptos" w:cs="Arial"/>
          <w:sz w:val="24"/>
          <w:szCs w:val="24"/>
        </w:rPr>
        <w:t>Define and examine the concept of family support (emotional, practical, informational) experienced by adults with chronic illness in the UK. The research explores how these elements are perceived and valued by individuals.</w:t>
      </w:r>
    </w:p>
    <w:p w14:paraId="3FE0A88D" w14:textId="77777777" w:rsidR="00E0057D" w:rsidRPr="00E0057D" w:rsidRDefault="00E0057D" w:rsidP="003D79B5">
      <w:pPr>
        <w:pStyle w:val="paragraph"/>
        <w:numPr>
          <w:ilvl w:val="0"/>
          <w:numId w:val="145"/>
        </w:numPr>
        <w:spacing w:before="0" w:beforeAutospacing="0" w:after="0" w:afterAutospacing="0" w:line="360" w:lineRule="auto"/>
        <w:textAlignment w:val="baseline"/>
        <w:rPr>
          <w:rFonts w:ascii="Aptos" w:hAnsi="Aptos" w:cs="Segoe UI"/>
        </w:rPr>
      </w:pPr>
      <w:r w:rsidRPr="00E0057D">
        <w:rPr>
          <w:rStyle w:val="normaltextrun"/>
          <w:rFonts w:ascii="Aptos" w:hAnsi="Aptos" w:cs="Arial"/>
          <w:b/>
          <w:bCs/>
        </w:rPr>
        <w:t>Objective 2:</w:t>
      </w:r>
      <w:r w:rsidRPr="00E0057D">
        <w:rPr>
          <w:rStyle w:val="normaltextrun"/>
          <w:rFonts w:ascii="Aptos" w:hAnsi="Aptos" w:cs="Arial"/>
        </w:rPr>
        <w:t> </w:t>
      </w:r>
      <w:r w:rsidRPr="00E0057D">
        <w:rPr>
          <w:rStyle w:val="eop"/>
          <w:rFonts w:ascii="Aptos" w:hAnsi="Aptos" w:cs="Arial"/>
        </w:rPr>
        <w:t> </w:t>
      </w:r>
    </w:p>
    <w:p w14:paraId="1DD5EB65" w14:textId="14654CA7" w:rsidR="00E0057D" w:rsidRPr="00E0057D" w:rsidRDefault="00E0057D" w:rsidP="003D79B5">
      <w:pPr>
        <w:pStyle w:val="ListParagraph"/>
        <w:widowControl/>
        <w:autoSpaceDE/>
        <w:autoSpaceDN/>
        <w:spacing w:after="160" w:line="360" w:lineRule="auto"/>
        <w:ind w:left="720" w:firstLine="0"/>
        <w:contextualSpacing/>
        <w:rPr>
          <w:rFonts w:ascii="Aptos" w:hAnsi="Aptos" w:cs="Arial"/>
          <w:sz w:val="24"/>
          <w:szCs w:val="24"/>
        </w:rPr>
      </w:pPr>
      <w:r w:rsidRPr="00E0057D">
        <w:rPr>
          <w:rFonts w:ascii="Aptos" w:hAnsi="Aptos" w:cs="Arial"/>
          <w:sz w:val="24"/>
          <w:szCs w:val="24"/>
        </w:rPr>
        <w:t>The research will analyse the relationship between family support and mental health outcomes including anxiety depression and overall psychological wellbeing among adults with chronic illness.</w:t>
      </w:r>
    </w:p>
    <w:p w14:paraId="7C0D409F" w14:textId="5C720926" w:rsidR="00E0057D" w:rsidRPr="00E0057D" w:rsidRDefault="00E0057D" w:rsidP="003D79B5">
      <w:pPr>
        <w:pStyle w:val="ListParagraph"/>
        <w:widowControl/>
        <w:numPr>
          <w:ilvl w:val="0"/>
          <w:numId w:val="145"/>
        </w:numPr>
        <w:autoSpaceDE/>
        <w:autoSpaceDN/>
        <w:spacing w:after="160" w:line="360" w:lineRule="auto"/>
        <w:contextualSpacing/>
        <w:rPr>
          <w:rFonts w:ascii="Aptos" w:hAnsi="Aptos" w:cs="Arial"/>
          <w:sz w:val="24"/>
          <w:szCs w:val="24"/>
        </w:rPr>
      </w:pPr>
      <w:r w:rsidRPr="00E0057D">
        <w:rPr>
          <w:rStyle w:val="normaltextrun"/>
          <w:rFonts w:ascii="Aptos" w:hAnsi="Aptos" w:cs="Arial"/>
          <w:b/>
          <w:bCs/>
          <w:sz w:val="24"/>
          <w:szCs w:val="24"/>
        </w:rPr>
        <w:t>Objective 3:</w:t>
      </w:r>
      <w:r w:rsidRPr="00E0057D">
        <w:rPr>
          <w:rStyle w:val="normaltextrun"/>
          <w:rFonts w:ascii="Aptos" w:hAnsi="Aptos" w:cs="Arial"/>
          <w:sz w:val="24"/>
          <w:szCs w:val="24"/>
        </w:rPr>
        <w:t> </w:t>
      </w:r>
      <w:r w:rsidRPr="00E0057D">
        <w:rPr>
          <w:rStyle w:val="eop"/>
          <w:rFonts w:ascii="Aptos" w:hAnsi="Aptos" w:cs="Arial"/>
          <w:sz w:val="24"/>
          <w:szCs w:val="24"/>
        </w:rPr>
        <w:t> </w:t>
      </w:r>
    </w:p>
    <w:p w14:paraId="2D48975C" w14:textId="77777777" w:rsidR="00E0057D" w:rsidRPr="00E0057D" w:rsidRDefault="00E0057D" w:rsidP="003D79B5">
      <w:pPr>
        <w:pStyle w:val="ListParagraph"/>
        <w:widowControl/>
        <w:autoSpaceDE/>
        <w:autoSpaceDN/>
        <w:spacing w:after="160" w:line="360" w:lineRule="auto"/>
        <w:ind w:left="720" w:firstLine="0"/>
        <w:contextualSpacing/>
        <w:rPr>
          <w:rFonts w:ascii="Aptos" w:hAnsi="Aptos" w:cs="Arial"/>
          <w:sz w:val="24"/>
          <w:szCs w:val="24"/>
        </w:rPr>
      </w:pPr>
      <w:r w:rsidRPr="00E0057D">
        <w:rPr>
          <w:rFonts w:ascii="Aptos" w:hAnsi="Aptos" w:cs="Arial"/>
          <w:sz w:val="24"/>
          <w:szCs w:val="24"/>
        </w:rPr>
        <w:t>The paper aims to evaluate how socio-economic factors and types of chronic illnesses influence the effectiveness of family support in improving mental health.</w:t>
      </w:r>
    </w:p>
    <w:p w14:paraId="4A0BDA64" w14:textId="20425F23" w:rsidR="00E0057D" w:rsidRPr="00E0057D" w:rsidRDefault="00E0057D" w:rsidP="003D79B5">
      <w:pPr>
        <w:pStyle w:val="ListParagraph"/>
        <w:widowControl/>
        <w:numPr>
          <w:ilvl w:val="0"/>
          <w:numId w:val="145"/>
        </w:numPr>
        <w:autoSpaceDE/>
        <w:autoSpaceDN/>
        <w:spacing w:after="160" w:line="360" w:lineRule="auto"/>
        <w:contextualSpacing/>
        <w:rPr>
          <w:rFonts w:ascii="Aptos" w:hAnsi="Aptos" w:cs="Arial"/>
          <w:sz w:val="24"/>
          <w:szCs w:val="24"/>
        </w:rPr>
      </w:pPr>
      <w:r w:rsidRPr="00E0057D">
        <w:rPr>
          <w:rStyle w:val="normaltextrun"/>
          <w:rFonts w:ascii="Aptos" w:hAnsi="Aptos" w:cs="Arial"/>
          <w:b/>
          <w:bCs/>
          <w:sz w:val="24"/>
          <w:szCs w:val="24"/>
        </w:rPr>
        <w:t>Objective 4:</w:t>
      </w:r>
      <w:r w:rsidRPr="00E0057D">
        <w:rPr>
          <w:rStyle w:val="normaltextrun"/>
          <w:rFonts w:ascii="Aptos" w:hAnsi="Aptos" w:cs="Arial"/>
          <w:sz w:val="24"/>
          <w:szCs w:val="24"/>
        </w:rPr>
        <w:t> </w:t>
      </w:r>
      <w:r w:rsidRPr="00E0057D">
        <w:rPr>
          <w:rStyle w:val="eop"/>
          <w:rFonts w:ascii="Aptos" w:hAnsi="Aptos" w:cs="Arial"/>
          <w:sz w:val="24"/>
          <w:szCs w:val="24"/>
        </w:rPr>
        <w:t> </w:t>
      </w:r>
    </w:p>
    <w:p w14:paraId="7FA3F3C5" w14:textId="69D5BF01" w:rsidR="00BD2909" w:rsidRPr="00E0057D" w:rsidRDefault="00E0057D" w:rsidP="003D79B5">
      <w:pPr>
        <w:pStyle w:val="ListParagraph"/>
        <w:widowControl/>
        <w:autoSpaceDE/>
        <w:autoSpaceDN/>
        <w:spacing w:after="160" w:line="360" w:lineRule="auto"/>
        <w:ind w:left="720" w:firstLine="0"/>
        <w:contextualSpacing/>
        <w:rPr>
          <w:rFonts w:ascii="Aptos" w:hAnsi="Aptos" w:cs="Arial"/>
        </w:rPr>
      </w:pPr>
      <w:r w:rsidRPr="00E0057D">
        <w:rPr>
          <w:rFonts w:ascii="Aptos" w:hAnsi="Aptos" w:cs="Arial"/>
          <w:sz w:val="24"/>
          <w:szCs w:val="24"/>
        </w:rPr>
        <w:t>It will provide recommendations for healthcare professionals and policy makers to integrate more family-centred approach and management strategies to enhance mental wellbeing of patients living with chronic illnesses in UK.</w:t>
      </w:r>
    </w:p>
    <w:p w14:paraId="4FCBBEC2" w14:textId="7AC641D9" w:rsidR="00BD2909" w:rsidRPr="00BD2909" w:rsidRDefault="00BD2909" w:rsidP="003D79B5">
      <w:pPr>
        <w:pStyle w:val="paragraph"/>
        <w:spacing w:before="0" w:beforeAutospacing="0" w:after="0" w:afterAutospacing="0" w:line="360" w:lineRule="auto"/>
        <w:textAlignment w:val="baseline"/>
        <w:rPr>
          <w:rFonts w:ascii="Aptos" w:hAnsi="Aptos" w:cs="Segoe UI"/>
          <w:color w:val="0F4761"/>
          <w:sz w:val="16"/>
          <w:szCs w:val="16"/>
        </w:rPr>
      </w:pPr>
      <w:bookmarkStart w:id="3" w:name="_Toc225717815"/>
      <w:r w:rsidRPr="00E0057D">
        <w:rPr>
          <w:rStyle w:val="Heading2Char"/>
        </w:rPr>
        <w:t>1.5 Conclusion</w:t>
      </w:r>
      <w:bookmarkEnd w:id="3"/>
      <w:r w:rsidRPr="00BD2909">
        <w:rPr>
          <w:rStyle w:val="normaltextrun"/>
          <w:rFonts w:ascii="Aptos" w:hAnsi="Aptos" w:cs="Arial"/>
          <w:color w:val="0F4761"/>
        </w:rPr>
        <w:t xml:space="preserve"> </w:t>
      </w:r>
    </w:p>
    <w:p w14:paraId="4A886E55" w14:textId="2DC81EAD" w:rsidR="00730C3C" w:rsidRDefault="00BD0188" w:rsidP="003D79B5">
      <w:pPr>
        <w:jc w:val="left"/>
      </w:pPr>
      <w:r>
        <w:t>This chapter has introduced the key focus of the study, highlighting the increasing prevalence of chronic conditions in the UK and their strong association with poor mental health outcomes. It outlined the aim and objectives of the study. Furthermore, the rationale for the research was established by identifying gaps in existing literature and the need for more family focused approaches in HSC. Overall, the chapter reinforces the importance of family support as a key factor in promoting holistic and high-quality care.</w:t>
      </w:r>
    </w:p>
    <w:p w14:paraId="4C178B69" w14:textId="7EBB538B" w:rsidR="00BD0188" w:rsidRDefault="00BD0188" w:rsidP="003D79B5">
      <w:pPr>
        <w:jc w:val="left"/>
        <w:rPr>
          <w:b/>
          <w:bCs/>
        </w:rPr>
      </w:pPr>
      <w:r w:rsidRPr="00BD0188">
        <w:rPr>
          <w:b/>
          <w:bCs/>
        </w:rPr>
        <w:t>Signposting to Chapter 2</w:t>
      </w:r>
    </w:p>
    <w:p w14:paraId="34B99585" w14:textId="0F733E73" w:rsidR="00BD0188" w:rsidRPr="00BD0188" w:rsidRDefault="00BD0188" w:rsidP="003D79B5">
      <w:pPr>
        <w:jc w:val="left"/>
      </w:pPr>
      <w:r w:rsidRPr="00BD0188">
        <w:t xml:space="preserve">The next chapter will provide a comprehensive background and analysis of the topic. </w:t>
      </w:r>
      <w:r>
        <w:t>It will critically examine existing literature, theories and policy frameworks related to chronic conditions, mental health and the role of family support. The chapter will help to contextualise the research by identifying key themes, debates and gaps forming a strong foundation for the study.</w:t>
      </w:r>
    </w:p>
    <w:p w14:paraId="115C9163" w14:textId="77777777" w:rsidR="00730C3C" w:rsidRDefault="00730C3C" w:rsidP="003D79B5">
      <w:pPr>
        <w:jc w:val="left"/>
      </w:pPr>
    </w:p>
    <w:p w14:paraId="47D34B52" w14:textId="77777777" w:rsidR="00730C3C" w:rsidRDefault="00730C3C" w:rsidP="003D79B5">
      <w:pPr>
        <w:jc w:val="left"/>
      </w:pPr>
    </w:p>
    <w:p w14:paraId="093E8F53" w14:textId="77777777" w:rsidR="00730C3C" w:rsidRDefault="00730C3C" w:rsidP="003D79B5">
      <w:pPr>
        <w:jc w:val="left"/>
      </w:pPr>
    </w:p>
    <w:p w14:paraId="0DBC5AAB" w14:textId="77777777" w:rsidR="003135AD" w:rsidRDefault="003135AD" w:rsidP="003D79B5">
      <w:pPr>
        <w:jc w:val="left"/>
      </w:pPr>
    </w:p>
    <w:p w14:paraId="7A2D5594" w14:textId="77777777" w:rsidR="009E17B9" w:rsidRDefault="009E17B9" w:rsidP="003D79B5">
      <w:pPr>
        <w:jc w:val="left"/>
      </w:pPr>
    </w:p>
    <w:p w14:paraId="7E4B257F" w14:textId="77777777" w:rsidR="009E17B9" w:rsidRDefault="009E17B9" w:rsidP="003D79B5">
      <w:pPr>
        <w:jc w:val="left"/>
      </w:pPr>
    </w:p>
    <w:p w14:paraId="725B11A9" w14:textId="77777777" w:rsidR="009E17B9" w:rsidRDefault="009E17B9" w:rsidP="003D79B5">
      <w:pPr>
        <w:jc w:val="left"/>
      </w:pPr>
    </w:p>
    <w:p w14:paraId="5C32E21E" w14:textId="77777777" w:rsidR="009E17B9" w:rsidRDefault="009E17B9" w:rsidP="003D79B5">
      <w:pPr>
        <w:jc w:val="left"/>
      </w:pPr>
    </w:p>
    <w:p w14:paraId="19D1861D" w14:textId="77777777" w:rsidR="009E17B9" w:rsidRDefault="009E17B9" w:rsidP="003D79B5">
      <w:pPr>
        <w:jc w:val="left"/>
      </w:pPr>
    </w:p>
    <w:p w14:paraId="6ACC905A" w14:textId="77777777" w:rsidR="009E17B9" w:rsidRDefault="009E17B9" w:rsidP="003D79B5">
      <w:pPr>
        <w:jc w:val="left"/>
      </w:pPr>
    </w:p>
    <w:p w14:paraId="2DDF4208" w14:textId="77777777" w:rsidR="009E17B9" w:rsidRDefault="009E17B9" w:rsidP="003D79B5">
      <w:pPr>
        <w:jc w:val="left"/>
      </w:pPr>
    </w:p>
    <w:p w14:paraId="69C79371" w14:textId="77777777" w:rsidR="006A4515" w:rsidRDefault="006A4515" w:rsidP="003D79B5">
      <w:pPr>
        <w:jc w:val="left"/>
      </w:pPr>
    </w:p>
    <w:p w14:paraId="1E1A58B1" w14:textId="77777777" w:rsidR="00804B94" w:rsidRDefault="00804B94" w:rsidP="003D79B5">
      <w:pPr>
        <w:jc w:val="left"/>
      </w:pPr>
    </w:p>
    <w:p w14:paraId="0C762ACC" w14:textId="77777777" w:rsidR="009032EE" w:rsidRDefault="000D0641" w:rsidP="003D79B5">
      <w:pPr>
        <w:pStyle w:val="Heading1"/>
        <w:ind w:left="0"/>
        <w:rPr>
          <w:rFonts w:ascii="Aptos" w:hAnsi="Aptos"/>
        </w:rPr>
      </w:pPr>
      <w:bookmarkStart w:id="4" w:name="_Toc225717816"/>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bookmarkEnd w:id="4"/>
    </w:p>
    <w:p w14:paraId="6BA7DF87" w14:textId="57665921" w:rsidR="00BD2909" w:rsidRPr="009032EE" w:rsidRDefault="00BD2909" w:rsidP="003D79B5">
      <w:pPr>
        <w:pStyle w:val="Heading1"/>
        <w:ind w:left="0"/>
        <w:rPr>
          <w:rFonts w:ascii="Aptos" w:hAnsi="Aptos"/>
        </w:rPr>
      </w:pPr>
      <w:r>
        <w:rPr>
          <w:rStyle w:val="eop"/>
          <w:rFonts w:cs="Arial"/>
          <w:color w:val="0F4761"/>
          <w:sz w:val="40"/>
          <w:szCs w:val="40"/>
        </w:rPr>
        <w:t> </w:t>
      </w:r>
    </w:p>
    <w:p w14:paraId="223734F5" w14:textId="4991882A" w:rsidR="00BD2909" w:rsidRPr="00F44833" w:rsidRDefault="00BD2909" w:rsidP="003D79B5">
      <w:pPr>
        <w:pStyle w:val="Heading1"/>
        <w:rPr>
          <w:rFonts w:cs="Segoe UI"/>
          <w:sz w:val="16"/>
          <w:szCs w:val="16"/>
        </w:rPr>
      </w:pPr>
      <w:bookmarkStart w:id="5" w:name="_Toc225717817"/>
      <w:r w:rsidRPr="00F44833">
        <w:rPr>
          <w:rStyle w:val="normaltextrun"/>
          <w:rFonts w:ascii="Aptos" w:hAnsi="Aptos" w:cs="Arial"/>
          <w:color w:val="0F4761"/>
        </w:rPr>
        <w:t>2.1 Introduction</w:t>
      </w:r>
      <w:bookmarkEnd w:id="5"/>
      <w:r w:rsidRPr="00F44833">
        <w:rPr>
          <w:rStyle w:val="normaltextrun"/>
          <w:rFonts w:ascii="Aptos" w:hAnsi="Aptos" w:cs="Arial"/>
          <w:color w:val="0F4761"/>
        </w:rPr>
        <w:t xml:space="preserve"> </w:t>
      </w:r>
    </w:p>
    <w:p w14:paraId="3AF758AC" w14:textId="1A2D46AD" w:rsidR="00BD2909" w:rsidRPr="00F44833" w:rsidRDefault="00BD2909" w:rsidP="003D79B5">
      <w:pPr>
        <w:pStyle w:val="paragraph"/>
        <w:spacing w:before="0" w:beforeAutospacing="0" w:after="0" w:afterAutospacing="0" w:line="360" w:lineRule="auto"/>
        <w:textAlignment w:val="baseline"/>
        <w:rPr>
          <w:rFonts w:ascii="Aptos" w:hAnsi="Aptos" w:cs="Segoe UI"/>
          <w:sz w:val="16"/>
          <w:szCs w:val="16"/>
        </w:rPr>
      </w:pPr>
    </w:p>
    <w:p w14:paraId="3E1184C4" w14:textId="77777777" w:rsidR="00BD2909" w:rsidRPr="00F44833" w:rsidRDefault="00BD2909" w:rsidP="003D79B5">
      <w:pPr>
        <w:pStyle w:val="Heading2"/>
        <w:jc w:val="left"/>
      </w:pPr>
      <w:bookmarkStart w:id="6" w:name="_Toc225717818"/>
      <w:r w:rsidRPr="00F44833">
        <w:rPr>
          <w:rStyle w:val="normaltextrun"/>
          <w:rFonts w:cs="Arial"/>
          <w:b/>
          <w:bCs/>
          <w:sz w:val="22"/>
          <w:szCs w:val="22"/>
        </w:rPr>
        <w:t>Purpose of the Chapter:</w:t>
      </w:r>
      <w:bookmarkEnd w:id="6"/>
      <w:r w:rsidRPr="00F44833">
        <w:rPr>
          <w:rStyle w:val="eop"/>
          <w:rFonts w:eastAsia="Calibri Light" w:cs="Arial"/>
          <w:sz w:val="22"/>
          <w:szCs w:val="22"/>
        </w:rPr>
        <w:t> </w:t>
      </w:r>
    </w:p>
    <w:p w14:paraId="1ADF7C27" w14:textId="4586EE85" w:rsidR="00BD2909" w:rsidRPr="00EC0371" w:rsidRDefault="009032EE" w:rsidP="003D79B5">
      <w:pPr>
        <w:pStyle w:val="paragraph"/>
        <w:spacing w:before="0" w:beforeAutospacing="0" w:after="0" w:afterAutospacing="0" w:line="360" w:lineRule="auto"/>
        <w:textAlignment w:val="baseline"/>
        <w:rPr>
          <w:rStyle w:val="eop"/>
          <w:rFonts w:ascii="Aptos" w:eastAsia="Calibri Light" w:hAnsi="Aptos" w:cs="Arial"/>
        </w:rPr>
      </w:pPr>
      <w:r w:rsidRPr="00EC0371">
        <w:rPr>
          <w:rStyle w:val="normaltextrun"/>
          <w:rFonts w:ascii="Aptos" w:hAnsi="Aptos" w:cs="Arial"/>
        </w:rPr>
        <w:t xml:space="preserve">The purpose of this chapter is to highlight a comprehensive overview </w:t>
      </w:r>
      <w:r w:rsidR="007B7F7B" w:rsidRPr="00EC0371">
        <w:rPr>
          <w:rStyle w:val="normaltextrun"/>
          <w:rFonts w:ascii="Aptos" w:hAnsi="Aptos" w:cs="Arial"/>
        </w:rPr>
        <w:t xml:space="preserve">of the broader context encapsulating chronic conditions, mental health, and family support within the UK. </w:t>
      </w:r>
      <w:r w:rsidR="00BD2909" w:rsidRPr="00EC0371">
        <w:rPr>
          <w:rStyle w:val="eop"/>
          <w:rFonts w:ascii="Aptos" w:eastAsia="Calibri Light" w:hAnsi="Aptos" w:cs="Arial"/>
        </w:rPr>
        <w:t> </w:t>
      </w:r>
      <w:r w:rsidR="007B7F7B" w:rsidRPr="00EC0371">
        <w:rPr>
          <w:rStyle w:val="eop"/>
          <w:rFonts w:ascii="Aptos" w:eastAsia="Calibri Light" w:hAnsi="Aptos" w:cs="Arial"/>
        </w:rPr>
        <w:t>It will present relevant historical development in health and social care, alongside key theoretical; perspectives that underpin understanding of support systems and wellbeing. The chapter will also examine the current policies and frameworks and healthcare family focused practices that shape the management of long-term conditions and mental health services.</w:t>
      </w:r>
    </w:p>
    <w:p w14:paraId="1CD9301C" w14:textId="7352967B" w:rsidR="007B7F7B" w:rsidRPr="00EC0371" w:rsidRDefault="007B7F7B" w:rsidP="003D79B5">
      <w:pPr>
        <w:pStyle w:val="paragraph"/>
        <w:spacing w:before="0" w:beforeAutospacing="0" w:after="0" w:afterAutospacing="0" w:line="360" w:lineRule="auto"/>
        <w:textAlignment w:val="baseline"/>
        <w:rPr>
          <w:rFonts w:ascii="Aptos" w:hAnsi="Aptos" w:cs="Segoe UI"/>
        </w:rPr>
      </w:pPr>
      <w:r w:rsidRPr="00EC0371">
        <w:rPr>
          <w:rStyle w:val="eop"/>
          <w:rFonts w:ascii="Aptos" w:eastAsia="Calibri Light" w:hAnsi="Aptos" w:cs="Arial"/>
        </w:rPr>
        <w:t>By establishing the research within this wider context, the chapter establishes a strong foundation for the study, enabling an in-depth understanding of how family support operates within existing systems. It will also show the significance of evolving role of families in care provision and the increasing emphasis on integrated and person-centred approaches. The established foundation is crucial for maintain the direction of the research and targeting valued analysis in later chapters.</w:t>
      </w:r>
    </w:p>
    <w:p w14:paraId="0AAAB744" w14:textId="62FEA36F" w:rsidR="00BD2909" w:rsidRPr="00BD10EC" w:rsidRDefault="00BD2909" w:rsidP="003D79B5">
      <w:pPr>
        <w:pStyle w:val="paragraph"/>
        <w:spacing w:before="0" w:beforeAutospacing="0" w:after="0" w:afterAutospacing="0" w:line="360" w:lineRule="auto"/>
        <w:textAlignment w:val="baseline"/>
        <w:rPr>
          <w:rFonts w:ascii="Aptos" w:hAnsi="Aptos" w:cs="Segoe UI"/>
          <w:color w:val="0F4761"/>
        </w:rPr>
      </w:pPr>
      <w:r w:rsidRPr="00F44833">
        <w:rPr>
          <w:rStyle w:val="normaltextrun"/>
          <w:rFonts w:ascii="Aptos" w:hAnsi="Aptos" w:cs="Arial"/>
          <w:color w:val="0F4761"/>
        </w:rPr>
        <w:t xml:space="preserve">2.2 </w:t>
      </w:r>
      <w:r w:rsidRPr="00BD10EC">
        <w:rPr>
          <w:rStyle w:val="Heading1Char"/>
          <w:rFonts w:ascii="Aptos" w:hAnsi="Aptos"/>
          <w:color w:val="2F5496" w:themeColor="accent1" w:themeShade="BF"/>
          <w:sz w:val="24"/>
          <w:szCs w:val="24"/>
        </w:rPr>
        <w:t>Historical Background</w:t>
      </w:r>
      <w:r w:rsidRPr="00BD10EC">
        <w:rPr>
          <w:rStyle w:val="normaltextrun"/>
          <w:rFonts w:ascii="Aptos" w:hAnsi="Aptos" w:cs="Arial"/>
          <w:color w:val="2F5496" w:themeColor="accent1" w:themeShade="BF"/>
        </w:rPr>
        <w:t xml:space="preserve"> </w:t>
      </w:r>
    </w:p>
    <w:p w14:paraId="52457009" w14:textId="40C14204" w:rsidR="00BD2909" w:rsidRPr="00113B9C" w:rsidRDefault="009F62E1" w:rsidP="003D79B5">
      <w:pPr>
        <w:pStyle w:val="paragraph"/>
        <w:spacing w:after="0" w:line="360" w:lineRule="auto"/>
        <w:textAlignment w:val="baseline"/>
        <w:rPr>
          <w:rFonts w:cs="Segoe UI"/>
        </w:rPr>
      </w:pPr>
      <w:r w:rsidRPr="009F62E1">
        <w:rPr>
          <w:rFonts w:ascii="Aptos" w:hAnsi="Aptos" w:cs="Segoe UI"/>
        </w:rPr>
        <w:t xml:space="preserve">According to Amin </w:t>
      </w:r>
      <w:r w:rsidRPr="009F62E1">
        <w:rPr>
          <w:rFonts w:ascii="Aptos" w:hAnsi="Aptos" w:cs="Segoe UI"/>
          <w:i/>
          <w:iCs/>
        </w:rPr>
        <w:t>et al.</w:t>
      </w:r>
      <w:r w:rsidRPr="009F62E1">
        <w:rPr>
          <w:rFonts w:ascii="Aptos" w:hAnsi="Aptos" w:cs="Segoe UI"/>
        </w:rPr>
        <w:t xml:space="preserve"> (2025)</w:t>
      </w:r>
      <w:r>
        <w:rPr>
          <w:rFonts w:ascii="Aptos" w:hAnsi="Aptos" w:cs="Segoe UI"/>
        </w:rPr>
        <w:t>, l</w:t>
      </w:r>
      <w:r w:rsidRPr="009F62E1">
        <w:rPr>
          <w:rFonts w:ascii="Aptos" w:hAnsi="Aptos" w:cs="Segoe UI"/>
        </w:rPr>
        <w:t xml:space="preserve">ong-term management is </w:t>
      </w:r>
      <w:r>
        <w:rPr>
          <w:rFonts w:ascii="Aptos" w:hAnsi="Aptos" w:cs="Segoe UI"/>
        </w:rPr>
        <w:t>crucial</w:t>
      </w:r>
      <w:r w:rsidRPr="009F62E1">
        <w:rPr>
          <w:rFonts w:ascii="Aptos" w:hAnsi="Aptos" w:cs="Segoe UI"/>
        </w:rPr>
        <w:t xml:space="preserve"> for chronic illnesses like diabetes, heart disease, and respiratory disorders, which can cause significant emotional and psychological challenges. The numerous restrictions placed on daily activities, the need for continuous medical care, and the need to modify one's lifestyle all contribute to this burden.</w:t>
      </w:r>
      <w:r>
        <w:rPr>
          <w:rFonts w:ascii="Aptos" w:hAnsi="Aptos" w:cs="Segoe UI"/>
        </w:rPr>
        <w:t xml:space="preserve"> The relationship between chronic conditions and mental health has evolved significantly over the years, reflecting broader changes in health and social care.</w:t>
      </w:r>
      <w:r w:rsidR="003A472E">
        <w:rPr>
          <w:rFonts w:ascii="Aptos" w:hAnsi="Aptos" w:cs="Segoe UI"/>
        </w:rPr>
        <w:t xml:space="preserve"> </w:t>
      </w:r>
      <w:r w:rsidR="003A472E" w:rsidRPr="003A472E">
        <w:rPr>
          <w:rFonts w:ascii="Aptos" w:hAnsi="Aptos" w:cs="Segoe UI"/>
        </w:rPr>
        <w:t xml:space="preserve">The existing literature has established the positive impact of social support on psychological well-being of patients living with LTCs (Reeves </w:t>
      </w:r>
      <w:r w:rsidR="003A472E" w:rsidRPr="003A472E">
        <w:rPr>
          <w:rFonts w:ascii="Aptos" w:hAnsi="Aptos" w:cs="Segoe UI"/>
          <w:i/>
          <w:iCs/>
        </w:rPr>
        <w:t>et al.</w:t>
      </w:r>
      <w:r w:rsidR="003A472E" w:rsidRPr="003A472E">
        <w:rPr>
          <w:rFonts w:ascii="Aptos" w:hAnsi="Aptos" w:cs="Segoe UI"/>
        </w:rPr>
        <w:t>, 2014).</w:t>
      </w:r>
      <w:r w:rsidR="003A472E">
        <w:rPr>
          <w:rFonts w:cs="Segoe UI"/>
        </w:rPr>
        <w:t xml:space="preserve"> </w:t>
      </w:r>
      <w:r>
        <w:rPr>
          <w:rFonts w:ascii="Aptos" w:hAnsi="Aptos" w:cs="Segoe UI"/>
        </w:rPr>
        <w:t>Historically healthcare systems particularly in UK, adopted biomedical model focusing on the physical symptoms of diseases while largely neglecting psychological and social determinants</w:t>
      </w:r>
      <w:r w:rsidR="00113B9C">
        <w:rPr>
          <w:rFonts w:ascii="Aptos" w:hAnsi="Aptos" w:cs="Segoe UI"/>
        </w:rPr>
        <w:t xml:space="preserve"> </w:t>
      </w:r>
      <w:r w:rsidR="00113B9C" w:rsidRPr="00113B9C">
        <w:rPr>
          <w:rFonts w:ascii="Aptos" w:hAnsi="Aptos" w:cs="Segoe UI"/>
        </w:rPr>
        <w:t>(Rocca and Anjum, 2020).</w:t>
      </w:r>
      <w:r>
        <w:rPr>
          <w:rFonts w:ascii="Aptos" w:hAnsi="Aptos" w:cs="Segoe UI"/>
        </w:rPr>
        <w:t xml:space="preserve"> During the mid-20</w:t>
      </w:r>
      <w:r w:rsidRPr="009F62E1">
        <w:rPr>
          <w:rFonts w:ascii="Aptos" w:hAnsi="Aptos" w:cs="Segoe UI"/>
          <w:vertAlign w:val="superscript"/>
        </w:rPr>
        <w:t>th</w:t>
      </w:r>
      <w:r>
        <w:rPr>
          <w:rFonts w:ascii="Aptos" w:hAnsi="Aptos" w:cs="Segoe UI"/>
        </w:rPr>
        <w:t xml:space="preserve"> century, increasing awareness of the limitations of this approach led to the emergence of biopsychosocial model which recognised the interconnectedness of physical health, mental wellbeing and social context</w:t>
      </w:r>
      <w:r w:rsidR="00113B9C">
        <w:rPr>
          <w:rFonts w:ascii="Aptos" w:hAnsi="Aptos" w:cs="Segoe UI"/>
        </w:rPr>
        <w:t xml:space="preserve"> </w:t>
      </w:r>
      <w:r w:rsidR="00113B9C" w:rsidRPr="00113B9C">
        <w:rPr>
          <w:rFonts w:ascii="Aptos" w:hAnsi="Aptos" w:cs="Segoe UI"/>
        </w:rPr>
        <w:t>(Borrell-Carrio, Suchman and Epstein, 2004).</w:t>
      </w:r>
      <w:r w:rsidR="00113B9C">
        <w:rPr>
          <w:rFonts w:cs="Segoe UI"/>
        </w:rPr>
        <w:t xml:space="preserve"> </w:t>
      </w:r>
      <w:r>
        <w:rPr>
          <w:rFonts w:ascii="Aptos" w:hAnsi="Aptos" w:cs="Segoe UI"/>
        </w:rPr>
        <w:t>Key milestones include the shift towards community-based care following deinstitutionalisation</w:t>
      </w:r>
      <w:r w:rsidR="00113B9C">
        <w:rPr>
          <w:rFonts w:ascii="Aptos" w:hAnsi="Aptos" w:cs="Segoe UI"/>
        </w:rPr>
        <w:t xml:space="preserve"> </w:t>
      </w:r>
      <w:r>
        <w:rPr>
          <w:rFonts w:ascii="Aptos" w:hAnsi="Aptos" w:cs="Segoe UI"/>
        </w:rPr>
        <w:t xml:space="preserve">which increased reliance </w:t>
      </w:r>
      <w:r w:rsidR="003A472E">
        <w:rPr>
          <w:rFonts w:ascii="Aptos" w:hAnsi="Aptos" w:cs="Segoe UI"/>
        </w:rPr>
        <w:t>on family members as primary care givers</w:t>
      </w:r>
      <w:r w:rsidR="00113B9C">
        <w:rPr>
          <w:rFonts w:ascii="Aptos" w:hAnsi="Aptos" w:cs="Segoe UI"/>
        </w:rPr>
        <w:t xml:space="preserve"> </w:t>
      </w:r>
      <w:r w:rsidR="00113B9C" w:rsidRPr="00113B9C">
        <w:rPr>
          <w:rFonts w:ascii="Aptos" w:hAnsi="Aptos" w:cs="Segoe UI"/>
        </w:rPr>
        <w:t>(Segal, 1979).</w:t>
      </w:r>
      <w:r w:rsidR="003A472E">
        <w:rPr>
          <w:rFonts w:ascii="Aptos" w:hAnsi="Aptos" w:cs="Segoe UI"/>
        </w:rPr>
        <w:t xml:space="preserve"> The establishment of National Health service (NHS) further shaped care provision, promoting accessibility but mostly focusing on clinical interventions. Legislations like Care Act 2014 </w:t>
      </w:r>
      <w:r w:rsidR="00F75509" w:rsidRPr="00F75509">
        <w:rPr>
          <w:rFonts w:ascii="Aptos" w:hAnsi="Aptos" w:cs="Segoe UI"/>
        </w:rPr>
        <w:t>(Department of Health, 2015)</w:t>
      </w:r>
      <w:r w:rsidR="00F75509">
        <w:rPr>
          <w:rFonts w:ascii="Aptos" w:hAnsi="Aptos" w:cs="Segoe UI"/>
        </w:rPr>
        <w:t xml:space="preserve">, </w:t>
      </w:r>
      <w:r w:rsidR="003A472E">
        <w:rPr>
          <w:rFonts w:ascii="Aptos" w:hAnsi="Aptos" w:cs="Segoe UI"/>
        </w:rPr>
        <w:t>and NHS Long -Term Plan has stressed person centred care and integrated care</w:t>
      </w:r>
      <w:r w:rsidR="00F75509">
        <w:rPr>
          <w:rFonts w:ascii="Aptos" w:hAnsi="Aptos" w:cs="Segoe UI"/>
        </w:rPr>
        <w:t xml:space="preserve"> </w:t>
      </w:r>
      <w:r w:rsidR="00F75509" w:rsidRPr="00F75509">
        <w:rPr>
          <w:rFonts w:ascii="Aptos" w:hAnsi="Aptos" w:cs="Segoe UI"/>
        </w:rPr>
        <w:t xml:space="preserve">(Kelly </w:t>
      </w:r>
      <w:r w:rsidR="00F75509" w:rsidRPr="00F75509">
        <w:rPr>
          <w:rFonts w:ascii="Aptos" w:hAnsi="Aptos" w:cs="Segoe UI"/>
          <w:i/>
          <w:iCs/>
        </w:rPr>
        <w:t>et al.</w:t>
      </w:r>
      <w:r w:rsidR="00F75509" w:rsidRPr="00F75509">
        <w:rPr>
          <w:rFonts w:ascii="Aptos" w:hAnsi="Aptos" w:cs="Segoe UI"/>
        </w:rPr>
        <w:t>, 2020)</w:t>
      </w:r>
      <w:r w:rsidR="00F75509">
        <w:rPr>
          <w:rFonts w:ascii="Aptos" w:hAnsi="Aptos" w:cs="Segoe UI"/>
        </w:rPr>
        <w:t>,</w:t>
      </w:r>
      <w:r w:rsidR="003A472E">
        <w:rPr>
          <w:rFonts w:ascii="Aptos" w:hAnsi="Aptos" w:cs="Segoe UI"/>
        </w:rPr>
        <w:t xml:space="preserve"> keeping in view the importance of involving families and patients in care provision and disease management.  </w:t>
      </w:r>
    </w:p>
    <w:p w14:paraId="5A39EAF8" w14:textId="77777777" w:rsidR="00FC1A35" w:rsidRDefault="00BD2909" w:rsidP="003D79B5">
      <w:pPr>
        <w:pStyle w:val="Heading2"/>
        <w:jc w:val="left"/>
        <w:rPr>
          <w:rStyle w:val="eop"/>
          <w:rFonts w:eastAsia="Calibri Light" w:cs="Arial"/>
          <w:sz w:val="22"/>
          <w:szCs w:val="22"/>
        </w:rPr>
      </w:pPr>
      <w:bookmarkStart w:id="7" w:name="_Toc225717819"/>
      <w:r w:rsidRPr="00F44833">
        <w:rPr>
          <w:rStyle w:val="normaltextrun"/>
          <w:rFonts w:cs="Arial"/>
          <w:b/>
          <w:bCs/>
          <w:sz w:val="22"/>
          <w:szCs w:val="22"/>
        </w:rPr>
        <w:t>Significant Historical Figures and Contributions:</w:t>
      </w:r>
      <w:bookmarkEnd w:id="7"/>
      <w:r w:rsidRPr="00F44833">
        <w:rPr>
          <w:rStyle w:val="eop"/>
          <w:rFonts w:eastAsia="Calibri Light" w:cs="Arial"/>
          <w:sz w:val="22"/>
          <w:szCs w:val="22"/>
        </w:rPr>
        <w:t> </w:t>
      </w:r>
    </w:p>
    <w:p w14:paraId="37A38306" w14:textId="33F3099E" w:rsidR="007B01CE" w:rsidRPr="000F73D7" w:rsidRDefault="007B01CE" w:rsidP="003D79B5">
      <w:pPr>
        <w:pStyle w:val="paragraph"/>
        <w:spacing w:after="0" w:line="360" w:lineRule="auto"/>
        <w:textAlignment w:val="baseline"/>
        <w:rPr>
          <w:rStyle w:val="eop"/>
          <w:rFonts w:ascii="Aptos" w:eastAsia="Calibri Light" w:hAnsi="Aptos" w:cs="Arial"/>
        </w:rPr>
      </w:pPr>
      <w:r w:rsidRPr="00FC1A35">
        <w:rPr>
          <w:rStyle w:val="eop"/>
          <w:rFonts w:ascii="Aptos" w:eastAsia="Calibri Light" w:hAnsi="Aptos" w:cs="Arial"/>
        </w:rPr>
        <w:t>The development of understand</w:t>
      </w:r>
      <w:r w:rsidR="00F049A6" w:rsidRPr="00FC1A35">
        <w:rPr>
          <w:rStyle w:val="eop"/>
          <w:rFonts w:ascii="Aptos" w:eastAsia="Calibri Light" w:hAnsi="Aptos" w:cs="Arial"/>
        </w:rPr>
        <w:t xml:space="preserve">ing around chronic conditions, mental health and family support has been shaped by several influential figures and organisations.  George Engel made a significant contribution by introducing biopsychosocial model in 1977 which challenged the biomedical model by emphasising the interaction between </w:t>
      </w:r>
      <w:r w:rsidR="007D555E" w:rsidRPr="00FC1A35">
        <w:rPr>
          <w:rStyle w:val="eop"/>
          <w:rFonts w:ascii="Aptos" w:eastAsia="Calibri Light" w:hAnsi="Aptos" w:cs="Arial"/>
        </w:rPr>
        <w:t>biological,</w:t>
      </w:r>
      <w:r w:rsidR="00F049A6" w:rsidRPr="00FC1A35">
        <w:rPr>
          <w:rStyle w:val="eop"/>
          <w:rFonts w:ascii="Aptos" w:eastAsia="Calibri Light" w:hAnsi="Aptos" w:cs="Arial"/>
        </w:rPr>
        <w:t xml:space="preserve"> psychological and social factors in health</w:t>
      </w:r>
      <w:r w:rsidR="00FC1A35">
        <w:rPr>
          <w:rStyle w:val="eop"/>
          <w:rFonts w:ascii="Aptos" w:eastAsia="Calibri Light" w:hAnsi="Aptos" w:cs="Arial"/>
        </w:rPr>
        <w:t xml:space="preserve"> </w:t>
      </w:r>
      <w:r w:rsidR="00FC1A35" w:rsidRPr="00FC1A35">
        <w:rPr>
          <w:rFonts w:ascii="Aptos" w:eastAsia="Calibri Light" w:hAnsi="Aptos" w:cs="Arial"/>
        </w:rPr>
        <w:t>(Engel, 1977).</w:t>
      </w:r>
      <w:r w:rsidR="00FC1A35" w:rsidRPr="00FC1A35">
        <w:rPr>
          <w:rStyle w:val="eop"/>
          <w:rFonts w:ascii="Aptos" w:eastAsia="Calibri Light" w:hAnsi="Aptos" w:cs="Arial"/>
        </w:rPr>
        <w:t xml:space="preserve"> </w:t>
      </w:r>
      <w:r w:rsidR="00FC1A35" w:rsidRPr="00FC1A35">
        <w:rPr>
          <w:rFonts w:ascii="Aptos" w:eastAsia="Calibri Light" w:hAnsi="Aptos" w:cs="Arial"/>
        </w:rPr>
        <w:t>The BPS model recognises that physical illness can be exacerbated by periods of stress and poor mental health. Maintaining mental health during times of extreme stress is a challenge for many people. An elevated risk of diseases or ailment has been associated with higher levels of depression and anxiety</w:t>
      </w:r>
      <w:r w:rsidR="00FC1A35">
        <w:rPr>
          <w:rFonts w:ascii="Aptos" w:eastAsia="Calibri Light" w:hAnsi="Aptos" w:cs="Arial"/>
        </w:rPr>
        <w:t xml:space="preserve"> </w:t>
      </w:r>
      <w:r w:rsidR="00FC1A35" w:rsidRPr="00FC1A35">
        <w:rPr>
          <w:rFonts w:ascii="Aptos" w:eastAsia="Calibri Light" w:hAnsi="Aptos" w:cs="Arial"/>
        </w:rPr>
        <w:t>(Hardie, 2021).</w:t>
      </w:r>
      <w:r w:rsidR="00FC1A35">
        <w:rPr>
          <w:rFonts w:eastAsia="Calibri Light" w:cs="Arial"/>
        </w:rPr>
        <w:t xml:space="preserve"> </w:t>
      </w:r>
      <w:r w:rsidR="00F049A6" w:rsidRPr="00FC1A35">
        <w:rPr>
          <w:rStyle w:val="eop"/>
          <w:rFonts w:ascii="Aptos" w:eastAsia="Calibri Light" w:hAnsi="Aptos" w:cs="Arial"/>
        </w:rPr>
        <w:t>This model remains fundamental in recognising the importance of social and family support in long term patient care</w:t>
      </w:r>
      <w:r w:rsidR="00FC1A35">
        <w:rPr>
          <w:rStyle w:val="eop"/>
          <w:rFonts w:ascii="Aptos" w:eastAsia="Calibri Light" w:hAnsi="Aptos" w:cs="Arial"/>
        </w:rPr>
        <w:t xml:space="preserve"> </w:t>
      </w:r>
      <w:r w:rsidR="00FC1A35" w:rsidRPr="000F73D7">
        <w:rPr>
          <w:rFonts w:ascii="Aptos" w:eastAsia="Calibri Light" w:hAnsi="Aptos" w:cs="Arial"/>
        </w:rPr>
        <w:t>(Najafi Ghezeljeh and Emami, 2013</w:t>
      </w:r>
      <w:r w:rsidR="000F73D7" w:rsidRPr="000F73D7">
        <w:rPr>
          <w:rFonts w:ascii="Aptos" w:eastAsia="Calibri Light" w:hAnsi="Aptos" w:cs="Arial"/>
        </w:rPr>
        <w:t>; Brown, 2011</w:t>
      </w:r>
      <w:r w:rsidR="00FC1A35" w:rsidRPr="000F73D7">
        <w:rPr>
          <w:rFonts w:ascii="Aptos" w:eastAsia="Calibri Light" w:hAnsi="Aptos" w:cs="Arial"/>
        </w:rPr>
        <w:t>)</w:t>
      </w:r>
      <w:r w:rsidR="000F73D7" w:rsidRPr="000F73D7">
        <w:rPr>
          <w:rFonts w:ascii="Aptos" w:eastAsia="Calibri Light" w:hAnsi="Aptos" w:cs="Arial"/>
        </w:rPr>
        <w:t xml:space="preserve">. </w:t>
      </w:r>
    </w:p>
    <w:p w14:paraId="7A5668E7" w14:textId="360C3D17" w:rsidR="00F049A6" w:rsidRPr="000F73D7" w:rsidRDefault="00F049A6" w:rsidP="003D79B5">
      <w:pPr>
        <w:pStyle w:val="paragraph"/>
        <w:spacing w:after="0" w:line="360" w:lineRule="auto"/>
        <w:textAlignment w:val="baseline"/>
        <w:rPr>
          <w:rFonts w:eastAsia="Calibri Light" w:cs="Arial"/>
        </w:rPr>
      </w:pPr>
      <w:r w:rsidRPr="00FC1A35">
        <w:rPr>
          <w:rStyle w:val="eop"/>
          <w:rFonts w:ascii="Aptos" w:eastAsia="Calibri Light" w:hAnsi="Aptos" w:cs="Arial"/>
        </w:rPr>
        <w:t>Aron Beck proposed advancement in comprehending mental health through Cognitive Behaviour Therapy</w:t>
      </w:r>
      <w:r w:rsidR="007D555E" w:rsidRPr="00FC1A35">
        <w:rPr>
          <w:rStyle w:val="eop"/>
          <w:rFonts w:ascii="Aptos" w:eastAsia="Calibri Light" w:hAnsi="Aptos" w:cs="Arial"/>
        </w:rPr>
        <w:t xml:space="preserve"> </w:t>
      </w:r>
      <w:r w:rsidRPr="00FC1A35">
        <w:rPr>
          <w:rStyle w:val="eop"/>
          <w:rFonts w:ascii="Aptos" w:eastAsia="Calibri Light" w:hAnsi="Aptos" w:cs="Arial"/>
        </w:rPr>
        <w:t>(CBT)</w:t>
      </w:r>
      <w:r w:rsidR="000F73D7">
        <w:rPr>
          <w:rStyle w:val="eop"/>
          <w:rFonts w:ascii="Aptos" w:eastAsia="Calibri Light" w:hAnsi="Aptos" w:cs="Arial"/>
        </w:rPr>
        <w:t xml:space="preserve"> </w:t>
      </w:r>
      <w:r w:rsidR="000F73D7" w:rsidRPr="000F73D7">
        <w:rPr>
          <w:rFonts w:ascii="Aptos" w:eastAsia="Calibri Light" w:hAnsi="Aptos" w:cs="Arial"/>
        </w:rPr>
        <w:t>(Chand, Kuckel and Huecker, 2023).</w:t>
      </w:r>
      <w:r w:rsidR="000F73D7">
        <w:rPr>
          <w:rFonts w:eastAsia="Calibri Light" w:cs="Arial"/>
        </w:rPr>
        <w:t xml:space="preserve"> </w:t>
      </w:r>
      <w:r w:rsidR="007D555E" w:rsidRPr="00FC1A35">
        <w:rPr>
          <w:rStyle w:val="eop"/>
          <w:rFonts w:ascii="Aptos" w:eastAsia="Calibri Light" w:hAnsi="Aptos" w:cs="Arial"/>
        </w:rPr>
        <w:t>This therapy highlights how thoughts and social environment influence emotional wellbeing. His work supports individuals through interventions to cope with anxiety and depressions due to chronic condition burden</w:t>
      </w:r>
      <w:r w:rsidR="000F73D7">
        <w:rPr>
          <w:rStyle w:val="eop"/>
          <w:rFonts w:ascii="Aptos" w:eastAsia="Calibri Light" w:hAnsi="Aptos" w:cs="Arial"/>
        </w:rPr>
        <w:t xml:space="preserve"> </w:t>
      </w:r>
      <w:r w:rsidR="000F73D7" w:rsidRPr="000F73D7">
        <w:rPr>
          <w:rFonts w:ascii="Aptos" w:eastAsia="Calibri Light" w:hAnsi="Aptos" w:cs="Arial"/>
        </w:rPr>
        <w:t>(Rupke, Blecke and Renfrow, 2006).</w:t>
      </w:r>
    </w:p>
    <w:p w14:paraId="4D42201B" w14:textId="3019AB29" w:rsidR="00BD2909" w:rsidRPr="005F0CE1" w:rsidRDefault="007D555E" w:rsidP="003D79B5">
      <w:pPr>
        <w:pStyle w:val="paragraph"/>
        <w:spacing w:after="0" w:line="360" w:lineRule="auto"/>
        <w:textAlignment w:val="baseline"/>
        <w:rPr>
          <w:rFonts w:eastAsia="Calibri Light" w:cs="Arial"/>
        </w:rPr>
      </w:pPr>
      <w:r w:rsidRPr="00FC1A35">
        <w:rPr>
          <w:rStyle w:val="eop"/>
          <w:rFonts w:ascii="Aptos" w:eastAsia="Calibri Light" w:hAnsi="Aptos" w:cs="Arial"/>
        </w:rPr>
        <w:t>WHO</w:t>
      </w:r>
      <w:r w:rsidR="005F0CE1" w:rsidRPr="005F0CE1">
        <w:rPr>
          <w:rFonts w:ascii="Arial" w:hAnsi="Arial" w:cs="Arial"/>
          <w:lang w:eastAsia="en-GB"/>
        </w:rPr>
        <w:t xml:space="preserve"> </w:t>
      </w:r>
      <w:r w:rsidRPr="00FC1A35">
        <w:rPr>
          <w:rStyle w:val="eop"/>
          <w:rFonts w:ascii="Aptos" w:eastAsia="Calibri Light" w:hAnsi="Aptos" w:cs="Arial"/>
        </w:rPr>
        <w:t>and NHS played a pivotal role in shaping policies and frameworks that promote holistic and patient centred care</w:t>
      </w:r>
      <w:r w:rsidR="005F0CE1">
        <w:rPr>
          <w:rStyle w:val="eop"/>
          <w:rFonts w:ascii="Aptos" w:eastAsia="Calibri Light" w:hAnsi="Aptos" w:cs="Arial"/>
        </w:rPr>
        <w:t xml:space="preserve"> </w:t>
      </w:r>
      <w:r w:rsidR="005F0CE1" w:rsidRPr="005F0CE1">
        <w:rPr>
          <w:rFonts w:ascii="Aptos" w:eastAsia="Calibri Light" w:hAnsi="Aptos" w:cs="Arial"/>
        </w:rPr>
        <w:t xml:space="preserve">(World Health Organization, 2023; Charles </w:t>
      </w:r>
      <w:r w:rsidR="005F0CE1" w:rsidRPr="005F0CE1">
        <w:rPr>
          <w:rFonts w:ascii="Aptos" w:eastAsia="Calibri Light" w:hAnsi="Aptos" w:cs="Arial"/>
          <w:i/>
          <w:iCs/>
        </w:rPr>
        <w:t>et al.</w:t>
      </w:r>
      <w:r w:rsidR="005F0CE1" w:rsidRPr="005F0CE1">
        <w:rPr>
          <w:rFonts w:ascii="Aptos" w:eastAsia="Calibri Light" w:hAnsi="Aptos" w:cs="Arial"/>
        </w:rPr>
        <w:t>, 2019).</w:t>
      </w:r>
      <w:r w:rsidR="005F0CE1">
        <w:rPr>
          <w:rFonts w:eastAsia="Calibri Light" w:cs="Arial"/>
        </w:rPr>
        <w:t xml:space="preserve"> </w:t>
      </w:r>
      <w:r w:rsidRPr="00FC1A35">
        <w:rPr>
          <w:rStyle w:val="eop"/>
          <w:rFonts w:ascii="Aptos" w:eastAsia="Calibri Light" w:hAnsi="Aptos" w:cs="Arial"/>
        </w:rPr>
        <w:t>The initiatives increasingly recognised the role of families in supporting long-term condition management</w:t>
      </w:r>
      <w:r w:rsidR="00451253">
        <w:rPr>
          <w:rStyle w:val="eop"/>
          <w:rFonts w:ascii="Aptos" w:eastAsia="Calibri Light" w:hAnsi="Aptos" w:cs="Arial"/>
        </w:rPr>
        <w:t xml:space="preserve"> </w:t>
      </w:r>
      <w:r w:rsidR="00451253" w:rsidRPr="005F0CE1">
        <w:rPr>
          <w:rFonts w:ascii="Aptos" w:eastAsia="Calibri Light" w:hAnsi="Aptos" w:cs="Arial"/>
        </w:rPr>
        <w:t>(Jabbari, Rouster and Schoo, 2023;</w:t>
      </w:r>
      <w:r w:rsidR="005F0CE1" w:rsidRPr="005F0CE1">
        <w:rPr>
          <w:rFonts w:ascii="Aptos" w:eastAsia="Calibri Light" w:hAnsi="Aptos" w:cs="Arial"/>
        </w:rPr>
        <w:t xml:space="preserve"> </w:t>
      </w:r>
      <w:r w:rsidR="00451253" w:rsidRPr="005F0CE1">
        <w:rPr>
          <w:rFonts w:ascii="Aptos" w:eastAsia="Calibri Light" w:hAnsi="Aptos" w:cs="Arial"/>
        </w:rPr>
        <w:t>Community Health Nursing, 2023)</w:t>
      </w:r>
      <w:r w:rsidR="005F0CE1">
        <w:rPr>
          <w:rFonts w:ascii="Aptos" w:eastAsia="Calibri Light" w:hAnsi="Aptos" w:cs="Arial"/>
        </w:rPr>
        <w:t>.</w:t>
      </w:r>
      <w:r w:rsidR="005F0CE1">
        <w:rPr>
          <w:rFonts w:eastAsia="Calibri Light" w:cs="Arial"/>
        </w:rPr>
        <w:t xml:space="preserve"> </w:t>
      </w:r>
      <w:r w:rsidRPr="00FC1A35">
        <w:rPr>
          <w:rStyle w:val="eop"/>
          <w:rFonts w:ascii="Aptos" w:eastAsia="Calibri Light" w:hAnsi="Aptos" w:cs="Arial"/>
        </w:rPr>
        <w:t>Collectively these contributors have shifted healthcare towards a more integrated approach, reinforcing the involvement of family in improving mental health outcomes in patients suffering from long-term conditions.</w:t>
      </w:r>
    </w:p>
    <w:p w14:paraId="7CD6820C" w14:textId="0463BE23" w:rsidR="00BD2909" w:rsidRPr="00BD10EC" w:rsidRDefault="00BD2909" w:rsidP="003D79B5">
      <w:pPr>
        <w:pStyle w:val="paragraph"/>
        <w:spacing w:before="0" w:beforeAutospacing="0" w:after="0" w:afterAutospacing="0" w:line="360" w:lineRule="auto"/>
        <w:textAlignment w:val="baseline"/>
        <w:rPr>
          <w:rStyle w:val="Heading2Char"/>
        </w:rPr>
      </w:pPr>
      <w:r w:rsidRPr="00F44833">
        <w:rPr>
          <w:rStyle w:val="normaltextrun"/>
          <w:rFonts w:ascii="Aptos" w:hAnsi="Aptos" w:cs="Arial"/>
          <w:color w:val="0F4761"/>
        </w:rPr>
        <w:t xml:space="preserve">2.3 </w:t>
      </w:r>
      <w:r w:rsidRPr="00BD10EC">
        <w:rPr>
          <w:rStyle w:val="Heading2Char"/>
        </w:rPr>
        <w:t>Theoretical Background</w:t>
      </w:r>
    </w:p>
    <w:p w14:paraId="02952F9D" w14:textId="344E47BB" w:rsidR="00BD2909" w:rsidRDefault="00BD2909" w:rsidP="003D79B5">
      <w:pPr>
        <w:pStyle w:val="paragraph"/>
        <w:spacing w:before="0" w:beforeAutospacing="0" w:after="0" w:afterAutospacing="0" w:line="360" w:lineRule="auto"/>
        <w:textAlignment w:val="baseline"/>
        <w:rPr>
          <w:rStyle w:val="eop"/>
          <w:rFonts w:ascii="Aptos" w:eastAsia="Calibri Light" w:hAnsi="Aptos" w:cs="Arial"/>
          <w:sz w:val="22"/>
          <w:szCs w:val="22"/>
        </w:rPr>
      </w:pPr>
      <w:r w:rsidRPr="00F44833">
        <w:rPr>
          <w:rStyle w:val="normaltextrun"/>
          <w:rFonts w:ascii="Aptos" w:hAnsi="Aptos" w:cs="Arial"/>
          <w:b/>
          <w:bCs/>
          <w:sz w:val="22"/>
          <w:szCs w:val="22"/>
        </w:rPr>
        <w:t>Key Theories:</w:t>
      </w:r>
      <w:r w:rsidRPr="00F44833">
        <w:rPr>
          <w:rStyle w:val="eop"/>
          <w:rFonts w:ascii="Aptos" w:eastAsia="Calibri Light" w:hAnsi="Aptos" w:cs="Arial"/>
          <w:sz w:val="22"/>
          <w:szCs w:val="22"/>
        </w:rPr>
        <w:t> </w:t>
      </w:r>
    </w:p>
    <w:p w14:paraId="3CF41D42" w14:textId="5380E476" w:rsidR="00D452D6" w:rsidRPr="0048454B" w:rsidRDefault="0078119A" w:rsidP="003D79B5">
      <w:pPr>
        <w:pStyle w:val="paragraph"/>
        <w:spacing w:after="0" w:line="360" w:lineRule="auto"/>
        <w:textAlignment w:val="baseline"/>
        <w:rPr>
          <w:rStyle w:val="normaltextrun"/>
          <w:rFonts w:ascii="Aptos" w:eastAsia="Calibri Light" w:hAnsi="Aptos" w:cs="Arial"/>
        </w:rPr>
      </w:pPr>
      <w:r w:rsidRPr="00FC1A35">
        <w:rPr>
          <w:rStyle w:val="eop"/>
          <w:rFonts w:ascii="Aptos" w:eastAsia="Calibri Light" w:hAnsi="Aptos" w:cs="Arial"/>
        </w:rPr>
        <w:t>The Biopsychosocial model provides a foundational perspective, emphasising that health outcomes are shaped by interaction of biological, social and psychological factors. This model highlights the importance of family support as a part of social cont</w:t>
      </w:r>
      <w:r w:rsidR="00626A21" w:rsidRPr="00FC1A35">
        <w:rPr>
          <w:rStyle w:val="eop"/>
          <w:rFonts w:ascii="Aptos" w:eastAsia="Calibri Light" w:hAnsi="Aptos" w:cs="Arial"/>
        </w:rPr>
        <w:t>a</w:t>
      </w:r>
      <w:r w:rsidRPr="00FC1A35">
        <w:rPr>
          <w:rStyle w:val="eop"/>
          <w:rFonts w:ascii="Aptos" w:eastAsia="Calibri Light" w:hAnsi="Aptos" w:cs="Arial"/>
        </w:rPr>
        <w:t>ct</w:t>
      </w:r>
      <w:r w:rsidR="00D452D6" w:rsidRPr="00FC1A35">
        <w:rPr>
          <w:rStyle w:val="eop"/>
          <w:rFonts w:ascii="Aptos" w:eastAsia="Calibri Light" w:hAnsi="Aptos" w:cs="Arial"/>
        </w:rPr>
        <w:t>s</w:t>
      </w:r>
      <w:r w:rsidRPr="00FC1A35">
        <w:rPr>
          <w:rStyle w:val="eop"/>
          <w:rFonts w:ascii="Aptos" w:eastAsia="Calibri Light" w:hAnsi="Aptos" w:cs="Arial"/>
        </w:rPr>
        <w:t xml:space="preserve"> influencing wellbeing</w:t>
      </w:r>
      <w:r w:rsidR="005F0CE1">
        <w:rPr>
          <w:rStyle w:val="eop"/>
          <w:rFonts w:ascii="Aptos" w:eastAsia="Calibri Light" w:hAnsi="Aptos" w:cs="Arial"/>
        </w:rPr>
        <w:t xml:space="preserve"> </w:t>
      </w:r>
      <w:r w:rsidR="005F0CE1" w:rsidRPr="005F0CE1">
        <w:rPr>
          <w:rFonts w:ascii="Aptos" w:eastAsia="Calibri Light" w:hAnsi="Aptos" w:cs="Arial"/>
        </w:rPr>
        <w:t>(Engel, 1977).</w:t>
      </w:r>
      <w:r w:rsidR="005F0CE1">
        <w:rPr>
          <w:rStyle w:val="eop"/>
          <w:rFonts w:eastAsia="Calibri Light" w:cs="Arial"/>
        </w:rPr>
        <w:t xml:space="preserve"> </w:t>
      </w:r>
      <w:r w:rsidRPr="00FC1A35">
        <w:rPr>
          <w:rStyle w:val="eop"/>
          <w:rFonts w:ascii="Aptos" w:eastAsia="Calibri Light" w:hAnsi="Aptos" w:cs="Arial"/>
        </w:rPr>
        <w:t xml:space="preserve">Additionally, </w:t>
      </w:r>
      <w:r w:rsidR="00D452D6" w:rsidRPr="00FC1A35">
        <w:rPr>
          <w:rStyle w:val="eop"/>
          <w:rFonts w:ascii="Aptos" w:eastAsia="Calibri Light" w:hAnsi="Aptos" w:cs="Arial"/>
        </w:rPr>
        <w:t>Social Support Theory is central to this research, as it explains how emotional practical and informational support can buffer stress and improve mental health outcomes</w:t>
      </w:r>
      <w:r w:rsidR="005F0CE1">
        <w:rPr>
          <w:rStyle w:val="eop"/>
          <w:rFonts w:ascii="Aptos" w:eastAsia="Calibri Light" w:hAnsi="Aptos" w:cs="Arial"/>
        </w:rPr>
        <w:t xml:space="preserve"> </w:t>
      </w:r>
      <w:r w:rsidR="005F0CE1" w:rsidRPr="005F0CE1">
        <w:rPr>
          <w:rFonts w:ascii="Aptos" w:eastAsia="Calibri Light" w:hAnsi="Aptos" w:cs="Arial"/>
        </w:rPr>
        <w:t>(Leahy-Warren, 2014).</w:t>
      </w:r>
    </w:p>
    <w:p w14:paraId="61FBE0E9" w14:textId="77777777" w:rsidR="00EC0371" w:rsidRDefault="00D452D6" w:rsidP="003D79B5">
      <w:pPr>
        <w:pStyle w:val="paragraph"/>
        <w:spacing w:before="0" w:beforeAutospacing="0" w:after="0" w:afterAutospacing="0" w:line="360" w:lineRule="auto"/>
        <w:textAlignment w:val="baseline"/>
        <w:rPr>
          <w:rFonts w:ascii="Aptos" w:hAnsi="Aptos" w:cs="Arial"/>
          <w:b/>
          <w:bCs/>
          <w:sz w:val="22"/>
          <w:szCs w:val="22"/>
        </w:rPr>
      </w:pPr>
      <w:r w:rsidRPr="00EC0371">
        <w:rPr>
          <w:rStyle w:val="normaltextrun"/>
          <w:rFonts w:ascii="Aptos" w:hAnsi="Aptos" w:cs="Arial"/>
          <w:b/>
          <w:bCs/>
          <w:sz w:val="22"/>
          <w:szCs w:val="22"/>
        </w:rPr>
        <w:t xml:space="preserve">The Biopsychosocial model </w:t>
      </w:r>
      <w:r w:rsidR="00BD2909" w:rsidRPr="00EC0371">
        <w:rPr>
          <w:rStyle w:val="eop"/>
          <w:rFonts w:ascii="Aptos" w:eastAsia="Calibri Light" w:hAnsi="Aptos" w:cs="Arial"/>
          <w:b/>
          <w:bCs/>
          <w:sz w:val="22"/>
          <w:szCs w:val="22"/>
        </w:rPr>
        <w:t> </w:t>
      </w:r>
    </w:p>
    <w:p w14:paraId="4A93B6DA" w14:textId="1B3FEF5D" w:rsidR="00C26DAD" w:rsidRDefault="00C26DAD" w:rsidP="003D79B5">
      <w:pPr>
        <w:pStyle w:val="paragraph"/>
        <w:spacing w:line="360" w:lineRule="auto"/>
        <w:textAlignment w:val="baseline"/>
        <w:rPr>
          <w:rFonts w:eastAsia="Calibri Light" w:cs="Arial"/>
        </w:rPr>
      </w:pPr>
      <w:r w:rsidRPr="00C26DAD">
        <w:rPr>
          <w:rFonts w:ascii="Aptos" w:eastAsia="Calibri Light" w:hAnsi="Aptos" w:cs="Arial"/>
        </w:rPr>
        <w:t>By highlighting the interdependence of biological, psychological, and social elements in health and illness, the biopsychosocial paradigm has transformed modern healthcare. This method provides a more comprehensive framework for treating mental health issues, pain disorders, and chronic illnesses than the conventional biomedical model</w:t>
      </w:r>
      <w:r w:rsidR="0048454B">
        <w:rPr>
          <w:rFonts w:ascii="Aptos" w:eastAsia="Calibri Light" w:hAnsi="Aptos" w:cs="Arial"/>
        </w:rPr>
        <w:t xml:space="preserve"> </w:t>
      </w:r>
      <w:r w:rsidR="0048454B" w:rsidRPr="0048454B">
        <w:rPr>
          <w:rFonts w:ascii="Aptos" w:eastAsia="Calibri Light" w:hAnsi="Aptos" w:cs="Arial"/>
        </w:rPr>
        <w:t>(Stolper, Karin van Doesum and Steketee, 2024).</w:t>
      </w:r>
      <w:r w:rsidR="0048454B">
        <w:rPr>
          <w:rFonts w:ascii="Aptos" w:eastAsia="Calibri Light" w:hAnsi="Aptos" w:cs="Arial"/>
        </w:rPr>
        <w:t xml:space="preserve"> </w:t>
      </w:r>
      <w:r w:rsidRPr="00C26DAD">
        <w:rPr>
          <w:rFonts w:ascii="Aptos" w:eastAsia="Calibri Light" w:hAnsi="Aptos" w:cs="Arial"/>
        </w:rPr>
        <w:t>The insufficient interdisciplinary collaboration, and budgetary limitations in healthcare systems are some of the major obstacles to the model's implementation, despite its well-established benefits (Hadi, 2025).</w:t>
      </w:r>
      <w:r>
        <w:rPr>
          <w:rFonts w:eastAsia="Calibri Light" w:cs="Arial"/>
        </w:rPr>
        <w:t xml:space="preserve"> </w:t>
      </w:r>
    </w:p>
    <w:p w14:paraId="670E4C15" w14:textId="6DC1C612" w:rsidR="003E1B83" w:rsidRPr="00EC0371" w:rsidRDefault="003E1B83" w:rsidP="003D79B5">
      <w:pPr>
        <w:pStyle w:val="paragraph"/>
        <w:spacing w:line="360" w:lineRule="auto"/>
        <w:textAlignment w:val="baseline"/>
        <w:rPr>
          <w:rFonts w:ascii="Aptos" w:eastAsia="Calibri Light" w:hAnsi="Aptos" w:cs="Arial"/>
        </w:rPr>
      </w:pPr>
      <w:r w:rsidRPr="003E1B83">
        <w:rPr>
          <w:rFonts w:ascii="Aptos" w:eastAsia="Calibri Light" w:hAnsi="Aptos" w:cs="Arial"/>
        </w:rPr>
        <w:t>The biomedical model</w:t>
      </w:r>
      <w:r w:rsidR="00C26DAD">
        <w:rPr>
          <w:rFonts w:ascii="Aptos" w:eastAsia="Calibri Light" w:hAnsi="Aptos" w:cs="Arial"/>
        </w:rPr>
        <w:t xml:space="preserve"> era in comparison to this approach</w:t>
      </w:r>
      <w:r w:rsidRPr="003E1B83">
        <w:rPr>
          <w:rFonts w:ascii="Aptos" w:eastAsia="Calibri Light" w:hAnsi="Aptos" w:cs="Arial"/>
        </w:rPr>
        <w:t xml:space="preserve"> has been marked by a general lack of clinical innovation and poor mental health results, despite the general belief that neuroscience has the capacity to transform mental health practice (Deacon, 2013).</w:t>
      </w:r>
      <w:r>
        <w:rPr>
          <w:rFonts w:eastAsia="Calibri Light" w:cs="Arial"/>
        </w:rPr>
        <w:t xml:space="preserve"> </w:t>
      </w:r>
      <w:r w:rsidRPr="00FD3459">
        <w:rPr>
          <w:rFonts w:ascii="Aptos" w:hAnsi="Aptos"/>
        </w:rPr>
        <w:t>Engel criticised the emergence of a bio-reductionist norm in training and practice, which led to the scientific limitations of medical researchers and the insensitivity of clinicians to the psychological characteristics and biographical contexts of their patients</w:t>
      </w:r>
      <w:r>
        <w:t xml:space="preserve"> </w:t>
      </w:r>
      <w:r w:rsidRPr="0048454B">
        <w:rPr>
          <w:rFonts w:ascii="Aptos" w:hAnsi="Aptos"/>
        </w:rPr>
        <w:t>(Pilgrim, 2015).</w:t>
      </w:r>
    </w:p>
    <w:p w14:paraId="505D3391" w14:textId="400AB5DB" w:rsidR="00EC0371" w:rsidRPr="003E1B83" w:rsidRDefault="00EC0371" w:rsidP="003D79B5">
      <w:pPr>
        <w:pStyle w:val="paragraph"/>
        <w:spacing w:after="0" w:line="360" w:lineRule="auto"/>
        <w:textAlignment w:val="baseline"/>
        <w:rPr>
          <w:rFonts w:eastAsia="Calibri Light" w:cs="Arial"/>
        </w:rPr>
      </w:pPr>
      <w:r w:rsidRPr="00EC0371">
        <w:rPr>
          <w:rFonts w:ascii="Aptos" w:eastAsia="Calibri Light" w:hAnsi="Aptos" w:cs="Arial"/>
        </w:rPr>
        <w:t xml:space="preserve">According to this, the biopsychosocial </w:t>
      </w:r>
      <w:r w:rsidR="00C26DAD">
        <w:rPr>
          <w:rFonts w:ascii="Aptos" w:eastAsia="Calibri Light" w:hAnsi="Aptos" w:cs="Arial"/>
        </w:rPr>
        <w:t>model</w:t>
      </w:r>
      <w:r w:rsidRPr="00EC0371">
        <w:rPr>
          <w:rFonts w:ascii="Aptos" w:eastAsia="Calibri Light" w:hAnsi="Aptos" w:cs="Arial"/>
        </w:rPr>
        <w:t xml:space="preserve"> "honours the importance of all relevant domains of knowledge, not just the "biological"" and is perhaps more "integrative, non-reductionist clinical and theoretical" (Benning, 2015). Although it is regarded as a shift over the more reductionist biomedical approach and a more inclusive model pertinent to psychology and medicine (Deacon, 2013), it is nonetheless subject to some criticism. The model is criticised for: </w:t>
      </w:r>
    </w:p>
    <w:p w14:paraId="18A54F91" w14:textId="18EA3BD4" w:rsidR="00FD3459" w:rsidRDefault="00EC0371" w:rsidP="003D79B5">
      <w:pPr>
        <w:pStyle w:val="paragraph"/>
        <w:numPr>
          <w:ilvl w:val="0"/>
          <w:numId w:val="146"/>
        </w:numPr>
        <w:spacing w:before="0" w:beforeAutospacing="0" w:after="0" w:afterAutospacing="0" w:line="360" w:lineRule="auto"/>
        <w:textAlignment w:val="baseline"/>
        <w:rPr>
          <w:rFonts w:ascii="Aptos" w:eastAsia="Calibri Light" w:hAnsi="Aptos" w:cs="Arial"/>
        </w:rPr>
      </w:pPr>
      <w:r w:rsidRPr="00EC0371">
        <w:rPr>
          <w:rFonts w:ascii="Aptos" w:eastAsia="Calibri Light" w:hAnsi="Aptos" w:cs="Arial"/>
        </w:rPr>
        <w:t xml:space="preserve">the dominance or under-representation of each of the three domains (bio-, psycho-, or social) in research and clinical practice; and </w:t>
      </w:r>
    </w:p>
    <w:p w14:paraId="1787DF7C" w14:textId="15229D75" w:rsidR="00BD2909" w:rsidRDefault="00EC0371" w:rsidP="003D79B5">
      <w:pPr>
        <w:pStyle w:val="paragraph"/>
        <w:numPr>
          <w:ilvl w:val="0"/>
          <w:numId w:val="146"/>
        </w:numPr>
        <w:spacing w:after="0" w:line="360" w:lineRule="auto"/>
        <w:textAlignment w:val="baseline"/>
        <w:rPr>
          <w:rFonts w:ascii="Aptos" w:eastAsia="Calibri Light" w:hAnsi="Aptos" w:cs="Arial"/>
        </w:rPr>
      </w:pPr>
      <w:r w:rsidRPr="00EC0371">
        <w:rPr>
          <w:rFonts w:ascii="Aptos" w:eastAsia="Calibri Light" w:hAnsi="Aptos" w:cs="Arial"/>
        </w:rPr>
        <w:t>the model's insensitivity to people's subjective experiences and "personal meaning," especially in cross-cultural contexts</w:t>
      </w:r>
      <w:r w:rsidR="00C26DAD">
        <w:rPr>
          <w:rFonts w:ascii="Aptos" w:eastAsia="Calibri Light" w:hAnsi="Aptos" w:cs="Arial"/>
        </w:rPr>
        <w:t xml:space="preserve"> </w:t>
      </w:r>
      <w:r w:rsidR="00C26DAD" w:rsidRPr="00C26DAD">
        <w:rPr>
          <w:rFonts w:ascii="Aptos" w:eastAsia="Calibri Light" w:hAnsi="Aptos" w:cs="Arial"/>
        </w:rPr>
        <w:t>(Hatala, 2012).</w:t>
      </w:r>
    </w:p>
    <w:p w14:paraId="2D7C29A8" w14:textId="0EE160D2" w:rsidR="009F7DE6" w:rsidRPr="009B3114" w:rsidRDefault="009F7DE6" w:rsidP="003D79B5">
      <w:pPr>
        <w:jc w:val="left"/>
        <w:rPr>
          <w:rFonts w:eastAsia="Times New Roman" w:cs="Times New Roman"/>
          <w:sz w:val="24"/>
          <w:szCs w:val="24"/>
        </w:rPr>
      </w:pPr>
      <w:r w:rsidRPr="009F7DE6">
        <w:rPr>
          <w:rFonts w:eastAsia="Times New Roman" w:cs="Times New Roman"/>
          <w:sz w:val="24"/>
          <w:szCs w:val="24"/>
        </w:rPr>
        <w:t>The Biopsychosocial Model has been widely applied in reach examining chronic conditions how psychological and social factors, including family support influence health outcomes and treatment adherence. The idea that psychological and behavioural factors have significant effects on disease, illness, and health is unquestionably supported by a sizable number of scientific results</w:t>
      </w:r>
      <w:r w:rsidR="009B3114">
        <w:rPr>
          <w:rFonts w:eastAsia="Times New Roman" w:cs="Times New Roman"/>
          <w:sz w:val="24"/>
          <w:szCs w:val="24"/>
        </w:rPr>
        <w:t xml:space="preserve"> </w:t>
      </w:r>
      <w:r w:rsidR="009B3114" w:rsidRPr="009B3114">
        <w:rPr>
          <w:rFonts w:eastAsia="Times New Roman" w:cs="Times New Roman"/>
          <w:sz w:val="24"/>
          <w:szCs w:val="24"/>
        </w:rPr>
        <w:t>(Baum and Posluszny, 1999)</w:t>
      </w:r>
      <w:r w:rsidR="009B3114">
        <w:rPr>
          <w:rFonts w:eastAsia="Times New Roman" w:cs="Times New Roman"/>
          <w:sz w:val="24"/>
          <w:szCs w:val="24"/>
        </w:rPr>
        <w:t>.</w:t>
      </w:r>
      <w:r w:rsidRPr="009F7DE6">
        <w:rPr>
          <w:rFonts w:eastAsia="Times New Roman" w:cs="Times New Roman"/>
          <w:sz w:val="24"/>
          <w:szCs w:val="24"/>
        </w:rPr>
        <w:t xml:space="preserve"> Health psychologists</w:t>
      </w:r>
      <w:r w:rsidR="0048454B">
        <w:rPr>
          <w:rFonts w:eastAsia="Times New Roman" w:cs="Times New Roman"/>
          <w:sz w:val="24"/>
          <w:szCs w:val="24"/>
        </w:rPr>
        <w:t xml:space="preserve"> </w:t>
      </w:r>
      <w:r w:rsidRPr="009F7DE6">
        <w:rPr>
          <w:rFonts w:eastAsia="Times New Roman" w:cs="Times New Roman"/>
          <w:sz w:val="24"/>
          <w:szCs w:val="24"/>
        </w:rPr>
        <w:t>understand that social isolation, sadness, chronic stress, and conscientiousness can affect a person's susceptibility to or ability to avoid certain diseases. According to Jenkins and Cofresi (1998), depressed symptoms including suicidal thoughts, irritable moods, and ruminations about suffering should be viewed as "social conditions of distress" rather than</w:t>
      </w:r>
      <w:r w:rsidR="0048454B">
        <w:rPr>
          <w:rFonts w:eastAsia="Times New Roman" w:cs="Times New Roman"/>
          <w:sz w:val="24"/>
          <w:szCs w:val="24"/>
        </w:rPr>
        <w:t xml:space="preserve"> physical symptoms of a disease</w:t>
      </w:r>
      <w:r w:rsidR="009B3114">
        <w:rPr>
          <w:rFonts w:eastAsia="Times New Roman" w:cs="Times New Roman"/>
          <w:sz w:val="24"/>
          <w:szCs w:val="24"/>
        </w:rPr>
        <w:t xml:space="preserve"> </w:t>
      </w:r>
      <w:r w:rsidR="009B3114" w:rsidRPr="00C26DAD">
        <w:rPr>
          <w:rFonts w:eastAsia="Calibri Light" w:cs="Arial"/>
          <w:kern w:val="0"/>
          <w:sz w:val="24"/>
          <w:szCs w:val="24"/>
          <w14:ligatures w14:val="none"/>
        </w:rPr>
        <w:t>(Hatala, 2012)</w:t>
      </w:r>
      <w:r w:rsidR="009B3114" w:rsidRPr="00C26DAD">
        <w:rPr>
          <w:rFonts w:eastAsia="Calibri Light" w:cs="Arial"/>
        </w:rPr>
        <w:t>.</w:t>
      </w:r>
    </w:p>
    <w:p w14:paraId="529565AC" w14:textId="4AEFE37E" w:rsidR="00BD2909" w:rsidRPr="00BD10EC" w:rsidRDefault="00BD2909" w:rsidP="003D79B5">
      <w:pPr>
        <w:pStyle w:val="paragraph"/>
        <w:spacing w:before="0" w:beforeAutospacing="0" w:after="0" w:afterAutospacing="0" w:line="360" w:lineRule="auto"/>
        <w:textAlignment w:val="baseline"/>
        <w:rPr>
          <w:rStyle w:val="Heading2Char"/>
        </w:rPr>
      </w:pPr>
      <w:r w:rsidRPr="00F44833">
        <w:rPr>
          <w:rStyle w:val="normaltextrun"/>
          <w:rFonts w:ascii="Aptos" w:hAnsi="Aptos" w:cs="Arial"/>
          <w:color w:val="0F4761"/>
        </w:rPr>
        <w:t xml:space="preserve">2.4 </w:t>
      </w:r>
      <w:r w:rsidRPr="00BD10EC">
        <w:rPr>
          <w:rStyle w:val="Heading2Char"/>
        </w:rPr>
        <w:t xml:space="preserve">International Context </w:t>
      </w:r>
    </w:p>
    <w:p w14:paraId="302C6B72" w14:textId="1237C115" w:rsidR="00BD2909" w:rsidRPr="00CC477E" w:rsidRDefault="00495B24" w:rsidP="003D79B5">
      <w:pPr>
        <w:pStyle w:val="paragraph"/>
        <w:spacing w:after="0" w:line="360" w:lineRule="auto"/>
        <w:textAlignment w:val="baseline"/>
        <w:rPr>
          <w:rStyle w:val="eop"/>
          <w:rFonts w:eastAsia="Calibri Light" w:cs="Arial"/>
        </w:rPr>
      </w:pPr>
      <w:r w:rsidRPr="00495B24">
        <w:rPr>
          <w:rFonts w:ascii="Aptos" w:hAnsi="Aptos" w:cs="Segoe UI"/>
        </w:rPr>
        <w:t>The relationship between chronic illnesses, mental health and family support is increasingly rec</w:t>
      </w:r>
      <w:r>
        <w:rPr>
          <w:rFonts w:ascii="Aptos" w:hAnsi="Aptos" w:cs="Segoe UI"/>
        </w:rPr>
        <w:t>o</w:t>
      </w:r>
      <w:r w:rsidRPr="00495B24">
        <w:rPr>
          <w:rFonts w:ascii="Aptos" w:hAnsi="Aptos" w:cs="Segoe UI"/>
        </w:rPr>
        <w:t>gnised as a global health priority.</w:t>
      </w:r>
      <w:r w:rsidR="00BD2909" w:rsidRPr="00495B24">
        <w:rPr>
          <w:rStyle w:val="eop"/>
          <w:rFonts w:ascii="Aptos" w:eastAsia="Calibri Light" w:hAnsi="Aptos" w:cs="Arial"/>
        </w:rPr>
        <w:t> </w:t>
      </w:r>
      <w:r>
        <w:rPr>
          <w:rStyle w:val="eop"/>
          <w:rFonts w:ascii="Aptos" w:eastAsia="Calibri Light" w:hAnsi="Aptos" w:cs="Arial"/>
        </w:rPr>
        <w:t xml:space="preserve">Organisations such as </w:t>
      </w:r>
      <w:r w:rsidR="00CC477E">
        <w:rPr>
          <w:rStyle w:val="eop"/>
          <w:rFonts w:ascii="Aptos" w:eastAsia="Calibri Light" w:hAnsi="Aptos" w:cs="Arial"/>
        </w:rPr>
        <w:t>WHO</w:t>
      </w:r>
      <w:r>
        <w:rPr>
          <w:rStyle w:val="eop"/>
          <w:rFonts w:ascii="Aptos" w:eastAsia="Calibri Light" w:hAnsi="Aptos" w:cs="Arial"/>
        </w:rPr>
        <w:t xml:space="preserve"> emphasise integrated person-centred care highlighting the importance of family involvement in improving health outcomes worldwide. In high- income countries such as US, Canada and Australia, policies promote multidisciplinary and community-based care with growing recognition of informal caregivers in supporting long term conditions. Global initiatives including WHO Mental Health Action Plan</w:t>
      </w:r>
      <w:r w:rsidR="00CC477E">
        <w:rPr>
          <w:rStyle w:val="eop"/>
          <w:rFonts w:ascii="Aptos" w:eastAsia="Calibri Light" w:hAnsi="Aptos" w:cs="Arial"/>
        </w:rPr>
        <w:t xml:space="preserve"> (2010-20130),</w:t>
      </w:r>
      <w:r>
        <w:rPr>
          <w:rStyle w:val="eop"/>
          <w:rFonts w:ascii="Aptos" w:eastAsia="Calibri Light" w:hAnsi="Aptos" w:cs="Arial"/>
        </w:rPr>
        <w:t xml:space="preserve"> advocate for strengthening community and family-based care</w:t>
      </w:r>
      <w:r w:rsidR="00CC477E">
        <w:rPr>
          <w:rStyle w:val="eop"/>
          <w:rFonts w:ascii="Aptos" w:eastAsia="Calibri Light" w:hAnsi="Aptos" w:cs="Arial"/>
        </w:rPr>
        <w:t xml:space="preserve"> </w:t>
      </w:r>
      <w:r w:rsidR="00CC477E" w:rsidRPr="00CC477E">
        <w:rPr>
          <w:rFonts w:ascii="Aptos" w:eastAsia="Calibri Light" w:hAnsi="Aptos" w:cs="Arial"/>
        </w:rPr>
        <w:t>(World Health Organization, 2021).</w:t>
      </w:r>
      <w:r>
        <w:rPr>
          <w:rStyle w:val="eop"/>
          <w:rFonts w:ascii="Aptos" w:eastAsia="Calibri Light" w:hAnsi="Aptos" w:cs="Arial"/>
        </w:rPr>
        <w:t xml:space="preserve"> These developments highlight a shared international focus on improving quality of life and reducing the burden of chronic illness through more inclusive and supportive care practices.</w:t>
      </w:r>
    </w:p>
    <w:p w14:paraId="256541B3" w14:textId="38343FD8" w:rsidR="006916EA" w:rsidRPr="00CC477E" w:rsidRDefault="006916EA" w:rsidP="003D79B5">
      <w:pPr>
        <w:pStyle w:val="paragraph"/>
        <w:spacing w:after="0" w:line="360" w:lineRule="auto"/>
        <w:textAlignment w:val="baseline"/>
        <w:rPr>
          <w:rFonts w:eastAsia="Calibri Light" w:cs="Arial"/>
        </w:rPr>
      </w:pPr>
      <w:r>
        <w:rPr>
          <w:rStyle w:val="eop"/>
          <w:rFonts w:ascii="Aptos" w:eastAsia="Calibri Light" w:hAnsi="Aptos" w:cs="Arial"/>
        </w:rPr>
        <w:t xml:space="preserve">In contras low-income countries often rely heavily on family networks due to limited formal services, making family support central but somewhat placing significant burden on </w:t>
      </w:r>
      <w:r w:rsidRPr="00CC477E">
        <w:rPr>
          <w:rStyle w:val="eop"/>
          <w:rFonts w:ascii="Aptos" w:eastAsia="Calibri Light" w:hAnsi="Aptos" w:cs="Arial"/>
        </w:rPr>
        <w:t>caregivers</w:t>
      </w:r>
      <w:r w:rsidR="00CC477E" w:rsidRPr="00CC477E">
        <w:rPr>
          <w:rStyle w:val="eop"/>
          <w:rFonts w:ascii="Aptos" w:eastAsia="Calibri Light" w:hAnsi="Aptos" w:cs="Arial"/>
        </w:rPr>
        <w:t xml:space="preserve"> </w:t>
      </w:r>
      <w:r w:rsidR="00CC477E" w:rsidRPr="00CC477E">
        <w:rPr>
          <w:rFonts w:ascii="Aptos" w:eastAsia="Calibri Light" w:hAnsi="Aptos" w:cs="Arial"/>
        </w:rPr>
        <w:t>(Sharma, 2013).</w:t>
      </w:r>
      <w:r w:rsidR="00CC477E" w:rsidRPr="00CC477E">
        <w:rPr>
          <w:rStyle w:val="eop"/>
          <w:rFonts w:ascii="Aptos" w:eastAsia="Calibri Light" w:hAnsi="Aptos" w:cs="Arial"/>
        </w:rPr>
        <w:t xml:space="preserve"> </w:t>
      </w:r>
      <w:r w:rsidR="00CC477E">
        <w:rPr>
          <w:rStyle w:val="eop"/>
          <w:rFonts w:ascii="Aptos" w:eastAsia="Calibri Light" w:hAnsi="Aptos" w:cs="Arial"/>
        </w:rPr>
        <w:t xml:space="preserve">US and </w:t>
      </w:r>
      <w:r>
        <w:rPr>
          <w:rStyle w:val="eop"/>
          <w:rFonts w:ascii="Aptos" w:eastAsia="Calibri Light" w:hAnsi="Aptos" w:cs="Arial"/>
        </w:rPr>
        <w:t>Canada’s initiative of making family centred care in chronic disease management programme improves successful patient satisfaction and wellbeing</w:t>
      </w:r>
      <w:r w:rsidR="00CC477E">
        <w:rPr>
          <w:rStyle w:val="eop"/>
          <w:rFonts w:ascii="Aptos" w:eastAsia="Calibri Light" w:hAnsi="Aptos" w:cs="Arial"/>
        </w:rPr>
        <w:t xml:space="preserve"> </w:t>
      </w:r>
      <w:r w:rsidR="00CC477E" w:rsidRPr="00CC477E">
        <w:rPr>
          <w:rFonts w:ascii="Aptos" w:eastAsia="Calibri Light" w:hAnsi="Aptos" w:cs="Arial"/>
        </w:rPr>
        <w:t>(MHCC, 2013).</w:t>
      </w:r>
      <w:r>
        <w:rPr>
          <w:rStyle w:val="eop"/>
          <w:rFonts w:ascii="Aptos" w:eastAsia="Calibri Light" w:hAnsi="Aptos" w:cs="Arial"/>
        </w:rPr>
        <w:t xml:space="preserve"> Conversely in parts of South Asia, strong family involvement supports daily care but lack professional guidance leading to gaps in mental health support</w:t>
      </w:r>
      <w:r w:rsidR="00CC477E">
        <w:rPr>
          <w:rStyle w:val="eop"/>
          <w:rFonts w:ascii="Aptos" w:eastAsia="Calibri Light" w:hAnsi="Aptos" w:cs="Arial"/>
        </w:rPr>
        <w:t xml:space="preserve"> </w:t>
      </w:r>
      <w:r w:rsidR="00CC477E" w:rsidRPr="00CC477E">
        <w:rPr>
          <w:rFonts w:ascii="Aptos" w:eastAsia="Calibri Light" w:hAnsi="Aptos" w:cs="Arial"/>
        </w:rPr>
        <w:t>(Sharma, 2013).</w:t>
      </w:r>
      <w:r>
        <w:rPr>
          <w:rStyle w:val="eop"/>
          <w:rFonts w:ascii="Aptos" w:eastAsia="Calibri Light" w:hAnsi="Aptos" w:cs="Arial"/>
        </w:rPr>
        <w:t xml:space="preserve"> These examples demonstrate both the potential and challenges of family-based care emphasising the need for balanced well supported approaches globally.</w:t>
      </w:r>
    </w:p>
    <w:p w14:paraId="3322C689" w14:textId="7AF7C4E9" w:rsidR="00BD2909" w:rsidRPr="00BD10EC" w:rsidRDefault="00BD2909" w:rsidP="003D79B5">
      <w:pPr>
        <w:pStyle w:val="paragraph"/>
        <w:spacing w:before="0" w:beforeAutospacing="0" w:after="0" w:afterAutospacing="0" w:line="360" w:lineRule="auto"/>
        <w:textAlignment w:val="baseline"/>
        <w:rPr>
          <w:rStyle w:val="Heading2Char"/>
        </w:rPr>
      </w:pPr>
      <w:r w:rsidRPr="00F44833">
        <w:rPr>
          <w:rStyle w:val="normaltextrun"/>
          <w:rFonts w:ascii="Aptos" w:hAnsi="Aptos" w:cs="Arial"/>
          <w:color w:val="0F4761"/>
        </w:rPr>
        <w:t xml:space="preserve">2.5 </w:t>
      </w:r>
      <w:r w:rsidRPr="00BD10EC">
        <w:rPr>
          <w:rStyle w:val="Heading2Char"/>
        </w:rPr>
        <w:t xml:space="preserve">National/Local UK Context </w:t>
      </w:r>
    </w:p>
    <w:p w14:paraId="019A17D1" w14:textId="7F5C5D97" w:rsidR="00CC477E" w:rsidRPr="00CC477E" w:rsidRDefault="00CC477E" w:rsidP="003D79B5">
      <w:pPr>
        <w:pStyle w:val="paragraph"/>
        <w:spacing w:before="0" w:beforeAutospacing="0" w:after="0" w:afterAutospacing="0" w:line="360" w:lineRule="auto"/>
        <w:textAlignment w:val="baseline"/>
        <w:rPr>
          <w:rFonts w:ascii="Aptos" w:hAnsi="Aptos" w:cs="Segoe UI"/>
        </w:rPr>
      </w:pPr>
      <w:r w:rsidRPr="00CC477E">
        <w:rPr>
          <w:rFonts w:ascii="Aptos" w:hAnsi="Aptos" w:cs="Segoe UI"/>
        </w:rPr>
        <w:t>In the UK, the management of chronic illness and mental health is shaped by a range of national policies and legislative frameworks that increasingly recognise the importance of holistic and family-centred care. The Care Act 2014 is a key framework that places a legal duty on local authorities to promote wellbeing and recognise the role of carers, including family members, in care provision. It emphasises assessment and support for carers, acknowledging their contribution to patient outcomes. Similarly, the National Health Service Long Term Plan</w:t>
      </w:r>
      <w:r>
        <w:rPr>
          <w:rFonts w:ascii="Aptos" w:hAnsi="Aptos" w:cs="Segoe UI"/>
        </w:rPr>
        <w:t>, 2019</w:t>
      </w:r>
      <w:r w:rsidRPr="00CC477E">
        <w:rPr>
          <w:rFonts w:ascii="Aptos" w:hAnsi="Aptos" w:cs="Segoe UI"/>
        </w:rPr>
        <w:t xml:space="preserve"> prioritises integrated care, mental health support, and community-based services, encouraging collaboration between healthcare professionals, patients, and families. Guidance from National Institute for Health and Care Excellence further supports patient-centred approaches, recommending the inclusion of family in care planning where appropriate.</w:t>
      </w:r>
    </w:p>
    <w:p w14:paraId="5827529B" w14:textId="60A453CD" w:rsidR="00BD2909" w:rsidRPr="0048454B" w:rsidRDefault="00CC477E" w:rsidP="003D79B5">
      <w:pPr>
        <w:pStyle w:val="paragraph"/>
        <w:spacing w:before="0" w:beforeAutospacing="0" w:after="0" w:afterAutospacing="0" w:line="360" w:lineRule="auto"/>
        <w:textAlignment w:val="baseline"/>
        <w:rPr>
          <w:rFonts w:ascii="Aptos" w:hAnsi="Aptos" w:cs="Segoe UI"/>
        </w:rPr>
      </w:pPr>
      <w:r w:rsidRPr="00CC477E">
        <w:rPr>
          <w:rFonts w:ascii="Aptos" w:hAnsi="Aptos" w:cs="Segoe UI"/>
        </w:rPr>
        <w:t>These policies positively influence the topic by promoting coordinated care and recognising family support as a valuable resource in managing long-term conditions and improving mental health outcomes. However, challenges remain in implementation, including resource constraints, workforce pressures, and variability in service provision.</w:t>
      </w:r>
    </w:p>
    <w:p w14:paraId="508BC363" w14:textId="488ED536" w:rsidR="00BD2909" w:rsidRPr="00BD10EC" w:rsidRDefault="00BD2909" w:rsidP="003D79B5">
      <w:pPr>
        <w:pStyle w:val="paragraph"/>
        <w:spacing w:before="0" w:beforeAutospacing="0" w:after="0" w:afterAutospacing="0" w:line="360" w:lineRule="auto"/>
        <w:textAlignment w:val="baseline"/>
        <w:rPr>
          <w:rStyle w:val="Heading2Char"/>
        </w:rPr>
      </w:pPr>
      <w:r w:rsidRPr="00F44833">
        <w:rPr>
          <w:rStyle w:val="normaltextrun"/>
          <w:rFonts w:ascii="Aptos" w:hAnsi="Aptos" w:cs="Arial"/>
          <w:color w:val="0F4761"/>
        </w:rPr>
        <w:t xml:space="preserve">2.6 </w:t>
      </w:r>
      <w:r w:rsidRPr="00BD10EC">
        <w:rPr>
          <w:rStyle w:val="Heading2Char"/>
        </w:rPr>
        <w:t>Conclusion</w:t>
      </w:r>
    </w:p>
    <w:p w14:paraId="1CD397E1" w14:textId="2B3BE415" w:rsidR="00BD2909" w:rsidRPr="004B5932" w:rsidRDefault="004B5932" w:rsidP="003D79B5">
      <w:pPr>
        <w:pStyle w:val="paragraph"/>
        <w:spacing w:before="0" w:beforeAutospacing="0" w:after="0" w:afterAutospacing="0" w:line="360" w:lineRule="auto"/>
        <w:textAlignment w:val="baseline"/>
        <w:rPr>
          <w:rStyle w:val="eop"/>
          <w:rFonts w:ascii="Aptos" w:eastAsia="Calibri Light" w:hAnsi="Aptos" w:cs="Arial"/>
        </w:rPr>
      </w:pPr>
      <w:r w:rsidRPr="004B5932">
        <w:rPr>
          <w:rStyle w:val="eop"/>
          <w:rFonts w:ascii="Aptos" w:eastAsia="Calibri Light" w:hAnsi="Aptos" w:cs="Arial"/>
        </w:rPr>
        <w:t xml:space="preserve">This chapter outlined the key background to the study including the historical development of understanding chronic conditions and mental health and the shift towards holistic and person-centred care, it explored key theoretical framework such as Biopsychosocial Model along side global perspective and international initiatives led by WHO. National policies including Care Act 2014 and local UK practices were also examined to contextualise family support. </w:t>
      </w:r>
    </w:p>
    <w:p w14:paraId="13B284D3" w14:textId="502A3C19" w:rsidR="004B5932" w:rsidRPr="004B5932" w:rsidRDefault="004B5932" w:rsidP="003D79B5">
      <w:pPr>
        <w:pStyle w:val="paragraph"/>
        <w:spacing w:before="0" w:beforeAutospacing="0" w:after="0" w:afterAutospacing="0" w:line="360" w:lineRule="auto"/>
        <w:textAlignment w:val="baseline"/>
        <w:rPr>
          <w:rFonts w:ascii="Aptos" w:hAnsi="Aptos" w:cs="Segoe UI"/>
        </w:rPr>
      </w:pPr>
      <w:r w:rsidRPr="004B5932">
        <w:rPr>
          <w:rStyle w:val="eop"/>
          <w:rFonts w:ascii="Aptos" w:eastAsia="Calibri Light" w:hAnsi="Aptos" w:cs="Arial"/>
        </w:rPr>
        <w:t xml:space="preserve">The nest chapter will present the methods and search strategies explaining the inclusion and exclusion criteria of the present literature explaining the keywords and search engines used for gathering evidence. </w:t>
      </w:r>
    </w:p>
    <w:p w14:paraId="5BF0EA9E" w14:textId="77777777" w:rsidR="00BD2909" w:rsidRPr="00F44833" w:rsidRDefault="00BD2909" w:rsidP="003D79B5">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5DDAF423" w14:textId="77777777" w:rsidR="000D0641" w:rsidRDefault="000D0641" w:rsidP="003D79B5">
      <w:pPr>
        <w:jc w:val="left"/>
      </w:pPr>
    </w:p>
    <w:p w14:paraId="0775F236" w14:textId="77777777" w:rsidR="00292A36" w:rsidRDefault="00292A36" w:rsidP="003D79B5">
      <w:pPr>
        <w:jc w:val="left"/>
      </w:pPr>
    </w:p>
    <w:p w14:paraId="407ABDAE" w14:textId="4F32BB8B" w:rsidR="00880B2D" w:rsidRDefault="00880B2D" w:rsidP="003D79B5">
      <w:pPr>
        <w:jc w:val="left"/>
        <w:sectPr w:rsidR="00880B2D">
          <w:footerReference w:type="default" r:id="rId8"/>
          <w:pgSz w:w="11906" w:h="16838"/>
          <w:pgMar w:top="1440" w:right="1440" w:bottom="1440" w:left="1440" w:header="708" w:footer="708" w:gutter="0"/>
          <w:cols w:space="708"/>
          <w:docGrid w:linePitch="360"/>
        </w:sectPr>
      </w:pPr>
    </w:p>
    <w:p w14:paraId="4E1CFFDA" w14:textId="77777777" w:rsidR="004D018D" w:rsidRPr="004D018D" w:rsidRDefault="004D018D" w:rsidP="003D79B5">
      <w:pPr>
        <w:jc w:val="left"/>
        <w:rPr>
          <w:b/>
          <w:bCs/>
        </w:rPr>
      </w:pPr>
      <w:r w:rsidRPr="004D018D">
        <w:rPr>
          <w:b/>
          <w:bCs/>
        </w:rPr>
        <w:t>Reference list</w:t>
      </w:r>
    </w:p>
    <w:p w14:paraId="4990214A" w14:textId="35339D6C" w:rsidR="004D018D" w:rsidRPr="004D018D" w:rsidRDefault="004D018D" w:rsidP="003D79B5">
      <w:pPr>
        <w:jc w:val="left"/>
      </w:pPr>
      <w:r w:rsidRPr="004D018D">
        <w:t xml:space="preserve">Aass, L.K. </w:t>
      </w:r>
      <w:r w:rsidRPr="004D018D">
        <w:rPr>
          <w:i/>
          <w:iCs/>
        </w:rPr>
        <w:t>et al.</w:t>
      </w:r>
      <w:r w:rsidRPr="004D018D">
        <w:t xml:space="preserve"> (2025) ‘“Where are we on the Road Towards Family-focused Practice in Mental Healthcare?” - Perspectives from a Swedish/Norwegian Research Collaborative’, </w:t>
      </w:r>
      <w:r w:rsidRPr="004D018D">
        <w:rPr>
          <w:i/>
          <w:iCs/>
        </w:rPr>
        <w:t>Community Mental Health Journal</w:t>
      </w:r>
      <w:r w:rsidRPr="004D018D">
        <w:t xml:space="preserve"> [Preprint]. Available at: </w:t>
      </w:r>
      <w:hyperlink r:id="rId9" w:history="1">
        <w:r w:rsidRPr="004D018D">
          <w:rPr>
            <w:rStyle w:val="Hyperlink"/>
          </w:rPr>
          <w:t>https://doi.org/10.1007/s10597-025-01499-0</w:t>
        </w:r>
      </w:hyperlink>
      <w:r w:rsidRPr="004D018D">
        <w:t>.</w:t>
      </w:r>
      <w:r>
        <w:t xml:space="preserve"> </w:t>
      </w:r>
    </w:p>
    <w:p w14:paraId="3959FE95" w14:textId="65D3F4D1" w:rsidR="004D018D" w:rsidRPr="004D018D" w:rsidRDefault="004D018D" w:rsidP="003D79B5">
      <w:pPr>
        <w:jc w:val="left"/>
      </w:pPr>
      <w:r w:rsidRPr="004D018D">
        <w:t xml:space="preserve">Amin, S.M. </w:t>
      </w:r>
      <w:r w:rsidRPr="004D018D">
        <w:rPr>
          <w:i/>
          <w:iCs/>
        </w:rPr>
        <w:t>et al.</w:t>
      </w:r>
      <w:r w:rsidRPr="004D018D">
        <w:t xml:space="preserve"> (2025) ‘The mediating and moderating role of social support on the relationship between psychological well-being and burdensomeness among elderly with chronic illness: community nursing perspective’, </w:t>
      </w:r>
      <w:r w:rsidRPr="004D018D">
        <w:rPr>
          <w:i/>
          <w:iCs/>
        </w:rPr>
        <w:t>BMC Nursing</w:t>
      </w:r>
      <w:r w:rsidRPr="004D018D">
        <w:t xml:space="preserve">, 24(1). Available at: </w:t>
      </w:r>
      <w:hyperlink r:id="rId10" w:history="1">
        <w:r w:rsidRPr="004D018D">
          <w:rPr>
            <w:rStyle w:val="Hyperlink"/>
          </w:rPr>
          <w:t>https://doi.org/10.1186/s12912-025-02743-4</w:t>
        </w:r>
      </w:hyperlink>
      <w:r w:rsidRPr="004D018D">
        <w:t>.</w:t>
      </w:r>
      <w:r>
        <w:t xml:space="preserve"> </w:t>
      </w:r>
    </w:p>
    <w:p w14:paraId="4C8866C8" w14:textId="68B9E061" w:rsidR="004D018D" w:rsidRPr="004D018D" w:rsidRDefault="004D018D" w:rsidP="003D79B5">
      <w:pPr>
        <w:jc w:val="left"/>
      </w:pPr>
      <w:r w:rsidRPr="004D018D">
        <w:t xml:space="preserve">Baum, A. and Posluszny, D.M. (1999) ‘HEALTH PSYCHOLOGY: Mapping Biobehavioral Contributions to Health and Illness’, </w:t>
      </w:r>
      <w:r w:rsidRPr="004D018D">
        <w:rPr>
          <w:i/>
          <w:iCs/>
        </w:rPr>
        <w:t>Annual Review of Psychology</w:t>
      </w:r>
      <w:r w:rsidRPr="004D018D">
        <w:t xml:space="preserve">, 50(1), pp. 137–163. Available at: </w:t>
      </w:r>
      <w:hyperlink r:id="rId11" w:history="1">
        <w:r w:rsidRPr="004D018D">
          <w:rPr>
            <w:rStyle w:val="Hyperlink"/>
          </w:rPr>
          <w:t>https://doi.org/10.1146/annurev.psych.50.1.137</w:t>
        </w:r>
      </w:hyperlink>
      <w:r w:rsidRPr="004D018D">
        <w:t>.</w:t>
      </w:r>
      <w:r>
        <w:t xml:space="preserve"> </w:t>
      </w:r>
    </w:p>
    <w:p w14:paraId="27DBD987" w14:textId="77777777" w:rsidR="004D018D" w:rsidRPr="004D018D" w:rsidRDefault="004D018D" w:rsidP="003D79B5">
      <w:pPr>
        <w:jc w:val="left"/>
      </w:pPr>
      <w:r w:rsidRPr="004D018D">
        <w:t xml:space="preserve">Benning, T. (2015) ‘Limitations of the biopsychosocial model in psychiatry’, </w:t>
      </w:r>
      <w:r w:rsidRPr="004D018D">
        <w:rPr>
          <w:i/>
          <w:iCs/>
        </w:rPr>
        <w:t>Advances in Medical Education and Practice</w:t>
      </w:r>
      <w:r w:rsidRPr="004D018D">
        <w:t>, 6(6), p. 347. Available at: https://doi.org/10.2147/amep.s82937.</w:t>
      </w:r>
    </w:p>
    <w:p w14:paraId="3834E5D6" w14:textId="52F1B107" w:rsidR="004D018D" w:rsidRPr="004D018D" w:rsidRDefault="004D018D" w:rsidP="003D79B5">
      <w:pPr>
        <w:jc w:val="left"/>
      </w:pPr>
      <w:r w:rsidRPr="004D018D">
        <w:t xml:space="preserve">Borrell-Carrio, F., Suchman, A. and Epstein, R. (2004) ‘The Biopsychosocial Model 25 Years Later: Principles, Practice, and Scientific Inquiry’, </w:t>
      </w:r>
      <w:r w:rsidRPr="004D018D">
        <w:rPr>
          <w:i/>
          <w:iCs/>
        </w:rPr>
        <w:t>The Annals of Family Medicine</w:t>
      </w:r>
      <w:r w:rsidRPr="004D018D">
        <w:t xml:space="preserve">, 2(6), pp. 576–582. Available at: </w:t>
      </w:r>
      <w:hyperlink r:id="rId12" w:history="1">
        <w:r w:rsidRPr="004D018D">
          <w:rPr>
            <w:rStyle w:val="Hyperlink"/>
          </w:rPr>
          <w:t>https://doi.org/10.1370/afm.245</w:t>
        </w:r>
      </w:hyperlink>
      <w:r w:rsidRPr="004D018D">
        <w:t>.</w:t>
      </w:r>
      <w:r>
        <w:t xml:space="preserve"> </w:t>
      </w:r>
    </w:p>
    <w:p w14:paraId="60621BC1" w14:textId="77777777" w:rsidR="004D018D" w:rsidRPr="004D018D" w:rsidRDefault="004D018D" w:rsidP="003D79B5">
      <w:pPr>
        <w:jc w:val="left"/>
      </w:pPr>
      <w:r w:rsidRPr="004D018D">
        <w:t xml:space="preserve">Brown, C.J. (2011) </w:t>
      </w:r>
      <w:r w:rsidRPr="004D018D">
        <w:rPr>
          <w:i/>
          <w:iCs/>
        </w:rPr>
        <w:t>biopsychosocial model approach definition</w:t>
      </w:r>
      <w:r w:rsidRPr="004D018D">
        <w:t xml:space="preserve">, </w:t>
      </w:r>
      <w:r w:rsidRPr="004D018D">
        <w:rPr>
          <w:i/>
          <w:iCs/>
        </w:rPr>
        <w:t>University of Rochester</w:t>
      </w:r>
      <w:r w:rsidRPr="004D018D">
        <w:t>. University of Rochester, pp. 1–2. Available at: https://www.urmc.rochester.edu/medialibraries/urmcmedia/education/md/documents/biopsychosocial-model-approach.pdf.</w:t>
      </w:r>
    </w:p>
    <w:p w14:paraId="2ECFB33A" w14:textId="77777777" w:rsidR="004D018D" w:rsidRPr="004D018D" w:rsidRDefault="004D018D" w:rsidP="003D79B5">
      <w:pPr>
        <w:jc w:val="left"/>
      </w:pPr>
      <w:r w:rsidRPr="004D018D">
        <w:t xml:space="preserve">Chand, S.P., Kuckel, D.P. and Huecker, M.R. (2023) </w:t>
      </w:r>
      <w:r w:rsidRPr="004D018D">
        <w:rPr>
          <w:i/>
          <w:iCs/>
        </w:rPr>
        <w:t>Cognitive behavior therapy (CBT)</w:t>
      </w:r>
      <w:r w:rsidRPr="004D018D">
        <w:t xml:space="preserve">, </w:t>
      </w:r>
      <w:r w:rsidRPr="004D018D">
        <w:rPr>
          <w:i/>
          <w:iCs/>
        </w:rPr>
        <w:t>National Library of Medicine</w:t>
      </w:r>
      <w:r w:rsidRPr="004D018D">
        <w:t>. StatPearls Publishing. Available at: https://www.ncbi.nlm.nih.gov/books/NBK470241/.</w:t>
      </w:r>
    </w:p>
    <w:p w14:paraId="711B7210" w14:textId="77777777" w:rsidR="004D018D" w:rsidRPr="004D018D" w:rsidRDefault="004D018D" w:rsidP="003D79B5">
      <w:pPr>
        <w:jc w:val="left"/>
      </w:pPr>
      <w:r w:rsidRPr="004D018D">
        <w:t xml:space="preserve">Charles, A. </w:t>
      </w:r>
      <w:r w:rsidRPr="004D018D">
        <w:rPr>
          <w:i/>
          <w:iCs/>
        </w:rPr>
        <w:t>et al.</w:t>
      </w:r>
      <w:r w:rsidRPr="004D018D">
        <w:t xml:space="preserve"> (2019) </w:t>
      </w:r>
      <w:r w:rsidRPr="004D018D">
        <w:rPr>
          <w:i/>
          <w:iCs/>
        </w:rPr>
        <w:t>The NHS Long-term Plan Explained</w:t>
      </w:r>
      <w:r w:rsidRPr="004D018D">
        <w:t xml:space="preserve">, </w:t>
      </w:r>
      <w:r w:rsidRPr="004D018D">
        <w:rPr>
          <w:i/>
          <w:iCs/>
        </w:rPr>
        <w:t>The King’s Fund</w:t>
      </w:r>
      <w:r w:rsidRPr="004D018D">
        <w:t>. Available at: https://www.kingsfund.org.uk/insight-and-analysis/long-reads/nhs-long-term-plan-explained.</w:t>
      </w:r>
    </w:p>
    <w:p w14:paraId="44F3C048" w14:textId="77777777" w:rsidR="004D018D" w:rsidRPr="004D018D" w:rsidRDefault="004D018D" w:rsidP="003D79B5">
      <w:pPr>
        <w:jc w:val="left"/>
      </w:pPr>
      <w:r w:rsidRPr="004D018D">
        <w:t xml:space="preserve">Community Health Nursing (2023) </w:t>
      </w:r>
      <w:r w:rsidRPr="004D018D">
        <w:rPr>
          <w:i/>
          <w:iCs/>
        </w:rPr>
        <w:t>The Role of Family as a Unit of Health Care • BNS Institute</w:t>
      </w:r>
      <w:r w:rsidRPr="004D018D">
        <w:t xml:space="preserve">, </w:t>
      </w:r>
      <w:r w:rsidRPr="004D018D">
        <w:rPr>
          <w:i/>
          <w:iCs/>
        </w:rPr>
        <w:t>BNS (B.Sc in Nursing) Institute</w:t>
      </w:r>
      <w:r w:rsidRPr="004D018D">
        <w:t>. Available at: https://bns.institute/community-health-nursing/role-of-family-in-health-care/.</w:t>
      </w:r>
    </w:p>
    <w:p w14:paraId="5624565B" w14:textId="77777777" w:rsidR="004D018D" w:rsidRPr="004D018D" w:rsidRDefault="004D018D" w:rsidP="003D79B5">
      <w:pPr>
        <w:jc w:val="left"/>
      </w:pPr>
      <w:r w:rsidRPr="004D018D">
        <w:t xml:space="preserve">Deacon, B.J. (2013) </w:t>
      </w:r>
      <w:r w:rsidRPr="004D018D">
        <w:rPr>
          <w:i/>
          <w:iCs/>
        </w:rPr>
        <w:t>The Biomedical Model of Mental Disorder: A Critical Analysis of Its Validity, Utility, and Effects on Psychotherapy Research</w:t>
      </w:r>
      <w:r w:rsidRPr="004D018D">
        <w:t xml:space="preserve">, </w:t>
      </w:r>
      <w:r w:rsidRPr="004D018D">
        <w:rPr>
          <w:i/>
          <w:iCs/>
        </w:rPr>
        <w:t>Clinical psychology review</w:t>
      </w:r>
      <w:r w:rsidRPr="004D018D">
        <w:t>. Available at: https://pubmed.ncbi.nlm.nih.gov/23664634/.</w:t>
      </w:r>
    </w:p>
    <w:p w14:paraId="4B11D6D8" w14:textId="77777777" w:rsidR="004D018D" w:rsidRPr="004D018D" w:rsidRDefault="004D018D" w:rsidP="003D79B5">
      <w:pPr>
        <w:jc w:val="left"/>
      </w:pPr>
      <w:r w:rsidRPr="004D018D">
        <w:t xml:space="preserve">Department of Health (2015) </w:t>
      </w:r>
      <w:r w:rsidRPr="004D018D">
        <w:rPr>
          <w:i/>
          <w:iCs/>
        </w:rPr>
        <w:t>The Care Act and Whole-Family Approaches The Care Act and Whole-Family Approaches</w:t>
      </w:r>
      <w:r w:rsidRPr="004D018D">
        <w:t>. Available at: https://carers.org/downloads/care-act-and-whole-family-6e1.pdf.</w:t>
      </w:r>
    </w:p>
    <w:p w14:paraId="066C0AFE" w14:textId="77777777" w:rsidR="004D018D" w:rsidRPr="004D018D" w:rsidRDefault="004D018D" w:rsidP="003D79B5">
      <w:pPr>
        <w:jc w:val="left"/>
      </w:pPr>
      <w:r w:rsidRPr="004D018D">
        <w:t xml:space="preserve">Drageset, J. (2021) </w:t>
      </w:r>
      <w:r w:rsidRPr="004D018D">
        <w:rPr>
          <w:i/>
          <w:iCs/>
        </w:rPr>
        <w:t>Social Support</w:t>
      </w:r>
      <w:r w:rsidRPr="004D018D">
        <w:t xml:space="preserve">, </w:t>
      </w:r>
      <w:r w:rsidRPr="004D018D">
        <w:rPr>
          <w:i/>
          <w:iCs/>
        </w:rPr>
        <w:t>PubMed</w:t>
      </w:r>
      <w:r w:rsidRPr="004D018D">
        <w:t>. Edited by G. Haugan and M. Eriksson. Cham (CH): Springer. Available at: https://www.ncbi.nlm.nih.gov/books/NBK585650/.</w:t>
      </w:r>
    </w:p>
    <w:p w14:paraId="79EE62AD" w14:textId="77777777" w:rsidR="004D018D" w:rsidRPr="004D018D" w:rsidRDefault="004D018D" w:rsidP="003D79B5">
      <w:pPr>
        <w:jc w:val="left"/>
      </w:pPr>
      <w:r w:rsidRPr="004D018D">
        <w:t xml:space="preserve">Engel, G.L. (1977) ‘The Need for a New Medical model: a Challenge for Biomedicine’, </w:t>
      </w:r>
      <w:r w:rsidRPr="004D018D">
        <w:rPr>
          <w:i/>
          <w:iCs/>
        </w:rPr>
        <w:t>Science</w:t>
      </w:r>
      <w:r w:rsidRPr="004D018D">
        <w:t>, 196(4286), pp. 129–136. Available at: https://doi.org/10.1126/science.847460.</w:t>
      </w:r>
    </w:p>
    <w:p w14:paraId="494C6DB9" w14:textId="77777777" w:rsidR="004D018D" w:rsidRPr="004D018D" w:rsidRDefault="004D018D" w:rsidP="003D79B5">
      <w:pPr>
        <w:jc w:val="left"/>
      </w:pPr>
      <w:r w:rsidRPr="004D018D">
        <w:t xml:space="preserve">Hadi, S. (2025) ‘The Biopsychosocial Model in Modern Healthcare: Overcoming Barriers to Holistic Patient Care’, </w:t>
      </w:r>
      <w:r w:rsidRPr="004D018D">
        <w:rPr>
          <w:i/>
          <w:iCs/>
        </w:rPr>
        <w:t>International Journal of Body, Mind and Culture</w:t>
      </w:r>
      <w:r w:rsidRPr="004D018D">
        <w:t>, 12(2), pp. 1–4. Available at: https://doi.org/10.61838/ijbmc.v12i2.950.</w:t>
      </w:r>
    </w:p>
    <w:p w14:paraId="141A3B2F" w14:textId="77777777" w:rsidR="004D018D" w:rsidRPr="004D018D" w:rsidRDefault="004D018D" w:rsidP="003D79B5">
      <w:pPr>
        <w:jc w:val="left"/>
      </w:pPr>
      <w:r w:rsidRPr="004D018D">
        <w:t xml:space="preserve">Hardie, M. (2021) </w:t>
      </w:r>
      <w:r w:rsidRPr="004D018D">
        <w:rPr>
          <w:i/>
          <w:iCs/>
        </w:rPr>
        <w:t>Three aspects of health and healing: The biopsychosocial model in medicine</w:t>
      </w:r>
      <w:r w:rsidRPr="004D018D">
        <w:t xml:space="preserve">, </w:t>
      </w:r>
      <w:r w:rsidRPr="004D018D">
        <w:rPr>
          <w:i/>
          <w:iCs/>
        </w:rPr>
        <w:t>Department of Surgery</w:t>
      </w:r>
      <w:r w:rsidRPr="004D018D">
        <w:t>. Available at: https://surgery.wustl.edu/three-aspects-of-health-and-healing-the-biopsychosocial-model/.</w:t>
      </w:r>
    </w:p>
    <w:p w14:paraId="4D5D3FE8" w14:textId="77777777" w:rsidR="004D018D" w:rsidRPr="004D018D" w:rsidRDefault="004D018D" w:rsidP="003D79B5">
      <w:pPr>
        <w:jc w:val="left"/>
      </w:pPr>
      <w:r w:rsidRPr="004D018D">
        <w:t xml:space="preserve">Hatala, A.R. (2012) ‘The Status of the “Biopsychosocial” Model in Health Psychology: Towards an Integrated Approach and a Critique of Cultural Conceptions’, </w:t>
      </w:r>
      <w:r w:rsidRPr="004D018D">
        <w:rPr>
          <w:i/>
          <w:iCs/>
        </w:rPr>
        <w:t>Open Journal of Medical Psychology</w:t>
      </w:r>
      <w:r w:rsidRPr="004D018D">
        <w:t>, 01(04), pp. 51–62. Available at: https://doi.org/10.4236/ojmp.2012.14009.</w:t>
      </w:r>
    </w:p>
    <w:p w14:paraId="0D698C37" w14:textId="77777777" w:rsidR="004D018D" w:rsidRPr="004D018D" w:rsidRDefault="004D018D" w:rsidP="003D79B5">
      <w:pPr>
        <w:jc w:val="left"/>
      </w:pPr>
      <w:r w:rsidRPr="004D018D">
        <w:t xml:space="preserve">Hu, M. </w:t>
      </w:r>
      <w:r w:rsidRPr="004D018D">
        <w:rPr>
          <w:i/>
          <w:iCs/>
        </w:rPr>
        <w:t>et al.</w:t>
      </w:r>
      <w:r w:rsidRPr="004D018D">
        <w:t xml:space="preserve"> (2024) ‘The role of family caregiving in the management of individuals with mental illnesses and the outcome of family-based interventions for mental illnesses in China: a scoping review’, </w:t>
      </w:r>
      <w:r w:rsidRPr="004D018D">
        <w:rPr>
          <w:i/>
          <w:iCs/>
        </w:rPr>
        <w:t>The Lancet Regional Health - Western Pacific</w:t>
      </w:r>
      <w:r w:rsidRPr="004D018D">
        <w:t>, 56, pp. 101184–101184. Available at: https://doi.org/10.1016/j.lanwpc.2024.101184.</w:t>
      </w:r>
    </w:p>
    <w:p w14:paraId="2534C0CC" w14:textId="77777777" w:rsidR="004D018D" w:rsidRPr="004D018D" w:rsidRDefault="004D018D" w:rsidP="003D79B5">
      <w:pPr>
        <w:jc w:val="left"/>
      </w:pPr>
      <w:r w:rsidRPr="004D018D">
        <w:t xml:space="preserve">Huang, Y. </w:t>
      </w:r>
      <w:r w:rsidRPr="004D018D">
        <w:rPr>
          <w:i/>
          <w:iCs/>
        </w:rPr>
        <w:t>et al.</w:t>
      </w:r>
      <w:r w:rsidRPr="004D018D">
        <w:t xml:space="preserve"> (2023) ‘The relationship between chronic diseases and mental health: A cross-sectional study’, </w:t>
      </w:r>
      <w:r w:rsidRPr="004D018D">
        <w:rPr>
          <w:i/>
          <w:iCs/>
        </w:rPr>
        <w:t>Mental Health &amp; Prevention</w:t>
      </w:r>
      <w:r w:rsidRPr="004D018D">
        <w:t>, 32(1), p. 200307. Available at: https://doi.org/10.1016/j.mhp.2023.200307.</w:t>
      </w:r>
    </w:p>
    <w:p w14:paraId="73D50907" w14:textId="77777777" w:rsidR="004D018D" w:rsidRPr="004D018D" w:rsidRDefault="004D018D" w:rsidP="003D79B5">
      <w:pPr>
        <w:jc w:val="left"/>
      </w:pPr>
      <w:r w:rsidRPr="004D018D">
        <w:t xml:space="preserve">Jabbari, B., Rouster, A.S. and Schoo, C. (2023) </w:t>
      </w:r>
      <w:r w:rsidRPr="004D018D">
        <w:rPr>
          <w:i/>
          <w:iCs/>
        </w:rPr>
        <w:t>Family Dynamics</w:t>
      </w:r>
      <w:r w:rsidRPr="004D018D">
        <w:t xml:space="preserve">, </w:t>
      </w:r>
      <w:r w:rsidRPr="004D018D">
        <w:rPr>
          <w:i/>
          <w:iCs/>
        </w:rPr>
        <w:t>PubMed</w:t>
      </w:r>
      <w:r w:rsidRPr="004D018D">
        <w:t>. Treasure Island (FL): StatPearls Publishing. Available at: https://www.ncbi.nlm.nih.gov/books/NBK560487/.</w:t>
      </w:r>
    </w:p>
    <w:p w14:paraId="4EC85737" w14:textId="77777777" w:rsidR="004D018D" w:rsidRPr="004D018D" w:rsidRDefault="004D018D" w:rsidP="003D79B5">
      <w:pPr>
        <w:jc w:val="left"/>
      </w:pPr>
      <w:r w:rsidRPr="004D018D">
        <w:t xml:space="preserve">Jenkins, J.H. and Cofresi, N. (1998) ‘The Sociosomatic Course of Depression and Trauma’, </w:t>
      </w:r>
      <w:r w:rsidRPr="004D018D">
        <w:rPr>
          <w:i/>
          <w:iCs/>
        </w:rPr>
        <w:t>Psychosomatic Medicine</w:t>
      </w:r>
      <w:r w:rsidRPr="004D018D">
        <w:t>, 60(4), pp. 439–447. Available at: https://doi.org/10.1097/00006842-199807000-00009.</w:t>
      </w:r>
    </w:p>
    <w:p w14:paraId="76C6B49D" w14:textId="77777777" w:rsidR="004D018D" w:rsidRPr="004D018D" w:rsidRDefault="004D018D" w:rsidP="003D79B5">
      <w:pPr>
        <w:jc w:val="left"/>
      </w:pPr>
      <w:r w:rsidRPr="004D018D">
        <w:t xml:space="preserve">Kelly, L. </w:t>
      </w:r>
      <w:r w:rsidRPr="004D018D">
        <w:rPr>
          <w:i/>
          <w:iCs/>
        </w:rPr>
        <w:t>et al.</w:t>
      </w:r>
      <w:r w:rsidRPr="004D018D">
        <w:t xml:space="preserve"> (2020) ‘Measures for the integration of health and social care services for long-term health conditions: a systematic review of reviews’, </w:t>
      </w:r>
      <w:r w:rsidRPr="004D018D">
        <w:rPr>
          <w:i/>
          <w:iCs/>
        </w:rPr>
        <w:t>BMC Health Services Research</w:t>
      </w:r>
      <w:r w:rsidRPr="004D018D">
        <w:t>, 20(1). Available at: https://doi.org/10.1186/s12913-020-05206-5.</w:t>
      </w:r>
    </w:p>
    <w:p w14:paraId="400BF0DB" w14:textId="77777777" w:rsidR="004D018D" w:rsidRPr="004D018D" w:rsidRDefault="004D018D" w:rsidP="003D79B5">
      <w:pPr>
        <w:jc w:val="left"/>
      </w:pPr>
      <w:r w:rsidRPr="004D018D">
        <w:t xml:space="preserve">Leahy-Warren, P. (2014) </w:t>
      </w:r>
      <w:r w:rsidRPr="004D018D">
        <w:rPr>
          <w:i/>
          <w:iCs/>
        </w:rPr>
        <w:t>Social support theory</w:t>
      </w:r>
      <w:r w:rsidRPr="004D018D">
        <w:t xml:space="preserve">, </w:t>
      </w:r>
      <w:r w:rsidRPr="004D018D">
        <w:rPr>
          <w:i/>
          <w:iCs/>
        </w:rPr>
        <w:t>psycnet.apa.org</w:t>
      </w:r>
      <w:r w:rsidRPr="004D018D">
        <w:t>. Available at: https://psycnet.apa.org/record/2014-24759-006 (Accessed: 27 March 2026).</w:t>
      </w:r>
    </w:p>
    <w:p w14:paraId="2523EB49" w14:textId="77777777" w:rsidR="004D018D" w:rsidRPr="004D018D" w:rsidRDefault="004D018D" w:rsidP="003D79B5">
      <w:pPr>
        <w:jc w:val="left"/>
      </w:pPr>
      <w:r w:rsidRPr="004D018D">
        <w:t xml:space="preserve">Mental Health Foundation (2023) </w:t>
      </w:r>
      <w:r w:rsidRPr="004D018D">
        <w:rPr>
          <w:i/>
          <w:iCs/>
        </w:rPr>
        <w:t>People with physical health conditions: statistics</w:t>
      </w:r>
      <w:r w:rsidRPr="004D018D">
        <w:t xml:space="preserve">, </w:t>
      </w:r>
      <w:r w:rsidRPr="004D018D">
        <w:rPr>
          <w:i/>
          <w:iCs/>
        </w:rPr>
        <w:t>www.mentalhealth.org.uk</w:t>
      </w:r>
      <w:r w:rsidRPr="004D018D">
        <w:t>. Available at: https://www.mentalhealth.org.uk/explore-mental-health/statistics/people-physical-health-conditions-statistics.</w:t>
      </w:r>
    </w:p>
    <w:p w14:paraId="6E060E4F" w14:textId="77777777" w:rsidR="004D018D" w:rsidRPr="004D018D" w:rsidRDefault="004D018D" w:rsidP="003D79B5">
      <w:pPr>
        <w:jc w:val="left"/>
      </w:pPr>
      <w:r w:rsidRPr="004D018D">
        <w:t xml:space="preserve">MHCC (2013) </w:t>
      </w:r>
      <w:r w:rsidRPr="004D018D">
        <w:rPr>
          <w:i/>
          <w:iCs/>
        </w:rPr>
        <w:t>National Guidelines for a Comprehensive Service System to Support Family Caregivers of Adults with Mental Health Problems and Illnesses</w:t>
      </w:r>
      <w:r w:rsidRPr="004D018D">
        <w:t>. Available at: https://www.mentalhealthcommission.ca/wp-content/uploads/drupal/Caregiving_MHCC_Family_Caregivers_Guidelines_ENG_0.pdf.</w:t>
      </w:r>
    </w:p>
    <w:p w14:paraId="795FCEC7" w14:textId="77777777" w:rsidR="004D018D" w:rsidRPr="004D018D" w:rsidRDefault="004D018D" w:rsidP="003D79B5">
      <w:pPr>
        <w:jc w:val="left"/>
      </w:pPr>
      <w:r w:rsidRPr="004D018D">
        <w:t xml:space="preserve">Najafi Ghezeljeh, T. and Emami, A. (2013) ‘Strategies for recreating normal life: Iranian coronary heart disease patients’ perspectives on coping strategies’, </w:t>
      </w:r>
      <w:r w:rsidRPr="004D018D">
        <w:rPr>
          <w:i/>
          <w:iCs/>
        </w:rPr>
        <w:t>Journal of Clinical Nursing</w:t>
      </w:r>
      <w:r w:rsidRPr="004D018D">
        <w:t>, 23(15-16), pp. 2151–2161. Available at: https://doi.org/10.1111/jocn.12428.</w:t>
      </w:r>
    </w:p>
    <w:p w14:paraId="6B8C9FA7" w14:textId="77777777" w:rsidR="004D018D" w:rsidRPr="004D018D" w:rsidRDefault="004D018D" w:rsidP="003D79B5">
      <w:pPr>
        <w:jc w:val="left"/>
      </w:pPr>
      <w:r w:rsidRPr="004D018D">
        <w:t xml:space="preserve">Pilgrim, D. (2015) ‘The Biopsychosocial Model in Health Research: Its Strengths and Limitations for Critical Realists’, </w:t>
      </w:r>
      <w:r w:rsidRPr="004D018D">
        <w:rPr>
          <w:i/>
          <w:iCs/>
        </w:rPr>
        <w:t>Journal of Critical Realism</w:t>
      </w:r>
      <w:r w:rsidRPr="004D018D">
        <w:t>, 14(2), pp. 164–180. Available at: https://doi.org/10.1179/1572513814y.0000000007.</w:t>
      </w:r>
    </w:p>
    <w:p w14:paraId="0CD5B126" w14:textId="77777777" w:rsidR="004D018D" w:rsidRPr="004D018D" w:rsidRDefault="004D018D" w:rsidP="003D79B5">
      <w:pPr>
        <w:jc w:val="left"/>
      </w:pPr>
      <w:r w:rsidRPr="004D018D">
        <w:t xml:space="preserve">Reeves, D. </w:t>
      </w:r>
      <w:r w:rsidRPr="004D018D">
        <w:rPr>
          <w:i/>
          <w:iCs/>
        </w:rPr>
        <w:t>et al.</w:t>
      </w:r>
      <w:r w:rsidRPr="004D018D">
        <w:t xml:space="preserve"> (2014) ‘The Contribution of Social Networks to the Health and Self-Management of Patients with Long-Term Conditions: A Longitudinal Study’, </w:t>
      </w:r>
      <w:r w:rsidRPr="004D018D">
        <w:rPr>
          <w:i/>
          <w:iCs/>
        </w:rPr>
        <w:t>PLoS ONE</w:t>
      </w:r>
      <w:r w:rsidRPr="004D018D">
        <w:t>. Edited by G. Ozakinci, 9(6), p. e98340. Available at: https://doi.org/10.1371/journal.pone.0098340.</w:t>
      </w:r>
    </w:p>
    <w:p w14:paraId="7CF9AC6F" w14:textId="77777777" w:rsidR="004D018D" w:rsidRPr="004D018D" w:rsidRDefault="004D018D" w:rsidP="003D79B5">
      <w:pPr>
        <w:jc w:val="left"/>
      </w:pPr>
      <w:r w:rsidRPr="004D018D">
        <w:t xml:space="preserve">Rocca, E. and Anjum, R.L. (2020) ‘Complexity, Reductionism and the Biomedical Model’, </w:t>
      </w:r>
      <w:r w:rsidRPr="004D018D">
        <w:rPr>
          <w:i/>
          <w:iCs/>
        </w:rPr>
        <w:t>Rethinking Causality, Complexity and Evidence for the Unique Patient</w:t>
      </w:r>
      <w:r w:rsidRPr="004D018D">
        <w:t>, 1(1), pp. 75–94. Available at: https://doi.org/10.1007/978-3-030-41239-5_5.</w:t>
      </w:r>
    </w:p>
    <w:p w14:paraId="11590FEB" w14:textId="77777777" w:rsidR="004D018D" w:rsidRPr="004D018D" w:rsidRDefault="004D018D" w:rsidP="003D79B5">
      <w:pPr>
        <w:jc w:val="left"/>
      </w:pPr>
      <w:r w:rsidRPr="004D018D">
        <w:t xml:space="preserve">Rupke, S.J., Blecke, D. and Renfrow, M. (2006) ‘Cognitive therapy for depression’, </w:t>
      </w:r>
      <w:r w:rsidRPr="004D018D">
        <w:rPr>
          <w:i/>
          <w:iCs/>
        </w:rPr>
        <w:t>American Family Physician</w:t>
      </w:r>
      <w:r w:rsidRPr="004D018D">
        <w:t>, 73(1), pp. 83–86. Available at: https://pubmed.ncbi.nlm.nih.gov/16417069/.</w:t>
      </w:r>
    </w:p>
    <w:p w14:paraId="20C46BF0" w14:textId="77777777" w:rsidR="004D018D" w:rsidRPr="004D018D" w:rsidRDefault="004D018D" w:rsidP="003D79B5">
      <w:pPr>
        <w:jc w:val="left"/>
      </w:pPr>
      <w:r w:rsidRPr="004D018D">
        <w:t xml:space="preserve">Segal, S.P. (1979) ‘Community care and deinstitutionalization: a review’, </w:t>
      </w:r>
      <w:r w:rsidRPr="004D018D">
        <w:rPr>
          <w:i/>
          <w:iCs/>
        </w:rPr>
        <w:t>Social Work</w:t>
      </w:r>
      <w:r w:rsidRPr="004D018D">
        <w:t>, 24(6), pp. 521–527. Available at: https://doi.org/10.1093/sw/24.6.521.</w:t>
      </w:r>
    </w:p>
    <w:p w14:paraId="2A6D8731" w14:textId="77777777" w:rsidR="004D018D" w:rsidRPr="004D018D" w:rsidRDefault="004D018D" w:rsidP="003D79B5">
      <w:pPr>
        <w:jc w:val="left"/>
      </w:pPr>
      <w:r w:rsidRPr="004D018D">
        <w:t xml:space="preserve">Sharma, J. (2013) ‘Chronic disease management in the South-East Asia Region: a need to do more’, </w:t>
      </w:r>
      <w:r w:rsidRPr="004D018D">
        <w:rPr>
          <w:i/>
          <w:iCs/>
        </w:rPr>
        <w:t>WHO South-East Asia Journal of Public Health</w:t>
      </w:r>
      <w:r w:rsidRPr="004D018D">
        <w:t>, 2(2), p. 79. Available at: https://doi.org/10.4103/2224-3151.122935.</w:t>
      </w:r>
    </w:p>
    <w:p w14:paraId="46E834B3" w14:textId="77777777" w:rsidR="004D018D" w:rsidRPr="004D018D" w:rsidRDefault="004D018D" w:rsidP="003D79B5">
      <w:pPr>
        <w:jc w:val="left"/>
      </w:pPr>
      <w:r w:rsidRPr="004D018D">
        <w:t xml:space="preserve">Stolper, H., Karin van Doesum and Steketee, M. (2024) ‘An integrated family approach in the practice of adult and child mental health care’, </w:t>
      </w:r>
      <w:r w:rsidRPr="004D018D">
        <w:rPr>
          <w:i/>
          <w:iCs/>
        </w:rPr>
        <w:t>Frontiers in psychiatry</w:t>
      </w:r>
      <w:r w:rsidRPr="004D018D">
        <w:t>, 15. Available at: https://doi.org/10.3389/fpsyt.2024.1298268.</w:t>
      </w:r>
    </w:p>
    <w:p w14:paraId="553A7EF5" w14:textId="77777777" w:rsidR="004D018D" w:rsidRPr="004D018D" w:rsidRDefault="004D018D" w:rsidP="003D79B5">
      <w:pPr>
        <w:jc w:val="left"/>
      </w:pPr>
      <w:r w:rsidRPr="004D018D">
        <w:t xml:space="preserve">World Health Organization (2021) </w:t>
      </w:r>
      <w:r w:rsidRPr="004D018D">
        <w:rPr>
          <w:i/>
          <w:iCs/>
        </w:rPr>
        <w:t>Comprehensive Mental Health Action Plan 2013 - 2030</w:t>
      </w:r>
      <w:r w:rsidRPr="004D018D">
        <w:t xml:space="preserve">, </w:t>
      </w:r>
      <w:r w:rsidRPr="004D018D">
        <w:rPr>
          <w:i/>
          <w:iCs/>
        </w:rPr>
        <w:t>www.who.int</w:t>
      </w:r>
      <w:r w:rsidRPr="004D018D">
        <w:t>. Available at: https://www.who.int/publications/i/item/9789240031029.</w:t>
      </w:r>
    </w:p>
    <w:p w14:paraId="4025653B" w14:textId="77777777" w:rsidR="004D018D" w:rsidRPr="004D018D" w:rsidRDefault="004D018D" w:rsidP="003D79B5">
      <w:pPr>
        <w:jc w:val="left"/>
      </w:pPr>
      <w:r w:rsidRPr="004D018D">
        <w:t xml:space="preserve">World Health Organization (2023) </w:t>
      </w:r>
      <w:r w:rsidRPr="004D018D">
        <w:rPr>
          <w:i/>
          <w:iCs/>
        </w:rPr>
        <w:t>One Health: A holistic approach to health and well-being</w:t>
      </w:r>
      <w:r w:rsidRPr="004D018D">
        <w:t xml:space="preserve">, </w:t>
      </w:r>
      <w:r w:rsidRPr="004D018D">
        <w:rPr>
          <w:i/>
          <w:iCs/>
        </w:rPr>
        <w:t>www.who.int</w:t>
      </w:r>
      <w:r w:rsidRPr="004D018D">
        <w:t>. Available at: https://www.who.int/publications/i/item/who-wer9848-49-621-652.</w:t>
      </w:r>
    </w:p>
    <w:p w14:paraId="75A9554F" w14:textId="77777777" w:rsidR="004D018D" w:rsidRPr="004D018D" w:rsidRDefault="004D018D" w:rsidP="003D79B5">
      <w:pPr>
        <w:jc w:val="left"/>
      </w:pPr>
      <w:r w:rsidRPr="004D018D">
        <w:t xml:space="preserve">World Health Organization (2024) </w:t>
      </w:r>
      <w:r w:rsidRPr="004D018D">
        <w:rPr>
          <w:i/>
          <w:iCs/>
        </w:rPr>
        <w:t>Noncommunicable diseases</w:t>
      </w:r>
      <w:r w:rsidRPr="004D018D">
        <w:t xml:space="preserve">, </w:t>
      </w:r>
      <w:r w:rsidRPr="004D018D">
        <w:rPr>
          <w:i/>
          <w:iCs/>
        </w:rPr>
        <w:t>World Health Organization</w:t>
      </w:r>
      <w:r w:rsidRPr="004D018D">
        <w:t>. Available at: https://www.who.int/news-room/fact-sheets/detail/noncommunicable-diseases.</w:t>
      </w:r>
    </w:p>
    <w:p w14:paraId="70C7CA0C" w14:textId="77777777" w:rsidR="008C38C3" w:rsidRPr="008C38C3" w:rsidRDefault="008C38C3" w:rsidP="003D79B5">
      <w:pPr>
        <w:jc w:val="left"/>
      </w:pPr>
    </w:p>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3E692" w14:textId="77777777" w:rsidR="002E074B" w:rsidRDefault="002E074B" w:rsidP="00211184">
      <w:pPr>
        <w:spacing w:after="0" w:line="240" w:lineRule="auto"/>
      </w:pPr>
      <w:r>
        <w:separator/>
      </w:r>
    </w:p>
  </w:endnote>
  <w:endnote w:type="continuationSeparator" w:id="0">
    <w:p w14:paraId="0507311A" w14:textId="77777777" w:rsidR="002E074B" w:rsidRDefault="002E074B"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7320D" w14:textId="77777777" w:rsidR="002E074B" w:rsidRDefault="002E074B" w:rsidP="00211184">
      <w:pPr>
        <w:spacing w:after="0" w:line="240" w:lineRule="auto"/>
      </w:pPr>
      <w:r>
        <w:separator/>
      </w:r>
    </w:p>
  </w:footnote>
  <w:footnote w:type="continuationSeparator" w:id="0">
    <w:p w14:paraId="6BA3F4C7" w14:textId="77777777" w:rsidR="002E074B" w:rsidRDefault="002E074B"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4B22AFF"/>
    <w:multiLevelType w:val="multilevel"/>
    <w:tmpl w:val="6D14002E"/>
    <w:lvl w:ilvl="0">
      <w:start w:val="1"/>
      <w:numFmt w:val="bullet"/>
      <w:lvlText w:val="o"/>
      <w:lvlJc w:val="left"/>
      <w:pPr>
        <w:tabs>
          <w:tab w:val="num" w:pos="3690"/>
        </w:tabs>
        <w:ind w:left="3690" w:hanging="360"/>
      </w:pPr>
      <w:rPr>
        <w:rFonts w:ascii="Courier New" w:hAnsi="Courier New" w:hint="default"/>
        <w:sz w:val="20"/>
      </w:rPr>
    </w:lvl>
    <w:lvl w:ilvl="1" w:tentative="1">
      <w:start w:val="1"/>
      <w:numFmt w:val="bullet"/>
      <w:lvlText w:val="o"/>
      <w:lvlJc w:val="left"/>
      <w:pPr>
        <w:tabs>
          <w:tab w:val="num" w:pos="4410"/>
        </w:tabs>
        <w:ind w:left="4410" w:hanging="360"/>
      </w:pPr>
      <w:rPr>
        <w:rFonts w:ascii="Courier New" w:hAnsi="Courier New" w:hint="default"/>
        <w:sz w:val="20"/>
      </w:rPr>
    </w:lvl>
    <w:lvl w:ilvl="2" w:tentative="1">
      <w:start w:val="1"/>
      <w:numFmt w:val="bullet"/>
      <w:lvlText w:val="o"/>
      <w:lvlJc w:val="left"/>
      <w:pPr>
        <w:tabs>
          <w:tab w:val="num" w:pos="5130"/>
        </w:tabs>
        <w:ind w:left="5130" w:hanging="360"/>
      </w:pPr>
      <w:rPr>
        <w:rFonts w:ascii="Courier New" w:hAnsi="Courier New" w:hint="default"/>
        <w:sz w:val="20"/>
      </w:rPr>
    </w:lvl>
    <w:lvl w:ilvl="3" w:tentative="1">
      <w:start w:val="1"/>
      <w:numFmt w:val="bullet"/>
      <w:lvlText w:val="o"/>
      <w:lvlJc w:val="left"/>
      <w:pPr>
        <w:tabs>
          <w:tab w:val="num" w:pos="5850"/>
        </w:tabs>
        <w:ind w:left="5850" w:hanging="360"/>
      </w:pPr>
      <w:rPr>
        <w:rFonts w:ascii="Courier New" w:hAnsi="Courier New" w:hint="default"/>
        <w:sz w:val="20"/>
      </w:rPr>
    </w:lvl>
    <w:lvl w:ilvl="4" w:tentative="1">
      <w:start w:val="1"/>
      <w:numFmt w:val="bullet"/>
      <w:lvlText w:val="o"/>
      <w:lvlJc w:val="left"/>
      <w:pPr>
        <w:tabs>
          <w:tab w:val="num" w:pos="6570"/>
        </w:tabs>
        <w:ind w:left="6570" w:hanging="360"/>
      </w:pPr>
      <w:rPr>
        <w:rFonts w:ascii="Courier New" w:hAnsi="Courier New" w:hint="default"/>
        <w:sz w:val="20"/>
      </w:rPr>
    </w:lvl>
    <w:lvl w:ilvl="5" w:tentative="1">
      <w:start w:val="1"/>
      <w:numFmt w:val="bullet"/>
      <w:lvlText w:val="o"/>
      <w:lvlJc w:val="left"/>
      <w:pPr>
        <w:tabs>
          <w:tab w:val="num" w:pos="7290"/>
        </w:tabs>
        <w:ind w:left="7290" w:hanging="360"/>
      </w:pPr>
      <w:rPr>
        <w:rFonts w:ascii="Courier New" w:hAnsi="Courier New" w:hint="default"/>
        <w:sz w:val="20"/>
      </w:rPr>
    </w:lvl>
    <w:lvl w:ilvl="6" w:tentative="1">
      <w:start w:val="1"/>
      <w:numFmt w:val="bullet"/>
      <w:lvlText w:val="o"/>
      <w:lvlJc w:val="left"/>
      <w:pPr>
        <w:tabs>
          <w:tab w:val="num" w:pos="8010"/>
        </w:tabs>
        <w:ind w:left="8010" w:hanging="360"/>
      </w:pPr>
      <w:rPr>
        <w:rFonts w:ascii="Courier New" w:hAnsi="Courier New" w:hint="default"/>
        <w:sz w:val="20"/>
      </w:rPr>
    </w:lvl>
    <w:lvl w:ilvl="7" w:tentative="1">
      <w:start w:val="1"/>
      <w:numFmt w:val="bullet"/>
      <w:lvlText w:val="o"/>
      <w:lvlJc w:val="left"/>
      <w:pPr>
        <w:tabs>
          <w:tab w:val="num" w:pos="8730"/>
        </w:tabs>
        <w:ind w:left="8730" w:hanging="360"/>
      </w:pPr>
      <w:rPr>
        <w:rFonts w:ascii="Courier New" w:hAnsi="Courier New" w:hint="default"/>
        <w:sz w:val="20"/>
      </w:rPr>
    </w:lvl>
    <w:lvl w:ilvl="8" w:tentative="1">
      <w:start w:val="1"/>
      <w:numFmt w:val="bullet"/>
      <w:lvlText w:val="o"/>
      <w:lvlJc w:val="left"/>
      <w:pPr>
        <w:tabs>
          <w:tab w:val="num" w:pos="9450"/>
        </w:tabs>
        <w:ind w:left="9450" w:hanging="360"/>
      </w:pPr>
      <w:rPr>
        <w:rFonts w:ascii="Courier New" w:hAnsi="Courier New" w:hint="default"/>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6"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27"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C847CC2"/>
    <w:multiLevelType w:val="hybridMultilevel"/>
    <w:tmpl w:val="C6BC8E10"/>
    <w:lvl w:ilvl="0" w:tplc="08090001">
      <w:start w:val="1"/>
      <w:numFmt w:val="bullet"/>
      <w:lvlText w:val=""/>
      <w:lvlJc w:val="left"/>
      <w:pPr>
        <w:ind w:left="1080" w:hanging="72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6"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1"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0"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2"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4"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7"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9"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4"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5"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6"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0"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4"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6"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7"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0"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1"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2"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5"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6"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7"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8"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0"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1"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2" w15:restartNumberingAfterBreak="0">
    <w:nsid w:val="7B431161"/>
    <w:multiLevelType w:val="hybridMultilevel"/>
    <w:tmpl w:val="69707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3"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35"/>
  </w:num>
  <w:num w:numId="2" w16cid:durableId="1790927071">
    <w:abstractNumId w:val="25"/>
  </w:num>
  <w:num w:numId="3" w16cid:durableId="1092819689">
    <w:abstractNumId w:val="135"/>
  </w:num>
  <w:num w:numId="4" w16cid:durableId="1500121260">
    <w:abstractNumId w:val="77"/>
  </w:num>
  <w:num w:numId="5" w16cid:durableId="438111508">
    <w:abstractNumId w:val="125"/>
  </w:num>
  <w:num w:numId="6" w16cid:durableId="106121269">
    <w:abstractNumId w:val="20"/>
  </w:num>
  <w:num w:numId="7" w16cid:durableId="1859468656">
    <w:abstractNumId w:val="141"/>
  </w:num>
  <w:num w:numId="8" w16cid:durableId="407923627">
    <w:abstractNumId w:val="139"/>
  </w:num>
  <w:num w:numId="9" w16cid:durableId="1173763238">
    <w:abstractNumId w:val="95"/>
  </w:num>
  <w:num w:numId="10" w16cid:durableId="515197422">
    <w:abstractNumId w:val="68"/>
  </w:num>
  <w:num w:numId="11" w16cid:durableId="650984044">
    <w:abstractNumId w:val="15"/>
  </w:num>
  <w:num w:numId="12" w16cid:durableId="676225712">
    <w:abstractNumId w:val="129"/>
  </w:num>
  <w:num w:numId="13" w16cid:durableId="654647421">
    <w:abstractNumId w:val="93"/>
  </w:num>
  <w:num w:numId="14" w16cid:durableId="972827862">
    <w:abstractNumId w:val="97"/>
  </w:num>
  <w:num w:numId="15" w16cid:durableId="73359902">
    <w:abstractNumId w:val="66"/>
  </w:num>
  <w:num w:numId="16" w16cid:durableId="1233615214">
    <w:abstractNumId w:val="11"/>
  </w:num>
  <w:num w:numId="17" w16cid:durableId="1037585576">
    <w:abstractNumId w:val="137"/>
  </w:num>
  <w:num w:numId="18" w16cid:durableId="1454127918">
    <w:abstractNumId w:val="115"/>
  </w:num>
  <w:num w:numId="19" w16cid:durableId="1655717882">
    <w:abstractNumId w:val="42"/>
  </w:num>
  <w:num w:numId="20" w16cid:durableId="679818721">
    <w:abstractNumId w:val="8"/>
  </w:num>
  <w:num w:numId="21" w16cid:durableId="820851363">
    <w:abstractNumId w:val="3"/>
  </w:num>
  <w:num w:numId="22" w16cid:durableId="1752123437">
    <w:abstractNumId w:val="82"/>
  </w:num>
  <w:num w:numId="23" w16cid:durableId="776406381">
    <w:abstractNumId w:val="10"/>
  </w:num>
  <w:num w:numId="24" w16cid:durableId="2003772795">
    <w:abstractNumId w:val="143"/>
  </w:num>
  <w:num w:numId="25" w16cid:durableId="471214588">
    <w:abstractNumId w:val="9"/>
  </w:num>
  <w:num w:numId="26" w16cid:durableId="747188340">
    <w:abstractNumId w:val="123"/>
  </w:num>
  <w:num w:numId="27" w16cid:durableId="1617635105">
    <w:abstractNumId w:val="24"/>
  </w:num>
  <w:num w:numId="28" w16cid:durableId="1919750537">
    <w:abstractNumId w:val="131"/>
  </w:num>
  <w:num w:numId="29" w16cid:durableId="1917666381">
    <w:abstractNumId w:val="5"/>
  </w:num>
  <w:num w:numId="30" w16cid:durableId="836925604">
    <w:abstractNumId w:val="114"/>
  </w:num>
  <w:num w:numId="31" w16cid:durableId="881479433">
    <w:abstractNumId w:val="98"/>
  </w:num>
  <w:num w:numId="32" w16cid:durableId="164788852">
    <w:abstractNumId w:val="103"/>
  </w:num>
  <w:num w:numId="33" w16cid:durableId="735323509">
    <w:abstractNumId w:val="17"/>
  </w:num>
  <w:num w:numId="34" w16cid:durableId="1000431254">
    <w:abstractNumId w:val="65"/>
  </w:num>
  <w:num w:numId="35" w16cid:durableId="434404662">
    <w:abstractNumId w:val="29"/>
  </w:num>
  <w:num w:numId="36" w16cid:durableId="792409853">
    <w:abstractNumId w:val="75"/>
  </w:num>
  <w:num w:numId="37" w16cid:durableId="70469880">
    <w:abstractNumId w:val="80"/>
  </w:num>
  <w:num w:numId="38" w16cid:durableId="1255548974">
    <w:abstractNumId w:val="72"/>
  </w:num>
  <w:num w:numId="39" w16cid:durableId="509951972">
    <w:abstractNumId w:val="52"/>
  </w:num>
  <w:num w:numId="40" w16cid:durableId="1491873496">
    <w:abstractNumId w:val="88"/>
  </w:num>
  <w:num w:numId="41" w16cid:durableId="1277179892">
    <w:abstractNumId w:val="102"/>
  </w:num>
  <w:num w:numId="42" w16cid:durableId="1137721610">
    <w:abstractNumId w:val="81"/>
  </w:num>
  <w:num w:numId="43" w16cid:durableId="1569337486">
    <w:abstractNumId w:val="144"/>
  </w:num>
  <w:num w:numId="44" w16cid:durableId="1771851078">
    <w:abstractNumId w:val="6"/>
  </w:num>
  <w:num w:numId="45" w16cid:durableId="1096747610">
    <w:abstractNumId w:val="28"/>
  </w:num>
  <w:num w:numId="46" w16cid:durableId="1853105471">
    <w:abstractNumId w:val="116"/>
  </w:num>
  <w:num w:numId="47" w16cid:durableId="2016615092">
    <w:abstractNumId w:val="76"/>
  </w:num>
  <w:num w:numId="48" w16cid:durableId="439030946">
    <w:abstractNumId w:val="99"/>
  </w:num>
  <w:num w:numId="49" w16cid:durableId="315690756">
    <w:abstractNumId w:val="53"/>
  </w:num>
  <w:num w:numId="50" w16cid:durableId="1252278660">
    <w:abstractNumId w:val="14"/>
  </w:num>
  <w:num w:numId="51" w16cid:durableId="1719351677">
    <w:abstractNumId w:val="107"/>
  </w:num>
  <w:num w:numId="52" w16cid:durableId="1107427397">
    <w:abstractNumId w:val="33"/>
  </w:num>
  <w:num w:numId="53" w16cid:durableId="371266753">
    <w:abstractNumId w:val="100"/>
  </w:num>
  <w:num w:numId="54" w16cid:durableId="491869272">
    <w:abstractNumId w:val="40"/>
  </w:num>
  <w:num w:numId="55" w16cid:durableId="1351251430">
    <w:abstractNumId w:val="105"/>
  </w:num>
  <w:num w:numId="56" w16cid:durableId="1368607436">
    <w:abstractNumId w:val="134"/>
  </w:num>
  <w:num w:numId="57" w16cid:durableId="1588029100">
    <w:abstractNumId w:val="140"/>
  </w:num>
  <w:num w:numId="58" w16cid:durableId="415832180">
    <w:abstractNumId w:val="126"/>
  </w:num>
  <w:num w:numId="59" w16cid:durableId="1178735139">
    <w:abstractNumId w:val="67"/>
  </w:num>
  <w:num w:numId="60" w16cid:durableId="721834200">
    <w:abstractNumId w:val="78"/>
  </w:num>
  <w:num w:numId="61" w16cid:durableId="686251813">
    <w:abstractNumId w:val="2"/>
  </w:num>
  <w:num w:numId="62" w16cid:durableId="1960641414">
    <w:abstractNumId w:val="16"/>
  </w:num>
  <w:num w:numId="63" w16cid:durableId="39089564">
    <w:abstractNumId w:val="71"/>
  </w:num>
  <w:num w:numId="64" w16cid:durableId="1192718157">
    <w:abstractNumId w:val="27"/>
  </w:num>
  <w:num w:numId="65" w16cid:durableId="1777825955">
    <w:abstractNumId w:val="108"/>
  </w:num>
  <w:num w:numId="66" w16cid:durableId="286199487">
    <w:abstractNumId w:val="36"/>
  </w:num>
  <w:num w:numId="67" w16cid:durableId="1119490663">
    <w:abstractNumId w:val="87"/>
  </w:num>
  <w:num w:numId="68" w16cid:durableId="1353922786">
    <w:abstractNumId w:val="47"/>
  </w:num>
  <w:num w:numId="69" w16cid:durableId="492723980">
    <w:abstractNumId w:val="91"/>
  </w:num>
  <w:num w:numId="70" w16cid:durableId="526941613">
    <w:abstractNumId w:val="48"/>
  </w:num>
  <w:num w:numId="71" w16cid:durableId="320043301">
    <w:abstractNumId w:val="89"/>
  </w:num>
  <w:num w:numId="72" w16cid:durableId="2037610982">
    <w:abstractNumId w:val="7"/>
  </w:num>
  <w:num w:numId="73" w16cid:durableId="1079794559">
    <w:abstractNumId w:val="62"/>
  </w:num>
  <w:num w:numId="74" w16cid:durableId="503403534">
    <w:abstractNumId w:val="50"/>
  </w:num>
  <w:num w:numId="75" w16cid:durableId="194734275">
    <w:abstractNumId w:val="13"/>
  </w:num>
  <w:num w:numId="76" w16cid:durableId="424033359">
    <w:abstractNumId w:val="70"/>
  </w:num>
  <w:num w:numId="77" w16cid:durableId="1335066293">
    <w:abstractNumId w:val="119"/>
  </w:num>
  <w:num w:numId="78" w16cid:durableId="662587085">
    <w:abstractNumId w:val="55"/>
  </w:num>
  <w:num w:numId="79" w16cid:durableId="2071072074">
    <w:abstractNumId w:val="113"/>
  </w:num>
  <w:num w:numId="80" w16cid:durableId="1573662111">
    <w:abstractNumId w:val="136"/>
  </w:num>
  <w:num w:numId="81" w16cid:durableId="131678057">
    <w:abstractNumId w:val="127"/>
  </w:num>
  <w:num w:numId="82" w16cid:durableId="2103643901">
    <w:abstractNumId w:val="112"/>
  </w:num>
  <w:num w:numId="83" w16cid:durableId="99565733">
    <w:abstractNumId w:val="39"/>
  </w:num>
  <w:num w:numId="84" w16cid:durableId="834734195">
    <w:abstractNumId w:val="26"/>
  </w:num>
  <w:num w:numId="85" w16cid:durableId="1810784339">
    <w:abstractNumId w:val="96"/>
  </w:num>
  <w:num w:numId="86" w16cid:durableId="294062445">
    <w:abstractNumId w:val="92"/>
  </w:num>
  <w:num w:numId="87" w16cid:durableId="461116587">
    <w:abstractNumId w:val="104"/>
  </w:num>
  <w:num w:numId="88" w16cid:durableId="1771701466">
    <w:abstractNumId w:val="18"/>
  </w:num>
  <w:num w:numId="89" w16cid:durableId="458109583">
    <w:abstractNumId w:val="54"/>
  </w:num>
  <w:num w:numId="90" w16cid:durableId="1118372837">
    <w:abstractNumId w:val="111"/>
  </w:num>
  <w:num w:numId="91" w16cid:durableId="928196919">
    <w:abstractNumId w:val="57"/>
  </w:num>
  <w:num w:numId="92" w16cid:durableId="540751746">
    <w:abstractNumId w:val="12"/>
  </w:num>
  <w:num w:numId="93" w16cid:durableId="1732345686">
    <w:abstractNumId w:val="41"/>
  </w:num>
  <w:num w:numId="94" w16cid:durableId="1491748033">
    <w:abstractNumId w:val="110"/>
  </w:num>
  <w:num w:numId="95" w16cid:durableId="670565925">
    <w:abstractNumId w:val="23"/>
  </w:num>
  <w:num w:numId="96" w16cid:durableId="920025912">
    <w:abstractNumId w:val="30"/>
  </w:num>
  <w:num w:numId="97" w16cid:durableId="385184188">
    <w:abstractNumId w:val="22"/>
  </w:num>
  <w:num w:numId="98" w16cid:durableId="433670804">
    <w:abstractNumId w:val="117"/>
  </w:num>
  <w:num w:numId="99" w16cid:durableId="1986471659">
    <w:abstractNumId w:val="86"/>
  </w:num>
  <w:num w:numId="100" w16cid:durableId="384569146">
    <w:abstractNumId w:val="69"/>
  </w:num>
  <w:num w:numId="101" w16cid:durableId="211696971">
    <w:abstractNumId w:val="37"/>
  </w:num>
  <w:num w:numId="102" w16cid:durableId="1773429901">
    <w:abstractNumId w:val="64"/>
  </w:num>
  <w:num w:numId="103" w16cid:durableId="1313095327">
    <w:abstractNumId w:val="51"/>
  </w:num>
  <w:num w:numId="104" w16cid:durableId="520290349">
    <w:abstractNumId w:val="38"/>
  </w:num>
  <w:num w:numId="105" w16cid:durableId="1512571936">
    <w:abstractNumId w:val="124"/>
  </w:num>
  <w:num w:numId="106" w16cid:durableId="804733676">
    <w:abstractNumId w:val="43"/>
  </w:num>
  <w:num w:numId="107" w16cid:durableId="488864096">
    <w:abstractNumId w:val="120"/>
  </w:num>
  <w:num w:numId="108" w16cid:durableId="1599749197">
    <w:abstractNumId w:val="63"/>
  </w:num>
  <w:num w:numId="109" w16cid:durableId="1729497930">
    <w:abstractNumId w:val="59"/>
  </w:num>
  <w:num w:numId="110" w16cid:durableId="202600046">
    <w:abstractNumId w:val="84"/>
  </w:num>
  <w:num w:numId="111" w16cid:durableId="705715569">
    <w:abstractNumId w:val="58"/>
  </w:num>
  <w:num w:numId="112" w16cid:durableId="1726679607">
    <w:abstractNumId w:val="32"/>
  </w:num>
  <w:num w:numId="113" w16cid:durableId="1630209448">
    <w:abstractNumId w:val="73"/>
  </w:num>
  <w:num w:numId="114" w16cid:durableId="928663234">
    <w:abstractNumId w:val="90"/>
  </w:num>
  <w:num w:numId="115" w16cid:durableId="1492596474">
    <w:abstractNumId w:val="94"/>
  </w:num>
  <w:num w:numId="116" w16cid:durableId="801120737">
    <w:abstractNumId w:val="79"/>
  </w:num>
  <w:num w:numId="117" w16cid:durableId="214050367">
    <w:abstractNumId w:val="122"/>
  </w:num>
  <w:num w:numId="118" w16cid:durableId="119765671">
    <w:abstractNumId w:val="45"/>
  </w:num>
  <w:num w:numId="119" w16cid:durableId="655495887">
    <w:abstractNumId w:val="49"/>
  </w:num>
  <w:num w:numId="120" w16cid:durableId="329139902">
    <w:abstractNumId w:val="56"/>
  </w:num>
  <w:num w:numId="121" w16cid:durableId="2017072952">
    <w:abstractNumId w:val="106"/>
  </w:num>
  <w:num w:numId="122" w16cid:durableId="58405484">
    <w:abstractNumId w:val="44"/>
  </w:num>
  <w:num w:numId="123" w16cid:durableId="1817530714">
    <w:abstractNumId w:val="19"/>
  </w:num>
  <w:num w:numId="124" w16cid:durableId="2141336387">
    <w:abstractNumId w:val="85"/>
  </w:num>
  <w:num w:numId="125" w16cid:durableId="1325282792">
    <w:abstractNumId w:val="4"/>
  </w:num>
  <w:num w:numId="126" w16cid:durableId="1319654748">
    <w:abstractNumId w:val="109"/>
  </w:num>
  <w:num w:numId="127" w16cid:durableId="1431050858">
    <w:abstractNumId w:val="61"/>
  </w:num>
  <w:num w:numId="128" w16cid:durableId="1905674203">
    <w:abstractNumId w:val="133"/>
  </w:num>
  <w:num w:numId="129" w16cid:durableId="1172839593">
    <w:abstractNumId w:val="83"/>
  </w:num>
  <w:num w:numId="130" w16cid:durableId="556555801">
    <w:abstractNumId w:val="1"/>
  </w:num>
  <w:num w:numId="131" w16cid:durableId="1903828627">
    <w:abstractNumId w:val="21"/>
  </w:num>
  <w:num w:numId="132" w16cid:durableId="281425930">
    <w:abstractNumId w:val="74"/>
  </w:num>
  <w:num w:numId="133" w16cid:durableId="218833604">
    <w:abstractNumId w:val="31"/>
  </w:num>
  <w:num w:numId="134" w16cid:durableId="1947999269">
    <w:abstractNumId w:val="132"/>
  </w:num>
  <w:num w:numId="135" w16cid:durableId="1491553762">
    <w:abstractNumId w:val="60"/>
  </w:num>
  <w:num w:numId="136" w16cid:durableId="965625632">
    <w:abstractNumId w:val="118"/>
  </w:num>
  <w:num w:numId="137" w16cid:durableId="1420058146">
    <w:abstractNumId w:val="101"/>
  </w:num>
  <w:num w:numId="138" w16cid:durableId="829950104">
    <w:abstractNumId w:val="128"/>
  </w:num>
  <w:num w:numId="139" w16cid:durableId="1481145624">
    <w:abstractNumId w:val="145"/>
  </w:num>
  <w:num w:numId="140" w16cid:durableId="29957555">
    <w:abstractNumId w:val="138"/>
  </w:num>
  <w:num w:numId="141" w16cid:durableId="1042821728">
    <w:abstractNumId w:val="121"/>
  </w:num>
  <w:num w:numId="142" w16cid:durableId="1995062474">
    <w:abstractNumId w:val="0"/>
  </w:num>
  <w:num w:numId="143" w16cid:durableId="633143735">
    <w:abstractNumId w:val="130"/>
  </w:num>
  <w:num w:numId="144" w16cid:durableId="1100951892">
    <w:abstractNumId w:val="34"/>
  </w:num>
  <w:num w:numId="145" w16cid:durableId="1208763282">
    <w:abstractNumId w:val="142"/>
  </w:num>
  <w:num w:numId="146" w16cid:durableId="161043359">
    <w:abstractNumId w:val="46"/>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D05D8"/>
    <w:rsid w:val="000D0641"/>
    <w:rsid w:val="000D2B00"/>
    <w:rsid w:val="000F73D7"/>
    <w:rsid w:val="00113B9C"/>
    <w:rsid w:val="001601E6"/>
    <w:rsid w:val="001C38C9"/>
    <w:rsid w:val="001C3AF6"/>
    <w:rsid w:val="001D1485"/>
    <w:rsid w:val="001F19A6"/>
    <w:rsid w:val="002107BE"/>
    <w:rsid w:val="00211184"/>
    <w:rsid w:val="0021364B"/>
    <w:rsid w:val="0025020C"/>
    <w:rsid w:val="00256951"/>
    <w:rsid w:val="002865F5"/>
    <w:rsid w:val="00292A36"/>
    <w:rsid w:val="002D64A3"/>
    <w:rsid w:val="002E074B"/>
    <w:rsid w:val="002F5E53"/>
    <w:rsid w:val="00312A5A"/>
    <w:rsid w:val="003135AD"/>
    <w:rsid w:val="00346D33"/>
    <w:rsid w:val="00393F39"/>
    <w:rsid w:val="003A472E"/>
    <w:rsid w:val="003A66FD"/>
    <w:rsid w:val="003B1E32"/>
    <w:rsid w:val="003D70DC"/>
    <w:rsid w:val="003D79B5"/>
    <w:rsid w:val="003E1B83"/>
    <w:rsid w:val="00451253"/>
    <w:rsid w:val="0048454B"/>
    <w:rsid w:val="00495B24"/>
    <w:rsid w:val="004B5932"/>
    <w:rsid w:val="004D018D"/>
    <w:rsid w:val="004D4021"/>
    <w:rsid w:val="004D73EF"/>
    <w:rsid w:val="005119DE"/>
    <w:rsid w:val="005234A4"/>
    <w:rsid w:val="0053412A"/>
    <w:rsid w:val="005446BF"/>
    <w:rsid w:val="0055147E"/>
    <w:rsid w:val="005926EE"/>
    <w:rsid w:val="005B3EDE"/>
    <w:rsid w:val="005B6E67"/>
    <w:rsid w:val="005C5E80"/>
    <w:rsid w:val="005D7A1E"/>
    <w:rsid w:val="005E1650"/>
    <w:rsid w:val="005F0CE1"/>
    <w:rsid w:val="005F35BA"/>
    <w:rsid w:val="00604A87"/>
    <w:rsid w:val="00621776"/>
    <w:rsid w:val="00621872"/>
    <w:rsid w:val="006253F8"/>
    <w:rsid w:val="00626A21"/>
    <w:rsid w:val="0063363D"/>
    <w:rsid w:val="00634052"/>
    <w:rsid w:val="00636D9A"/>
    <w:rsid w:val="006916EA"/>
    <w:rsid w:val="006A3F0D"/>
    <w:rsid w:val="006A4515"/>
    <w:rsid w:val="006C78AA"/>
    <w:rsid w:val="006F04D4"/>
    <w:rsid w:val="006F4AB2"/>
    <w:rsid w:val="007063BA"/>
    <w:rsid w:val="00706ECD"/>
    <w:rsid w:val="00730C3C"/>
    <w:rsid w:val="0073280B"/>
    <w:rsid w:val="00750B5B"/>
    <w:rsid w:val="0077163A"/>
    <w:rsid w:val="0078119A"/>
    <w:rsid w:val="00785752"/>
    <w:rsid w:val="007A59C8"/>
    <w:rsid w:val="007A712E"/>
    <w:rsid w:val="007B01CE"/>
    <w:rsid w:val="007B7F7B"/>
    <w:rsid w:val="007C03B6"/>
    <w:rsid w:val="007C246B"/>
    <w:rsid w:val="007C6564"/>
    <w:rsid w:val="007C685B"/>
    <w:rsid w:val="007D555E"/>
    <w:rsid w:val="007F7847"/>
    <w:rsid w:val="00804B94"/>
    <w:rsid w:val="00807B11"/>
    <w:rsid w:val="0082760D"/>
    <w:rsid w:val="00880B2D"/>
    <w:rsid w:val="00883AB0"/>
    <w:rsid w:val="00894108"/>
    <w:rsid w:val="008B1DFA"/>
    <w:rsid w:val="008C38C3"/>
    <w:rsid w:val="008D6F0F"/>
    <w:rsid w:val="008E7B2E"/>
    <w:rsid w:val="008F0314"/>
    <w:rsid w:val="009032EE"/>
    <w:rsid w:val="00910F28"/>
    <w:rsid w:val="00916814"/>
    <w:rsid w:val="00930419"/>
    <w:rsid w:val="0094296D"/>
    <w:rsid w:val="00995444"/>
    <w:rsid w:val="009B3114"/>
    <w:rsid w:val="009D06C5"/>
    <w:rsid w:val="009D534C"/>
    <w:rsid w:val="009D728C"/>
    <w:rsid w:val="009E17B9"/>
    <w:rsid w:val="009E5B14"/>
    <w:rsid w:val="009F62E1"/>
    <w:rsid w:val="009F7DE6"/>
    <w:rsid w:val="00A90A7A"/>
    <w:rsid w:val="00AA437C"/>
    <w:rsid w:val="00AB78F0"/>
    <w:rsid w:val="00B01396"/>
    <w:rsid w:val="00B2418B"/>
    <w:rsid w:val="00B26973"/>
    <w:rsid w:val="00B3533B"/>
    <w:rsid w:val="00B575E2"/>
    <w:rsid w:val="00B7073C"/>
    <w:rsid w:val="00B858A1"/>
    <w:rsid w:val="00BB65AC"/>
    <w:rsid w:val="00BD0188"/>
    <w:rsid w:val="00BD10EC"/>
    <w:rsid w:val="00BD2909"/>
    <w:rsid w:val="00BF4B0E"/>
    <w:rsid w:val="00C17A49"/>
    <w:rsid w:val="00C26DAD"/>
    <w:rsid w:val="00C91479"/>
    <w:rsid w:val="00CB3AF6"/>
    <w:rsid w:val="00CB3C13"/>
    <w:rsid w:val="00CC477E"/>
    <w:rsid w:val="00CC697B"/>
    <w:rsid w:val="00CE3FD1"/>
    <w:rsid w:val="00CE620E"/>
    <w:rsid w:val="00CF1ED5"/>
    <w:rsid w:val="00CF4B34"/>
    <w:rsid w:val="00D13A82"/>
    <w:rsid w:val="00D13DB7"/>
    <w:rsid w:val="00D452D6"/>
    <w:rsid w:val="00D66BBC"/>
    <w:rsid w:val="00D71C73"/>
    <w:rsid w:val="00DB71AC"/>
    <w:rsid w:val="00DC00D1"/>
    <w:rsid w:val="00DD02A4"/>
    <w:rsid w:val="00DE1A02"/>
    <w:rsid w:val="00DE50C1"/>
    <w:rsid w:val="00E0057D"/>
    <w:rsid w:val="00E05C6C"/>
    <w:rsid w:val="00E157E1"/>
    <w:rsid w:val="00E2182C"/>
    <w:rsid w:val="00E325CF"/>
    <w:rsid w:val="00E40B0D"/>
    <w:rsid w:val="00E629D9"/>
    <w:rsid w:val="00E71420"/>
    <w:rsid w:val="00E94DA0"/>
    <w:rsid w:val="00EA5CC3"/>
    <w:rsid w:val="00EC0371"/>
    <w:rsid w:val="00EF6341"/>
    <w:rsid w:val="00F049A6"/>
    <w:rsid w:val="00F0560A"/>
    <w:rsid w:val="00F158D7"/>
    <w:rsid w:val="00F20EE5"/>
    <w:rsid w:val="00F31B32"/>
    <w:rsid w:val="00F44833"/>
    <w:rsid w:val="00F544B0"/>
    <w:rsid w:val="00F67C87"/>
    <w:rsid w:val="00F75509"/>
    <w:rsid w:val="00F84C23"/>
    <w:rsid w:val="00FC1A35"/>
    <w:rsid w:val="00FD3459"/>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D0188"/>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BD0188"/>
    <w:pPr>
      <w:spacing w:after="100"/>
    </w:pPr>
  </w:style>
  <w:style w:type="paragraph" w:styleId="TOC2">
    <w:name w:val="toc 2"/>
    <w:basedOn w:val="Normal"/>
    <w:next w:val="Normal"/>
    <w:autoRedefine/>
    <w:uiPriority w:val="39"/>
    <w:unhideWhenUsed/>
    <w:rsid w:val="00BD018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doi.org/10.1370/afm.245"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146/annurev.psych.50.1.137" TargetMode="External" /><Relationship Id="rId5" Type="http://schemas.openxmlformats.org/officeDocument/2006/relationships/webSettings" Target="webSettings.xml" /><Relationship Id="rId10" Type="http://schemas.openxmlformats.org/officeDocument/2006/relationships/hyperlink" Target="https://doi.org/10.1186/s12912-025-02743-4" TargetMode="External" /><Relationship Id="rId4" Type="http://schemas.openxmlformats.org/officeDocument/2006/relationships/settings" Target="settings.xml" /><Relationship Id="rId9" Type="http://schemas.openxmlformats.org/officeDocument/2006/relationships/hyperlink" Target="https://doi.org/10.1007/s10597-025-01499-0"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3981</Words>
  <Characters>22696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Somia Kausar (2239088)</cp:lastModifiedBy>
  <cp:revision>2</cp:revision>
  <dcterms:created xsi:type="dcterms:W3CDTF">2026-04-02T12:56:00Z</dcterms:created>
  <dcterms:modified xsi:type="dcterms:W3CDTF">2026-04-02T12:56:00Z</dcterms:modified>
</cp:coreProperties>
</file>