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0EB9A" w14:textId="77777777" w:rsidR="008E253C" w:rsidRDefault="008E253C" w:rsidP="002A069C">
      <w:pPr>
        <w:jc w:val="center"/>
        <w:rPr>
          <w:rFonts w:ascii="Calibri" w:hAnsi="Calibri" w:cs="Calibri"/>
          <w:sz w:val="24"/>
          <w:szCs w:val="24"/>
        </w:rPr>
      </w:pPr>
    </w:p>
    <w:p w14:paraId="3C1522FE" w14:textId="77777777" w:rsidR="008E253C" w:rsidRDefault="008E253C" w:rsidP="002A069C">
      <w:pPr>
        <w:jc w:val="center"/>
        <w:rPr>
          <w:rFonts w:ascii="Calibri" w:hAnsi="Calibri" w:cs="Calibri"/>
          <w:sz w:val="24"/>
          <w:szCs w:val="24"/>
        </w:rPr>
      </w:pPr>
    </w:p>
    <w:p w14:paraId="2F9942BC" w14:textId="77777777" w:rsidR="008E253C" w:rsidRDefault="008E253C" w:rsidP="002A069C">
      <w:pPr>
        <w:jc w:val="center"/>
        <w:rPr>
          <w:rFonts w:ascii="Calibri" w:hAnsi="Calibri" w:cs="Calibri"/>
          <w:sz w:val="24"/>
          <w:szCs w:val="24"/>
        </w:rPr>
      </w:pPr>
    </w:p>
    <w:p w14:paraId="47DEDA32" w14:textId="77777777" w:rsidR="008E253C" w:rsidRDefault="008E253C" w:rsidP="00DE6306">
      <w:pPr>
        <w:rPr>
          <w:rFonts w:ascii="Calibri" w:hAnsi="Calibri" w:cs="Calibri"/>
          <w:sz w:val="24"/>
          <w:szCs w:val="24"/>
        </w:rPr>
      </w:pPr>
    </w:p>
    <w:p w14:paraId="134C2471" w14:textId="77777777" w:rsidR="008E253C" w:rsidRDefault="008E253C" w:rsidP="002A069C">
      <w:pPr>
        <w:jc w:val="center"/>
        <w:rPr>
          <w:rFonts w:ascii="Calibri" w:hAnsi="Calibri" w:cs="Calibri"/>
          <w:sz w:val="24"/>
          <w:szCs w:val="24"/>
        </w:rPr>
      </w:pPr>
    </w:p>
    <w:p w14:paraId="1495077C" w14:textId="77777777" w:rsidR="008E253C" w:rsidRPr="008E253C" w:rsidRDefault="008E253C" w:rsidP="002A069C">
      <w:pPr>
        <w:jc w:val="center"/>
        <w:rPr>
          <w:rFonts w:ascii="Calibri" w:hAnsi="Calibri" w:cs="Calibri"/>
          <w:sz w:val="48"/>
          <w:szCs w:val="48"/>
        </w:rPr>
      </w:pPr>
    </w:p>
    <w:p w14:paraId="62389D69" w14:textId="6B1EB866" w:rsidR="002A069C" w:rsidRPr="008E253C" w:rsidRDefault="002A069C" w:rsidP="002A069C">
      <w:pPr>
        <w:jc w:val="center"/>
        <w:rPr>
          <w:rFonts w:ascii="Calibri" w:hAnsi="Calibri" w:cs="Calibri"/>
          <w:sz w:val="48"/>
          <w:szCs w:val="48"/>
        </w:rPr>
      </w:pPr>
      <w:r w:rsidRPr="008E253C">
        <w:rPr>
          <w:rFonts w:ascii="Calibri" w:hAnsi="Calibri" w:cs="Calibri"/>
          <w:sz w:val="48"/>
          <w:szCs w:val="48"/>
        </w:rPr>
        <w:t>Programme: BSc Psychology</w:t>
      </w:r>
    </w:p>
    <w:p w14:paraId="30FB9D7C" w14:textId="77777777" w:rsidR="002A069C" w:rsidRPr="008E253C" w:rsidRDefault="002A069C" w:rsidP="002A069C">
      <w:pPr>
        <w:jc w:val="center"/>
        <w:rPr>
          <w:rFonts w:ascii="Calibri" w:hAnsi="Calibri" w:cs="Calibri"/>
          <w:sz w:val="48"/>
          <w:szCs w:val="48"/>
        </w:rPr>
      </w:pPr>
      <w:r w:rsidRPr="008E253C">
        <w:rPr>
          <w:rFonts w:ascii="Calibri" w:hAnsi="Calibri" w:cs="Calibri"/>
          <w:sz w:val="48"/>
          <w:szCs w:val="48"/>
        </w:rPr>
        <w:t>BSc Psychology and Counselling</w:t>
      </w:r>
    </w:p>
    <w:p w14:paraId="3FD57DCE" w14:textId="77777777" w:rsidR="002A069C" w:rsidRPr="008E253C" w:rsidRDefault="002A069C" w:rsidP="002A069C">
      <w:pPr>
        <w:jc w:val="center"/>
        <w:rPr>
          <w:rFonts w:ascii="Calibri" w:hAnsi="Calibri" w:cs="Calibri"/>
          <w:sz w:val="48"/>
          <w:szCs w:val="48"/>
        </w:rPr>
      </w:pPr>
      <w:r w:rsidRPr="008E253C">
        <w:rPr>
          <w:rFonts w:ascii="Calibri" w:hAnsi="Calibri" w:cs="Calibri"/>
          <w:sz w:val="48"/>
          <w:szCs w:val="48"/>
        </w:rPr>
        <w:t>Module: CBT and the New Cognitive Therapies</w:t>
      </w:r>
    </w:p>
    <w:p w14:paraId="7C4826EB" w14:textId="77777777" w:rsidR="00E8115D" w:rsidRPr="008E253C" w:rsidRDefault="002A069C" w:rsidP="002A069C">
      <w:pPr>
        <w:jc w:val="center"/>
        <w:rPr>
          <w:rFonts w:ascii="Calibri" w:hAnsi="Calibri" w:cs="Calibri"/>
          <w:sz w:val="48"/>
          <w:szCs w:val="48"/>
        </w:rPr>
      </w:pPr>
      <w:r w:rsidRPr="008E253C">
        <w:rPr>
          <w:rFonts w:ascii="Calibri" w:hAnsi="Calibri" w:cs="Calibri"/>
          <w:sz w:val="48"/>
          <w:szCs w:val="48"/>
        </w:rPr>
        <w:t>Module code: ECPS6007</w:t>
      </w:r>
    </w:p>
    <w:p w14:paraId="7709F277" w14:textId="77777777" w:rsidR="002A069C" w:rsidRPr="008E253C" w:rsidRDefault="002A069C" w:rsidP="002A069C">
      <w:pPr>
        <w:jc w:val="center"/>
        <w:rPr>
          <w:rFonts w:ascii="Calibri" w:hAnsi="Calibri" w:cs="Calibri"/>
          <w:sz w:val="48"/>
          <w:szCs w:val="48"/>
        </w:rPr>
      </w:pPr>
    </w:p>
    <w:p w14:paraId="53A7AB0D" w14:textId="77777777" w:rsidR="002A069C" w:rsidRPr="008E253C" w:rsidRDefault="002A069C" w:rsidP="002A069C">
      <w:pPr>
        <w:jc w:val="center"/>
        <w:rPr>
          <w:rFonts w:ascii="Calibri" w:hAnsi="Calibri" w:cs="Calibri"/>
          <w:sz w:val="48"/>
          <w:szCs w:val="48"/>
        </w:rPr>
      </w:pPr>
      <w:r w:rsidRPr="008E253C">
        <w:rPr>
          <w:rFonts w:ascii="Calibri" w:hAnsi="Calibri" w:cs="Calibri"/>
          <w:sz w:val="48"/>
          <w:szCs w:val="48"/>
        </w:rPr>
        <w:t>Component 1: Critical</w:t>
      </w:r>
    </w:p>
    <w:p w14:paraId="6259FA3F" w14:textId="77777777" w:rsidR="002A069C" w:rsidRPr="008E253C" w:rsidRDefault="002A069C" w:rsidP="002A069C">
      <w:pPr>
        <w:jc w:val="center"/>
        <w:rPr>
          <w:rFonts w:ascii="Calibri" w:hAnsi="Calibri" w:cs="Calibri"/>
          <w:sz w:val="48"/>
          <w:szCs w:val="48"/>
        </w:rPr>
      </w:pPr>
      <w:r w:rsidRPr="008E253C">
        <w:rPr>
          <w:rFonts w:ascii="Calibri" w:hAnsi="Calibri" w:cs="Calibri"/>
          <w:sz w:val="48"/>
          <w:szCs w:val="48"/>
        </w:rPr>
        <w:t>Journal Review</w:t>
      </w:r>
    </w:p>
    <w:p w14:paraId="06CF524E" w14:textId="77777777" w:rsidR="002A069C" w:rsidRDefault="002A069C" w:rsidP="002A069C">
      <w:pPr>
        <w:jc w:val="center"/>
        <w:rPr>
          <w:rFonts w:ascii="Calibri" w:hAnsi="Calibri" w:cs="Calibri"/>
          <w:sz w:val="24"/>
          <w:szCs w:val="24"/>
        </w:rPr>
      </w:pPr>
    </w:p>
    <w:p w14:paraId="2AD71609" w14:textId="77777777" w:rsidR="002A069C" w:rsidRDefault="002A069C" w:rsidP="002A069C">
      <w:pPr>
        <w:jc w:val="center"/>
        <w:rPr>
          <w:rFonts w:ascii="Calibri" w:hAnsi="Calibri" w:cs="Calibri"/>
          <w:sz w:val="24"/>
          <w:szCs w:val="24"/>
        </w:rPr>
      </w:pPr>
    </w:p>
    <w:p w14:paraId="5E8BA326" w14:textId="77777777" w:rsidR="002A069C" w:rsidRDefault="002A069C" w:rsidP="002A069C">
      <w:pPr>
        <w:jc w:val="center"/>
        <w:rPr>
          <w:rFonts w:ascii="Calibri" w:hAnsi="Calibri" w:cs="Calibri"/>
          <w:sz w:val="24"/>
          <w:szCs w:val="24"/>
        </w:rPr>
      </w:pPr>
    </w:p>
    <w:p w14:paraId="25F33246" w14:textId="77777777" w:rsidR="002A069C" w:rsidRDefault="002A069C" w:rsidP="002A069C">
      <w:pPr>
        <w:jc w:val="center"/>
        <w:rPr>
          <w:rFonts w:ascii="Calibri" w:hAnsi="Calibri" w:cs="Calibri"/>
          <w:sz w:val="24"/>
          <w:szCs w:val="24"/>
        </w:rPr>
      </w:pPr>
    </w:p>
    <w:p w14:paraId="0B8F5153" w14:textId="77777777" w:rsidR="002A069C" w:rsidRDefault="002A069C" w:rsidP="002A069C">
      <w:pPr>
        <w:jc w:val="center"/>
        <w:rPr>
          <w:rFonts w:ascii="Calibri" w:hAnsi="Calibri" w:cs="Calibri"/>
          <w:sz w:val="24"/>
          <w:szCs w:val="24"/>
        </w:rPr>
      </w:pPr>
    </w:p>
    <w:p w14:paraId="00E5F57E" w14:textId="77777777" w:rsidR="002A069C" w:rsidRDefault="002A069C" w:rsidP="002A069C">
      <w:pPr>
        <w:jc w:val="center"/>
        <w:rPr>
          <w:rFonts w:ascii="Calibri" w:hAnsi="Calibri" w:cs="Calibri"/>
          <w:sz w:val="24"/>
          <w:szCs w:val="24"/>
        </w:rPr>
      </w:pPr>
    </w:p>
    <w:p w14:paraId="68028A9D" w14:textId="77777777" w:rsidR="002A069C" w:rsidRDefault="002A069C" w:rsidP="002A069C">
      <w:pPr>
        <w:jc w:val="center"/>
        <w:rPr>
          <w:rFonts w:ascii="Calibri" w:hAnsi="Calibri" w:cs="Calibri"/>
          <w:sz w:val="24"/>
          <w:szCs w:val="24"/>
        </w:rPr>
      </w:pPr>
    </w:p>
    <w:p w14:paraId="487BBB31" w14:textId="77777777" w:rsidR="00DE6306" w:rsidRDefault="00DE6306" w:rsidP="002A069C">
      <w:pPr>
        <w:jc w:val="center"/>
        <w:rPr>
          <w:rFonts w:ascii="Calibri" w:hAnsi="Calibri" w:cs="Calibri"/>
          <w:sz w:val="24"/>
          <w:szCs w:val="24"/>
        </w:rPr>
      </w:pPr>
    </w:p>
    <w:p w14:paraId="39EA2EBF" w14:textId="77777777" w:rsidR="00DE6306" w:rsidRDefault="00DE6306" w:rsidP="002A069C">
      <w:pPr>
        <w:jc w:val="center"/>
        <w:rPr>
          <w:rFonts w:ascii="Calibri" w:hAnsi="Calibri" w:cs="Calibri"/>
          <w:sz w:val="24"/>
          <w:szCs w:val="24"/>
        </w:rPr>
      </w:pPr>
    </w:p>
    <w:p w14:paraId="51A58215" w14:textId="77777777" w:rsidR="00DE6306" w:rsidRDefault="00DE6306" w:rsidP="002A069C">
      <w:pPr>
        <w:jc w:val="center"/>
        <w:rPr>
          <w:rFonts w:ascii="Calibri" w:hAnsi="Calibri" w:cs="Calibri"/>
          <w:sz w:val="24"/>
          <w:szCs w:val="24"/>
        </w:rPr>
      </w:pPr>
    </w:p>
    <w:p w14:paraId="592B48EE" w14:textId="516811A0" w:rsidR="00DE6306" w:rsidRPr="00DE6306" w:rsidRDefault="00DE6306" w:rsidP="00DE6306">
      <w:pPr>
        <w:spacing w:line="480" w:lineRule="auto"/>
        <w:ind w:firstLine="720"/>
        <w:rPr>
          <w:rFonts w:ascii="Calibri" w:hAnsi="Calibri" w:cs="Calibri"/>
          <w:b/>
          <w:bCs/>
          <w:sz w:val="24"/>
          <w:szCs w:val="24"/>
        </w:rPr>
      </w:pPr>
      <w:r w:rsidRPr="00DE6306">
        <w:rPr>
          <w:rFonts w:ascii="Calibri" w:hAnsi="Calibri" w:cs="Calibri"/>
          <w:b/>
          <w:bCs/>
          <w:sz w:val="24"/>
          <w:szCs w:val="24"/>
        </w:rPr>
        <w:lastRenderedPageBreak/>
        <w:t>Introduction</w:t>
      </w:r>
    </w:p>
    <w:p w14:paraId="496E276A" w14:textId="1E4D60F1" w:rsidR="00A17F22" w:rsidRDefault="00A17F22" w:rsidP="00DE6306">
      <w:pPr>
        <w:spacing w:line="480" w:lineRule="auto"/>
        <w:ind w:firstLine="720"/>
        <w:rPr>
          <w:rFonts w:ascii="Calibri" w:hAnsi="Calibri" w:cs="Calibri"/>
          <w:sz w:val="24"/>
          <w:szCs w:val="24"/>
        </w:rPr>
      </w:pPr>
      <w:r w:rsidRPr="00A17F22">
        <w:rPr>
          <w:rFonts w:ascii="Calibri" w:hAnsi="Calibri" w:cs="Calibri"/>
          <w:sz w:val="24"/>
          <w:szCs w:val="24"/>
        </w:rPr>
        <w:t xml:space="preserve">In a study by </w:t>
      </w:r>
      <w:proofErr w:type="spellStart"/>
      <w:r w:rsidRPr="00A17F22">
        <w:rPr>
          <w:rFonts w:ascii="Calibri" w:hAnsi="Calibri" w:cs="Calibri"/>
          <w:sz w:val="24"/>
          <w:szCs w:val="24"/>
        </w:rPr>
        <w:t>Pachankis</w:t>
      </w:r>
      <w:proofErr w:type="spellEnd"/>
      <w:r w:rsidRPr="00A17F22">
        <w:rPr>
          <w:rFonts w:ascii="Calibri" w:hAnsi="Calibri" w:cs="Calibri"/>
          <w:sz w:val="24"/>
          <w:szCs w:val="24"/>
        </w:rPr>
        <w:t xml:space="preserve"> et al.</w:t>
      </w:r>
      <w:r w:rsidR="00593A49">
        <w:rPr>
          <w:rFonts w:ascii="Calibri" w:hAnsi="Calibri" w:cs="Calibri"/>
          <w:sz w:val="24"/>
          <w:szCs w:val="24"/>
        </w:rPr>
        <w:t xml:space="preserve">, </w:t>
      </w:r>
      <w:r w:rsidRPr="00A17F22">
        <w:rPr>
          <w:rFonts w:ascii="Calibri" w:hAnsi="Calibri" w:cs="Calibri"/>
          <w:sz w:val="24"/>
          <w:szCs w:val="24"/>
        </w:rPr>
        <w:t xml:space="preserve">(2023) examined the effectiveness of guided  LGBTQ affirmative cognitive behavioural therapy (CBT) on the mental health of sexual minority youth, intending to understand the impact of minority stress on psychological distress. The study is notable in that it addresses growing concerns about mental health disparities among LGBTQ people due to systematic discrimination, social stigma and negative group ideologies towards their identities. Using a randomised controlled trial, the authors aimed to understand whether a cognitive-behavioural intervention treatment model, with the experiences of sexual minority youth, may be more effective compared to traditional cognitive-behavioural interventions. The results of the study indicate that affirmative online CBT for LGBTQ people reduces significant levels of depression and anxiety, supporting the hypothesis of identity affirming mental health interventions for marginalised populations. While the study provides concrete evidence for affirmative treatment, there are important factors of accessibility, cultural generalisability and treatment sustainability. </w:t>
      </w:r>
      <w:r w:rsidR="00DF6F6A" w:rsidRPr="00DF6F6A">
        <w:rPr>
          <w:rFonts w:ascii="Calibri" w:hAnsi="Calibri" w:cs="Calibri"/>
          <w:sz w:val="24"/>
          <w:szCs w:val="24"/>
        </w:rPr>
        <w:t>With the development of internet-based mental health care interventions, this study has significant implications for clinical practice as evidenced by an overview of the research design, contributions of theory and larger community implications.</w:t>
      </w:r>
    </w:p>
    <w:p w14:paraId="75D9EB7E" w14:textId="77777777" w:rsidR="00AD2BA3" w:rsidRDefault="00AD2BA3" w:rsidP="00A17F22">
      <w:pPr>
        <w:rPr>
          <w:rFonts w:ascii="Calibri" w:hAnsi="Calibri" w:cs="Calibri"/>
          <w:sz w:val="24"/>
          <w:szCs w:val="24"/>
        </w:rPr>
      </w:pPr>
    </w:p>
    <w:p w14:paraId="6DE5A9AC" w14:textId="261F5492" w:rsidR="00AD2BA3" w:rsidRDefault="00AD2BA3" w:rsidP="00A17F22">
      <w:pPr>
        <w:rPr>
          <w:rFonts w:ascii="Calibri" w:hAnsi="Calibri" w:cs="Calibri"/>
          <w:b/>
          <w:bCs/>
          <w:sz w:val="24"/>
          <w:szCs w:val="24"/>
        </w:rPr>
      </w:pPr>
      <w:r w:rsidRPr="00AD2BA3">
        <w:rPr>
          <w:rFonts w:ascii="Calibri" w:hAnsi="Calibri" w:cs="Calibri"/>
          <w:b/>
          <w:bCs/>
          <w:sz w:val="24"/>
          <w:szCs w:val="24"/>
        </w:rPr>
        <w:t>Summary</w:t>
      </w:r>
    </w:p>
    <w:p w14:paraId="57DBB84E" w14:textId="2E415625" w:rsidR="00AD2BA3" w:rsidRPr="004D1CD2" w:rsidRDefault="004D1CD2" w:rsidP="00DE6306">
      <w:pPr>
        <w:spacing w:line="480" w:lineRule="auto"/>
        <w:ind w:firstLine="720"/>
        <w:rPr>
          <w:rFonts w:ascii="Calibri" w:hAnsi="Calibri" w:cs="Calibri"/>
          <w:sz w:val="24"/>
          <w:szCs w:val="24"/>
        </w:rPr>
      </w:pPr>
      <w:proofErr w:type="spellStart"/>
      <w:r w:rsidRPr="004D1CD2">
        <w:rPr>
          <w:rFonts w:ascii="Calibri" w:hAnsi="Calibri" w:cs="Calibri"/>
          <w:sz w:val="24"/>
          <w:szCs w:val="24"/>
        </w:rPr>
        <w:t>Pachankis</w:t>
      </w:r>
      <w:proofErr w:type="spellEnd"/>
      <w:r w:rsidRPr="004D1CD2">
        <w:rPr>
          <w:rFonts w:ascii="Calibri" w:hAnsi="Calibri" w:cs="Calibri"/>
          <w:sz w:val="24"/>
          <w:szCs w:val="24"/>
        </w:rPr>
        <w:t xml:space="preserve"> et al</w:t>
      </w:r>
      <w:r>
        <w:rPr>
          <w:rFonts w:ascii="Calibri" w:hAnsi="Calibri" w:cs="Calibri"/>
          <w:sz w:val="24"/>
          <w:szCs w:val="24"/>
        </w:rPr>
        <w:t>.</w:t>
      </w:r>
      <w:r w:rsidR="008E253C">
        <w:rPr>
          <w:rFonts w:ascii="Calibri" w:hAnsi="Calibri" w:cs="Calibri"/>
          <w:sz w:val="24"/>
          <w:szCs w:val="24"/>
        </w:rPr>
        <w:t>,</w:t>
      </w:r>
      <w:r w:rsidRPr="004D1CD2">
        <w:rPr>
          <w:rFonts w:ascii="Calibri" w:hAnsi="Calibri" w:cs="Calibri"/>
          <w:sz w:val="24"/>
          <w:szCs w:val="24"/>
        </w:rPr>
        <w:t xml:space="preserve"> (2023) tried to discover whether LGBTQ-affirming online cognitive-behavioural therapy could reduce minority stress, anxiety and depressive signs among sexual minority youth whose psychological difficulties are compounded by stigma and discrimination. The authors argue that even though traditional cognitive-behavioural treatment has been widely practised in the treatment of mental illness, its effectiveness may </w:t>
      </w:r>
      <w:r w:rsidRPr="004D1CD2">
        <w:rPr>
          <w:rFonts w:ascii="Calibri" w:hAnsi="Calibri" w:cs="Calibri"/>
          <w:sz w:val="24"/>
          <w:szCs w:val="24"/>
        </w:rPr>
        <w:lastRenderedPageBreak/>
        <w:t>not fully address the individual sources of stress associated with being LGBTQ, including homophobia, rejection and conformity. To test their hypothesis, they conducted a randomised controlled trial (</w:t>
      </w:r>
      <w:proofErr w:type="spellStart"/>
      <w:r w:rsidRPr="004D1CD2">
        <w:rPr>
          <w:rFonts w:ascii="Calibri" w:hAnsi="Calibri" w:cs="Calibri"/>
          <w:sz w:val="24"/>
          <w:szCs w:val="24"/>
        </w:rPr>
        <w:t>Pachankis</w:t>
      </w:r>
      <w:proofErr w:type="spellEnd"/>
      <w:r w:rsidRPr="004D1CD2">
        <w:rPr>
          <w:rFonts w:ascii="Calibri" w:hAnsi="Calibri" w:cs="Calibri"/>
          <w:sz w:val="24"/>
          <w:szCs w:val="24"/>
        </w:rPr>
        <w:t xml:space="preserve"> et al., 2023). Participants were assigned to two categories: those who received online CBT with LGBTQ affirmation and those who were on a waiting list for the control group. Treatment was structured using cognitive-behavioural methods combined with minority stress factors treated with specific coping skills and identity acceptance materials. At the end of treatment, results indicated that participants receiving CBT with LGBTQ affirmation had improved mental health compared to the control group, suggesting that treatment reduces minority-related stress </w:t>
      </w:r>
      <w:proofErr w:type="spellStart"/>
      <w:r w:rsidRPr="004D1CD2">
        <w:rPr>
          <w:rFonts w:ascii="Calibri" w:hAnsi="Calibri" w:cs="Calibri"/>
          <w:sz w:val="24"/>
          <w:szCs w:val="24"/>
        </w:rPr>
        <w:t>Pachankis</w:t>
      </w:r>
      <w:proofErr w:type="spellEnd"/>
      <w:r w:rsidRPr="004D1CD2">
        <w:rPr>
          <w:rFonts w:ascii="Calibri" w:hAnsi="Calibri" w:cs="Calibri"/>
          <w:sz w:val="24"/>
          <w:szCs w:val="24"/>
        </w:rPr>
        <w:t xml:space="preserve"> et al., </w:t>
      </w:r>
      <w:r w:rsidR="008E253C">
        <w:rPr>
          <w:rFonts w:ascii="Calibri" w:hAnsi="Calibri" w:cs="Calibri"/>
          <w:sz w:val="24"/>
          <w:szCs w:val="24"/>
        </w:rPr>
        <w:t>(</w:t>
      </w:r>
      <w:r w:rsidRPr="004D1CD2">
        <w:rPr>
          <w:rFonts w:ascii="Calibri" w:hAnsi="Calibri" w:cs="Calibri"/>
          <w:sz w:val="24"/>
          <w:szCs w:val="24"/>
        </w:rPr>
        <w:t>2023).</w:t>
      </w:r>
    </w:p>
    <w:p w14:paraId="3A601408" w14:textId="7777777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The authors point out that such improvements were statistically significant and clinically significant, affirming the importance of more identity-acceptance mental treatment. The study admits, however, that there are some shortcomings, including the use of self-report data and lack of assessments after a period of time. These factors may affect the generalizability of the research.</w:t>
      </w:r>
    </w:p>
    <w:p w14:paraId="12ED535F" w14:textId="7777777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A key observation of the study's findings is the status of minority stress both as a target and source of mental health intervention and the psychological toll of systematic discrimination and societal stigma on LGBTQ individuals. The authors point out that unlike traditional CBT, where cognitive distortions and maladaptive behaviours are prioritized, the LGBTQ-affirmative intervention adds skills for individuals to cope with outside sources of sexuality-related stress, such as being ostracized from society, experiences of prejudices, and internalized doubts. In directly addressing these, the intervention equips participants with skills for addressing outside and inside sources of minority stress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It enables them to redefine negative perceptions of the self and promote psychological resilience. The authors made use of a range of measurement methods, </w:t>
      </w:r>
      <w:r w:rsidRPr="00DE6306">
        <w:rPr>
          <w:rFonts w:ascii="Calibri" w:eastAsia="Times New Roman" w:hAnsi="Calibri" w:cs="Calibri"/>
          <w:kern w:val="0"/>
          <w:sz w:val="24"/>
          <w:szCs w:val="24"/>
          <w14:ligatures w14:val="none"/>
        </w:rPr>
        <w:lastRenderedPageBreak/>
        <w:t>including standardized self-report surveys and clinical ratings, for measuring improvements in depressive symptoms, levels of anxiety, and perceptions of minority stress pre-and post-intervention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The findings established not only short-term improvements in levels of stress but also improvements in participants' perceptions of efficacy and competence in responding to stigma, and this lends weight to the study's main observation of affirmative therapy's significance in LGBTQ mental health treatment. However, even with the positive outcomes indicated, the authors point out factors such as networks of supportive networks and regional variations in levels of LGBTQ acceptance and pose questions on its general applicability.</w:t>
      </w:r>
    </w:p>
    <w:p w14:paraId="35A41C88" w14:textId="05E9D43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Regarding methodology, this study appears to have a high-quality research design because the focus is placed on a randomized control trial, which is usually regarded as the most appropriate for evaluating the efficacy of any psychological intervention. The participants were recruited from different online sites to achieve a heterogeneous sample, including varying gender identities, sex, and cultural backgrounds. The intervention process was also carefully designed, where participants were provided CBT in a simplified manner while receiving assistance and guidance from therapists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et al., 2023). The data collection process of this study utilized analytic techniques for measuring the degree of improvement in mental health outcomes of the subjects of treatment as opposed to the control group, with the results of the study demonstrating improvement in mental health problems, particularly depression and anxiety, by providing CBT to LGBTQ patients. There are, however, separate problems for each case that remain unsolved, especially one related to providing self-reported assessments of mental health. Durmaz et al.</w:t>
      </w:r>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kern w:val="0"/>
          <w:sz w:val="24"/>
          <w:szCs w:val="24"/>
          <w14:ligatures w14:val="none"/>
        </w:rPr>
        <w:t xml:space="preserve">(2020) note that self-reporting is subjected to bias and inaccuracies in participants' answers. The findings also suggest that the study is not longitudinal, which in turn means that the long-term effects of </w:t>
      </w:r>
      <w:r w:rsidRPr="00DE6306">
        <w:rPr>
          <w:rFonts w:ascii="Calibri" w:eastAsia="Times New Roman" w:hAnsi="Calibri" w:cs="Calibri"/>
          <w:kern w:val="0"/>
          <w:sz w:val="24"/>
          <w:szCs w:val="24"/>
          <w14:ligatures w14:val="none"/>
        </w:rPr>
        <w:lastRenderedPageBreak/>
        <w:t>the intervention are unknown, and future studies are needed to establish mental health. The analysis, despite its flaws, provides commendable proof of the necessity of personalized facilitations for sex-minority youths to fill the gap in mental health differences throughout the population.</w:t>
      </w:r>
    </w:p>
    <w:p w14:paraId="73E77002" w14:textId="77777777" w:rsidR="00DE6306" w:rsidRPr="00DE6306" w:rsidRDefault="00DE6306" w:rsidP="00DE6306">
      <w:pPr>
        <w:spacing w:after="0" w:line="480" w:lineRule="auto"/>
        <w:rPr>
          <w:rFonts w:ascii="Calibri" w:eastAsia="Times New Roman" w:hAnsi="Calibri" w:cs="Calibri"/>
          <w:kern w:val="0"/>
          <w:sz w:val="24"/>
          <w:szCs w:val="24"/>
          <w14:ligatures w14:val="none"/>
        </w:rPr>
      </w:pPr>
      <w:r w:rsidRPr="00DE6306">
        <w:rPr>
          <w:rFonts w:ascii="Calibri" w:eastAsia="Times New Roman" w:hAnsi="Calibri" w:cs="Calibri"/>
          <w:b/>
          <w:kern w:val="0"/>
          <w:sz w:val="24"/>
          <w:szCs w:val="24"/>
          <w14:ligatures w14:val="none"/>
        </w:rPr>
        <w:t>Critique</w:t>
      </w:r>
    </w:p>
    <w:p w14:paraId="10C0FE6E" w14:textId="155E35E0"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The study has several strengths, including its pairing of minority stressors with a proven intervention identity affirmative treatment and the demonstration of its effectiveness in reducing the psychological effects of discrimination as an exercise of its context. In contrast with traditional cognitive-behavioural therapy, which targets primarily internal cognitive distortions and maladaptive behaviours, this treatment targets directly outside sources of stress such as societal stigma, rejection, and internalized homophobia. With its employment of a randomized controlled design, the study lends credence, guaranteeing improvements cited are not a result of placebo response, pre-experiment mental health trends, or other extraneous factors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However, the employment of self-report data has limitations. Underhill &amp; Foulkes (2024) confirm that participants' responses may be biased towards what society finds desirable and what people expect. Though the employment of self-report data is standard of psychological research, this data has less physiological data, such as cortisol levels. It also lacked behavioural data, such as sleep monitors, implying more of the researcher's interpretation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Therefore, a more valid strategy would be employing multi-method assessments, combining self-reports with clinical ratings and possibly biometric data for higher validity. Barring this limitation, the study provides solid evidence of the efficacy of LGBTQ-affirmative treatment, affirming the need for identity-cantered mental health interventions. The study </w:t>
      </w:r>
      <w:r w:rsidRPr="00DE6306">
        <w:rPr>
          <w:rFonts w:ascii="Calibri" w:eastAsia="Times New Roman" w:hAnsi="Calibri" w:cs="Calibri"/>
          <w:kern w:val="0"/>
          <w:sz w:val="24"/>
          <w:szCs w:val="24"/>
          <w14:ligatures w14:val="none"/>
        </w:rPr>
        <w:lastRenderedPageBreak/>
        <w:t>supports the general point that mental health treatment needs to take into consideration the specific sources of stress for LGBTQ individuals.</w:t>
      </w:r>
    </w:p>
    <w:p w14:paraId="56ED859F" w14:textId="62DD217E"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 xml:space="preserve">Another significant strength of the study is its accessibility, particularly in providing a web-based mental health intervention with greater access to LGBTQ-affirmative counselling. Sexual minority individuals, and even more so individuals from more conservative or rural environments, may lack access locally to such culturally competent mental health treatment. With its internet-based approach, Harkness et al. (2024) agree with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et al.</w:t>
      </w:r>
      <w:r w:rsidR="001807E5">
        <w:rPr>
          <w:rFonts w:ascii="Calibri" w:eastAsia="Times New Roman" w:hAnsi="Calibri" w:cs="Calibri"/>
          <w:kern w:val="0"/>
          <w:sz w:val="24"/>
          <w:szCs w:val="24"/>
          <w14:ligatures w14:val="none"/>
        </w:rPr>
        <w:t xml:space="preserve">, </w:t>
      </w:r>
      <w:r w:rsidRPr="00DE6306">
        <w:rPr>
          <w:rFonts w:ascii="Calibri" w:eastAsia="Times New Roman" w:hAnsi="Calibri" w:cs="Calibri"/>
          <w:kern w:val="0"/>
          <w:sz w:val="24"/>
          <w:szCs w:val="24"/>
          <w14:ligatures w14:val="none"/>
        </w:rPr>
        <w:t xml:space="preserve">(2023) that the intervention ensures individuals from regions with low numbers of LGBTQ-affirmative mental health counsellors can access needed treatment. However, a significant limitation of this strength is the substantial challenge of digital accessibility disparities. Not everyone can access stable internet, computer competence, and the technology needed to make the most of an online counselling program. Liu </w:t>
      </w:r>
      <w:r w:rsidRPr="00DE6306">
        <w:rPr>
          <w:rFonts w:ascii="Calibri" w:eastAsia="Times New Roman" w:hAnsi="Calibri" w:cs="Calibri"/>
          <w:iCs/>
          <w:kern w:val="0"/>
          <w:sz w:val="24"/>
          <w:szCs w:val="24"/>
          <w14:ligatures w14:val="none"/>
        </w:rPr>
        <w:t xml:space="preserve">et al. </w:t>
      </w:r>
      <w:r w:rsidRPr="00DE6306">
        <w:rPr>
          <w:rFonts w:ascii="Calibri" w:eastAsia="Times New Roman" w:hAnsi="Calibri" w:cs="Calibri"/>
          <w:kern w:val="0"/>
          <w:sz w:val="24"/>
          <w:szCs w:val="24"/>
          <w14:ligatures w14:val="none"/>
        </w:rPr>
        <w:t xml:space="preserve">(2023) confirm that the result of this limitation brings into question whether online interventions are delivered to the least-resourced populations. The concern relates to low-income and marginalized LGBTQ youths. To reduce the limitation, Berardi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(2024) suggest that future research must explore hybrid methods of integrating online interventions with in-office sessions so that online disparities do not exacerbate preexisting disparities. A second strategy could be researching collaborations with nongovernmental and governmental agencies to provide access and training on Internet use. Though the study suggests the advantages of web-based counselling, addressing accessibility barriers can be key to achieving maximum inclusivity and efficacy of identity-affirmative interventions.</w:t>
      </w:r>
    </w:p>
    <w:p w14:paraId="712BFF6C" w14:textId="417C1CAD"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The study represents a valuable contribution to cognitive-behavioural therapy</w:t>
      </w:r>
      <w:r w:rsidR="001807E5">
        <w:rPr>
          <w:rFonts w:ascii="Calibri" w:eastAsia="Times New Roman" w:hAnsi="Calibri" w:cs="Calibri"/>
          <w:kern w:val="0"/>
          <w:sz w:val="24"/>
          <w:szCs w:val="24"/>
          <w14:ligatures w14:val="none"/>
        </w:rPr>
        <w:t xml:space="preserve"> </w:t>
      </w:r>
      <w:r w:rsidRPr="00DE6306">
        <w:rPr>
          <w:rFonts w:ascii="Calibri" w:eastAsia="Times New Roman" w:hAnsi="Calibri" w:cs="Calibri"/>
          <w:kern w:val="0"/>
          <w:sz w:val="24"/>
          <w:szCs w:val="24"/>
          <w14:ligatures w14:val="none"/>
        </w:rPr>
        <w:t xml:space="preserve">for integrating identity-affirmative concepts into a systematic online treatment. Traditional CBT has been widely used for treating depression and anxiety, and its application has been </w:t>
      </w:r>
      <w:r w:rsidRPr="00DE6306">
        <w:rPr>
          <w:rFonts w:ascii="Calibri" w:eastAsia="Times New Roman" w:hAnsi="Calibri" w:cs="Calibri"/>
          <w:kern w:val="0"/>
          <w:sz w:val="24"/>
          <w:szCs w:val="24"/>
          <w14:ligatures w14:val="none"/>
        </w:rPr>
        <w:lastRenderedPageBreak/>
        <w:t>limited to altering individual thought processes without directly treating extrinsic sources of stress in society. The employment of minority stress theory in this treatment accounts for the possibility of much of what afflicts LGBTQ individuals being caused by discrimination, societal rejection, and systematic disparities rather than intrinsic cognitive distortions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The study adds value to developing CBT for proving identity-specific, target-oriented adaptations can broaden the applicability and efficacy of the treatment for marginalized populations. The study's employment of online means of delivery also represents a step towards greater access to mental therapy, particularly for individuals in regions where there may not be access to LGBTQ-affirmative treatment (</w:t>
      </w:r>
      <w:proofErr w:type="spellStart"/>
      <w:r w:rsidRPr="00DE6306">
        <w:rPr>
          <w:rFonts w:ascii="Calibri" w:eastAsia="Times New Roman" w:hAnsi="Calibri" w:cs="Calibri"/>
          <w:kern w:val="0"/>
          <w:sz w:val="24"/>
          <w:szCs w:val="24"/>
          <w14:ligatures w14:val="none"/>
        </w:rPr>
        <w:t>Adinkrah</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 2024</w:t>
      </w:r>
      <w:r w:rsidRPr="00DE6306">
        <w:rPr>
          <w:rFonts w:ascii="Calibri" w:eastAsia="Times New Roman" w:hAnsi="Calibri" w:cs="Calibri"/>
          <w:kern w:val="0"/>
          <w:sz w:val="24"/>
          <w:szCs w:val="24"/>
          <w14:ligatures w14:val="none"/>
        </w:rPr>
        <w:t xml:space="preserve">). The treatment, however, does not revolutionize beyond the adaptation of established treatment frameworks for use with LGBTQ-specific problems. This study could be developed further by examining more progressional measures, like applying social support systems or utilizing culturally derived strategies for the broad scope of experiences in the LGBTQ group. </w:t>
      </w:r>
    </w:p>
    <w:p w14:paraId="3FF2CA32" w14:textId="7777777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Another remarkable limitation of the study is insufficient data concerning the long-term effects of the interventions undertaken. It is known in the short run that symptoms can be mitigated, but participants may not fully integrate the approach into their lives in the coming months and years, thus making sustaining such measures a challenge. Lacking longitudinal tracking, the study cannot tell us anything about rates of relapse or the sustained effects of LGBTQ-affirmative CBT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w:t>
      </w:r>
      <w:r w:rsidRPr="00DE6306">
        <w:rPr>
          <w:rFonts w:ascii="Calibri" w:eastAsia="Times New Roman" w:hAnsi="Calibri" w:cs="Calibri"/>
          <w:i/>
          <w:kern w:val="0"/>
          <w:sz w:val="24"/>
          <w:szCs w:val="24"/>
          <w14:ligatures w14:val="none"/>
        </w:rPr>
        <w:t xml:space="preserve"> </w:t>
      </w:r>
      <w:r w:rsidRPr="00DE6306">
        <w:rPr>
          <w:rFonts w:ascii="Calibri" w:eastAsia="Times New Roman" w:hAnsi="Calibri" w:cs="Calibri"/>
          <w:iCs/>
          <w:kern w:val="0"/>
          <w:sz w:val="24"/>
          <w:szCs w:val="24"/>
          <w14:ligatures w14:val="none"/>
        </w:rPr>
        <w:t>al.,</w:t>
      </w:r>
      <w:r w:rsidRPr="00DE6306">
        <w:rPr>
          <w:rFonts w:ascii="Calibri" w:eastAsia="Times New Roman" w:hAnsi="Calibri" w:cs="Calibri"/>
          <w:kern w:val="0"/>
          <w:sz w:val="24"/>
          <w:szCs w:val="24"/>
          <w14:ligatures w14:val="none"/>
        </w:rPr>
        <w:t xml:space="preserve"> 2023). The lack of data on what happens years down the road undercuts the study's capacity for drawing firm conclusions on the persistence of the therapy's efficacy. Future research must use longitudinal study designs to track participants for years to learn if and why improvements persist. The research can tell them if participants need regular booster sessions to continue their gains. </w:t>
      </w:r>
      <w:r w:rsidRPr="00DE6306">
        <w:rPr>
          <w:rFonts w:ascii="Calibri" w:eastAsia="Times New Roman" w:hAnsi="Calibri" w:cs="Calibri"/>
          <w:kern w:val="0"/>
          <w:sz w:val="24"/>
          <w:szCs w:val="24"/>
          <w14:ligatures w14:val="none"/>
        </w:rPr>
        <w:lastRenderedPageBreak/>
        <w:t>Examining if and how factors outside of individuals, such as shifts in levels of social support or outside discrimination, influence long-term outcomes could also be very useful. Though the study's contribution to knowledge of short-term gains cannot be discounted, its inability to tell us anything about sustained efficacy remains a significant limitation. Closing this gap in future research could tell a more complete and more durable story on the mental health impacts of LGBTQ-affirmative treatment.</w:t>
      </w:r>
    </w:p>
    <w:p w14:paraId="6043B2A9" w14:textId="7777777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On a larger scale, the study completely ignores the aspects of the culture’s impact as it relates to treating LGBTQ individuals, as well as the validity of the data within other contexts. Even if there is diversity in the sample, the study appears to lack the depth to address the cultural nuances that would dictate the experiences of minority stress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Collectivist cultures, for instance, show various types of familial and societal constraints different from those of individualistic cultures, which will have diverse implications for their treatment. Moreover, the intervention’s approach is one of the many reasons its applicability and validity are pondered outside the Western context, as culture is not considered. Further studies should be done on culturally adapted interventions of LGBTQ-sensitive CBT concerning different sociocultural contexts. Comparing research across cultures may help understand how identity-concordant treatment can be more effective globally. In addition, the involvement of participants from other cultures may assist in this adaptation. With this limitation, the study contributes valuable knowledge to the extant research on interventions for LGBTQ mental health, and this can be a springboard for future research on culturally competent treatment approaches.</w:t>
      </w:r>
    </w:p>
    <w:p w14:paraId="2029D6B6" w14:textId="7777777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 xml:space="preserve">Moreover, the study does not fully take into consideration the contribution of social networks of support towards influencing mental health outcomes for LGBTQ individuals. The study provides individual strategies for coping with stressors. However, the authors did </w:t>
      </w:r>
      <w:r w:rsidRPr="00DE6306">
        <w:rPr>
          <w:rFonts w:ascii="Calibri" w:eastAsia="Times New Roman" w:hAnsi="Calibri" w:cs="Calibri"/>
          <w:kern w:val="0"/>
          <w:sz w:val="24"/>
          <w:szCs w:val="24"/>
          <w14:ligatures w14:val="none"/>
        </w:rPr>
        <w:lastRenderedPageBreak/>
        <w:t>not examine the broader context of peer pressure, parental acceptance, and community integration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It is held that supportive peer networks reduce minority stress and help overcome challenges, so they are one of the key factors for LGBTQ mental well-being. The assertion requires looking further into a more comprehensive intervention model, considering group therapies where participants can actively share and strengthen their identity as part of a supportive group. Inviting family education programs into treatment could facilitate familial acceptance and decrease familial conflicts. The future adaptations of LGBTQ-affirmative CBT must consider the integration of individual and collective methods of support to achieve maximum benefits. Though the study's individualistic approach towards individual coping mechanisms has value, its broadening into other social influence factors will increase its overall efficacy. Understanding the contribution of supportive networks of peers toward mental well-being can facilitate the development of holistic mental interventions addressing the complex needs of LGBTQ individuals.</w:t>
      </w:r>
    </w:p>
    <w:p w14:paraId="001ECB61" w14:textId="77777777" w:rsidR="00DE6306" w:rsidRP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While the study provides valuable insights, it does not present concrete recommendations for closing gaps in mental treatment for LGBTQ youths, such as policy- and systems-level interventions. The study supports the efficacy of LGBTQ-affirmative CBT, and the paper does not engage with more general solutions, such as greater access to trained LGBTQ-affirmative therapists and mainstream clinical settings' adoption of identity-affirmative mental practices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The study also does not present concrete solutions for reducing accessibility barriers related to the use of online mental interventions for economically disenfranchised LGBTQ youths. A significant gap in the study is the lack of data on long-term follow-ups, which limits the capacity for measuring treatment impacts' longevity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The gaps can be addressed in future </w:t>
      </w:r>
      <w:r w:rsidRPr="00DE6306">
        <w:rPr>
          <w:rFonts w:ascii="Calibri" w:eastAsia="Times New Roman" w:hAnsi="Calibri" w:cs="Calibri"/>
          <w:kern w:val="0"/>
          <w:sz w:val="24"/>
          <w:szCs w:val="24"/>
          <w14:ligatures w14:val="none"/>
        </w:rPr>
        <w:lastRenderedPageBreak/>
        <w:t>studies with research on ways policy reforms, more significant financing for mental treatment for LGBTQ youths, and mainstreaming with systems of support can be expanded for maximizing affirmative treatment. Though the paper can ascertain the value of identity-cantered CBT, more extensive research on concrete recommendations and solutions with longevity can solidify its contribution because it will provide a foundation for understanding the impacts and effectiveness.</w:t>
      </w:r>
    </w:p>
    <w:p w14:paraId="386CF1C0" w14:textId="4CF0ACF4" w:rsidR="00DE6306" w:rsidRDefault="00DE6306" w:rsidP="00DE6306">
      <w:pPr>
        <w:spacing w:after="0"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 xml:space="preserve">Finally, whereas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DE6306">
        <w:rPr>
          <w:rFonts w:ascii="Calibri" w:eastAsia="Times New Roman" w:hAnsi="Calibri" w:cs="Calibri"/>
          <w:iCs/>
          <w:kern w:val="0"/>
          <w:sz w:val="24"/>
          <w:szCs w:val="24"/>
          <w14:ligatures w14:val="none"/>
        </w:rPr>
        <w:t>et al.</w:t>
      </w:r>
      <w:r w:rsidR="003A5A2A">
        <w:rPr>
          <w:rFonts w:ascii="Calibri" w:eastAsia="Times New Roman" w:hAnsi="Calibri" w:cs="Calibri"/>
          <w:iCs/>
          <w:kern w:val="0"/>
          <w:sz w:val="24"/>
          <w:szCs w:val="24"/>
          <w14:ligatures w14:val="none"/>
        </w:rPr>
        <w:t>,</w:t>
      </w:r>
      <w:r w:rsidRPr="00DE6306">
        <w:rPr>
          <w:rFonts w:ascii="Calibri" w:eastAsia="Times New Roman" w:hAnsi="Calibri" w:cs="Calibri"/>
          <w:iCs/>
          <w:kern w:val="0"/>
          <w:sz w:val="24"/>
          <w:szCs w:val="24"/>
          <w14:ligatures w14:val="none"/>
        </w:rPr>
        <w:t xml:space="preserve"> (</w:t>
      </w:r>
      <w:r w:rsidRPr="00DE6306">
        <w:rPr>
          <w:rFonts w:ascii="Calibri" w:eastAsia="Times New Roman" w:hAnsi="Calibri" w:cs="Calibri"/>
          <w:kern w:val="0"/>
          <w:sz w:val="24"/>
          <w:szCs w:val="24"/>
          <w14:ligatures w14:val="none"/>
        </w:rPr>
        <w:t>2023) provide clear evidence supporting the effectiveness of affirmative therapy for LGBTQ, it has left many systemic causes of minority stress unexamined. Systemic disparities, including discriminatory policies, the absence of LGBTQ-sensitized training, and access barriers for healthcare, significantly influence mental health outcomes. Therapy can strengthen people with resilience but does not remove the origins of stress; therefore, more societal interventions are needed. Research in the future needs to investigate the intersection of affirmative therapy and policy reforms and explore means mental health interventions can be complementary for reducing discrimination on institutional and societal levels. The association between mental health professionals and advocacy can also be more potent with collaborations. Other than this limitation, the study provides a firm clinical understanding of LGBTQ mental healthcare, with evidence for identity-affirmative therapy being needed. But, for continued improvement in mental health outcomes for the LGBTQ, individual and structural levels of minority stress must be addressed.</w:t>
      </w:r>
    </w:p>
    <w:p w14:paraId="06D088DB" w14:textId="77777777" w:rsidR="00DE6306" w:rsidRDefault="00DE6306" w:rsidP="00DE6306">
      <w:pPr>
        <w:spacing w:after="0" w:line="480" w:lineRule="auto"/>
        <w:ind w:firstLine="720"/>
        <w:rPr>
          <w:rFonts w:ascii="Calibri" w:eastAsia="Times New Roman" w:hAnsi="Calibri" w:cs="Calibri"/>
          <w:kern w:val="0"/>
          <w:sz w:val="24"/>
          <w:szCs w:val="24"/>
          <w14:ligatures w14:val="none"/>
        </w:rPr>
      </w:pPr>
    </w:p>
    <w:p w14:paraId="00FCD504" w14:textId="77777777" w:rsidR="00DE6306" w:rsidRDefault="00DE6306" w:rsidP="00DE6306">
      <w:pPr>
        <w:spacing w:after="0" w:line="480" w:lineRule="auto"/>
        <w:ind w:firstLine="720"/>
        <w:rPr>
          <w:rFonts w:ascii="Calibri" w:eastAsia="Times New Roman" w:hAnsi="Calibri" w:cs="Calibri"/>
          <w:kern w:val="0"/>
          <w:sz w:val="24"/>
          <w:szCs w:val="24"/>
          <w14:ligatures w14:val="none"/>
        </w:rPr>
      </w:pPr>
    </w:p>
    <w:p w14:paraId="44088A03" w14:textId="77777777" w:rsidR="00DE6306" w:rsidRDefault="00DE6306" w:rsidP="00DE6306">
      <w:pPr>
        <w:spacing w:after="0" w:line="480" w:lineRule="auto"/>
        <w:ind w:firstLine="720"/>
        <w:rPr>
          <w:rFonts w:ascii="Calibri" w:eastAsia="Times New Roman" w:hAnsi="Calibri" w:cs="Calibri"/>
          <w:kern w:val="0"/>
          <w:sz w:val="24"/>
          <w:szCs w:val="24"/>
          <w14:ligatures w14:val="none"/>
        </w:rPr>
      </w:pPr>
    </w:p>
    <w:p w14:paraId="06473AE9" w14:textId="77777777" w:rsidR="00DE6306" w:rsidRPr="00DE6306" w:rsidRDefault="00DE6306" w:rsidP="0086635C">
      <w:pPr>
        <w:spacing w:after="0" w:line="480" w:lineRule="auto"/>
        <w:rPr>
          <w:rFonts w:ascii="Calibri" w:eastAsia="Times New Roman" w:hAnsi="Calibri" w:cs="Calibri"/>
          <w:kern w:val="0"/>
          <w:sz w:val="24"/>
          <w:szCs w:val="24"/>
          <w14:ligatures w14:val="none"/>
        </w:rPr>
      </w:pPr>
    </w:p>
    <w:p w14:paraId="46831E5B" w14:textId="77777777" w:rsidR="00DE6306" w:rsidRPr="00DE6306" w:rsidRDefault="00DE6306" w:rsidP="00DE6306">
      <w:pPr>
        <w:spacing w:after="0" w:line="480" w:lineRule="auto"/>
        <w:rPr>
          <w:rFonts w:ascii="Calibri" w:eastAsia="Times New Roman" w:hAnsi="Calibri" w:cs="Calibri"/>
          <w:b/>
          <w:kern w:val="0"/>
          <w:sz w:val="24"/>
          <w:szCs w:val="24"/>
          <w14:ligatures w14:val="none"/>
        </w:rPr>
      </w:pPr>
      <w:r w:rsidRPr="00DE6306">
        <w:rPr>
          <w:rFonts w:ascii="Calibri" w:eastAsia="Times New Roman" w:hAnsi="Calibri" w:cs="Calibri"/>
          <w:b/>
          <w:kern w:val="0"/>
          <w:sz w:val="24"/>
          <w:szCs w:val="24"/>
          <w14:ligatures w14:val="none"/>
        </w:rPr>
        <w:lastRenderedPageBreak/>
        <w:t>Conclusion</w:t>
      </w:r>
    </w:p>
    <w:p w14:paraId="377F5256" w14:textId="2F30557D" w:rsidR="002A069C" w:rsidRDefault="00DE6306" w:rsidP="00DE6306">
      <w:pPr>
        <w:spacing w:line="480" w:lineRule="auto"/>
        <w:ind w:firstLine="720"/>
        <w:rPr>
          <w:rFonts w:ascii="Calibri" w:eastAsia="Times New Roman" w:hAnsi="Calibri" w:cs="Calibri"/>
          <w:kern w:val="0"/>
          <w:sz w:val="24"/>
          <w:szCs w:val="24"/>
          <w14:ligatures w14:val="none"/>
        </w:rPr>
      </w:pPr>
      <w:r w:rsidRPr="00DE6306">
        <w:rPr>
          <w:rFonts w:ascii="Calibri" w:eastAsia="Times New Roman" w:hAnsi="Calibri" w:cs="Calibri"/>
          <w:kern w:val="0"/>
          <w:sz w:val="24"/>
          <w:szCs w:val="24"/>
          <w14:ligatures w14:val="none"/>
        </w:rPr>
        <w:t xml:space="preserve">In conclusion, </w:t>
      </w:r>
      <w:proofErr w:type="spellStart"/>
      <w:r w:rsidRPr="00DE6306">
        <w:rPr>
          <w:rFonts w:ascii="Calibri" w:eastAsia="Times New Roman" w:hAnsi="Calibri" w:cs="Calibri"/>
          <w:kern w:val="0"/>
          <w:sz w:val="24"/>
          <w:szCs w:val="24"/>
          <w14:ligatures w14:val="none"/>
        </w:rPr>
        <w:t>Pachankis</w:t>
      </w:r>
      <w:proofErr w:type="spellEnd"/>
      <w:r w:rsidRPr="00DE6306">
        <w:rPr>
          <w:rFonts w:ascii="Calibri" w:eastAsia="Times New Roman" w:hAnsi="Calibri" w:cs="Calibri"/>
          <w:kern w:val="0"/>
          <w:sz w:val="24"/>
          <w:szCs w:val="24"/>
          <w14:ligatures w14:val="none"/>
        </w:rPr>
        <w:t xml:space="preserve"> </w:t>
      </w:r>
      <w:r w:rsidRPr="003A5A2A">
        <w:rPr>
          <w:rFonts w:ascii="Calibri" w:eastAsia="Times New Roman" w:hAnsi="Calibri" w:cs="Calibri"/>
          <w:iCs/>
          <w:kern w:val="0"/>
          <w:sz w:val="24"/>
          <w:szCs w:val="24"/>
          <w14:ligatures w14:val="none"/>
        </w:rPr>
        <w:t>et al.</w:t>
      </w:r>
      <w:r w:rsidRPr="00DE6306">
        <w:rPr>
          <w:rFonts w:ascii="Calibri" w:eastAsia="Times New Roman" w:hAnsi="Calibri" w:cs="Calibri"/>
          <w:kern w:val="0"/>
          <w:sz w:val="24"/>
          <w:szCs w:val="24"/>
          <w14:ligatures w14:val="none"/>
        </w:rPr>
        <w:t xml:space="preserve"> (2023) argue the effectiveness of LGBTQ-affirmative internet cognitive-behavioural therapy (CBT) for reducing minority stress and improving mental health outcomes. The use of a randomized controlled trial and the identification of identity-related sources of stress strengthens its merit. Limitations, including self-report bias, shorter periods of follow-up, and accessibility barriers, need to be overcome. The study affirms the call for more LGBTQ-affirmative mental health interventions, and there are still barriers to a structural order. The future of the study should include hybrid treatment modalities, long-term efficacy, and policy solutions. There are some avenues for improvement, and this study provides a solid foundation for more inclusive mental health interventions. The findings have significant merit for future mental health treatment of sexual minority youths because they focus on LGBTQ-affirmative interventions and their effectiveness.</w:t>
      </w:r>
    </w:p>
    <w:p w14:paraId="3C493F4C"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7658C970"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4DD46C22"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1CD08D92"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67824474"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23173791"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51B175CE" w14:textId="77777777" w:rsidR="003A5A2A" w:rsidRDefault="003A5A2A" w:rsidP="00DE6306">
      <w:pPr>
        <w:spacing w:line="480" w:lineRule="auto"/>
        <w:ind w:firstLine="720"/>
        <w:rPr>
          <w:rFonts w:ascii="Calibri" w:eastAsia="Times New Roman" w:hAnsi="Calibri" w:cs="Calibri"/>
          <w:kern w:val="0"/>
          <w:sz w:val="24"/>
          <w:szCs w:val="24"/>
          <w14:ligatures w14:val="none"/>
        </w:rPr>
      </w:pPr>
    </w:p>
    <w:p w14:paraId="574E61DA" w14:textId="77777777" w:rsidR="0086635C" w:rsidRDefault="0086635C" w:rsidP="00EF0DA6">
      <w:pPr>
        <w:spacing w:after="0" w:line="480" w:lineRule="auto"/>
        <w:jc w:val="center"/>
        <w:rPr>
          <w:rFonts w:ascii="Times New Roman" w:eastAsia="Times New Roman" w:hAnsi="Times New Roman" w:cs="Times New Roman"/>
          <w:b/>
          <w:kern w:val="0"/>
          <w14:ligatures w14:val="none"/>
        </w:rPr>
      </w:pPr>
    </w:p>
    <w:p w14:paraId="04F2AB27" w14:textId="77777777" w:rsidR="0086635C" w:rsidRDefault="0086635C" w:rsidP="00EF0DA6">
      <w:pPr>
        <w:spacing w:after="0" w:line="480" w:lineRule="auto"/>
        <w:jc w:val="center"/>
        <w:rPr>
          <w:rFonts w:ascii="Times New Roman" w:eastAsia="Times New Roman" w:hAnsi="Times New Roman" w:cs="Times New Roman"/>
          <w:b/>
          <w:kern w:val="0"/>
          <w14:ligatures w14:val="none"/>
        </w:rPr>
      </w:pPr>
    </w:p>
    <w:p w14:paraId="6A8B17B8" w14:textId="750CBE6F" w:rsidR="00EF0DA6" w:rsidRPr="00EF0DA6" w:rsidRDefault="00EF0DA6" w:rsidP="00EF0DA6">
      <w:pPr>
        <w:spacing w:after="0" w:line="480" w:lineRule="auto"/>
        <w:jc w:val="center"/>
        <w:rPr>
          <w:rFonts w:ascii="Times New Roman" w:eastAsia="Times New Roman" w:hAnsi="Times New Roman" w:cs="Times New Roman"/>
          <w:b/>
          <w:kern w:val="0"/>
          <w14:ligatures w14:val="none"/>
        </w:rPr>
      </w:pPr>
      <w:r w:rsidRPr="00EF0DA6">
        <w:rPr>
          <w:rFonts w:ascii="Times New Roman" w:eastAsia="Times New Roman" w:hAnsi="Times New Roman" w:cs="Times New Roman"/>
          <w:b/>
          <w:kern w:val="0"/>
          <w14:ligatures w14:val="none"/>
        </w:rPr>
        <w:lastRenderedPageBreak/>
        <w:t xml:space="preserve">References </w:t>
      </w:r>
    </w:p>
    <w:p w14:paraId="7519EA99" w14:textId="77777777" w:rsidR="00EF0DA6" w:rsidRPr="00EF0DA6" w:rsidRDefault="00EF0DA6" w:rsidP="00EF0DA6">
      <w:pPr>
        <w:spacing w:after="0" w:line="480" w:lineRule="auto"/>
        <w:ind w:left="720" w:hanging="720"/>
        <w:rPr>
          <w:rFonts w:ascii="Times New Roman" w:eastAsia="Times New Roman" w:hAnsi="Times New Roman" w:cs="Times New Roman"/>
          <w:kern w:val="0"/>
          <w14:ligatures w14:val="none"/>
        </w:rPr>
      </w:pPr>
      <w:proofErr w:type="spellStart"/>
      <w:r w:rsidRPr="00EF0DA6">
        <w:rPr>
          <w:rFonts w:ascii="Times New Roman" w:eastAsia="Times New Roman" w:hAnsi="Times New Roman" w:cs="Times New Roman"/>
          <w:kern w:val="0"/>
          <w14:ligatures w14:val="none"/>
        </w:rPr>
        <w:t>Adinkrah</w:t>
      </w:r>
      <w:proofErr w:type="spellEnd"/>
      <w:r w:rsidRPr="00EF0DA6">
        <w:rPr>
          <w:rFonts w:ascii="Times New Roman" w:eastAsia="Times New Roman" w:hAnsi="Times New Roman" w:cs="Times New Roman"/>
          <w:kern w:val="0"/>
          <w14:ligatures w14:val="none"/>
        </w:rPr>
        <w:t xml:space="preserve">, E. K., Bazargan, S., Cobb, S., Kibe, L. W., Vargas, R., Waller, J., Sanchez, H., &amp; Bazargan, M. (2024). Mobilizing faith-based COVID-19 health ambassadors to address COVID-19 health disparities among African American older adults in under-resourced communities: A hybrid, community-based participatory intervention. </w:t>
      </w:r>
      <w:proofErr w:type="spellStart"/>
      <w:r w:rsidRPr="00EF0DA6">
        <w:rPr>
          <w:rFonts w:ascii="Times New Roman" w:eastAsia="Times New Roman" w:hAnsi="Times New Roman" w:cs="Times New Roman"/>
          <w:i/>
          <w:kern w:val="0"/>
          <w14:ligatures w14:val="none"/>
        </w:rPr>
        <w:t>PloS</w:t>
      </w:r>
      <w:proofErr w:type="spellEnd"/>
      <w:r w:rsidRPr="00EF0DA6">
        <w:rPr>
          <w:rFonts w:ascii="Times New Roman" w:eastAsia="Times New Roman" w:hAnsi="Times New Roman" w:cs="Times New Roman"/>
          <w:i/>
          <w:kern w:val="0"/>
          <w14:ligatures w14:val="none"/>
        </w:rPr>
        <w:t xml:space="preserve"> One, 19</w:t>
      </w:r>
      <w:r w:rsidRPr="00EF0DA6">
        <w:rPr>
          <w:rFonts w:ascii="Times New Roman" w:eastAsia="Times New Roman" w:hAnsi="Times New Roman" w:cs="Times New Roman"/>
          <w:kern w:val="0"/>
          <w14:ligatures w14:val="none"/>
        </w:rPr>
        <w:t xml:space="preserve">(2), e0285963. </w:t>
      </w:r>
      <w:hyperlink r:id="rId7">
        <w:r w:rsidRPr="00EF0DA6">
          <w:rPr>
            <w:rFonts w:ascii="Times New Roman" w:eastAsia="Times New Roman" w:hAnsi="Times New Roman" w:cs="Times New Roman"/>
            <w:color w:val="1155CC"/>
            <w:kern w:val="0"/>
            <w:u w:val="single"/>
            <w14:ligatures w14:val="none"/>
          </w:rPr>
          <w:t>https://doi.org/10.1371/journal.pone.0285963</w:t>
        </w:r>
      </w:hyperlink>
      <w:r w:rsidRPr="00EF0DA6">
        <w:rPr>
          <w:rFonts w:ascii="Times New Roman" w:eastAsia="Times New Roman" w:hAnsi="Times New Roman" w:cs="Times New Roman"/>
          <w:kern w:val="0"/>
          <w14:ligatures w14:val="none"/>
        </w:rPr>
        <w:t xml:space="preserve">. </w:t>
      </w:r>
    </w:p>
    <w:p w14:paraId="7E49D9FA" w14:textId="77777777" w:rsidR="00EF0DA6" w:rsidRPr="00EF0DA6" w:rsidRDefault="00EF0DA6" w:rsidP="00EF0DA6">
      <w:pPr>
        <w:spacing w:after="0" w:line="480" w:lineRule="auto"/>
        <w:ind w:left="720" w:hanging="720"/>
        <w:rPr>
          <w:rFonts w:ascii="Times New Roman" w:eastAsia="Times New Roman" w:hAnsi="Times New Roman" w:cs="Times New Roman"/>
          <w:kern w:val="0"/>
          <w14:ligatures w14:val="none"/>
        </w:rPr>
      </w:pPr>
      <w:r w:rsidRPr="00EF0DA6">
        <w:rPr>
          <w:rFonts w:ascii="Times New Roman" w:eastAsia="Times New Roman" w:hAnsi="Times New Roman" w:cs="Times New Roman"/>
          <w:kern w:val="0"/>
          <w14:ligatures w14:val="none"/>
        </w:rPr>
        <w:t xml:space="preserve">Berardi, C., Antonini, M., Jordan, Z., </w:t>
      </w:r>
      <w:proofErr w:type="spellStart"/>
      <w:r w:rsidRPr="00EF0DA6">
        <w:rPr>
          <w:rFonts w:ascii="Times New Roman" w:eastAsia="Times New Roman" w:hAnsi="Times New Roman" w:cs="Times New Roman"/>
          <w:kern w:val="0"/>
          <w14:ligatures w14:val="none"/>
        </w:rPr>
        <w:t>Wechtler</w:t>
      </w:r>
      <w:proofErr w:type="spellEnd"/>
      <w:r w:rsidRPr="00EF0DA6">
        <w:rPr>
          <w:rFonts w:ascii="Times New Roman" w:eastAsia="Times New Roman" w:hAnsi="Times New Roman" w:cs="Times New Roman"/>
          <w:kern w:val="0"/>
          <w14:ligatures w14:val="none"/>
        </w:rPr>
        <w:t xml:space="preserve">, H., Paolucci, F., &amp; </w:t>
      </w:r>
      <w:proofErr w:type="spellStart"/>
      <w:r w:rsidRPr="00EF0DA6">
        <w:rPr>
          <w:rFonts w:ascii="Times New Roman" w:eastAsia="Times New Roman" w:hAnsi="Times New Roman" w:cs="Times New Roman"/>
          <w:kern w:val="0"/>
          <w14:ligatures w14:val="none"/>
        </w:rPr>
        <w:t>Hinwood</w:t>
      </w:r>
      <w:proofErr w:type="spellEnd"/>
      <w:r w:rsidRPr="00EF0DA6">
        <w:rPr>
          <w:rFonts w:ascii="Times New Roman" w:eastAsia="Times New Roman" w:hAnsi="Times New Roman" w:cs="Times New Roman"/>
          <w:kern w:val="0"/>
          <w14:ligatures w14:val="none"/>
        </w:rPr>
        <w:t xml:space="preserve">, M. (2024). Barriers and facilitators to the implementation of digital technologies in mental health systems: a qualitative systematic review to inform a policy framework. </w:t>
      </w:r>
      <w:r w:rsidRPr="00EF0DA6">
        <w:rPr>
          <w:rFonts w:ascii="Times New Roman" w:eastAsia="Times New Roman" w:hAnsi="Times New Roman" w:cs="Times New Roman"/>
          <w:i/>
          <w:kern w:val="0"/>
          <w14:ligatures w14:val="none"/>
        </w:rPr>
        <w:t>BMC Health Services Research, 24</w:t>
      </w:r>
      <w:r w:rsidRPr="00EF0DA6">
        <w:rPr>
          <w:rFonts w:ascii="Times New Roman" w:eastAsia="Times New Roman" w:hAnsi="Times New Roman" w:cs="Times New Roman"/>
          <w:kern w:val="0"/>
          <w14:ligatures w14:val="none"/>
        </w:rPr>
        <w:t xml:space="preserve">(1). </w:t>
      </w:r>
      <w:hyperlink r:id="rId8">
        <w:r w:rsidRPr="00EF0DA6">
          <w:rPr>
            <w:rFonts w:ascii="Times New Roman" w:eastAsia="Times New Roman" w:hAnsi="Times New Roman" w:cs="Times New Roman"/>
            <w:color w:val="1155CC"/>
            <w:kern w:val="0"/>
            <w:u w:val="single"/>
            <w14:ligatures w14:val="none"/>
          </w:rPr>
          <w:t>https://doi.org/10.1186/s12913-023-10536-1</w:t>
        </w:r>
      </w:hyperlink>
      <w:r w:rsidRPr="00EF0DA6">
        <w:rPr>
          <w:rFonts w:ascii="Times New Roman" w:eastAsia="Times New Roman" w:hAnsi="Times New Roman" w:cs="Times New Roman"/>
          <w:kern w:val="0"/>
          <w14:ligatures w14:val="none"/>
        </w:rPr>
        <w:t xml:space="preserve">. </w:t>
      </w:r>
    </w:p>
    <w:p w14:paraId="723C4953" w14:textId="77777777" w:rsidR="00EF0DA6" w:rsidRPr="00EF0DA6" w:rsidRDefault="00EF0DA6" w:rsidP="00EF0DA6">
      <w:pPr>
        <w:spacing w:after="0" w:line="480" w:lineRule="auto"/>
        <w:ind w:left="720" w:hanging="720"/>
        <w:rPr>
          <w:rFonts w:ascii="Times New Roman" w:eastAsia="Times New Roman" w:hAnsi="Times New Roman" w:cs="Times New Roman"/>
          <w:kern w:val="0"/>
          <w14:ligatures w14:val="none"/>
        </w:rPr>
      </w:pPr>
      <w:r w:rsidRPr="00EF0DA6">
        <w:rPr>
          <w:rFonts w:ascii="Times New Roman" w:eastAsia="Times New Roman" w:hAnsi="Times New Roman" w:cs="Times New Roman"/>
          <w:kern w:val="0"/>
          <w14:ligatures w14:val="none"/>
        </w:rPr>
        <w:t xml:space="preserve">Durmaz, A., Dursun, İ., &amp; </w:t>
      </w:r>
      <w:proofErr w:type="spellStart"/>
      <w:r w:rsidRPr="00EF0DA6">
        <w:rPr>
          <w:rFonts w:ascii="Times New Roman" w:eastAsia="Times New Roman" w:hAnsi="Times New Roman" w:cs="Times New Roman"/>
          <w:kern w:val="0"/>
          <w14:ligatures w14:val="none"/>
        </w:rPr>
        <w:t>Kabadayi</w:t>
      </w:r>
      <w:proofErr w:type="spellEnd"/>
      <w:r w:rsidRPr="00EF0DA6">
        <w:rPr>
          <w:rFonts w:ascii="Times New Roman" w:eastAsia="Times New Roman" w:hAnsi="Times New Roman" w:cs="Times New Roman"/>
          <w:kern w:val="0"/>
          <w14:ligatures w14:val="none"/>
        </w:rPr>
        <w:t xml:space="preserve">, E. T. (2020). Mitigating the effects of social desirability bias in self-report surveys: Classical and new techniques. In </w:t>
      </w:r>
      <w:r w:rsidRPr="00EF0DA6">
        <w:rPr>
          <w:rFonts w:ascii="Times New Roman" w:eastAsia="Times New Roman" w:hAnsi="Times New Roman" w:cs="Times New Roman"/>
          <w:i/>
          <w:kern w:val="0"/>
          <w14:ligatures w14:val="none"/>
        </w:rPr>
        <w:t>Advances in Library and Information Science</w:t>
      </w:r>
      <w:r w:rsidRPr="00EF0DA6">
        <w:rPr>
          <w:rFonts w:ascii="Times New Roman" w:eastAsia="Times New Roman" w:hAnsi="Times New Roman" w:cs="Times New Roman"/>
          <w:kern w:val="0"/>
          <w14:ligatures w14:val="none"/>
        </w:rPr>
        <w:t xml:space="preserve"> (pp. 146–185). IGI Global.</w:t>
      </w:r>
    </w:p>
    <w:p w14:paraId="0DD5D896" w14:textId="77777777" w:rsidR="00EF0DA6" w:rsidRPr="00EF0DA6" w:rsidRDefault="00EF0DA6" w:rsidP="00EF0DA6">
      <w:pPr>
        <w:spacing w:after="0" w:line="480" w:lineRule="auto"/>
        <w:ind w:left="720" w:hanging="720"/>
        <w:rPr>
          <w:rFonts w:ascii="Times New Roman" w:eastAsia="Times New Roman" w:hAnsi="Times New Roman" w:cs="Times New Roman"/>
          <w:kern w:val="0"/>
          <w14:ligatures w14:val="none"/>
        </w:rPr>
      </w:pPr>
      <w:r w:rsidRPr="00EF0DA6">
        <w:rPr>
          <w:rFonts w:ascii="Times New Roman" w:eastAsia="Times New Roman" w:hAnsi="Times New Roman" w:cs="Times New Roman"/>
          <w:kern w:val="0"/>
          <w14:ligatures w14:val="none"/>
        </w:rPr>
        <w:t xml:space="preserve">Harkness, A., Soulliard, Z. A., Layland, E. K., Behari, K., Rogers, B. G., Bharat, B., </w:t>
      </w:r>
      <w:proofErr w:type="spellStart"/>
      <w:r w:rsidRPr="00EF0DA6">
        <w:rPr>
          <w:rFonts w:ascii="Times New Roman" w:eastAsia="Times New Roman" w:hAnsi="Times New Roman" w:cs="Times New Roman"/>
          <w:kern w:val="0"/>
          <w14:ligatures w14:val="none"/>
        </w:rPr>
        <w:t>Safren</w:t>
      </w:r>
      <w:proofErr w:type="spellEnd"/>
      <w:r w:rsidRPr="00EF0DA6">
        <w:rPr>
          <w:rFonts w:ascii="Times New Roman" w:eastAsia="Times New Roman" w:hAnsi="Times New Roman" w:cs="Times New Roman"/>
          <w:kern w:val="0"/>
          <w14:ligatures w14:val="none"/>
        </w:rPr>
        <w:t xml:space="preserve">, S. A., &amp; </w:t>
      </w:r>
      <w:proofErr w:type="spellStart"/>
      <w:r w:rsidRPr="00EF0DA6">
        <w:rPr>
          <w:rFonts w:ascii="Times New Roman" w:eastAsia="Times New Roman" w:hAnsi="Times New Roman" w:cs="Times New Roman"/>
          <w:kern w:val="0"/>
          <w14:ligatures w14:val="none"/>
        </w:rPr>
        <w:t>Pachankis</w:t>
      </w:r>
      <w:proofErr w:type="spellEnd"/>
      <w:r w:rsidRPr="00EF0DA6">
        <w:rPr>
          <w:rFonts w:ascii="Times New Roman" w:eastAsia="Times New Roman" w:hAnsi="Times New Roman" w:cs="Times New Roman"/>
          <w:kern w:val="0"/>
          <w14:ligatures w14:val="none"/>
        </w:rPr>
        <w:t>, J. E. (2024). Implementing LGBTQ-affirmative cognitive-</w:t>
      </w:r>
      <w:proofErr w:type="spellStart"/>
      <w:r w:rsidRPr="00EF0DA6">
        <w:rPr>
          <w:rFonts w:ascii="Times New Roman" w:eastAsia="Times New Roman" w:hAnsi="Times New Roman" w:cs="Times New Roman"/>
          <w:kern w:val="0"/>
          <w14:ligatures w14:val="none"/>
        </w:rPr>
        <w:t>behavioral</w:t>
      </w:r>
      <w:proofErr w:type="spellEnd"/>
      <w:r w:rsidRPr="00EF0DA6">
        <w:rPr>
          <w:rFonts w:ascii="Times New Roman" w:eastAsia="Times New Roman" w:hAnsi="Times New Roman" w:cs="Times New Roman"/>
          <w:kern w:val="0"/>
          <w14:ligatures w14:val="none"/>
        </w:rPr>
        <w:t xml:space="preserve"> therapy: implementation strategies across five clinical trials. </w:t>
      </w:r>
      <w:r w:rsidRPr="00EF0DA6">
        <w:rPr>
          <w:rFonts w:ascii="Times New Roman" w:eastAsia="Times New Roman" w:hAnsi="Times New Roman" w:cs="Times New Roman"/>
          <w:i/>
          <w:kern w:val="0"/>
          <w14:ligatures w14:val="none"/>
        </w:rPr>
        <w:t>Implementation Science Communications, 5</w:t>
      </w:r>
      <w:r w:rsidRPr="00EF0DA6">
        <w:rPr>
          <w:rFonts w:ascii="Times New Roman" w:eastAsia="Times New Roman" w:hAnsi="Times New Roman" w:cs="Times New Roman"/>
          <w:kern w:val="0"/>
          <w14:ligatures w14:val="none"/>
        </w:rPr>
        <w:t xml:space="preserve">(1). </w:t>
      </w:r>
      <w:hyperlink r:id="rId9">
        <w:r w:rsidRPr="00EF0DA6">
          <w:rPr>
            <w:rFonts w:ascii="Times New Roman" w:eastAsia="Times New Roman" w:hAnsi="Times New Roman" w:cs="Times New Roman"/>
            <w:color w:val="1155CC"/>
            <w:kern w:val="0"/>
            <w:u w:val="single"/>
            <w14:ligatures w14:val="none"/>
          </w:rPr>
          <w:t>https://doi.org/10.1186/s43058-024-00657-x</w:t>
        </w:r>
      </w:hyperlink>
      <w:r w:rsidRPr="00EF0DA6">
        <w:rPr>
          <w:rFonts w:ascii="Times New Roman" w:eastAsia="Times New Roman" w:hAnsi="Times New Roman" w:cs="Times New Roman"/>
          <w:kern w:val="0"/>
          <w14:ligatures w14:val="none"/>
        </w:rPr>
        <w:t xml:space="preserve">. </w:t>
      </w:r>
    </w:p>
    <w:p w14:paraId="5FE2A777" w14:textId="77777777" w:rsidR="00EF0DA6" w:rsidRPr="00EF0DA6" w:rsidRDefault="00EF0DA6" w:rsidP="00EF0DA6">
      <w:pPr>
        <w:spacing w:after="0" w:line="480" w:lineRule="auto"/>
        <w:ind w:left="720" w:hanging="720"/>
        <w:rPr>
          <w:rFonts w:ascii="Times New Roman" w:eastAsia="Times New Roman" w:hAnsi="Times New Roman" w:cs="Times New Roman"/>
          <w:kern w:val="0"/>
          <w14:ligatures w14:val="none"/>
        </w:rPr>
      </w:pPr>
      <w:r w:rsidRPr="00EF0DA6">
        <w:rPr>
          <w:rFonts w:ascii="Times New Roman" w:eastAsia="Times New Roman" w:hAnsi="Times New Roman" w:cs="Times New Roman"/>
          <w:kern w:val="0"/>
          <w14:ligatures w14:val="none"/>
        </w:rPr>
        <w:t xml:space="preserve">Liu, Y., Wu, Y. C., Fu, H., Guo, W. Y., &amp; Wang, X. (2023). Digital intervention in improving the outcomes of mental health among LGBTQ+ youth: a systematic review. </w:t>
      </w:r>
      <w:r w:rsidRPr="00EF0DA6">
        <w:rPr>
          <w:rFonts w:ascii="Times New Roman" w:eastAsia="Times New Roman" w:hAnsi="Times New Roman" w:cs="Times New Roman"/>
          <w:i/>
          <w:kern w:val="0"/>
          <w14:ligatures w14:val="none"/>
        </w:rPr>
        <w:t>Frontiers in Psychology, 14</w:t>
      </w:r>
      <w:r w:rsidRPr="00EF0DA6">
        <w:rPr>
          <w:rFonts w:ascii="Times New Roman" w:eastAsia="Times New Roman" w:hAnsi="Times New Roman" w:cs="Times New Roman"/>
          <w:kern w:val="0"/>
          <w14:ligatures w14:val="none"/>
        </w:rPr>
        <w:t xml:space="preserve">(1), 1-13. </w:t>
      </w:r>
      <w:hyperlink r:id="rId10">
        <w:r w:rsidRPr="00EF0DA6">
          <w:rPr>
            <w:rFonts w:ascii="Times New Roman" w:eastAsia="Times New Roman" w:hAnsi="Times New Roman" w:cs="Times New Roman"/>
            <w:color w:val="1155CC"/>
            <w:kern w:val="0"/>
            <w:u w:val="single"/>
            <w14:ligatures w14:val="none"/>
          </w:rPr>
          <w:t>https://doi.org/10.3389/fpsyg.2023.1242928</w:t>
        </w:r>
      </w:hyperlink>
      <w:r w:rsidRPr="00EF0DA6">
        <w:rPr>
          <w:rFonts w:ascii="Times New Roman" w:eastAsia="Times New Roman" w:hAnsi="Times New Roman" w:cs="Times New Roman"/>
          <w:kern w:val="0"/>
          <w14:ligatures w14:val="none"/>
        </w:rPr>
        <w:t xml:space="preserve">. </w:t>
      </w:r>
    </w:p>
    <w:p w14:paraId="153F6A2F" w14:textId="77777777" w:rsidR="00EF0DA6" w:rsidRPr="00EF0DA6" w:rsidRDefault="00EF0DA6" w:rsidP="00EF0DA6">
      <w:pPr>
        <w:spacing w:after="0" w:line="480" w:lineRule="auto"/>
        <w:ind w:left="720" w:hanging="720"/>
        <w:rPr>
          <w:rFonts w:ascii="Times New Roman" w:eastAsia="Times New Roman" w:hAnsi="Times New Roman" w:cs="Times New Roman"/>
          <w:kern w:val="0"/>
          <w14:ligatures w14:val="none"/>
        </w:rPr>
      </w:pPr>
      <w:proofErr w:type="spellStart"/>
      <w:r w:rsidRPr="00EF0DA6">
        <w:rPr>
          <w:rFonts w:ascii="Times New Roman" w:eastAsia="Times New Roman" w:hAnsi="Times New Roman" w:cs="Times New Roman"/>
          <w:kern w:val="0"/>
          <w14:ligatures w14:val="none"/>
        </w:rPr>
        <w:t>Pachankis</w:t>
      </w:r>
      <w:proofErr w:type="spellEnd"/>
      <w:r w:rsidRPr="00EF0DA6">
        <w:rPr>
          <w:rFonts w:ascii="Times New Roman" w:eastAsia="Times New Roman" w:hAnsi="Times New Roman" w:cs="Times New Roman"/>
          <w:kern w:val="0"/>
          <w14:ligatures w14:val="none"/>
        </w:rPr>
        <w:t xml:space="preserve">, J. E., Soulliard, Z. A., Layland, E. K., Behari, K., Seager van Dyk, I., Eisenstadt, B. E., Chiaramonte, D., </w:t>
      </w:r>
      <w:proofErr w:type="spellStart"/>
      <w:r w:rsidRPr="00EF0DA6">
        <w:rPr>
          <w:rFonts w:ascii="Times New Roman" w:eastAsia="Times New Roman" w:hAnsi="Times New Roman" w:cs="Times New Roman"/>
          <w:kern w:val="0"/>
          <w14:ligatures w14:val="none"/>
        </w:rPr>
        <w:t>Ljótsson</w:t>
      </w:r>
      <w:proofErr w:type="spellEnd"/>
      <w:r w:rsidRPr="00EF0DA6">
        <w:rPr>
          <w:rFonts w:ascii="Times New Roman" w:eastAsia="Times New Roman" w:hAnsi="Times New Roman" w:cs="Times New Roman"/>
          <w:kern w:val="0"/>
          <w14:ligatures w14:val="none"/>
        </w:rPr>
        <w:t xml:space="preserve">, B., </w:t>
      </w:r>
      <w:proofErr w:type="spellStart"/>
      <w:r w:rsidRPr="00EF0DA6">
        <w:rPr>
          <w:rFonts w:ascii="Times New Roman" w:eastAsia="Times New Roman" w:hAnsi="Times New Roman" w:cs="Times New Roman"/>
          <w:kern w:val="0"/>
          <w14:ligatures w14:val="none"/>
        </w:rPr>
        <w:t>Särnholm</w:t>
      </w:r>
      <w:proofErr w:type="spellEnd"/>
      <w:r w:rsidRPr="00EF0DA6">
        <w:rPr>
          <w:rFonts w:ascii="Times New Roman" w:eastAsia="Times New Roman" w:hAnsi="Times New Roman" w:cs="Times New Roman"/>
          <w:kern w:val="0"/>
          <w14:ligatures w14:val="none"/>
        </w:rPr>
        <w:t xml:space="preserve">, J., &amp; </w:t>
      </w:r>
      <w:proofErr w:type="spellStart"/>
      <w:r w:rsidRPr="00EF0DA6">
        <w:rPr>
          <w:rFonts w:ascii="Times New Roman" w:eastAsia="Times New Roman" w:hAnsi="Times New Roman" w:cs="Times New Roman"/>
          <w:kern w:val="0"/>
          <w14:ligatures w14:val="none"/>
        </w:rPr>
        <w:t>Bjureberg</w:t>
      </w:r>
      <w:proofErr w:type="spellEnd"/>
      <w:r w:rsidRPr="00EF0DA6">
        <w:rPr>
          <w:rFonts w:ascii="Times New Roman" w:eastAsia="Times New Roman" w:hAnsi="Times New Roman" w:cs="Times New Roman"/>
          <w:kern w:val="0"/>
          <w14:ligatures w14:val="none"/>
        </w:rPr>
        <w:t>, J. (2023). Guided LGBTQ-affirmative internet cognitive-</w:t>
      </w:r>
      <w:proofErr w:type="spellStart"/>
      <w:r w:rsidRPr="00EF0DA6">
        <w:rPr>
          <w:rFonts w:ascii="Times New Roman" w:eastAsia="Times New Roman" w:hAnsi="Times New Roman" w:cs="Times New Roman"/>
          <w:kern w:val="0"/>
          <w14:ligatures w14:val="none"/>
        </w:rPr>
        <w:t>behavioral</w:t>
      </w:r>
      <w:proofErr w:type="spellEnd"/>
      <w:r w:rsidRPr="00EF0DA6">
        <w:rPr>
          <w:rFonts w:ascii="Times New Roman" w:eastAsia="Times New Roman" w:hAnsi="Times New Roman" w:cs="Times New Roman"/>
          <w:kern w:val="0"/>
          <w14:ligatures w14:val="none"/>
        </w:rPr>
        <w:t xml:space="preserve"> therapy for sexual minority youth’s mental health: A randomized controlled trial of a minority stress treatment approach. </w:t>
      </w:r>
      <w:r w:rsidRPr="00EF0DA6">
        <w:rPr>
          <w:rFonts w:ascii="Times New Roman" w:eastAsia="Times New Roman" w:hAnsi="Times New Roman" w:cs="Times New Roman"/>
          <w:i/>
          <w:kern w:val="0"/>
          <w14:ligatures w14:val="none"/>
        </w:rPr>
        <w:t>Behaviour Research and Therapy, 169</w:t>
      </w:r>
      <w:r w:rsidRPr="00EF0DA6">
        <w:rPr>
          <w:rFonts w:ascii="Times New Roman" w:eastAsia="Times New Roman" w:hAnsi="Times New Roman" w:cs="Times New Roman"/>
          <w:kern w:val="0"/>
          <w14:ligatures w14:val="none"/>
        </w:rPr>
        <w:t xml:space="preserve">(104403), 104403. </w:t>
      </w:r>
      <w:hyperlink r:id="rId11">
        <w:r w:rsidRPr="00EF0DA6">
          <w:rPr>
            <w:rFonts w:ascii="Times New Roman" w:eastAsia="Times New Roman" w:hAnsi="Times New Roman" w:cs="Times New Roman"/>
            <w:color w:val="1155CC"/>
            <w:kern w:val="0"/>
            <w:u w:val="single"/>
            <w14:ligatures w14:val="none"/>
          </w:rPr>
          <w:t>https://doi.org/10.1016/j.brat.2023.104403</w:t>
        </w:r>
      </w:hyperlink>
      <w:r w:rsidRPr="00EF0DA6">
        <w:rPr>
          <w:rFonts w:ascii="Times New Roman" w:eastAsia="Times New Roman" w:hAnsi="Times New Roman" w:cs="Times New Roman"/>
          <w:kern w:val="0"/>
          <w14:ligatures w14:val="none"/>
        </w:rPr>
        <w:t xml:space="preserve">. </w:t>
      </w:r>
    </w:p>
    <w:p w14:paraId="1FC033DA" w14:textId="7E303533" w:rsidR="003A5A2A" w:rsidRPr="00EF0DA6" w:rsidRDefault="00EF0DA6" w:rsidP="00EF0DA6">
      <w:pPr>
        <w:spacing w:after="0" w:line="480" w:lineRule="auto"/>
        <w:ind w:left="720" w:hanging="720"/>
        <w:rPr>
          <w:rFonts w:ascii="Times New Roman" w:eastAsia="Times New Roman" w:hAnsi="Times New Roman" w:cs="Times New Roman"/>
          <w:kern w:val="0"/>
          <w14:ligatures w14:val="none"/>
        </w:rPr>
      </w:pPr>
      <w:r w:rsidRPr="00EF0DA6">
        <w:rPr>
          <w:rFonts w:ascii="Times New Roman" w:eastAsia="Times New Roman" w:hAnsi="Times New Roman" w:cs="Times New Roman"/>
          <w:kern w:val="0"/>
          <w14:ligatures w14:val="none"/>
        </w:rPr>
        <w:t>Underhill, R., &amp; Foulkes, L. (2024). Self-diagnosis of mental disorders: A qualitative study of attitudes on Reddit.</w:t>
      </w:r>
      <w:r w:rsidRPr="00EF0DA6">
        <w:rPr>
          <w:rFonts w:ascii="Times New Roman" w:eastAsia="Times New Roman" w:hAnsi="Times New Roman" w:cs="Times New Roman"/>
          <w:i/>
          <w:kern w:val="0"/>
          <w14:ligatures w14:val="none"/>
        </w:rPr>
        <w:t xml:space="preserve"> Qualitative Health Research, 1</w:t>
      </w:r>
      <w:r w:rsidRPr="00EF0DA6">
        <w:rPr>
          <w:rFonts w:ascii="Times New Roman" w:eastAsia="Times New Roman" w:hAnsi="Times New Roman" w:cs="Times New Roman"/>
          <w:kern w:val="0"/>
          <w14:ligatures w14:val="none"/>
        </w:rPr>
        <w:t xml:space="preserve">(2), 1-13. </w:t>
      </w:r>
      <w:hyperlink r:id="rId12">
        <w:r w:rsidRPr="00EF0DA6">
          <w:rPr>
            <w:rFonts w:ascii="Times New Roman" w:eastAsia="Times New Roman" w:hAnsi="Times New Roman" w:cs="Times New Roman"/>
            <w:color w:val="1155CC"/>
            <w:kern w:val="0"/>
            <w:u w:val="single"/>
            <w14:ligatures w14:val="none"/>
          </w:rPr>
          <w:t>https://doi.org/10.1177/10497323241288785</w:t>
        </w:r>
      </w:hyperlink>
      <w:r w:rsidRPr="00EF0DA6">
        <w:rPr>
          <w:rFonts w:ascii="Times New Roman" w:eastAsia="Times New Roman" w:hAnsi="Times New Roman" w:cs="Times New Roman"/>
          <w:kern w:val="0"/>
          <w14:ligatures w14:val="none"/>
        </w:rPr>
        <w:t xml:space="preserve">. </w:t>
      </w:r>
    </w:p>
    <w:sectPr w:rsidR="003A5A2A" w:rsidRPr="00EF0D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69C"/>
    <w:rsid w:val="001807E5"/>
    <w:rsid w:val="002A069C"/>
    <w:rsid w:val="003A5A2A"/>
    <w:rsid w:val="004716D9"/>
    <w:rsid w:val="004D1CD2"/>
    <w:rsid w:val="00510C44"/>
    <w:rsid w:val="00593A49"/>
    <w:rsid w:val="0086635C"/>
    <w:rsid w:val="008E253C"/>
    <w:rsid w:val="00A17F22"/>
    <w:rsid w:val="00AD2BA3"/>
    <w:rsid w:val="00B63A81"/>
    <w:rsid w:val="00C41C36"/>
    <w:rsid w:val="00CE0C68"/>
    <w:rsid w:val="00DE6306"/>
    <w:rsid w:val="00DF6F6A"/>
    <w:rsid w:val="00E8115D"/>
    <w:rsid w:val="00EF0DA6"/>
    <w:rsid w:val="00F24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50103"/>
  <w15:chartTrackingRefBased/>
  <w15:docId w15:val="{E8AB3AD8-5EB5-4763-84E6-718823FB5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06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06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06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06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06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0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0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0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0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06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06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06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06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06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0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0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0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069C"/>
    <w:rPr>
      <w:rFonts w:eastAsiaTheme="majorEastAsia" w:cstheme="majorBidi"/>
      <w:color w:val="272727" w:themeColor="text1" w:themeTint="D8"/>
    </w:rPr>
  </w:style>
  <w:style w:type="paragraph" w:styleId="Title">
    <w:name w:val="Title"/>
    <w:basedOn w:val="Normal"/>
    <w:next w:val="Normal"/>
    <w:link w:val="TitleChar"/>
    <w:uiPriority w:val="10"/>
    <w:qFormat/>
    <w:rsid w:val="002A0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0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0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0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069C"/>
    <w:pPr>
      <w:spacing w:before="160"/>
      <w:jc w:val="center"/>
    </w:pPr>
    <w:rPr>
      <w:i/>
      <w:iCs/>
      <w:color w:val="404040" w:themeColor="text1" w:themeTint="BF"/>
    </w:rPr>
  </w:style>
  <w:style w:type="character" w:customStyle="1" w:styleId="QuoteChar">
    <w:name w:val="Quote Char"/>
    <w:basedOn w:val="DefaultParagraphFont"/>
    <w:link w:val="Quote"/>
    <w:uiPriority w:val="29"/>
    <w:rsid w:val="002A069C"/>
    <w:rPr>
      <w:i/>
      <w:iCs/>
      <w:color w:val="404040" w:themeColor="text1" w:themeTint="BF"/>
    </w:rPr>
  </w:style>
  <w:style w:type="paragraph" w:styleId="ListParagraph">
    <w:name w:val="List Paragraph"/>
    <w:basedOn w:val="Normal"/>
    <w:uiPriority w:val="34"/>
    <w:qFormat/>
    <w:rsid w:val="002A069C"/>
    <w:pPr>
      <w:ind w:left="720"/>
      <w:contextualSpacing/>
    </w:pPr>
  </w:style>
  <w:style w:type="character" w:styleId="IntenseEmphasis">
    <w:name w:val="Intense Emphasis"/>
    <w:basedOn w:val="DefaultParagraphFont"/>
    <w:uiPriority w:val="21"/>
    <w:qFormat/>
    <w:rsid w:val="002A069C"/>
    <w:rPr>
      <w:i/>
      <w:iCs/>
      <w:color w:val="0F4761" w:themeColor="accent1" w:themeShade="BF"/>
    </w:rPr>
  </w:style>
  <w:style w:type="paragraph" w:styleId="IntenseQuote">
    <w:name w:val="Intense Quote"/>
    <w:basedOn w:val="Normal"/>
    <w:next w:val="Normal"/>
    <w:link w:val="IntenseQuoteChar"/>
    <w:uiPriority w:val="30"/>
    <w:qFormat/>
    <w:rsid w:val="002A06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069C"/>
    <w:rPr>
      <w:i/>
      <w:iCs/>
      <w:color w:val="0F4761" w:themeColor="accent1" w:themeShade="BF"/>
    </w:rPr>
  </w:style>
  <w:style w:type="character" w:styleId="IntenseReference">
    <w:name w:val="Intense Reference"/>
    <w:basedOn w:val="DefaultParagraphFont"/>
    <w:uiPriority w:val="32"/>
    <w:qFormat/>
    <w:rsid w:val="002A06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3-023-10536-1"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doi.org/10.1371/journal.pone.0285963" TargetMode="External"/><Relationship Id="rId12" Type="http://schemas.openxmlformats.org/officeDocument/2006/relationships/hyperlink" Target="https://doi.org/10.1177/10497323241288785"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16/j.brat.2023.104403" TargetMode="External"/><Relationship Id="rId5" Type="http://schemas.openxmlformats.org/officeDocument/2006/relationships/settings" Target="settings.xml"/><Relationship Id="rId10" Type="http://schemas.openxmlformats.org/officeDocument/2006/relationships/hyperlink" Target="https://doi.org/10.3389/fpsyg.2023.1242928" TargetMode="External"/><Relationship Id="rId4" Type="http://schemas.openxmlformats.org/officeDocument/2006/relationships/styles" Target="styles.xml"/><Relationship Id="rId9" Type="http://schemas.openxmlformats.org/officeDocument/2006/relationships/hyperlink" Target="https://doi.org/10.1186/s43058-024-00657-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6" ma:contentTypeDescription="Create a new document." ma:contentTypeScope="" ma:versionID="8f976c7d786178bc71e06c2fbf3427d2">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046d2c376d8315db923cf409c529c02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Props1.xml><?xml version="1.0" encoding="utf-8"?>
<ds:datastoreItem xmlns:ds="http://schemas.openxmlformats.org/officeDocument/2006/customXml" ds:itemID="{E59FB117-9CA9-4B66-9045-EFAA6DA108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3E5C19-C7E4-4E41-BF37-66247A487370}">
  <ds:schemaRefs>
    <ds:schemaRef ds:uri="http://schemas.microsoft.com/sharepoint/v3/contenttype/forms"/>
  </ds:schemaRefs>
</ds:datastoreItem>
</file>

<file path=customXml/itemProps3.xml><?xml version="1.0" encoding="utf-8"?>
<ds:datastoreItem xmlns:ds="http://schemas.openxmlformats.org/officeDocument/2006/customXml" ds:itemID="{D9C8A105-2D45-4B2A-BF58-A1020B5989A3}">
  <ds:schemaRefs>
    <ds:schemaRef ds:uri="http://purl.org/dc/elements/1.1/"/>
    <ds:schemaRef ds:uri="95817cb9-f0eb-4f4d-892c-47ab9f8957c0"/>
    <ds:schemaRef ds:uri="9823f8e4-81f3-4a59-a026-c1a9717271fd"/>
    <ds:schemaRef ds:uri="http://schemas.microsoft.com/office/infopath/2007/PartnerControls"/>
    <ds:schemaRef ds:uri="http://www.w3.org/XML/1998/namespace"/>
    <ds:schemaRef ds:uri="http://schemas.microsoft.com/office/2006/documentManagement/types"/>
    <ds:schemaRef ds:uri="http://schemas.microsoft.com/office/2006/metadata/properties"/>
    <ds:schemaRef ds:uri="http://purl.org/dc/dcmitype/"/>
    <ds:schemaRef ds:uri="http://purl.org/dc/term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3222</Words>
  <Characters>18371</Characters>
  <Application>Microsoft Office Word</Application>
  <DocSecurity>0</DocSecurity>
  <Lines>153</Lines>
  <Paragraphs>43</Paragraphs>
  <ScaleCrop>false</ScaleCrop>
  <Company/>
  <LinksUpToDate>false</LinksUpToDate>
  <CharactersWithSpaces>21550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Kadewska (2105813)</dc:creator>
  <cp:keywords/>
  <dc:description/>
  <cp:lastModifiedBy>Sylwia Kadewska (2105813)</cp:lastModifiedBy>
  <cp:revision>2</cp:revision>
  <dcterms:created xsi:type="dcterms:W3CDTF">2025-03-04T20:40:00Z</dcterms:created>
  <dcterms:modified xsi:type="dcterms:W3CDTF">2025-03-04T20:40:00Z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