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D2FC2" w:rsidRDefault="00BD2FC2" w:rsidP="00BD2FC2">
      <w:pPr>
        <w:rPr>
          <w:rFonts w:ascii="Cambria" w:eastAsia="MS Mincho" w:hAnsi="Cambria" w:cs="Times New Roman"/>
          <w:lang w:val="en-US"/>
        </w:rPr>
      </w:pPr>
    </w:p>
    <w:p w:rsidR="007E7A5E" w:rsidRDefault="007E7A5E" w:rsidP="00BD2FC2">
      <w:pPr>
        <w:rPr>
          <w:rFonts w:ascii="Cambria" w:eastAsia="MS Mincho" w:hAnsi="Cambria" w:cs="Times New Roman"/>
          <w:lang w:val="en-US"/>
        </w:rPr>
      </w:pPr>
    </w:p>
    <w:p w:rsidR="007B725B" w:rsidRPr="007B725B" w:rsidRDefault="007B725B" w:rsidP="007B725B">
      <w:pPr>
        <w:spacing w:after="0" w:line="240" w:lineRule="auto"/>
        <w:jc w:val="center"/>
        <w:rPr>
          <w:rFonts w:ascii="Arial" w:eastAsia="Arial" w:hAnsi="Arial" w:cs="Arial"/>
          <w:b/>
          <w:sz w:val="24"/>
          <w:szCs w:val="24"/>
          <w:lang w:eastAsia="en-GB"/>
        </w:rPr>
      </w:pPr>
      <w:r w:rsidRPr="007B725B">
        <w:rPr>
          <w:rFonts w:ascii="Arial" w:eastAsia="Arial" w:hAnsi="Arial" w:cs="Arial"/>
          <w:noProof/>
          <w:sz w:val="24"/>
          <w:szCs w:val="24"/>
          <w:lang w:eastAsia="en-GB"/>
        </w:rPr>
        <w:drawing>
          <wp:inline distT="0" distB="0" distL="0" distR="0" wp14:anchorId="7EDCE02C" wp14:editId="7A90F21D">
            <wp:extent cx="4514850" cy="1714500"/>
            <wp:effectExtent l="0" t="0" r="0" b="0"/>
            <wp:docPr id="2" name="Picture 2" descr="University of Wales,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versity of Wales, Trinity Saint David, Lond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4850" cy="1714500"/>
                    </a:xfrm>
                    <a:prstGeom prst="rect">
                      <a:avLst/>
                    </a:prstGeom>
                    <a:noFill/>
                    <a:ln>
                      <a:noFill/>
                    </a:ln>
                  </pic:spPr>
                </pic:pic>
              </a:graphicData>
            </a:graphic>
          </wp:inline>
        </w:drawing>
      </w:r>
    </w:p>
    <w:p w:rsidR="007B725B" w:rsidRPr="007B725B" w:rsidRDefault="007B725B" w:rsidP="007B725B">
      <w:pPr>
        <w:spacing w:after="0" w:line="240" w:lineRule="auto"/>
        <w:jc w:val="center"/>
        <w:rPr>
          <w:rFonts w:ascii="Arial" w:eastAsia="Arial" w:hAnsi="Arial" w:cs="Arial"/>
          <w:b/>
          <w:sz w:val="24"/>
          <w:szCs w:val="24"/>
          <w:lang w:eastAsia="en-GB"/>
        </w:rPr>
      </w:pPr>
    </w:p>
    <w:p w:rsidR="007B725B" w:rsidRPr="007B725B" w:rsidRDefault="007B725B" w:rsidP="007B725B">
      <w:pPr>
        <w:spacing w:after="0" w:line="240" w:lineRule="auto"/>
        <w:jc w:val="center"/>
        <w:rPr>
          <w:rFonts w:ascii="Arial" w:eastAsia="Arial" w:hAnsi="Arial" w:cs="Arial"/>
          <w:b/>
          <w:sz w:val="24"/>
          <w:szCs w:val="24"/>
          <w:lang w:eastAsia="en-GB"/>
        </w:rPr>
      </w:pPr>
    </w:p>
    <w:p w:rsidR="007E7A5E" w:rsidRDefault="007E7A5E" w:rsidP="00BD2FC2">
      <w:pPr>
        <w:rPr>
          <w:rFonts w:ascii="Cambria" w:eastAsia="MS Mincho" w:hAnsi="Cambria" w:cs="Times New Roman"/>
          <w:lang w:val="en-US"/>
        </w:rPr>
      </w:pPr>
    </w:p>
    <w:p w:rsidR="00BD2FC2" w:rsidRPr="00BD2FC2" w:rsidRDefault="00BD2FC2" w:rsidP="00BD2FC2">
      <w:pPr>
        <w:rPr>
          <w:rFonts w:ascii="Cambria" w:eastAsia="MS Mincho" w:hAnsi="Cambria" w:cs="Times New Roman"/>
          <w:lang w:val="en-US"/>
        </w:rPr>
      </w:pPr>
    </w:p>
    <w:p w:rsidR="00BD2FC2" w:rsidRPr="007B725B" w:rsidRDefault="00BD2FC2" w:rsidP="00BD2FC2">
      <w:pPr>
        <w:jc w:val="center"/>
        <w:rPr>
          <w:rFonts w:ascii="Arial" w:eastAsia="MS Mincho" w:hAnsi="Arial" w:cs="Arial"/>
          <w:b/>
          <w:sz w:val="24"/>
          <w:szCs w:val="24"/>
          <w:lang w:val="en-US"/>
        </w:rPr>
      </w:pPr>
      <w:r w:rsidRPr="007B725B">
        <w:rPr>
          <w:rFonts w:ascii="Arial" w:eastAsia="Arial" w:hAnsi="Arial" w:cs="Arial"/>
          <w:b/>
          <w:sz w:val="24"/>
          <w:szCs w:val="24"/>
          <w:lang w:val="en-US"/>
        </w:rPr>
        <w:t xml:space="preserve">Module:  Financial Management </w:t>
      </w:r>
      <w:r w:rsidRPr="007B725B">
        <w:rPr>
          <w:rFonts w:ascii="Arial" w:hAnsi="Arial" w:cs="Arial"/>
          <w:b/>
          <w:sz w:val="24"/>
          <w:szCs w:val="24"/>
        </w:rPr>
        <w:t>LCMB7002</w:t>
      </w:r>
    </w:p>
    <w:p w:rsidR="00BD2FC2" w:rsidRPr="00BD2FC2" w:rsidRDefault="00BD2FC2" w:rsidP="00BD2FC2">
      <w:pPr>
        <w:rPr>
          <w:rFonts w:ascii="Cambria" w:eastAsia="MS Mincho" w:hAnsi="Cambria" w:cs="Times New Roman"/>
          <w:lang w:val="en-US"/>
        </w:rPr>
      </w:pPr>
    </w:p>
    <w:p w:rsidR="00BD2FC2" w:rsidRPr="00BD2FC2" w:rsidRDefault="00BD2FC2" w:rsidP="00BD2FC2">
      <w:pPr>
        <w:jc w:val="center"/>
        <w:rPr>
          <w:rFonts w:ascii="Cambria" w:eastAsia="MS Mincho" w:hAnsi="Cambria" w:cs="Times New Roman"/>
          <w:lang w:val="en-US"/>
        </w:rPr>
      </w:pPr>
      <w:r w:rsidRPr="00BD2FC2">
        <w:rPr>
          <w:rFonts w:ascii="Arial" w:eastAsia="Arial" w:hAnsi="Arial" w:cs="Times New Roman"/>
          <w:b/>
          <w:sz w:val="28"/>
          <w:lang w:val="en-US"/>
        </w:rPr>
        <w:t xml:space="preserve">Assessment: </w:t>
      </w:r>
      <w:r w:rsidRPr="00BD2FC2">
        <w:rPr>
          <w:rFonts w:ascii="Arial" w:hAnsi="Arial" w:cs="Arial"/>
          <w:b/>
          <w:sz w:val="28"/>
          <w:szCs w:val="28"/>
        </w:rPr>
        <w:t>Financial performance and management</w:t>
      </w:r>
    </w:p>
    <w:p w:rsidR="00BD2FC2" w:rsidRPr="00BD2FC2" w:rsidRDefault="00BD2FC2" w:rsidP="00BD2FC2">
      <w:pPr>
        <w:jc w:val="center"/>
        <w:rPr>
          <w:rFonts w:ascii="Cambria" w:eastAsia="MS Mincho" w:hAnsi="Cambria" w:cs="Times New Roman"/>
          <w:lang w:val="en-US"/>
        </w:rPr>
      </w:pPr>
      <w:r w:rsidRPr="00BD2FC2">
        <w:rPr>
          <w:rFonts w:ascii="Arial" w:eastAsia="Arial" w:hAnsi="Arial" w:cs="Times New Roman"/>
          <w:b/>
          <w:sz w:val="26"/>
          <w:lang w:val="en-US"/>
        </w:rPr>
        <w:t>Selected Company: InterContinental Hotels Group (IHG)</w:t>
      </w:r>
    </w:p>
    <w:p w:rsidR="00BD2FC2" w:rsidRPr="00BD2FC2" w:rsidRDefault="00BD2FC2" w:rsidP="00BD2FC2">
      <w:pPr>
        <w:rPr>
          <w:rFonts w:ascii="Cambria" w:eastAsia="MS Mincho" w:hAnsi="Cambria" w:cs="Times New Roman"/>
          <w:lang w:val="en-US"/>
        </w:rPr>
      </w:pPr>
    </w:p>
    <w:p w:rsidR="00BD2FC2" w:rsidRPr="00BD2FC2" w:rsidRDefault="00BD2FC2" w:rsidP="00BD2FC2">
      <w:pPr>
        <w:rPr>
          <w:rFonts w:ascii="Cambria" w:eastAsia="MS Mincho" w:hAnsi="Cambria" w:cs="Times New Roman"/>
          <w:lang w:val="en-US"/>
        </w:rPr>
      </w:pPr>
    </w:p>
    <w:p w:rsidR="00BD2FC2" w:rsidRPr="00BD2FC2" w:rsidRDefault="00BD2FC2" w:rsidP="00BD2FC2">
      <w:pPr>
        <w:jc w:val="center"/>
        <w:rPr>
          <w:rFonts w:ascii="Cambria" w:eastAsia="MS Mincho" w:hAnsi="Cambria" w:cs="Times New Roman"/>
          <w:lang w:val="en-US"/>
        </w:rPr>
      </w:pPr>
      <w:r w:rsidRPr="00BD2FC2">
        <w:rPr>
          <w:rFonts w:ascii="Arial" w:eastAsia="Arial" w:hAnsi="Arial" w:cs="Times New Roman"/>
          <w:b/>
          <w:sz w:val="24"/>
          <w:lang w:val="en-US"/>
        </w:rPr>
        <w:t xml:space="preserve">Student Name: </w:t>
      </w:r>
      <w:r w:rsidRPr="00BD2FC2">
        <w:rPr>
          <w:rFonts w:ascii="Arial" w:eastAsia="Arial" w:hAnsi="Arial" w:cs="Times New Roman"/>
          <w:sz w:val="24"/>
          <w:lang w:val="en-US"/>
        </w:rPr>
        <w:t>Jawel Israel</w:t>
      </w:r>
    </w:p>
    <w:p w:rsidR="00BD2FC2" w:rsidRDefault="00BD2FC2" w:rsidP="00BD2FC2">
      <w:pPr>
        <w:jc w:val="center"/>
        <w:rPr>
          <w:rFonts w:ascii="Arial" w:eastAsia="Arial" w:hAnsi="Arial" w:cs="Times New Roman"/>
          <w:sz w:val="24"/>
          <w:lang w:val="en-US"/>
        </w:rPr>
      </w:pPr>
      <w:r w:rsidRPr="00BD2FC2">
        <w:rPr>
          <w:rFonts w:ascii="Arial" w:eastAsia="Arial" w:hAnsi="Arial" w:cs="Times New Roman"/>
          <w:b/>
          <w:sz w:val="24"/>
          <w:lang w:val="en-US"/>
        </w:rPr>
        <w:t xml:space="preserve">Student ID: </w:t>
      </w:r>
      <w:r w:rsidRPr="00BD2FC2">
        <w:rPr>
          <w:rFonts w:ascii="Arial" w:eastAsia="Arial" w:hAnsi="Arial" w:cs="Times New Roman"/>
          <w:sz w:val="24"/>
          <w:lang w:val="en-US"/>
        </w:rPr>
        <w:t>2246633</w:t>
      </w:r>
    </w:p>
    <w:p w:rsidR="00BD2FC2" w:rsidRPr="00BD2FC2" w:rsidRDefault="00BD2FC2" w:rsidP="00BD2FC2">
      <w:pPr>
        <w:jc w:val="center"/>
        <w:rPr>
          <w:rFonts w:ascii="Cambria" w:eastAsia="MS Mincho" w:hAnsi="Cambria" w:cs="Times New Roman"/>
          <w:lang w:val="en-US"/>
        </w:rPr>
      </w:pPr>
      <w:r w:rsidRPr="007E7A5E">
        <w:rPr>
          <w:rFonts w:ascii="Arial" w:hAnsi="Arial" w:cs="Arial"/>
          <w:b/>
          <w:sz w:val="24"/>
          <w:szCs w:val="24"/>
        </w:rPr>
        <w:t>Lecturer</w:t>
      </w:r>
      <w:r w:rsidR="007E7A5E" w:rsidRPr="007E7A5E">
        <w:rPr>
          <w:rFonts w:ascii="Arial" w:hAnsi="Arial" w:cs="Arial"/>
          <w:b/>
          <w:sz w:val="24"/>
          <w:szCs w:val="24"/>
        </w:rPr>
        <w:t>:</w:t>
      </w:r>
      <w:r w:rsidR="007E7A5E">
        <w:t xml:space="preserve"> </w:t>
      </w:r>
      <w:r w:rsidR="007E7A5E" w:rsidRPr="007E7A5E">
        <w:rPr>
          <w:rFonts w:ascii="Arial" w:hAnsi="Arial" w:cs="Arial"/>
          <w:sz w:val="24"/>
          <w:szCs w:val="24"/>
        </w:rPr>
        <w:t>Dr</w:t>
      </w:r>
      <w:r w:rsidRPr="007E7A5E">
        <w:rPr>
          <w:rFonts w:ascii="Arial" w:hAnsi="Arial" w:cs="Arial"/>
          <w:sz w:val="24"/>
          <w:szCs w:val="24"/>
        </w:rPr>
        <w:t xml:space="preserve"> Shengfeng Mei</w:t>
      </w:r>
      <w:r>
        <w:t xml:space="preserve"> </w:t>
      </w:r>
    </w:p>
    <w:p w:rsidR="00BD2FC2" w:rsidRPr="00BD2FC2" w:rsidRDefault="00BD2FC2" w:rsidP="00BD2FC2">
      <w:pPr>
        <w:jc w:val="center"/>
        <w:rPr>
          <w:rFonts w:ascii="Cambria" w:eastAsia="MS Mincho" w:hAnsi="Cambria" w:cs="Times New Roman"/>
          <w:lang w:val="en-US"/>
        </w:rPr>
      </w:pPr>
      <w:r>
        <w:rPr>
          <w:rFonts w:ascii="Arial" w:eastAsia="Arial" w:hAnsi="Arial" w:cs="Times New Roman"/>
          <w:b/>
          <w:sz w:val="24"/>
          <w:lang w:val="en-US"/>
        </w:rPr>
        <w:t>Word Count</w:t>
      </w:r>
      <w:r>
        <w:rPr>
          <w:rFonts w:ascii="Arial" w:eastAsia="Arial" w:hAnsi="Arial" w:cs="Times New Roman"/>
          <w:sz w:val="24"/>
          <w:lang w:val="en-US"/>
        </w:rPr>
        <w:t xml:space="preserve"> 5,000 </w:t>
      </w:r>
    </w:p>
    <w:p w:rsidR="00BD2FC2" w:rsidRPr="00BD2FC2" w:rsidRDefault="00BD2FC2" w:rsidP="00BD2FC2">
      <w:pPr>
        <w:jc w:val="center"/>
        <w:rPr>
          <w:rFonts w:ascii="Cambria" w:eastAsia="MS Mincho" w:hAnsi="Cambria" w:cs="Times New Roman"/>
          <w:lang w:val="en-US"/>
        </w:rPr>
      </w:pPr>
      <w:r w:rsidRPr="00BD2FC2">
        <w:rPr>
          <w:rFonts w:ascii="Arial" w:eastAsia="Arial" w:hAnsi="Arial" w:cs="Times New Roman"/>
          <w:b/>
          <w:sz w:val="24"/>
          <w:lang w:val="en-US"/>
        </w:rPr>
        <w:t>Submission Date:</w:t>
      </w:r>
      <w:r>
        <w:rPr>
          <w:rFonts w:ascii="Arial" w:eastAsia="Arial" w:hAnsi="Arial" w:cs="Times New Roman"/>
          <w:b/>
          <w:sz w:val="24"/>
          <w:lang w:val="en-US"/>
        </w:rPr>
        <w:t xml:space="preserve"> </w:t>
      </w:r>
      <w:r w:rsidRPr="00BD2FC2">
        <w:rPr>
          <w:rFonts w:ascii="Arial" w:eastAsia="Arial" w:hAnsi="Arial" w:cs="Times New Roman"/>
          <w:sz w:val="24"/>
          <w:lang w:val="en-US"/>
        </w:rPr>
        <w:t>13th August 2026</w:t>
      </w:r>
    </w:p>
    <w:p w:rsidR="00BD2FC2" w:rsidRPr="00BD2FC2" w:rsidRDefault="00BD2FC2" w:rsidP="00BD2FC2">
      <w:pPr>
        <w:rPr>
          <w:rFonts w:ascii="Cambria" w:eastAsia="MS Mincho" w:hAnsi="Cambria" w:cs="Times New Roman"/>
          <w:lang w:val="en-US"/>
        </w:rPr>
      </w:pPr>
      <w:r w:rsidRPr="00BD2FC2">
        <w:rPr>
          <w:rFonts w:ascii="Cambria" w:eastAsia="MS Mincho" w:hAnsi="Cambria" w:cs="Times New Roman"/>
          <w:lang w:val="en-US"/>
        </w:rPr>
        <w:br w:type="page"/>
      </w:r>
    </w:p>
    <w:sdt>
      <w:sdtPr>
        <w:id w:val="1341119532"/>
        <w:docPartObj>
          <w:docPartGallery w:val="Table of Contents"/>
          <w:docPartUnique/>
        </w:docPartObj>
      </w:sdtPr>
      <w:sdtEndPr>
        <w:rPr>
          <w:rFonts w:ascii="Arial" w:eastAsiaTheme="minorHAnsi" w:hAnsi="Arial" w:cs="Arial"/>
          <w:noProof/>
          <w:color w:val="auto"/>
          <w:sz w:val="22"/>
          <w:szCs w:val="22"/>
          <w:lang w:val="en-GB" w:eastAsia="en-US"/>
        </w:rPr>
      </w:sdtEndPr>
      <w:sdtContent>
        <w:p w:rsidR="000334BB" w:rsidRPr="00587B43" w:rsidRDefault="000334BB" w:rsidP="000334BB">
          <w:pPr>
            <w:pStyle w:val="TOCHeading"/>
            <w:rPr>
              <w:rFonts w:ascii="Arial" w:hAnsi="Arial" w:cs="Arial"/>
              <w:color w:val="auto"/>
            </w:rPr>
          </w:pPr>
          <w:r w:rsidRPr="00587B43">
            <w:rPr>
              <w:rFonts w:ascii="Arial" w:hAnsi="Arial" w:cs="Arial"/>
              <w:color w:val="auto"/>
            </w:rPr>
            <w:t>Table of Contents</w:t>
          </w:r>
        </w:p>
        <w:p w:rsidR="00587B43" w:rsidRDefault="000334BB">
          <w:pPr>
            <w:pStyle w:val="TOC1"/>
            <w:tabs>
              <w:tab w:val="left" w:pos="440"/>
              <w:tab w:val="right" w:leader="dot" w:pos="9016"/>
            </w:tabs>
            <w:rPr>
              <w:rFonts w:eastAsiaTheme="minorEastAsia"/>
              <w:noProof/>
              <w:lang w:eastAsia="en-GB"/>
            </w:rPr>
          </w:pPr>
          <w:r w:rsidRPr="000334BB">
            <w:rPr>
              <w:rFonts w:ascii="Arial" w:hAnsi="Arial" w:cs="Arial"/>
            </w:rPr>
            <w:fldChar w:fldCharType="begin"/>
          </w:r>
          <w:r w:rsidRPr="000334BB">
            <w:rPr>
              <w:rFonts w:ascii="Arial" w:hAnsi="Arial" w:cs="Arial"/>
            </w:rPr>
            <w:instrText xml:space="preserve"> TOC \o "1-3" \h \z \u </w:instrText>
          </w:r>
          <w:r w:rsidRPr="000334BB">
            <w:rPr>
              <w:rFonts w:ascii="Arial" w:hAnsi="Arial" w:cs="Arial"/>
            </w:rPr>
            <w:fldChar w:fldCharType="separate"/>
          </w:r>
          <w:hyperlink w:anchor="_Toc236825675" w:history="1">
            <w:r w:rsidR="00587B43" w:rsidRPr="0025136A">
              <w:rPr>
                <w:rStyle w:val="Hyperlink"/>
                <w:rFonts w:eastAsia="MS Gothic" w:cs="Arial"/>
                <w:noProof/>
                <w:lang w:val="en-US"/>
              </w:rPr>
              <w:t>1.</w:t>
            </w:r>
            <w:r w:rsidR="00587B43">
              <w:rPr>
                <w:rFonts w:eastAsiaTheme="minorEastAsia"/>
                <w:noProof/>
                <w:lang w:eastAsia="en-GB"/>
              </w:rPr>
              <w:tab/>
            </w:r>
            <w:r w:rsidR="00587B43" w:rsidRPr="0025136A">
              <w:rPr>
                <w:rStyle w:val="Hyperlink"/>
                <w:rFonts w:eastAsia="Arial"/>
                <w:noProof/>
                <w:lang w:val="en-US"/>
              </w:rPr>
              <w:t>Introduction</w:t>
            </w:r>
            <w:r w:rsidR="00587B43">
              <w:rPr>
                <w:noProof/>
                <w:webHidden/>
              </w:rPr>
              <w:tab/>
            </w:r>
            <w:r w:rsidR="00587B43">
              <w:rPr>
                <w:noProof/>
                <w:webHidden/>
              </w:rPr>
              <w:fldChar w:fldCharType="begin"/>
            </w:r>
            <w:r w:rsidR="00587B43">
              <w:rPr>
                <w:noProof/>
                <w:webHidden/>
              </w:rPr>
              <w:instrText xml:space="preserve"> PAGEREF _Toc236825675 \h </w:instrText>
            </w:r>
            <w:r w:rsidR="00587B43">
              <w:rPr>
                <w:noProof/>
                <w:webHidden/>
              </w:rPr>
            </w:r>
            <w:r w:rsidR="00587B43">
              <w:rPr>
                <w:noProof/>
                <w:webHidden/>
              </w:rPr>
              <w:fldChar w:fldCharType="separate"/>
            </w:r>
            <w:r w:rsidR="007B725B">
              <w:rPr>
                <w:noProof/>
                <w:webHidden/>
              </w:rPr>
              <w:t>3</w:t>
            </w:r>
            <w:r w:rsidR="00587B43">
              <w:rPr>
                <w:noProof/>
                <w:webHidden/>
              </w:rPr>
              <w:fldChar w:fldCharType="end"/>
            </w:r>
          </w:hyperlink>
        </w:p>
        <w:p w:rsidR="00587B43" w:rsidRDefault="00587B43">
          <w:pPr>
            <w:pStyle w:val="TOC1"/>
            <w:tabs>
              <w:tab w:val="left" w:pos="440"/>
              <w:tab w:val="right" w:leader="dot" w:pos="9016"/>
            </w:tabs>
            <w:rPr>
              <w:rFonts w:eastAsiaTheme="minorEastAsia"/>
              <w:noProof/>
              <w:lang w:eastAsia="en-GB"/>
            </w:rPr>
          </w:pPr>
          <w:hyperlink w:anchor="_Toc236825676" w:history="1">
            <w:r w:rsidRPr="0025136A">
              <w:rPr>
                <w:rStyle w:val="Hyperlink"/>
                <w:rFonts w:eastAsia="MS Gothic" w:cs="Arial"/>
                <w:noProof/>
                <w:lang w:val="en-US"/>
              </w:rPr>
              <w:t>2.</w:t>
            </w:r>
            <w:r>
              <w:rPr>
                <w:rFonts w:eastAsiaTheme="minorEastAsia"/>
                <w:noProof/>
                <w:lang w:eastAsia="en-GB"/>
              </w:rPr>
              <w:tab/>
            </w:r>
            <w:r w:rsidRPr="0025136A">
              <w:rPr>
                <w:rStyle w:val="Hyperlink"/>
                <w:rFonts w:eastAsia="Arial"/>
                <w:noProof/>
                <w:lang w:val="en-US"/>
              </w:rPr>
              <w:t>Financial Health Check</w:t>
            </w:r>
            <w:r>
              <w:rPr>
                <w:noProof/>
                <w:webHidden/>
              </w:rPr>
              <w:tab/>
            </w:r>
            <w:r>
              <w:rPr>
                <w:noProof/>
                <w:webHidden/>
              </w:rPr>
              <w:fldChar w:fldCharType="begin"/>
            </w:r>
            <w:r>
              <w:rPr>
                <w:noProof/>
                <w:webHidden/>
              </w:rPr>
              <w:instrText xml:space="preserve"> PAGEREF _Toc236825676 \h </w:instrText>
            </w:r>
            <w:r>
              <w:rPr>
                <w:noProof/>
                <w:webHidden/>
              </w:rPr>
            </w:r>
            <w:r>
              <w:rPr>
                <w:noProof/>
                <w:webHidden/>
              </w:rPr>
              <w:fldChar w:fldCharType="separate"/>
            </w:r>
            <w:r w:rsidR="007B725B">
              <w:rPr>
                <w:noProof/>
                <w:webHidden/>
              </w:rPr>
              <w:t>4</w:t>
            </w:r>
            <w:r>
              <w:rPr>
                <w:noProof/>
                <w:webHidden/>
              </w:rPr>
              <w:fldChar w:fldCharType="end"/>
            </w:r>
          </w:hyperlink>
        </w:p>
        <w:p w:rsidR="00587B43" w:rsidRDefault="00587B43">
          <w:pPr>
            <w:pStyle w:val="TOC2"/>
            <w:tabs>
              <w:tab w:val="left" w:pos="880"/>
              <w:tab w:val="right" w:leader="dot" w:pos="9016"/>
            </w:tabs>
            <w:rPr>
              <w:rFonts w:eastAsiaTheme="minorEastAsia"/>
              <w:noProof/>
              <w:lang w:eastAsia="en-GB"/>
            </w:rPr>
          </w:pPr>
          <w:hyperlink w:anchor="_Toc236825677" w:history="1">
            <w:r w:rsidRPr="0025136A">
              <w:rPr>
                <w:rStyle w:val="Hyperlink"/>
                <w:rFonts w:eastAsia="Arial"/>
                <w:noProof/>
                <w:lang w:val="en-US"/>
              </w:rPr>
              <w:t>2.1</w:t>
            </w:r>
            <w:r>
              <w:rPr>
                <w:rFonts w:eastAsiaTheme="minorEastAsia"/>
                <w:noProof/>
                <w:lang w:eastAsia="en-GB"/>
              </w:rPr>
              <w:tab/>
            </w:r>
            <w:r w:rsidRPr="0025136A">
              <w:rPr>
                <w:rStyle w:val="Hyperlink"/>
                <w:rFonts w:eastAsia="Arial"/>
                <w:noProof/>
                <w:lang w:val="en-US"/>
              </w:rPr>
              <w:t>Analysis of Financial Statements (2021–2025)</w:t>
            </w:r>
            <w:r>
              <w:rPr>
                <w:noProof/>
                <w:webHidden/>
              </w:rPr>
              <w:tab/>
            </w:r>
            <w:r>
              <w:rPr>
                <w:noProof/>
                <w:webHidden/>
              </w:rPr>
              <w:fldChar w:fldCharType="begin"/>
            </w:r>
            <w:r>
              <w:rPr>
                <w:noProof/>
                <w:webHidden/>
              </w:rPr>
              <w:instrText xml:space="preserve"> PAGEREF _Toc236825677 \h </w:instrText>
            </w:r>
            <w:r>
              <w:rPr>
                <w:noProof/>
                <w:webHidden/>
              </w:rPr>
            </w:r>
            <w:r>
              <w:rPr>
                <w:noProof/>
                <w:webHidden/>
              </w:rPr>
              <w:fldChar w:fldCharType="separate"/>
            </w:r>
            <w:r w:rsidR="007B725B">
              <w:rPr>
                <w:noProof/>
                <w:webHidden/>
              </w:rPr>
              <w:t>4</w:t>
            </w:r>
            <w:r>
              <w:rPr>
                <w:noProof/>
                <w:webHidden/>
              </w:rPr>
              <w:fldChar w:fldCharType="end"/>
            </w:r>
          </w:hyperlink>
        </w:p>
        <w:p w:rsidR="00587B43" w:rsidRDefault="00587B43">
          <w:pPr>
            <w:pStyle w:val="TOC2"/>
            <w:tabs>
              <w:tab w:val="left" w:pos="880"/>
              <w:tab w:val="right" w:leader="dot" w:pos="9016"/>
            </w:tabs>
            <w:rPr>
              <w:rFonts w:eastAsiaTheme="minorEastAsia"/>
              <w:noProof/>
              <w:lang w:eastAsia="en-GB"/>
            </w:rPr>
          </w:pPr>
          <w:hyperlink w:anchor="_Toc236825678" w:history="1">
            <w:r w:rsidRPr="0025136A">
              <w:rPr>
                <w:rStyle w:val="Hyperlink"/>
                <w:rFonts w:eastAsia="Arial"/>
                <w:noProof/>
                <w:lang w:val="en-US"/>
              </w:rPr>
              <w:t>2.2</w:t>
            </w:r>
            <w:r>
              <w:rPr>
                <w:rFonts w:eastAsiaTheme="minorEastAsia"/>
                <w:noProof/>
                <w:lang w:eastAsia="en-GB"/>
              </w:rPr>
              <w:tab/>
            </w:r>
            <w:r w:rsidRPr="0025136A">
              <w:rPr>
                <w:rStyle w:val="Hyperlink"/>
                <w:rFonts w:eastAsia="Arial"/>
                <w:noProof/>
                <w:lang w:val="en-US"/>
              </w:rPr>
              <w:t>Comprehensive Ratio Analysis</w:t>
            </w:r>
            <w:r>
              <w:rPr>
                <w:noProof/>
                <w:webHidden/>
              </w:rPr>
              <w:tab/>
            </w:r>
            <w:r>
              <w:rPr>
                <w:noProof/>
                <w:webHidden/>
              </w:rPr>
              <w:fldChar w:fldCharType="begin"/>
            </w:r>
            <w:r>
              <w:rPr>
                <w:noProof/>
                <w:webHidden/>
              </w:rPr>
              <w:instrText xml:space="preserve"> PAGEREF _Toc236825678 \h </w:instrText>
            </w:r>
            <w:r>
              <w:rPr>
                <w:noProof/>
                <w:webHidden/>
              </w:rPr>
            </w:r>
            <w:r>
              <w:rPr>
                <w:noProof/>
                <w:webHidden/>
              </w:rPr>
              <w:fldChar w:fldCharType="separate"/>
            </w:r>
            <w:r w:rsidR="007B725B">
              <w:rPr>
                <w:noProof/>
                <w:webHidden/>
              </w:rPr>
              <w:t>5</w:t>
            </w:r>
            <w:r>
              <w:rPr>
                <w:noProof/>
                <w:webHidden/>
              </w:rPr>
              <w:fldChar w:fldCharType="end"/>
            </w:r>
          </w:hyperlink>
        </w:p>
        <w:p w:rsidR="00587B43" w:rsidRDefault="00587B43">
          <w:pPr>
            <w:pStyle w:val="TOC2"/>
            <w:tabs>
              <w:tab w:val="left" w:pos="880"/>
              <w:tab w:val="right" w:leader="dot" w:pos="9016"/>
            </w:tabs>
            <w:rPr>
              <w:rFonts w:eastAsiaTheme="minorEastAsia"/>
              <w:noProof/>
              <w:lang w:eastAsia="en-GB"/>
            </w:rPr>
          </w:pPr>
          <w:hyperlink w:anchor="_Toc236825679" w:history="1">
            <w:r w:rsidRPr="0025136A">
              <w:rPr>
                <w:rStyle w:val="Hyperlink"/>
                <w:rFonts w:eastAsia="Arial"/>
                <w:noProof/>
                <w:lang w:val="en-US"/>
              </w:rPr>
              <w:t>2.3</w:t>
            </w:r>
            <w:r>
              <w:rPr>
                <w:rFonts w:eastAsiaTheme="minorEastAsia"/>
                <w:noProof/>
                <w:lang w:eastAsia="en-GB"/>
              </w:rPr>
              <w:tab/>
            </w:r>
            <w:r w:rsidRPr="0025136A">
              <w:rPr>
                <w:rStyle w:val="Hyperlink"/>
                <w:rFonts w:eastAsia="Arial"/>
                <w:noProof/>
                <w:lang w:val="en-US"/>
              </w:rPr>
              <w:t>Trends, Strengths and Potential Threats</w:t>
            </w:r>
            <w:r>
              <w:rPr>
                <w:noProof/>
                <w:webHidden/>
              </w:rPr>
              <w:tab/>
            </w:r>
            <w:r>
              <w:rPr>
                <w:noProof/>
                <w:webHidden/>
              </w:rPr>
              <w:fldChar w:fldCharType="begin"/>
            </w:r>
            <w:r>
              <w:rPr>
                <w:noProof/>
                <w:webHidden/>
              </w:rPr>
              <w:instrText xml:space="preserve"> PAGEREF _Toc236825679 \h </w:instrText>
            </w:r>
            <w:r>
              <w:rPr>
                <w:noProof/>
                <w:webHidden/>
              </w:rPr>
            </w:r>
            <w:r>
              <w:rPr>
                <w:noProof/>
                <w:webHidden/>
              </w:rPr>
              <w:fldChar w:fldCharType="separate"/>
            </w:r>
            <w:r w:rsidR="007B725B">
              <w:rPr>
                <w:noProof/>
                <w:webHidden/>
              </w:rPr>
              <w:t>7</w:t>
            </w:r>
            <w:r>
              <w:rPr>
                <w:noProof/>
                <w:webHidden/>
              </w:rPr>
              <w:fldChar w:fldCharType="end"/>
            </w:r>
          </w:hyperlink>
        </w:p>
        <w:p w:rsidR="00587B43" w:rsidRPr="007B725B" w:rsidRDefault="00587B43">
          <w:pPr>
            <w:pStyle w:val="TOC2"/>
            <w:tabs>
              <w:tab w:val="left" w:pos="880"/>
              <w:tab w:val="right" w:leader="dot" w:pos="9016"/>
            </w:tabs>
            <w:rPr>
              <w:rFonts w:ascii="Arial" w:eastAsiaTheme="minorEastAsia" w:hAnsi="Arial" w:cs="Arial"/>
              <w:noProof/>
              <w:lang w:eastAsia="en-GB"/>
            </w:rPr>
          </w:pPr>
          <w:hyperlink w:anchor="_Toc236825680" w:history="1">
            <w:r w:rsidRPr="0025136A">
              <w:rPr>
                <w:rStyle w:val="Hyperlink"/>
                <w:rFonts w:eastAsia="Arial"/>
                <w:noProof/>
                <w:lang w:val="en-US"/>
              </w:rPr>
              <w:t>2.4</w:t>
            </w:r>
            <w:r>
              <w:rPr>
                <w:rFonts w:eastAsiaTheme="minorEastAsia"/>
                <w:noProof/>
                <w:lang w:eastAsia="en-GB"/>
              </w:rPr>
              <w:tab/>
            </w:r>
            <w:r w:rsidRPr="0025136A">
              <w:rPr>
                <w:rStyle w:val="Hyperlink"/>
                <w:rFonts w:eastAsia="Arial"/>
                <w:noProof/>
                <w:lang w:val="en-US"/>
              </w:rPr>
              <w:t>Liquidity Ratios vs Industry Benchmarks</w:t>
            </w:r>
            <w:r>
              <w:rPr>
                <w:noProof/>
                <w:webHidden/>
              </w:rPr>
              <w:tab/>
            </w:r>
            <w:r>
              <w:rPr>
                <w:noProof/>
                <w:webHidden/>
              </w:rPr>
              <w:fldChar w:fldCharType="begin"/>
            </w:r>
            <w:r>
              <w:rPr>
                <w:noProof/>
                <w:webHidden/>
              </w:rPr>
              <w:instrText xml:space="preserve"> PAGEREF _Toc236825680 \h </w:instrText>
            </w:r>
            <w:r>
              <w:rPr>
                <w:noProof/>
                <w:webHidden/>
              </w:rPr>
            </w:r>
            <w:r>
              <w:rPr>
                <w:noProof/>
                <w:webHidden/>
              </w:rPr>
              <w:fldChar w:fldCharType="separate"/>
            </w:r>
            <w:r w:rsidR="007B725B">
              <w:rPr>
                <w:noProof/>
                <w:webHidden/>
              </w:rPr>
              <w:t>7</w:t>
            </w:r>
            <w:r>
              <w:rPr>
                <w:noProof/>
                <w:webHidden/>
              </w:rPr>
              <w:fldChar w:fldCharType="end"/>
            </w:r>
          </w:hyperlink>
        </w:p>
        <w:p w:rsidR="00587B43" w:rsidRDefault="00587B43">
          <w:pPr>
            <w:pStyle w:val="TOC1"/>
            <w:tabs>
              <w:tab w:val="left" w:pos="440"/>
              <w:tab w:val="right" w:leader="dot" w:pos="9016"/>
            </w:tabs>
            <w:rPr>
              <w:rFonts w:eastAsiaTheme="minorEastAsia"/>
              <w:noProof/>
              <w:lang w:eastAsia="en-GB"/>
            </w:rPr>
          </w:pPr>
          <w:hyperlink w:anchor="_Toc236825681" w:history="1">
            <w:r w:rsidRPr="0025136A">
              <w:rPr>
                <w:rStyle w:val="Hyperlink"/>
                <w:rFonts w:eastAsia="MS Gothic" w:cs="Arial"/>
                <w:noProof/>
                <w:lang w:val="en-US"/>
              </w:rPr>
              <w:t>3.</w:t>
            </w:r>
            <w:r>
              <w:rPr>
                <w:rFonts w:eastAsiaTheme="minorEastAsia"/>
                <w:noProof/>
                <w:lang w:eastAsia="en-GB"/>
              </w:rPr>
              <w:tab/>
            </w:r>
            <w:r w:rsidRPr="0025136A">
              <w:rPr>
                <w:rStyle w:val="Hyperlink"/>
                <w:rFonts w:eastAsia="Arial"/>
                <w:noProof/>
                <w:lang w:val="en-US"/>
              </w:rPr>
              <w:t>Working Capital Management Analysis</w:t>
            </w:r>
            <w:r>
              <w:rPr>
                <w:noProof/>
                <w:webHidden/>
              </w:rPr>
              <w:tab/>
            </w:r>
            <w:r>
              <w:rPr>
                <w:noProof/>
                <w:webHidden/>
              </w:rPr>
              <w:fldChar w:fldCharType="begin"/>
            </w:r>
            <w:r>
              <w:rPr>
                <w:noProof/>
                <w:webHidden/>
              </w:rPr>
              <w:instrText xml:space="preserve"> PAGEREF _Toc236825681 \h </w:instrText>
            </w:r>
            <w:r>
              <w:rPr>
                <w:noProof/>
                <w:webHidden/>
              </w:rPr>
            </w:r>
            <w:r>
              <w:rPr>
                <w:noProof/>
                <w:webHidden/>
              </w:rPr>
              <w:fldChar w:fldCharType="separate"/>
            </w:r>
            <w:r w:rsidR="007B725B">
              <w:rPr>
                <w:noProof/>
                <w:webHidden/>
              </w:rPr>
              <w:t>8</w:t>
            </w:r>
            <w:r>
              <w:rPr>
                <w:noProof/>
                <w:webHidden/>
              </w:rPr>
              <w:fldChar w:fldCharType="end"/>
            </w:r>
          </w:hyperlink>
        </w:p>
        <w:p w:rsidR="00587B43" w:rsidRDefault="00587B43">
          <w:pPr>
            <w:pStyle w:val="TOC2"/>
            <w:tabs>
              <w:tab w:val="left" w:pos="880"/>
              <w:tab w:val="right" w:leader="dot" w:pos="9016"/>
            </w:tabs>
            <w:rPr>
              <w:rFonts w:eastAsiaTheme="minorEastAsia"/>
              <w:noProof/>
              <w:lang w:eastAsia="en-GB"/>
            </w:rPr>
          </w:pPr>
          <w:hyperlink w:anchor="_Toc236825684" w:history="1">
            <w:r w:rsidRPr="0025136A">
              <w:rPr>
                <w:rStyle w:val="Hyperlink"/>
                <w:rFonts w:eastAsia="Arial"/>
                <w:noProof/>
                <w:lang w:val="en-US"/>
              </w:rPr>
              <w:t>3.1</w:t>
            </w:r>
            <w:r>
              <w:rPr>
                <w:rFonts w:eastAsiaTheme="minorEastAsia"/>
                <w:noProof/>
                <w:lang w:eastAsia="en-GB"/>
              </w:rPr>
              <w:tab/>
            </w:r>
            <w:r w:rsidRPr="0025136A">
              <w:rPr>
                <w:rStyle w:val="Hyperlink"/>
                <w:rFonts w:eastAsia="Arial"/>
                <w:noProof/>
                <w:lang w:val="en-US"/>
              </w:rPr>
              <w:t>Cash Operating Cycle Assessment</w:t>
            </w:r>
            <w:r>
              <w:rPr>
                <w:noProof/>
                <w:webHidden/>
              </w:rPr>
              <w:tab/>
            </w:r>
            <w:r>
              <w:rPr>
                <w:noProof/>
                <w:webHidden/>
              </w:rPr>
              <w:fldChar w:fldCharType="begin"/>
            </w:r>
            <w:r>
              <w:rPr>
                <w:noProof/>
                <w:webHidden/>
              </w:rPr>
              <w:instrText xml:space="preserve"> PAGEREF _Toc236825684 \h </w:instrText>
            </w:r>
            <w:r>
              <w:rPr>
                <w:noProof/>
                <w:webHidden/>
              </w:rPr>
            </w:r>
            <w:r>
              <w:rPr>
                <w:noProof/>
                <w:webHidden/>
              </w:rPr>
              <w:fldChar w:fldCharType="separate"/>
            </w:r>
            <w:r w:rsidR="007B725B">
              <w:rPr>
                <w:noProof/>
                <w:webHidden/>
              </w:rPr>
              <w:t>8</w:t>
            </w:r>
            <w:r>
              <w:rPr>
                <w:noProof/>
                <w:webHidden/>
              </w:rPr>
              <w:fldChar w:fldCharType="end"/>
            </w:r>
          </w:hyperlink>
        </w:p>
        <w:p w:rsidR="00587B43" w:rsidRDefault="00587B43">
          <w:pPr>
            <w:pStyle w:val="TOC2"/>
            <w:tabs>
              <w:tab w:val="left" w:pos="880"/>
              <w:tab w:val="right" w:leader="dot" w:pos="9016"/>
            </w:tabs>
            <w:rPr>
              <w:rFonts w:eastAsiaTheme="minorEastAsia"/>
              <w:noProof/>
              <w:lang w:eastAsia="en-GB"/>
            </w:rPr>
          </w:pPr>
          <w:hyperlink w:anchor="_Toc236825685" w:history="1">
            <w:r w:rsidRPr="0025136A">
              <w:rPr>
                <w:rStyle w:val="Hyperlink"/>
                <w:rFonts w:eastAsia="Arial"/>
                <w:noProof/>
                <w:lang w:val="en-US"/>
              </w:rPr>
              <w:t>3.2</w:t>
            </w:r>
            <w:r>
              <w:rPr>
                <w:rFonts w:eastAsiaTheme="minorEastAsia"/>
                <w:noProof/>
                <w:lang w:eastAsia="en-GB"/>
              </w:rPr>
              <w:tab/>
            </w:r>
            <w:r w:rsidRPr="0025136A">
              <w:rPr>
                <w:rStyle w:val="Hyperlink"/>
                <w:rFonts w:eastAsia="Arial"/>
                <w:noProof/>
                <w:lang w:val="en-US"/>
              </w:rPr>
              <w:t>Strategies to Improve Liquidity through Working Capital Reforms</w:t>
            </w:r>
            <w:r>
              <w:rPr>
                <w:noProof/>
                <w:webHidden/>
              </w:rPr>
              <w:tab/>
            </w:r>
            <w:r>
              <w:rPr>
                <w:noProof/>
                <w:webHidden/>
              </w:rPr>
              <w:fldChar w:fldCharType="begin"/>
            </w:r>
            <w:r>
              <w:rPr>
                <w:noProof/>
                <w:webHidden/>
              </w:rPr>
              <w:instrText xml:space="preserve"> PAGEREF _Toc236825685 \h </w:instrText>
            </w:r>
            <w:r>
              <w:rPr>
                <w:noProof/>
                <w:webHidden/>
              </w:rPr>
            </w:r>
            <w:r>
              <w:rPr>
                <w:noProof/>
                <w:webHidden/>
              </w:rPr>
              <w:fldChar w:fldCharType="separate"/>
            </w:r>
            <w:r w:rsidR="007B725B">
              <w:rPr>
                <w:noProof/>
                <w:webHidden/>
              </w:rPr>
              <w:t>9</w:t>
            </w:r>
            <w:r>
              <w:rPr>
                <w:noProof/>
                <w:webHidden/>
              </w:rPr>
              <w:fldChar w:fldCharType="end"/>
            </w:r>
          </w:hyperlink>
        </w:p>
        <w:p w:rsidR="00587B43" w:rsidRDefault="00587B43">
          <w:pPr>
            <w:pStyle w:val="TOC2"/>
            <w:tabs>
              <w:tab w:val="left" w:pos="880"/>
              <w:tab w:val="right" w:leader="dot" w:pos="9016"/>
            </w:tabs>
            <w:rPr>
              <w:rFonts w:eastAsiaTheme="minorEastAsia"/>
              <w:noProof/>
              <w:lang w:eastAsia="en-GB"/>
            </w:rPr>
          </w:pPr>
          <w:hyperlink w:anchor="_Toc236825686" w:history="1">
            <w:r w:rsidRPr="0025136A">
              <w:rPr>
                <w:rStyle w:val="Hyperlink"/>
                <w:rFonts w:eastAsia="Arial"/>
                <w:noProof/>
                <w:lang w:val="en-US"/>
              </w:rPr>
              <w:t>3.3</w:t>
            </w:r>
            <w:r>
              <w:rPr>
                <w:rFonts w:eastAsiaTheme="minorEastAsia"/>
                <w:noProof/>
                <w:lang w:eastAsia="en-GB"/>
              </w:rPr>
              <w:tab/>
            </w:r>
            <w:r w:rsidRPr="0025136A">
              <w:rPr>
                <w:rStyle w:val="Hyperlink"/>
                <w:rFonts w:eastAsia="Arial"/>
                <w:noProof/>
                <w:lang w:val="en-US"/>
              </w:rPr>
              <w:t>Short-term vs Long-term Financing Options</w:t>
            </w:r>
            <w:r>
              <w:rPr>
                <w:noProof/>
                <w:webHidden/>
              </w:rPr>
              <w:tab/>
            </w:r>
            <w:r>
              <w:rPr>
                <w:noProof/>
                <w:webHidden/>
              </w:rPr>
              <w:fldChar w:fldCharType="begin"/>
            </w:r>
            <w:r>
              <w:rPr>
                <w:noProof/>
                <w:webHidden/>
              </w:rPr>
              <w:instrText xml:space="preserve"> PAGEREF _Toc236825686 \h </w:instrText>
            </w:r>
            <w:r>
              <w:rPr>
                <w:noProof/>
                <w:webHidden/>
              </w:rPr>
            </w:r>
            <w:r>
              <w:rPr>
                <w:noProof/>
                <w:webHidden/>
              </w:rPr>
              <w:fldChar w:fldCharType="separate"/>
            </w:r>
            <w:r w:rsidR="007B725B">
              <w:rPr>
                <w:noProof/>
                <w:webHidden/>
              </w:rPr>
              <w:t>9</w:t>
            </w:r>
            <w:r>
              <w:rPr>
                <w:noProof/>
                <w:webHidden/>
              </w:rPr>
              <w:fldChar w:fldCharType="end"/>
            </w:r>
          </w:hyperlink>
        </w:p>
        <w:p w:rsidR="00587B43" w:rsidRDefault="00587B43">
          <w:pPr>
            <w:pStyle w:val="TOC1"/>
            <w:tabs>
              <w:tab w:val="left" w:pos="440"/>
              <w:tab w:val="right" w:leader="dot" w:pos="9016"/>
            </w:tabs>
            <w:rPr>
              <w:rFonts w:eastAsiaTheme="minorEastAsia"/>
              <w:noProof/>
              <w:lang w:eastAsia="en-GB"/>
            </w:rPr>
          </w:pPr>
          <w:hyperlink w:anchor="_Toc236825687" w:history="1">
            <w:r w:rsidRPr="0025136A">
              <w:rPr>
                <w:rStyle w:val="Hyperlink"/>
                <w:rFonts w:eastAsia="MS Gothic" w:cs="Arial"/>
                <w:noProof/>
                <w:lang w:val="en-US"/>
              </w:rPr>
              <w:t>4.</w:t>
            </w:r>
            <w:r>
              <w:rPr>
                <w:rFonts w:eastAsiaTheme="minorEastAsia"/>
                <w:noProof/>
                <w:lang w:eastAsia="en-GB"/>
              </w:rPr>
              <w:tab/>
            </w:r>
            <w:r w:rsidRPr="0025136A">
              <w:rPr>
                <w:rStyle w:val="Hyperlink"/>
                <w:rFonts w:eastAsia="Arial"/>
                <w:noProof/>
                <w:lang w:val="en-US"/>
              </w:rPr>
              <w:t>Strategic Financial Restructuring Plan</w:t>
            </w:r>
            <w:r>
              <w:rPr>
                <w:noProof/>
                <w:webHidden/>
              </w:rPr>
              <w:tab/>
            </w:r>
            <w:r>
              <w:rPr>
                <w:noProof/>
                <w:webHidden/>
              </w:rPr>
              <w:fldChar w:fldCharType="begin"/>
            </w:r>
            <w:r>
              <w:rPr>
                <w:noProof/>
                <w:webHidden/>
              </w:rPr>
              <w:instrText xml:space="preserve"> PAGEREF _Toc236825687 \h </w:instrText>
            </w:r>
            <w:r>
              <w:rPr>
                <w:noProof/>
                <w:webHidden/>
              </w:rPr>
            </w:r>
            <w:r>
              <w:rPr>
                <w:noProof/>
                <w:webHidden/>
              </w:rPr>
              <w:fldChar w:fldCharType="separate"/>
            </w:r>
            <w:r w:rsidR="007B725B">
              <w:rPr>
                <w:noProof/>
                <w:webHidden/>
              </w:rPr>
              <w:t>9</w:t>
            </w:r>
            <w:r>
              <w:rPr>
                <w:noProof/>
                <w:webHidden/>
              </w:rPr>
              <w:fldChar w:fldCharType="end"/>
            </w:r>
          </w:hyperlink>
        </w:p>
        <w:p w:rsidR="00587B43" w:rsidRDefault="00587B43">
          <w:pPr>
            <w:pStyle w:val="TOC2"/>
            <w:tabs>
              <w:tab w:val="left" w:pos="880"/>
              <w:tab w:val="right" w:leader="dot" w:pos="9016"/>
            </w:tabs>
            <w:rPr>
              <w:rFonts w:eastAsiaTheme="minorEastAsia"/>
              <w:noProof/>
              <w:lang w:eastAsia="en-GB"/>
            </w:rPr>
          </w:pPr>
          <w:hyperlink w:anchor="_Toc236825689" w:history="1">
            <w:r w:rsidRPr="0025136A">
              <w:rPr>
                <w:rStyle w:val="Hyperlink"/>
                <w:rFonts w:eastAsia="Arial"/>
                <w:noProof/>
                <w:lang w:val="en-US"/>
              </w:rPr>
              <w:t>4.1</w:t>
            </w:r>
            <w:r>
              <w:rPr>
                <w:rFonts w:eastAsiaTheme="minorEastAsia"/>
                <w:noProof/>
                <w:lang w:eastAsia="en-GB"/>
              </w:rPr>
              <w:tab/>
            </w:r>
            <w:r w:rsidRPr="0025136A">
              <w:rPr>
                <w:rStyle w:val="Hyperlink"/>
                <w:rFonts w:eastAsia="Arial"/>
                <w:noProof/>
                <w:lang w:val="en-US"/>
              </w:rPr>
              <w:t>Recommended Restructuring Options</w:t>
            </w:r>
            <w:r>
              <w:rPr>
                <w:noProof/>
                <w:webHidden/>
              </w:rPr>
              <w:tab/>
            </w:r>
            <w:r>
              <w:rPr>
                <w:noProof/>
                <w:webHidden/>
              </w:rPr>
              <w:fldChar w:fldCharType="begin"/>
            </w:r>
            <w:r>
              <w:rPr>
                <w:noProof/>
                <w:webHidden/>
              </w:rPr>
              <w:instrText xml:space="preserve"> PAGEREF _Toc236825689 \h </w:instrText>
            </w:r>
            <w:r>
              <w:rPr>
                <w:noProof/>
                <w:webHidden/>
              </w:rPr>
            </w:r>
            <w:r>
              <w:rPr>
                <w:noProof/>
                <w:webHidden/>
              </w:rPr>
              <w:fldChar w:fldCharType="separate"/>
            </w:r>
            <w:r w:rsidR="007B725B">
              <w:rPr>
                <w:noProof/>
                <w:webHidden/>
              </w:rPr>
              <w:t>9</w:t>
            </w:r>
            <w:r>
              <w:rPr>
                <w:noProof/>
                <w:webHidden/>
              </w:rPr>
              <w:fldChar w:fldCharType="end"/>
            </w:r>
          </w:hyperlink>
        </w:p>
        <w:p w:rsidR="00587B43" w:rsidRDefault="00587B43">
          <w:pPr>
            <w:pStyle w:val="TOC2"/>
            <w:tabs>
              <w:tab w:val="left" w:pos="880"/>
              <w:tab w:val="right" w:leader="dot" w:pos="9016"/>
            </w:tabs>
            <w:rPr>
              <w:rFonts w:eastAsiaTheme="minorEastAsia"/>
              <w:noProof/>
              <w:lang w:eastAsia="en-GB"/>
            </w:rPr>
          </w:pPr>
          <w:hyperlink w:anchor="_Toc236825690" w:history="1">
            <w:r w:rsidRPr="0025136A">
              <w:rPr>
                <w:rStyle w:val="Hyperlink"/>
                <w:rFonts w:eastAsia="Arial"/>
                <w:noProof/>
                <w:lang w:val="en-US"/>
              </w:rPr>
              <w:t>4.2</w:t>
            </w:r>
            <w:r>
              <w:rPr>
                <w:rFonts w:eastAsiaTheme="minorEastAsia"/>
                <w:noProof/>
                <w:lang w:eastAsia="en-GB"/>
              </w:rPr>
              <w:tab/>
            </w:r>
            <w:r w:rsidRPr="0025136A">
              <w:rPr>
                <w:rStyle w:val="Hyperlink"/>
                <w:rFonts w:eastAsia="Arial"/>
                <w:noProof/>
                <w:lang w:val="en-US"/>
              </w:rPr>
              <w:t>Impact on Shareholder Value, Debt Structure and Operational Flexibility</w:t>
            </w:r>
            <w:r>
              <w:rPr>
                <w:noProof/>
                <w:webHidden/>
              </w:rPr>
              <w:tab/>
            </w:r>
            <w:r>
              <w:rPr>
                <w:noProof/>
                <w:webHidden/>
              </w:rPr>
              <w:fldChar w:fldCharType="begin"/>
            </w:r>
            <w:r>
              <w:rPr>
                <w:noProof/>
                <w:webHidden/>
              </w:rPr>
              <w:instrText xml:space="preserve"> PAGEREF _Toc236825690 \h </w:instrText>
            </w:r>
            <w:r>
              <w:rPr>
                <w:noProof/>
                <w:webHidden/>
              </w:rPr>
            </w:r>
            <w:r>
              <w:rPr>
                <w:noProof/>
                <w:webHidden/>
              </w:rPr>
              <w:fldChar w:fldCharType="separate"/>
            </w:r>
            <w:r w:rsidR="007B725B">
              <w:rPr>
                <w:noProof/>
                <w:webHidden/>
              </w:rPr>
              <w:t>10</w:t>
            </w:r>
            <w:r>
              <w:rPr>
                <w:noProof/>
                <w:webHidden/>
              </w:rPr>
              <w:fldChar w:fldCharType="end"/>
            </w:r>
          </w:hyperlink>
        </w:p>
        <w:p w:rsidR="00587B43" w:rsidRDefault="00587B43">
          <w:pPr>
            <w:pStyle w:val="TOC2"/>
            <w:tabs>
              <w:tab w:val="left" w:pos="880"/>
              <w:tab w:val="right" w:leader="dot" w:pos="9016"/>
            </w:tabs>
            <w:rPr>
              <w:rFonts w:eastAsiaTheme="minorEastAsia"/>
              <w:noProof/>
              <w:lang w:eastAsia="en-GB"/>
            </w:rPr>
          </w:pPr>
          <w:hyperlink w:anchor="_Toc236825691" w:history="1">
            <w:r w:rsidRPr="0025136A">
              <w:rPr>
                <w:rStyle w:val="Hyperlink"/>
                <w:rFonts w:eastAsia="Arial"/>
                <w:noProof/>
                <w:lang w:val="en-US"/>
              </w:rPr>
              <w:t>4.3</w:t>
            </w:r>
            <w:r>
              <w:rPr>
                <w:rFonts w:eastAsiaTheme="minorEastAsia"/>
                <w:noProof/>
                <w:lang w:eastAsia="en-GB"/>
              </w:rPr>
              <w:tab/>
            </w:r>
            <w:r w:rsidRPr="0025136A">
              <w:rPr>
                <w:rStyle w:val="Hyperlink"/>
                <w:rFonts w:eastAsia="Arial"/>
                <w:noProof/>
                <w:lang w:val="en-US"/>
              </w:rPr>
              <w:t>International and Ethical Considerations</w:t>
            </w:r>
            <w:r>
              <w:rPr>
                <w:noProof/>
                <w:webHidden/>
              </w:rPr>
              <w:tab/>
            </w:r>
            <w:r>
              <w:rPr>
                <w:noProof/>
                <w:webHidden/>
              </w:rPr>
              <w:fldChar w:fldCharType="begin"/>
            </w:r>
            <w:r>
              <w:rPr>
                <w:noProof/>
                <w:webHidden/>
              </w:rPr>
              <w:instrText xml:space="preserve"> PAGEREF _Toc236825691 \h </w:instrText>
            </w:r>
            <w:r>
              <w:rPr>
                <w:noProof/>
                <w:webHidden/>
              </w:rPr>
            </w:r>
            <w:r>
              <w:rPr>
                <w:noProof/>
                <w:webHidden/>
              </w:rPr>
              <w:fldChar w:fldCharType="separate"/>
            </w:r>
            <w:r w:rsidR="007B725B">
              <w:rPr>
                <w:noProof/>
                <w:webHidden/>
              </w:rPr>
              <w:t>10</w:t>
            </w:r>
            <w:r>
              <w:rPr>
                <w:noProof/>
                <w:webHidden/>
              </w:rPr>
              <w:fldChar w:fldCharType="end"/>
            </w:r>
          </w:hyperlink>
        </w:p>
        <w:p w:rsidR="00587B43" w:rsidRDefault="00587B43">
          <w:pPr>
            <w:pStyle w:val="TOC1"/>
            <w:tabs>
              <w:tab w:val="left" w:pos="440"/>
              <w:tab w:val="right" w:leader="dot" w:pos="9016"/>
            </w:tabs>
            <w:rPr>
              <w:rFonts w:eastAsiaTheme="minorEastAsia"/>
              <w:noProof/>
              <w:lang w:eastAsia="en-GB"/>
            </w:rPr>
          </w:pPr>
          <w:hyperlink w:anchor="_Toc236825692" w:history="1">
            <w:r w:rsidRPr="0025136A">
              <w:rPr>
                <w:rStyle w:val="Hyperlink"/>
                <w:rFonts w:eastAsia="MS Gothic" w:cs="Arial"/>
                <w:noProof/>
                <w:lang w:val="en-US"/>
              </w:rPr>
              <w:t>5.</w:t>
            </w:r>
            <w:r>
              <w:rPr>
                <w:rFonts w:eastAsiaTheme="minorEastAsia"/>
                <w:noProof/>
                <w:lang w:eastAsia="en-GB"/>
              </w:rPr>
              <w:tab/>
            </w:r>
            <w:r w:rsidRPr="0025136A">
              <w:rPr>
                <w:rStyle w:val="Hyperlink"/>
                <w:rFonts w:eastAsia="Arial"/>
                <w:noProof/>
                <w:lang w:val="en-US"/>
              </w:rPr>
              <w:t>Investment Appraisal and Capital Budgeting</w:t>
            </w:r>
            <w:r>
              <w:rPr>
                <w:noProof/>
                <w:webHidden/>
              </w:rPr>
              <w:tab/>
            </w:r>
            <w:r>
              <w:rPr>
                <w:noProof/>
                <w:webHidden/>
              </w:rPr>
              <w:fldChar w:fldCharType="begin"/>
            </w:r>
            <w:r>
              <w:rPr>
                <w:noProof/>
                <w:webHidden/>
              </w:rPr>
              <w:instrText xml:space="preserve"> PAGEREF _Toc236825692 \h </w:instrText>
            </w:r>
            <w:r>
              <w:rPr>
                <w:noProof/>
                <w:webHidden/>
              </w:rPr>
            </w:r>
            <w:r>
              <w:rPr>
                <w:noProof/>
                <w:webHidden/>
              </w:rPr>
              <w:fldChar w:fldCharType="separate"/>
            </w:r>
            <w:r w:rsidR="007B725B">
              <w:rPr>
                <w:noProof/>
                <w:webHidden/>
              </w:rPr>
              <w:t>11</w:t>
            </w:r>
            <w:r>
              <w:rPr>
                <w:noProof/>
                <w:webHidden/>
              </w:rPr>
              <w:fldChar w:fldCharType="end"/>
            </w:r>
          </w:hyperlink>
        </w:p>
        <w:p w:rsidR="00587B43" w:rsidRDefault="00587B43">
          <w:pPr>
            <w:pStyle w:val="TOC2"/>
            <w:tabs>
              <w:tab w:val="left" w:pos="880"/>
              <w:tab w:val="right" w:leader="dot" w:pos="9016"/>
            </w:tabs>
            <w:rPr>
              <w:rFonts w:eastAsiaTheme="minorEastAsia"/>
              <w:noProof/>
              <w:lang w:eastAsia="en-GB"/>
            </w:rPr>
          </w:pPr>
          <w:hyperlink w:anchor="_Toc236825694" w:history="1">
            <w:r w:rsidRPr="0025136A">
              <w:rPr>
                <w:rStyle w:val="Hyperlink"/>
                <w:rFonts w:eastAsia="Arial"/>
                <w:noProof/>
                <w:lang w:val="en-US"/>
              </w:rPr>
              <w:t>5.1</w:t>
            </w:r>
            <w:r>
              <w:rPr>
                <w:rFonts w:eastAsiaTheme="minorEastAsia"/>
                <w:noProof/>
                <w:lang w:eastAsia="en-GB"/>
              </w:rPr>
              <w:tab/>
            </w:r>
            <w:r w:rsidRPr="0025136A">
              <w:rPr>
                <w:rStyle w:val="Hyperlink"/>
                <w:rFonts w:eastAsia="Arial"/>
                <w:noProof/>
                <w:lang w:val="en-US"/>
              </w:rPr>
              <w:t>Project Evaluation (PBP, ARR, NPV, PI, IRR)</w:t>
            </w:r>
            <w:r>
              <w:rPr>
                <w:noProof/>
                <w:webHidden/>
              </w:rPr>
              <w:tab/>
            </w:r>
            <w:r>
              <w:rPr>
                <w:noProof/>
                <w:webHidden/>
              </w:rPr>
              <w:fldChar w:fldCharType="begin"/>
            </w:r>
            <w:r>
              <w:rPr>
                <w:noProof/>
                <w:webHidden/>
              </w:rPr>
              <w:instrText xml:space="preserve"> PAGEREF _Toc236825694 \h </w:instrText>
            </w:r>
            <w:r>
              <w:rPr>
                <w:noProof/>
                <w:webHidden/>
              </w:rPr>
            </w:r>
            <w:r>
              <w:rPr>
                <w:noProof/>
                <w:webHidden/>
              </w:rPr>
              <w:fldChar w:fldCharType="separate"/>
            </w:r>
            <w:r w:rsidR="007B725B">
              <w:rPr>
                <w:noProof/>
                <w:webHidden/>
              </w:rPr>
              <w:t>11</w:t>
            </w:r>
            <w:r>
              <w:rPr>
                <w:noProof/>
                <w:webHidden/>
              </w:rPr>
              <w:fldChar w:fldCharType="end"/>
            </w:r>
          </w:hyperlink>
        </w:p>
        <w:p w:rsidR="00587B43" w:rsidRDefault="00587B43">
          <w:pPr>
            <w:pStyle w:val="TOC2"/>
            <w:tabs>
              <w:tab w:val="left" w:pos="880"/>
              <w:tab w:val="right" w:leader="dot" w:pos="9016"/>
            </w:tabs>
            <w:rPr>
              <w:rFonts w:eastAsiaTheme="minorEastAsia"/>
              <w:noProof/>
              <w:lang w:eastAsia="en-GB"/>
            </w:rPr>
          </w:pPr>
          <w:hyperlink w:anchor="_Toc236825695" w:history="1">
            <w:r w:rsidRPr="0025136A">
              <w:rPr>
                <w:rStyle w:val="Hyperlink"/>
                <w:rFonts w:eastAsia="Arial"/>
                <w:noProof/>
                <w:lang w:val="en-US"/>
              </w:rPr>
              <w:t>5.2</w:t>
            </w:r>
            <w:r>
              <w:rPr>
                <w:rFonts w:eastAsiaTheme="minorEastAsia"/>
                <w:noProof/>
                <w:lang w:eastAsia="en-GB"/>
              </w:rPr>
              <w:tab/>
            </w:r>
            <w:r w:rsidRPr="0025136A">
              <w:rPr>
                <w:rStyle w:val="Hyperlink"/>
                <w:rFonts w:eastAsia="Arial"/>
                <w:noProof/>
                <w:lang w:val="en-US"/>
              </w:rPr>
              <w:t>Single Project Recommendation</w:t>
            </w:r>
            <w:r>
              <w:rPr>
                <w:noProof/>
                <w:webHidden/>
              </w:rPr>
              <w:tab/>
            </w:r>
            <w:r>
              <w:rPr>
                <w:noProof/>
                <w:webHidden/>
              </w:rPr>
              <w:fldChar w:fldCharType="begin"/>
            </w:r>
            <w:r>
              <w:rPr>
                <w:noProof/>
                <w:webHidden/>
              </w:rPr>
              <w:instrText xml:space="preserve"> PAGEREF _Toc236825695 \h </w:instrText>
            </w:r>
            <w:r>
              <w:rPr>
                <w:noProof/>
                <w:webHidden/>
              </w:rPr>
            </w:r>
            <w:r>
              <w:rPr>
                <w:noProof/>
                <w:webHidden/>
              </w:rPr>
              <w:fldChar w:fldCharType="separate"/>
            </w:r>
            <w:r w:rsidR="007B725B">
              <w:rPr>
                <w:noProof/>
                <w:webHidden/>
              </w:rPr>
              <w:t>14</w:t>
            </w:r>
            <w:r>
              <w:rPr>
                <w:noProof/>
                <w:webHidden/>
              </w:rPr>
              <w:fldChar w:fldCharType="end"/>
            </w:r>
          </w:hyperlink>
        </w:p>
        <w:p w:rsidR="00587B43" w:rsidRDefault="00587B43">
          <w:pPr>
            <w:pStyle w:val="TOC2"/>
            <w:tabs>
              <w:tab w:val="left" w:pos="880"/>
              <w:tab w:val="right" w:leader="dot" w:pos="9016"/>
            </w:tabs>
            <w:rPr>
              <w:rFonts w:eastAsiaTheme="minorEastAsia"/>
              <w:noProof/>
              <w:lang w:eastAsia="en-GB"/>
            </w:rPr>
          </w:pPr>
          <w:hyperlink w:anchor="_Toc236825696" w:history="1">
            <w:r w:rsidRPr="0025136A">
              <w:rPr>
                <w:rStyle w:val="Hyperlink"/>
                <w:rFonts w:eastAsia="Arial"/>
                <w:noProof/>
                <w:lang w:val="en-US"/>
              </w:rPr>
              <w:t>5.3</w:t>
            </w:r>
            <w:r>
              <w:rPr>
                <w:rFonts w:eastAsiaTheme="minorEastAsia"/>
                <w:noProof/>
                <w:lang w:eastAsia="en-GB"/>
              </w:rPr>
              <w:tab/>
            </w:r>
            <w:r w:rsidRPr="0025136A">
              <w:rPr>
                <w:rStyle w:val="Hyperlink"/>
                <w:rFonts w:eastAsia="Arial"/>
                <w:noProof/>
                <w:lang w:val="en-US"/>
              </w:rPr>
              <w:t>Capital Rationing – Optimal Combination</w:t>
            </w:r>
            <w:r>
              <w:rPr>
                <w:noProof/>
                <w:webHidden/>
              </w:rPr>
              <w:tab/>
            </w:r>
            <w:r>
              <w:rPr>
                <w:noProof/>
                <w:webHidden/>
              </w:rPr>
              <w:fldChar w:fldCharType="begin"/>
            </w:r>
            <w:r>
              <w:rPr>
                <w:noProof/>
                <w:webHidden/>
              </w:rPr>
              <w:instrText xml:space="preserve"> PAGEREF _Toc236825696 \h </w:instrText>
            </w:r>
            <w:r>
              <w:rPr>
                <w:noProof/>
                <w:webHidden/>
              </w:rPr>
            </w:r>
            <w:r>
              <w:rPr>
                <w:noProof/>
                <w:webHidden/>
              </w:rPr>
              <w:fldChar w:fldCharType="separate"/>
            </w:r>
            <w:r w:rsidR="007B725B">
              <w:rPr>
                <w:noProof/>
                <w:webHidden/>
              </w:rPr>
              <w:t>14</w:t>
            </w:r>
            <w:r>
              <w:rPr>
                <w:noProof/>
                <w:webHidden/>
              </w:rPr>
              <w:fldChar w:fldCharType="end"/>
            </w:r>
          </w:hyperlink>
        </w:p>
        <w:p w:rsidR="00587B43" w:rsidRDefault="00587B43">
          <w:pPr>
            <w:pStyle w:val="TOC1"/>
            <w:tabs>
              <w:tab w:val="left" w:pos="440"/>
              <w:tab w:val="right" w:leader="dot" w:pos="9016"/>
            </w:tabs>
            <w:rPr>
              <w:rFonts w:eastAsiaTheme="minorEastAsia"/>
              <w:noProof/>
              <w:lang w:eastAsia="en-GB"/>
            </w:rPr>
          </w:pPr>
          <w:hyperlink w:anchor="_Toc236825697" w:history="1">
            <w:r w:rsidRPr="0025136A">
              <w:rPr>
                <w:rStyle w:val="Hyperlink"/>
                <w:rFonts w:eastAsia="MS Gothic" w:cs="Arial"/>
                <w:noProof/>
                <w:lang w:val="en-US"/>
              </w:rPr>
              <w:t>6.</w:t>
            </w:r>
            <w:r>
              <w:rPr>
                <w:rFonts w:eastAsiaTheme="minorEastAsia"/>
                <w:noProof/>
                <w:lang w:eastAsia="en-GB"/>
              </w:rPr>
              <w:tab/>
            </w:r>
            <w:r w:rsidRPr="0025136A">
              <w:rPr>
                <w:rStyle w:val="Hyperlink"/>
                <w:rFonts w:eastAsia="Arial"/>
                <w:noProof/>
                <w:lang w:val="en-US"/>
              </w:rPr>
              <w:t>Critical Reflection on AI Usage</w:t>
            </w:r>
            <w:r>
              <w:rPr>
                <w:noProof/>
                <w:webHidden/>
              </w:rPr>
              <w:tab/>
            </w:r>
            <w:r>
              <w:rPr>
                <w:noProof/>
                <w:webHidden/>
              </w:rPr>
              <w:fldChar w:fldCharType="begin"/>
            </w:r>
            <w:r>
              <w:rPr>
                <w:noProof/>
                <w:webHidden/>
              </w:rPr>
              <w:instrText xml:space="preserve"> PAGEREF _Toc236825697 \h </w:instrText>
            </w:r>
            <w:r>
              <w:rPr>
                <w:noProof/>
                <w:webHidden/>
              </w:rPr>
            </w:r>
            <w:r>
              <w:rPr>
                <w:noProof/>
                <w:webHidden/>
              </w:rPr>
              <w:fldChar w:fldCharType="separate"/>
            </w:r>
            <w:r w:rsidR="007B725B">
              <w:rPr>
                <w:noProof/>
                <w:webHidden/>
              </w:rPr>
              <w:t>17</w:t>
            </w:r>
            <w:r>
              <w:rPr>
                <w:noProof/>
                <w:webHidden/>
              </w:rPr>
              <w:fldChar w:fldCharType="end"/>
            </w:r>
          </w:hyperlink>
        </w:p>
        <w:p w:rsidR="00587B43" w:rsidRDefault="00587B43">
          <w:pPr>
            <w:pStyle w:val="TOC2"/>
            <w:tabs>
              <w:tab w:val="left" w:pos="880"/>
              <w:tab w:val="right" w:leader="dot" w:pos="9016"/>
            </w:tabs>
            <w:rPr>
              <w:rFonts w:eastAsiaTheme="minorEastAsia"/>
              <w:noProof/>
              <w:lang w:eastAsia="en-GB"/>
            </w:rPr>
          </w:pPr>
          <w:hyperlink w:anchor="_Toc236825699" w:history="1">
            <w:r w:rsidRPr="0025136A">
              <w:rPr>
                <w:rStyle w:val="Hyperlink"/>
                <w:rFonts w:eastAsia="Arial"/>
                <w:noProof/>
                <w:lang w:val="en-US"/>
              </w:rPr>
              <w:t>6.1</w:t>
            </w:r>
            <w:r>
              <w:rPr>
                <w:rFonts w:eastAsiaTheme="minorEastAsia"/>
                <w:noProof/>
                <w:lang w:eastAsia="en-GB"/>
              </w:rPr>
              <w:tab/>
            </w:r>
            <w:r w:rsidRPr="0025136A">
              <w:rPr>
                <w:rStyle w:val="Hyperlink"/>
                <w:rFonts w:eastAsia="Arial"/>
                <w:noProof/>
                <w:lang w:val="en-US"/>
              </w:rPr>
              <w:t>Tool Disclosure</w:t>
            </w:r>
            <w:r>
              <w:rPr>
                <w:noProof/>
                <w:webHidden/>
              </w:rPr>
              <w:tab/>
            </w:r>
            <w:r>
              <w:rPr>
                <w:noProof/>
                <w:webHidden/>
              </w:rPr>
              <w:fldChar w:fldCharType="begin"/>
            </w:r>
            <w:r>
              <w:rPr>
                <w:noProof/>
                <w:webHidden/>
              </w:rPr>
              <w:instrText xml:space="preserve"> PAGEREF _Toc236825699 \h </w:instrText>
            </w:r>
            <w:r>
              <w:rPr>
                <w:noProof/>
                <w:webHidden/>
              </w:rPr>
            </w:r>
            <w:r>
              <w:rPr>
                <w:noProof/>
                <w:webHidden/>
              </w:rPr>
              <w:fldChar w:fldCharType="separate"/>
            </w:r>
            <w:r w:rsidR="007B725B">
              <w:rPr>
                <w:noProof/>
                <w:webHidden/>
              </w:rPr>
              <w:t>17</w:t>
            </w:r>
            <w:r>
              <w:rPr>
                <w:noProof/>
                <w:webHidden/>
              </w:rPr>
              <w:fldChar w:fldCharType="end"/>
            </w:r>
          </w:hyperlink>
        </w:p>
        <w:p w:rsidR="00587B43" w:rsidRDefault="00587B43">
          <w:pPr>
            <w:pStyle w:val="TOC2"/>
            <w:tabs>
              <w:tab w:val="left" w:pos="880"/>
              <w:tab w:val="right" w:leader="dot" w:pos="9016"/>
            </w:tabs>
            <w:rPr>
              <w:rFonts w:eastAsiaTheme="minorEastAsia"/>
              <w:noProof/>
              <w:lang w:eastAsia="en-GB"/>
            </w:rPr>
          </w:pPr>
          <w:hyperlink w:anchor="_Toc236825700" w:history="1">
            <w:r w:rsidRPr="0025136A">
              <w:rPr>
                <w:rStyle w:val="Hyperlink"/>
                <w:rFonts w:eastAsia="Arial"/>
                <w:noProof/>
                <w:lang w:val="en-US"/>
              </w:rPr>
              <w:t>6.2</w:t>
            </w:r>
            <w:r>
              <w:rPr>
                <w:rFonts w:eastAsiaTheme="minorEastAsia"/>
                <w:noProof/>
                <w:lang w:eastAsia="en-GB"/>
              </w:rPr>
              <w:tab/>
            </w:r>
            <w:r w:rsidRPr="0025136A">
              <w:rPr>
                <w:rStyle w:val="Hyperlink"/>
                <w:rFonts w:eastAsia="Arial"/>
                <w:noProof/>
                <w:lang w:val="en-US"/>
              </w:rPr>
              <w:t>Critical Evaluation of AI Output</w:t>
            </w:r>
            <w:r>
              <w:rPr>
                <w:noProof/>
                <w:webHidden/>
              </w:rPr>
              <w:tab/>
            </w:r>
            <w:r>
              <w:rPr>
                <w:noProof/>
                <w:webHidden/>
              </w:rPr>
              <w:fldChar w:fldCharType="begin"/>
            </w:r>
            <w:r>
              <w:rPr>
                <w:noProof/>
                <w:webHidden/>
              </w:rPr>
              <w:instrText xml:space="preserve"> PAGEREF _Toc236825700 \h </w:instrText>
            </w:r>
            <w:r>
              <w:rPr>
                <w:noProof/>
                <w:webHidden/>
              </w:rPr>
            </w:r>
            <w:r>
              <w:rPr>
                <w:noProof/>
                <w:webHidden/>
              </w:rPr>
              <w:fldChar w:fldCharType="separate"/>
            </w:r>
            <w:r w:rsidR="007B725B">
              <w:rPr>
                <w:noProof/>
                <w:webHidden/>
              </w:rPr>
              <w:t>17</w:t>
            </w:r>
            <w:r>
              <w:rPr>
                <w:noProof/>
                <w:webHidden/>
              </w:rPr>
              <w:fldChar w:fldCharType="end"/>
            </w:r>
          </w:hyperlink>
        </w:p>
        <w:p w:rsidR="00587B43" w:rsidRDefault="00587B43">
          <w:pPr>
            <w:pStyle w:val="TOC2"/>
            <w:tabs>
              <w:tab w:val="left" w:pos="880"/>
              <w:tab w:val="right" w:leader="dot" w:pos="9016"/>
            </w:tabs>
            <w:rPr>
              <w:rFonts w:eastAsiaTheme="minorEastAsia"/>
              <w:noProof/>
              <w:lang w:eastAsia="en-GB"/>
            </w:rPr>
          </w:pPr>
          <w:hyperlink w:anchor="_Toc236825701" w:history="1">
            <w:r w:rsidRPr="0025136A">
              <w:rPr>
                <w:rStyle w:val="Hyperlink"/>
                <w:rFonts w:eastAsia="Arial"/>
                <w:noProof/>
                <w:lang w:val="en-US"/>
              </w:rPr>
              <w:t>6.3</w:t>
            </w:r>
            <w:r>
              <w:rPr>
                <w:rFonts w:eastAsiaTheme="minorEastAsia"/>
                <w:noProof/>
                <w:lang w:eastAsia="en-GB"/>
              </w:rPr>
              <w:tab/>
            </w:r>
            <w:r w:rsidRPr="0025136A">
              <w:rPr>
                <w:rStyle w:val="Hyperlink"/>
                <w:rFonts w:eastAsia="Arial"/>
                <w:noProof/>
                <w:lang w:val="en-US"/>
              </w:rPr>
              <w:t>Contribution Analysis</w:t>
            </w:r>
            <w:r>
              <w:rPr>
                <w:noProof/>
                <w:webHidden/>
              </w:rPr>
              <w:tab/>
            </w:r>
            <w:r>
              <w:rPr>
                <w:noProof/>
                <w:webHidden/>
              </w:rPr>
              <w:fldChar w:fldCharType="begin"/>
            </w:r>
            <w:r>
              <w:rPr>
                <w:noProof/>
                <w:webHidden/>
              </w:rPr>
              <w:instrText xml:space="preserve"> PAGEREF _Toc236825701 \h </w:instrText>
            </w:r>
            <w:r>
              <w:rPr>
                <w:noProof/>
                <w:webHidden/>
              </w:rPr>
            </w:r>
            <w:r>
              <w:rPr>
                <w:noProof/>
                <w:webHidden/>
              </w:rPr>
              <w:fldChar w:fldCharType="separate"/>
            </w:r>
            <w:r w:rsidR="007B725B">
              <w:rPr>
                <w:noProof/>
                <w:webHidden/>
              </w:rPr>
              <w:t>17</w:t>
            </w:r>
            <w:r>
              <w:rPr>
                <w:noProof/>
                <w:webHidden/>
              </w:rPr>
              <w:fldChar w:fldCharType="end"/>
            </w:r>
          </w:hyperlink>
        </w:p>
        <w:p w:rsidR="00587B43" w:rsidRDefault="00587B43">
          <w:pPr>
            <w:pStyle w:val="TOC2"/>
            <w:tabs>
              <w:tab w:val="left" w:pos="880"/>
              <w:tab w:val="right" w:leader="dot" w:pos="9016"/>
            </w:tabs>
            <w:rPr>
              <w:rFonts w:eastAsiaTheme="minorEastAsia"/>
              <w:noProof/>
              <w:lang w:eastAsia="en-GB"/>
            </w:rPr>
          </w:pPr>
          <w:hyperlink w:anchor="_Toc236825702" w:history="1">
            <w:r w:rsidRPr="0025136A">
              <w:rPr>
                <w:rStyle w:val="Hyperlink"/>
                <w:rFonts w:eastAsia="Arial"/>
                <w:noProof/>
                <w:lang w:val="en-US"/>
              </w:rPr>
              <w:t>6.4</w:t>
            </w:r>
            <w:r>
              <w:rPr>
                <w:rFonts w:eastAsiaTheme="minorEastAsia"/>
                <w:noProof/>
                <w:lang w:eastAsia="en-GB"/>
              </w:rPr>
              <w:tab/>
            </w:r>
            <w:r w:rsidRPr="0025136A">
              <w:rPr>
                <w:rStyle w:val="Hyperlink"/>
                <w:rFonts w:eastAsia="Arial"/>
                <w:noProof/>
                <w:lang w:val="en-US"/>
              </w:rPr>
              <w:t>Ethical and Professional Reflection</w:t>
            </w:r>
            <w:r>
              <w:rPr>
                <w:noProof/>
                <w:webHidden/>
              </w:rPr>
              <w:tab/>
            </w:r>
            <w:r>
              <w:rPr>
                <w:noProof/>
                <w:webHidden/>
              </w:rPr>
              <w:fldChar w:fldCharType="begin"/>
            </w:r>
            <w:r>
              <w:rPr>
                <w:noProof/>
                <w:webHidden/>
              </w:rPr>
              <w:instrText xml:space="preserve"> PAGEREF _Toc236825702 \h </w:instrText>
            </w:r>
            <w:r>
              <w:rPr>
                <w:noProof/>
                <w:webHidden/>
              </w:rPr>
            </w:r>
            <w:r>
              <w:rPr>
                <w:noProof/>
                <w:webHidden/>
              </w:rPr>
              <w:fldChar w:fldCharType="separate"/>
            </w:r>
            <w:r w:rsidR="007B725B">
              <w:rPr>
                <w:noProof/>
                <w:webHidden/>
              </w:rPr>
              <w:t>18</w:t>
            </w:r>
            <w:r>
              <w:rPr>
                <w:noProof/>
                <w:webHidden/>
              </w:rPr>
              <w:fldChar w:fldCharType="end"/>
            </w:r>
          </w:hyperlink>
        </w:p>
        <w:p w:rsidR="00587B43" w:rsidRDefault="00587B43">
          <w:pPr>
            <w:pStyle w:val="TOC1"/>
            <w:tabs>
              <w:tab w:val="left" w:pos="440"/>
              <w:tab w:val="right" w:leader="dot" w:pos="9016"/>
            </w:tabs>
            <w:rPr>
              <w:rFonts w:eastAsiaTheme="minorEastAsia"/>
              <w:noProof/>
              <w:lang w:eastAsia="en-GB"/>
            </w:rPr>
          </w:pPr>
          <w:hyperlink w:anchor="_Toc236825703" w:history="1">
            <w:r w:rsidRPr="0025136A">
              <w:rPr>
                <w:rStyle w:val="Hyperlink"/>
                <w:rFonts w:eastAsia="MS Gothic" w:cs="Arial"/>
                <w:noProof/>
                <w:lang w:val="en-US"/>
              </w:rPr>
              <w:t>7.</w:t>
            </w:r>
            <w:r>
              <w:rPr>
                <w:rFonts w:eastAsiaTheme="minorEastAsia"/>
                <w:noProof/>
                <w:lang w:eastAsia="en-GB"/>
              </w:rPr>
              <w:tab/>
            </w:r>
            <w:r w:rsidRPr="0025136A">
              <w:rPr>
                <w:rStyle w:val="Hyperlink"/>
                <w:rFonts w:eastAsia="Arial"/>
                <w:noProof/>
                <w:lang w:val="en-US"/>
              </w:rPr>
              <w:t>Conclusion</w:t>
            </w:r>
            <w:r>
              <w:rPr>
                <w:noProof/>
                <w:webHidden/>
              </w:rPr>
              <w:tab/>
            </w:r>
            <w:r>
              <w:rPr>
                <w:noProof/>
                <w:webHidden/>
              </w:rPr>
              <w:fldChar w:fldCharType="begin"/>
            </w:r>
            <w:r>
              <w:rPr>
                <w:noProof/>
                <w:webHidden/>
              </w:rPr>
              <w:instrText xml:space="preserve"> PAGEREF _Toc236825703 \h </w:instrText>
            </w:r>
            <w:r>
              <w:rPr>
                <w:noProof/>
                <w:webHidden/>
              </w:rPr>
            </w:r>
            <w:r>
              <w:rPr>
                <w:noProof/>
                <w:webHidden/>
              </w:rPr>
              <w:fldChar w:fldCharType="separate"/>
            </w:r>
            <w:r w:rsidR="007B725B">
              <w:rPr>
                <w:noProof/>
                <w:webHidden/>
              </w:rPr>
              <w:t>18</w:t>
            </w:r>
            <w:r>
              <w:rPr>
                <w:noProof/>
                <w:webHidden/>
              </w:rPr>
              <w:fldChar w:fldCharType="end"/>
            </w:r>
          </w:hyperlink>
        </w:p>
        <w:p w:rsidR="00587B43" w:rsidRDefault="00587B43">
          <w:pPr>
            <w:pStyle w:val="TOC1"/>
            <w:tabs>
              <w:tab w:val="right" w:leader="dot" w:pos="9016"/>
            </w:tabs>
            <w:rPr>
              <w:rFonts w:eastAsiaTheme="minorEastAsia"/>
              <w:noProof/>
              <w:lang w:eastAsia="en-GB"/>
            </w:rPr>
          </w:pPr>
          <w:hyperlink w:anchor="_Toc236825704" w:history="1">
            <w:r w:rsidRPr="0025136A">
              <w:rPr>
                <w:rStyle w:val="Hyperlink"/>
                <w:rFonts w:eastAsia="Arial"/>
                <w:noProof/>
                <w:lang w:val="en-US"/>
              </w:rPr>
              <w:t>References</w:t>
            </w:r>
            <w:r>
              <w:rPr>
                <w:noProof/>
                <w:webHidden/>
              </w:rPr>
              <w:tab/>
            </w:r>
            <w:r>
              <w:rPr>
                <w:noProof/>
                <w:webHidden/>
              </w:rPr>
              <w:fldChar w:fldCharType="begin"/>
            </w:r>
            <w:r>
              <w:rPr>
                <w:noProof/>
                <w:webHidden/>
              </w:rPr>
              <w:instrText xml:space="preserve"> PAGEREF _Toc236825704 \h </w:instrText>
            </w:r>
            <w:r>
              <w:rPr>
                <w:noProof/>
                <w:webHidden/>
              </w:rPr>
            </w:r>
            <w:r>
              <w:rPr>
                <w:noProof/>
                <w:webHidden/>
              </w:rPr>
              <w:fldChar w:fldCharType="separate"/>
            </w:r>
            <w:r w:rsidR="007B725B">
              <w:rPr>
                <w:noProof/>
                <w:webHidden/>
              </w:rPr>
              <w:t>20</w:t>
            </w:r>
            <w:r>
              <w:rPr>
                <w:noProof/>
                <w:webHidden/>
              </w:rPr>
              <w:fldChar w:fldCharType="end"/>
            </w:r>
          </w:hyperlink>
        </w:p>
        <w:p w:rsidR="00587B43" w:rsidRDefault="00587B43">
          <w:pPr>
            <w:pStyle w:val="TOC1"/>
            <w:tabs>
              <w:tab w:val="right" w:leader="dot" w:pos="9016"/>
            </w:tabs>
            <w:rPr>
              <w:rFonts w:eastAsiaTheme="minorEastAsia"/>
              <w:noProof/>
              <w:lang w:eastAsia="en-GB"/>
            </w:rPr>
          </w:pPr>
          <w:hyperlink w:anchor="_Toc236825705" w:history="1">
            <w:r w:rsidRPr="0025136A">
              <w:rPr>
                <w:rStyle w:val="Hyperlink"/>
                <w:rFonts w:ascii="Arial" w:eastAsia="Arial" w:hAnsi="Arial" w:cs="Times New Roman"/>
                <w:b/>
                <w:bCs/>
                <w:noProof/>
                <w:lang w:val="en-US"/>
              </w:rPr>
              <w:t>Appendices</w:t>
            </w:r>
            <w:r>
              <w:rPr>
                <w:noProof/>
                <w:webHidden/>
              </w:rPr>
              <w:tab/>
            </w:r>
            <w:r>
              <w:rPr>
                <w:noProof/>
                <w:webHidden/>
              </w:rPr>
              <w:fldChar w:fldCharType="begin"/>
            </w:r>
            <w:r>
              <w:rPr>
                <w:noProof/>
                <w:webHidden/>
              </w:rPr>
              <w:instrText xml:space="preserve"> PAGEREF _Toc236825705 \h </w:instrText>
            </w:r>
            <w:r>
              <w:rPr>
                <w:noProof/>
                <w:webHidden/>
              </w:rPr>
            </w:r>
            <w:r>
              <w:rPr>
                <w:noProof/>
                <w:webHidden/>
              </w:rPr>
              <w:fldChar w:fldCharType="separate"/>
            </w:r>
            <w:r w:rsidR="007B725B">
              <w:rPr>
                <w:noProof/>
                <w:webHidden/>
              </w:rPr>
              <w:t>22</w:t>
            </w:r>
            <w:r>
              <w:rPr>
                <w:noProof/>
                <w:webHidden/>
              </w:rPr>
              <w:fldChar w:fldCharType="end"/>
            </w:r>
          </w:hyperlink>
        </w:p>
        <w:p w:rsidR="000334BB" w:rsidRPr="000334BB" w:rsidRDefault="000334BB" w:rsidP="000334BB">
          <w:pPr>
            <w:spacing w:line="360" w:lineRule="auto"/>
            <w:rPr>
              <w:rFonts w:ascii="Arial" w:hAnsi="Arial" w:cs="Arial"/>
            </w:rPr>
          </w:pPr>
          <w:r w:rsidRPr="000334BB">
            <w:rPr>
              <w:rFonts w:ascii="Arial" w:hAnsi="Arial" w:cs="Arial"/>
              <w:b/>
              <w:bCs/>
              <w:noProof/>
            </w:rPr>
            <w:fldChar w:fldCharType="end"/>
          </w:r>
        </w:p>
      </w:sdtContent>
    </w:sdt>
    <w:p w:rsidR="000334BB" w:rsidRDefault="000334BB" w:rsidP="000334BB">
      <w:pPr>
        <w:spacing w:line="360" w:lineRule="auto"/>
        <w:rPr>
          <w:lang w:val="en-US"/>
        </w:rPr>
      </w:pPr>
    </w:p>
    <w:p w:rsidR="00587B43" w:rsidRPr="000334BB" w:rsidRDefault="00587B43" w:rsidP="000334BB">
      <w:pPr>
        <w:spacing w:line="360" w:lineRule="auto"/>
        <w:rPr>
          <w:lang w:val="en-US"/>
        </w:rPr>
      </w:pPr>
    </w:p>
    <w:p w:rsidR="00BD2FC2" w:rsidRPr="00BD2FC2" w:rsidRDefault="00BD2FC2" w:rsidP="000334BB">
      <w:pPr>
        <w:pStyle w:val="Heading1"/>
        <w:rPr>
          <w:rFonts w:ascii="Calibri" w:eastAsia="MS Gothic" w:hAnsi="Calibri"/>
          <w:color w:val="365F91"/>
          <w:lang w:val="en-US"/>
        </w:rPr>
      </w:pPr>
      <w:bookmarkStart w:id="0" w:name="_Toc236825675"/>
      <w:r w:rsidRPr="00BD2FC2">
        <w:rPr>
          <w:rFonts w:eastAsia="Arial"/>
          <w:lang w:val="en-US"/>
        </w:rPr>
        <w:lastRenderedPageBreak/>
        <w:t>Introduction</w:t>
      </w:r>
      <w:bookmarkEnd w:id="0"/>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InterContinental Hotels Group plc (IHG) is one of the world’s leading pure-play hotel companies, operat</w:t>
      </w:r>
      <w:r w:rsidR="006F0824">
        <w:rPr>
          <w:rFonts w:ascii="Arial" w:eastAsia="Arial" w:hAnsi="Arial" w:cs="Times New Roman"/>
          <w:sz w:val="24"/>
          <w:lang w:val="en-US"/>
        </w:rPr>
        <w:t>ing an asset-light model centred</w:t>
      </w:r>
      <w:r w:rsidRPr="00BD2FC2">
        <w:rPr>
          <w:rFonts w:ascii="Arial" w:eastAsia="Arial" w:hAnsi="Arial" w:cs="Times New Roman"/>
          <w:sz w:val="24"/>
          <w:lang w:val="en-US"/>
        </w:rPr>
        <w:t xml:space="preserve"> on franchising and management contracts across a global portfolio of brands that includes InterContinental, </w:t>
      </w:r>
      <w:r w:rsidR="00863308" w:rsidRPr="00BD2FC2">
        <w:rPr>
          <w:rFonts w:ascii="Arial" w:eastAsia="Arial" w:hAnsi="Arial" w:cs="Times New Roman"/>
          <w:sz w:val="24"/>
          <w:lang w:val="en-US"/>
        </w:rPr>
        <w:t>Crowned</w:t>
      </w:r>
      <w:r w:rsidRPr="00BD2FC2">
        <w:rPr>
          <w:rFonts w:ascii="Arial" w:eastAsia="Arial" w:hAnsi="Arial" w:cs="Times New Roman"/>
          <w:sz w:val="24"/>
          <w:lang w:val="en-US"/>
        </w:rPr>
        <w:t xml:space="preserve"> Plaza, Holiday Inn and Holiday Inn Express (IHG, 2026a). As newly appointed Chief Financial Officer, I have been charged by the Board with a rigorous examination of the Group’s financial performance over the five-year period 2021–2025, the identification of core financial and strategic challenges, and the formulation of a coherent turnaround and growth strategy that is financially viable, globally scalable and ethically defensible.</w:t>
      </w:r>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The hospitality sector has experienced a pronounced recovery from the COVID-19 shock, yet it continues to face elevated interest rates, geopolitical uncertainty, inflationary cost pressures and shifting guest expectations around sustainability and digital experience (UNWTO, 2025; Deloitte, 2025). Against this backdrop, IHG has delivered strong fee-margin expansion, robust free-cash-flow generation and disciplined capital returns, while simultaneously carrying a structurally negative equity position cause</w:t>
      </w:r>
      <w:r w:rsidR="00863308">
        <w:rPr>
          <w:rFonts w:ascii="Arial" w:eastAsia="Arial" w:hAnsi="Arial" w:cs="Times New Roman"/>
          <w:sz w:val="24"/>
          <w:lang w:val="en-US"/>
        </w:rPr>
        <w:t>d by cumulative share buy backs</w:t>
      </w:r>
      <w:r w:rsidRPr="00BD2FC2">
        <w:rPr>
          <w:rFonts w:ascii="Arial" w:eastAsia="Arial" w:hAnsi="Arial" w:cs="Times New Roman"/>
          <w:sz w:val="24"/>
          <w:lang w:val="en-US"/>
        </w:rPr>
        <w:t xml:space="preserve"> a feature shared with several large-cap peers (Marriott International, 2026; Hilton Worldwide, 2026).</w:t>
      </w:r>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 xml:space="preserve">This report is structured as follows. Section 2 presents a comprehensive financial health check based on the income statement, balance sheet, cash-flow statement and multi-dimensional ratio analysis, including an explicit comparison of liquidity metrics against industry benchmarks. Section 3 examines working-capital management and the cash conversion cycle. Section 4 develops a strategic financial restructuring plan that considers divestiture, equity dynamics and international/ethical dimensions. Section 5 undertakes a formal investment appraisal of three competing capital projects using payback, ARR, NPV, profitability index and IRR, and applies capital-rationing logic. Section 6 offers a critical reflection on the role of artificial intelligence in the preparation of the report. A concise conclusion </w:t>
      </w:r>
      <w:r w:rsidR="00863308" w:rsidRPr="00BD2FC2">
        <w:rPr>
          <w:rFonts w:ascii="Arial" w:eastAsia="Arial" w:hAnsi="Arial" w:cs="Times New Roman"/>
          <w:sz w:val="24"/>
          <w:lang w:val="en-US"/>
        </w:rPr>
        <w:t>synthesizes</w:t>
      </w:r>
      <w:r w:rsidRPr="00BD2FC2">
        <w:rPr>
          <w:rFonts w:ascii="Arial" w:eastAsia="Arial" w:hAnsi="Arial" w:cs="Times New Roman"/>
          <w:sz w:val="24"/>
          <w:lang w:val="en-US"/>
        </w:rPr>
        <w:t xml:space="preserve"> the principal recommendations.</w:t>
      </w:r>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 xml:space="preserve">All quantitative analysis draws primarily on IHG’s published Full Year Results and Annual Reports for 2021–2025, supplemented by peer data and sector benchmarks. </w:t>
      </w:r>
      <w:r w:rsidRPr="00BD2FC2">
        <w:rPr>
          <w:rFonts w:ascii="Arial" w:eastAsia="Arial" w:hAnsi="Arial" w:cs="Times New Roman"/>
          <w:sz w:val="24"/>
          <w:lang w:val="en-US"/>
        </w:rPr>
        <w:lastRenderedPageBreak/>
        <w:t xml:space="preserve">Detailed ratio tables, cash-flow extracts and investment-appraisal workings are provided in the accompanying Excel workbook and </w:t>
      </w:r>
      <w:r w:rsidR="0070431D" w:rsidRPr="00BD2FC2">
        <w:rPr>
          <w:rFonts w:ascii="Arial" w:eastAsia="Arial" w:hAnsi="Arial" w:cs="Times New Roman"/>
          <w:sz w:val="24"/>
          <w:lang w:val="en-US"/>
        </w:rPr>
        <w:t>summarized</w:t>
      </w:r>
      <w:r w:rsidRPr="00BD2FC2">
        <w:rPr>
          <w:rFonts w:ascii="Arial" w:eastAsia="Arial" w:hAnsi="Arial" w:cs="Times New Roman"/>
          <w:sz w:val="24"/>
          <w:lang w:val="en-US"/>
        </w:rPr>
        <w:t xml:space="preserve"> in the Appendices.</w:t>
      </w:r>
    </w:p>
    <w:p w:rsidR="00BD2FC2" w:rsidRPr="00BD2FC2" w:rsidRDefault="00BD2FC2" w:rsidP="000334BB">
      <w:pPr>
        <w:pStyle w:val="Heading1"/>
        <w:rPr>
          <w:rFonts w:ascii="Calibri" w:eastAsia="MS Gothic" w:hAnsi="Calibri"/>
          <w:color w:val="365F91"/>
          <w:lang w:val="en-US"/>
        </w:rPr>
      </w:pPr>
      <w:bookmarkStart w:id="1" w:name="_Toc236825676"/>
      <w:r w:rsidRPr="00BD2FC2">
        <w:rPr>
          <w:rFonts w:eastAsia="Arial"/>
          <w:lang w:val="en-US"/>
        </w:rPr>
        <w:t>Financial Health Check</w:t>
      </w:r>
      <w:bookmarkEnd w:id="1"/>
    </w:p>
    <w:p w:rsidR="00BD2FC2" w:rsidRPr="00BD2FC2" w:rsidRDefault="009A7230" w:rsidP="000334BB">
      <w:pPr>
        <w:pStyle w:val="Heading2"/>
        <w:numPr>
          <w:ilvl w:val="1"/>
          <w:numId w:val="5"/>
        </w:numPr>
        <w:rPr>
          <w:rFonts w:ascii="Calibri" w:eastAsia="MS Gothic" w:hAnsi="Calibri"/>
          <w:color w:val="4F81BD"/>
          <w:sz w:val="26"/>
          <w:lang w:val="en-US"/>
        </w:rPr>
      </w:pPr>
      <w:r>
        <w:rPr>
          <w:rFonts w:eastAsia="Arial"/>
          <w:lang w:val="en-US"/>
        </w:rPr>
        <w:t xml:space="preserve"> </w:t>
      </w:r>
      <w:bookmarkStart w:id="2" w:name="_Toc236825677"/>
      <w:r w:rsidR="00BD2FC2" w:rsidRPr="00BD2FC2">
        <w:rPr>
          <w:rFonts w:eastAsia="Arial"/>
          <w:lang w:val="en-US"/>
        </w:rPr>
        <w:t>Analysis of Financial Statements (2021–2025)</w:t>
      </w:r>
      <w:bookmarkEnd w:id="2"/>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 xml:space="preserve">IHG’s income statement over the review period reveals a clear post-pandemic recovery trajectory. Total revenue rose from US$2,907 million in 2021 to US$5,189 million in 2025, representing a compound annual growth rate of approximately 15.6 per cent (IHG, 2022; 2023; 2024; 2025; 2026a). Operating profit (IFRS) increased from US$494 million to US$1,198 million over the same horizon, while net income advanced from US$265 million to US$759 million. The most rapid improvement occurred between 2021 and 2023 as global travel demand </w:t>
      </w:r>
      <w:r w:rsidR="0070431D" w:rsidRPr="00BD2FC2">
        <w:rPr>
          <w:rFonts w:ascii="Arial" w:eastAsia="Arial" w:hAnsi="Arial" w:cs="Times New Roman"/>
          <w:sz w:val="24"/>
          <w:lang w:val="en-US"/>
        </w:rPr>
        <w:t>normalized</w:t>
      </w:r>
      <w:r w:rsidRPr="00BD2FC2">
        <w:rPr>
          <w:rFonts w:ascii="Arial" w:eastAsia="Arial" w:hAnsi="Arial" w:cs="Times New Roman"/>
          <w:sz w:val="24"/>
          <w:lang w:val="en-US"/>
        </w:rPr>
        <w:t>; subsequent years show more moderate but still positive growth, consistent with system-size expansion and RevPAR gains (IHG, 2026a).</w:t>
      </w:r>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 xml:space="preserve">Table 1 </w:t>
      </w:r>
      <w:r w:rsidR="0070431D" w:rsidRPr="00BD2FC2">
        <w:rPr>
          <w:rFonts w:ascii="Arial" w:eastAsia="Arial" w:hAnsi="Arial" w:cs="Times New Roman"/>
          <w:sz w:val="24"/>
          <w:lang w:val="en-US"/>
        </w:rPr>
        <w:t>summarizes</w:t>
      </w:r>
      <w:r w:rsidRPr="00BD2FC2">
        <w:rPr>
          <w:rFonts w:ascii="Arial" w:eastAsia="Arial" w:hAnsi="Arial" w:cs="Times New Roman"/>
          <w:sz w:val="24"/>
          <w:lang w:val="en-US"/>
        </w:rPr>
        <w:t xml:space="preserve"> the principal income-statement indicators. Fee-business operating profit and the associated fee margin have been particularly strong, rising from approximately 49.6 per cent in 2021 to 64.8 per cent in 2025. This expansion underscores the operating leverage inherent in IHG’s franchising and management model, in which incremental system revenue flows through to the bottom line with relatively modest incremental cost (IHG, 2026a; Brealey, Myers and Allen, 2023).</w:t>
      </w:r>
    </w:p>
    <w:p w:rsidR="00BD2FC2" w:rsidRPr="0070431D" w:rsidRDefault="0070431D" w:rsidP="000334BB">
      <w:pPr>
        <w:spacing w:line="360" w:lineRule="auto"/>
        <w:jc w:val="center"/>
        <w:rPr>
          <w:rFonts w:ascii="Cambria" w:eastAsia="MS Mincho" w:hAnsi="Cambria" w:cs="Times New Roman"/>
          <w:sz w:val="24"/>
          <w:szCs w:val="24"/>
          <w:lang w:val="en-US"/>
        </w:rPr>
      </w:pPr>
      <w:r w:rsidRPr="0070431D">
        <w:rPr>
          <w:rFonts w:ascii="Arial" w:eastAsia="Arial" w:hAnsi="Arial" w:cs="Times New Roman"/>
          <w:b/>
          <w:sz w:val="24"/>
          <w:szCs w:val="24"/>
          <w:lang w:val="en-US"/>
        </w:rPr>
        <w:t xml:space="preserve">Table 1 </w:t>
      </w:r>
      <w:r w:rsidR="00BD2FC2" w:rsidRPr="0070431D">
        <w:rPr>
          <w:rFonts w:ascii="Arial" w:eastAsia="Arial" w:hAnsi="Arial" w:cs="Times New Roman"/>
          <w:b/>
          <w:sz w:val="24"/>
          <w:szCs w:val="24"/>
          <w:lang w:val="en-US"/>
        </w:rPr>
        <w:t>Key Income Statement Indicators 2021–2025 (US$ million)</w:t>
      </w:r>
    </w:p>
    <w:tbl>
      <w:tblPr>
        <w:tblStyle w:val="MediumShading2-Accent2"/>
        <w:tblW w:w="0" w:type="auto"/>
        <w:tblLook w:val="04A0" w:firstRow="1" w:lastRow="0" w:firstColumn="1" w:lastColumn="0" w:noHBand="0" w:noVBand="1"/>
      </w:tblPr>
      <w:tblGrid>
        <w:gridCol w:w="1504"/>
        <w:gridCol w:w="1504"/>
        <w:gridCol w:w="1504"/>
        <w:gridCol w:w="1504"/>
        <w:gridCol w:w="1504"/>
        <w:gridCol w:w="1504"/>
      </w:tblGrid>
      <w:tr w:rsidR="00BD2FC2" w:rsidRPr="00BD2FC2" w:rsidTr="000334B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504"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Indicator</w:t>
            </w:r>
          </w:p>
        </w:tc>
        <w:tc>
          <w:tcPr>
            <w:tcW w:w="1504" w:type="dxa"/>
          </w:tcPr>
          <w:p w:rsidR="00BD2FC2" w:rsidRPr="000334BB" w:rsidRDefault="00BD2FC2" w:rsidP="000334BB">
            <w:pPr>
              <w:spacing w:line="360" w:lineRule="auto"/>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2021</w:t>
            </w:r>
          </w:p>
        </w:tc>
        <w:tc>
          <w:tcPr>
            <w:tcW w:w="1504" w:type="dxa"/>
          </w:tcPr>
          <w:p w:rsidR="00BD2FC2" w:rsidRPr="000334BB" w:rsidRDefault="00BD2FC2" w:rsidP="000334BB">
            <w:pPr>
              <w:spacing w:line="360" w:lineRule="auto"/>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2022</w:t>
            </w:r>
          </w:p>
        </w:tc>
        <w:tc>
          <w:tcPr>
            <w:tcW w:w="1504" w:type="dxa"/>
          </w:tcPr>
          <w:p w:rsidR="00BD2FC2" w:rsidRPr="000334BB" w:rsidRDefault="00BD2FC2" w:rsidP="000334BB">
            <w:pPr>
              <w:spacing w:line="360" w:lineRule="auto"/>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2023</w:t>
            </w:r>
          </w:p>
        </w:tc>
        <w:tc>
          <w:tcPr>
            <w:tcW w:w="1504" w:type="dxa"/>
          </w:tcPr>
          <w:p w:rsidR="00BD2FC2" w:rsidRPr="000334BB" w:rsidRDefault="00BD2FC2" w:rsidP="000334BB">
            <w:pPr>
              <w:spacing w:line="360" w:lineRule="auto"/>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2024</w:t>
            </w:r>
          </w:p>
        </w:tc>
        <w:tc>
          <w:tcPr>
            <w:tcW w:w="1504" w:type="dxa"/>
          </w:tcPr>
          <w:p w:rsidR="00BD2FC2" w:rsidRPr="000334BB" w:rsidRDefault="00BD2FC2" w:rsidP="000334BB">
            <w:pPr>
              <w:spacing w:line="360" w:lineRule="auto"/>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2025</w:t>
            </w:r>
          </w:p>
        </w:tc>
      </w:tr>
      <w:tr w:rsidR="00BD2FC2" w:rsidRPr="00BD2FC2" w:rsidTr="000334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4"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Total Revenue</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2,907</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3,892</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4,624</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4,923</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5,189</w:t>
            </w:r>
          </w:p>
        </w:tc>
      </w:tr>
      <w:tr w:rsidR="00BD2FC2" w:rsidRPr="00BD2FC2" w:rsidTr="000334BB">
        <w:tc>
          <w:tcPr>
            <w:cnfStyle w:val="001000000000" w:firstRow="0" w:lastRow="0" w:firstColumn="1" w:lastColumn="0" w:oddVBand="0" w:evenVBand="0" w:oddHBand="0" w:evenHBand="0" w:firstRowFirstColumn="0" w:firstRowLastColumn="0" w:lastRowFirstColumn="0" w:lastRowLastColumn="0"/>
            <w:tcW w:w="1504"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Operating Profit (IFRS)</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494</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628</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1,066</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1,041</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1,198</w:t>
            </w:r>
          </w:p>
        </w:tc>
      </w:tr>
      <w:tr w:rsidR="00BD2FC2" w:rsidRPr="00BD2FC2" w:rsidTr="000334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4"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Net Income</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265</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376</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750</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628</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759</w:t>
            </w:r>
          </w:p>
        </w:tc>
      </w:tr>
      <w:tr w:rsidR="00BD2FC2" w:rsidRPr="00BD2FC2" w:rsidTr="000334BB">
        <w:tc>
          <w:tcPr>
            <w:cnfStyle w:val="001000000000" w:firstRow="0" w:lastRow="0" w:firstColumn="1" w:lastColumn="0" w:oddVBand="0" w:evenVBand="0" w:oddHBand="0" w:evenHBand="0" w:firstRowFirstColumn="0" w:firstRowLastColumn="0" w:lastRowFirstColumn="0" w:lastRowLastColumn="0"/>
            <w:tcW w:w="1504"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 xml:space="preserve">Basic EPS </w:t>
            </w:r>
            <w:r w:rsidRPr="000334BB">
              <w:rPr>
                <w:rFonts w:ascii="Arial" w:eastAsia="Arial" w:hAnsi="Arial" w:cs="Times New Roman"/>
                <w:sz w:val="24"/>
                <w:szCs w:val="24"/>
              </w:rPr>
              <w:lastRenderedPageBreak/>
              <w:t>(US$)</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lastRenderedPageBreak/>
              <w:t>1.45</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2.07</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4.44</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3.90</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4.91</w:t>
            </w:r>
          </w:p>
        </w:tc>
      </w:tr>
      <w:tr w:rsidR="00BD2FC2" w:rsidRPr="00BD2FC2" w:rsidTr="000334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4"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lastRenderedPageBreak/>
              <w:t>Fee Margin (approx.)</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49.6%</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~56%</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59.3%</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61.2%</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64.8%</w:t>
            </w:r>
          </w:p>
        </w:tc>
      </w:tr>
    </w:tbl>
    <w:p w:rsidR="00BD2FC2" w:rsidRPr="00BD2FC2" w:rsidRDefault="00BD2FC2" w:rsidP="000334BB">
      <w:pPr>
        <w:spacing w:line="360" w:lineRule="auto"/>
        <w:jc w:val="center"/>
        <w:rPr>
          <w:rFonts w:ascii="Cambria" w:eastAsia="MS Mincho" w:hAnsi="Cambria" w:cs="Times New Roman"/>
          <w:lang w:val="en-US"/>
        </w:rPr>
      </w:pPr>
      <w:r w:rsidRPr="00BD2FC2">
        <w:rPr>
          <w:rFonts w:ascii="Arial" w:eastAsia="Arial" w:hAnsi="Arial" w:cs="Times New Roman"/>
          <w:i/>
          <w:sz w:val="18"/>
          <w:lang w:val="en-US"/>
        </w:rPr>
        <w:t>Source: IHG Full Year Results 2021–2025; author’s calculations.</w:t>
      </w:r>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Turning to the balance sheet, total assets increased from US$4,716 million in 2021 to US$5,345 million in 2025. Property, plant and equipment remains modest (approximately US$148 million in 2025), confirming the asset-light character of the business. Cash and cash equivalents have fluctuated with the timing of shareholder returns and debt issuance, ending 2025 at US$1,129 million. Trade and other receivables have grown broadly in line with revenue. Shareholders’ equity has been negative throughout the period, declini</w:t>
      </w:r>
      <w:r w:rsidR="0070431D">
        <w:rPr>
          <w:rFonts w:ascii="Arial" w:eastAsia="Arial" w:hAnsi="Arial" w:cs="Times New Roman"/>
          <w:sz w:val="24"/>
          <w:lang w:val="en-US"/>
        </w:rPr>
        <w:t xml:space="preserve">ng from US$1,474 million to </w:t>
      </w:r>
      <w:r w:rsidRPr="00BD2FC2">
        <w:rPr>
          <w:rFonts w:ascii="Arial" w:eastAsia="Arial" w:hAnsi="Arial" w:cs="Times New Roman"/>
          <w:sz w:val="24"/>
          <w:lang w:val="en-US"/>
        </w:rPr>
        <w:t>US$2,736 million, primarily as a result of share buybacks and dividends that have exceeded retained earnings (IHG, 2026a). Net debt rose from approximately US$1.4 billion to US$3.3 billio</w:t>
      </w:r>
      <w:r w:rsidR="0070431D">
        <w:rPr>
          <w:rFonts w:ascii="Arial" w:eastAsia="Arial" w:hAnsi="Arial" w:cs="Times New Roman"/>
          <w:sz w:val="24"/>
          <w:lang w:val="en-US"/>
        </w:rPr>
        <w:t xml:space="preserve">n, yet the key leverage metric </w:t>
      </w:r>
      <w:r w:rsidRPr="00BD2FC2">
        <w:rPr>
          <w:rFonts w:ascii="Arial" w:eastAsia="Arial" w:hAnsi="Arial" w:cs="Times New Roman"/>
          <w:sz w:val="24"/>
          <w:lang w:val="en-US"/>
        </w:rPr>
        <w:t xml:space="preserve"> net de</w:t>
      </w:r>
      <w:r w:rsidR="0070431D">
        <w:rPr>
          <w:rFonts w:ascii="Arial" w:eastAsia="Arial" w:hAnsi="Arial" w:cs="Times New Roman"/>
          <w:sz w:val="24"/>
          <w:lang w:val="en-US"/>
        </w:rPr>
        <w:t xml:space="preserve">bt / adjusted EBITDA </w:t>
      </w:r>
      <w:r w:rsidRPr="00BD2FC2">
        <w:rPr>
          <w:rFonts w:ascii="Arial" w:eastAsia="Arial" w:hAnsi="Arial" w:cs="Times New Roman"/>
          <w:sz w:val="24"/>
          <w:lang w:val="en-US"/>
        </w:rPr>
        <w:t>remained within a controlled range of 2.1x–3.0x (IHG, 2026a).</w:t>
      </w:r>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 xml:space="preserve">The cash-flow statement demonstrates consistently positive net cash from operating activities (US$636 million in 2021 rising to US$898 million in 2025) and robust adjusted free cash flow, which reached US$893 million in 2025. This cash generation has funded ordinary dividends, substantial share-repurchase </w:t>
      </w:r>
      <w:r w:rsidR="0070431D" w:rsidRPr="00BD2FC2">
        <w:rPr>
          <w:rFonts w:ascii="Arial" w:eastAsia="Arial" w:hAnsi="Arial" w:cs="Times New Roman"/>
          <w:sz w:val="24"/>
          <w:lang w:val="en-US"/>
        </w:rPr>
        <w:t>programs</w:t>
      </w:r>
      <w:r w:rsidRPr="00BD2FC2">
        <w:rPr>
          <w:rFonts w:ascii="Arial" w:eastAsia="Arial" w:hAnsi="Arial" w:cs="Times New Roman"/>
          <w:sz w:val="24"/>
          <w:lang w:val="en-US"/>
        </w:rPr>
        <w:t xml:space="preserve"> (more than US$1.1 billion returned in 2025 alone) and selective acquisitions, while still preserving an investment-grade credit profile (IHG, 2026a; S&amp;P Global, 2025).</w:t>
      </w:r>
    </w:p>
    <w:p w:rsidR="00BD2FC2" w:rsidRPr="00BD2FC2" w:rsidRDefault="009A7230" w:rsidP="000334BB">
      <w:pPr>
        <w:pStyle w:val="Heading2"/>
        <w:numPr>
          <w:ilvl w:val="1"/>
          <w:numId w:val="5"/>
        </w:numPr>
        <w:rPr>
          <w:rFonts w:ascii="Calibri" w:eastAsia="MS Gothic" w:hAnsi="Calibri"/>
          <w:color w:val="4F81BD"/>
          <w:sz w:val="26"/>
          <w:lang w:val="en-US"/>
        </w:rPr>
      </w:pPr>
      <w:r>
        <w:rPr>
          <w:rFonts w:eastAsia="Arial"/>
          <w:lang w:val="en-US"/>
        </w:rPr>
        <w:t xml:space="preserve">  </w:t>
      </w:r>
      <w:bookmarkStart w:id="3" w:name="_Toc236825678"/>
      <w:r w:rsidR="00BD2FC2" w:rsidRPr="00BD2FC2">
        <w:rPr>
          <w:rFonts w:eastAsia="Arial"/>
          <w:lang w:val="en-US"/>
        </w:rPr>
        <w:t>Comprehensive Ratio Analysis</w:t>
      </w:r>
      <w:bookmarkEnd w:id="3"/>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A multi-dimensional ratio analysis covering profitability, liquidity, efficiency, gearing, investment and cash-flow metrics is presented below and in the accompanying Excel workbook (sheet “Ratios_5yr”).</w:t>
      </w:r>
    </w:p>
    <w:p w:rsidR="00BD2FC2" w:rsidRPr="00BD2FC2" w:rsidRDefault="0070431D" w:rsidP="000334BB">
      <w:pPr>
        <w:spacing w:after="160" w:line="360" w:lineRule="auto"/>
        <w:jc w:val="both"/>
        <w:rPr>
          <w:rFonts w:ascii="Cambria" w:eastAsia="MS Mincho" w:hAnsi="Cambria" w:cs="Times New Roman"/>
          <w:lang w:val="en-US"/>
        </w:rPr>
      </w:pPr>
      <w:r>
        <w:rPr>
          <w:rFonts w:ascii="Arial" w:eastAsia="Arial" w:hAnsi="Arial" w:cs="Times New Roman"/>
          <w:sz w:val="24"/>
          <w:lang w:val="en-US"/>
        </w:rPr>
        <w:t>Profitability: o</w:t>
      </w:r>
      <w:r w:rsidR="00BD2FC2" w:rsidRPr="00BD2FC2">
        <w:rPr>
          <w:rFonts w:ascii="Arial" w:eastAsia="Arial" w:hAnsi="Arial" w:cs="Times New Roman"/>
          <w:sz w:val="24"/>
          <w:lang w:val="en-US"/>
        </w:rPr>
        <w:t xml:space="preserve">perating margin (IFRS) improved from 17.0 per cent in 2021 to 23.1 per cent in 2025, while net profit margin rose from 9.1 per cent to 14.6 per cent. The fee margin expansion to 64.8 per cent is the clearest indicator of the model’s inherent leverage. Return on assets (ROA) more than doubled from 5.6 per cent to 14.2 per cent, reflecting both higher absolute profits and efficient </w:t>
      </w:r>
      <w:r w:rsidRPr="00BD2FC2">
        <w:rPr>
          <w:rFonts w:ascii="Arial" w:eastAsia="Arial" w:hAnsi="Arial" w:cs="Times New Roman"/>
          <w:sz w:val="24"/>
          <w:lang w:val="en-US"/>
        </w:rPr>
        <w:t>utilization</w:t>
      </w:r>
      <w:r w:rsidR="00BD2FC2" w:rsidRPr="00BD2FC2">
        <w:rPr>
          <w:rFonts w:ascii="Arial" w:eastAsia="Arial" w:hAnsi="Arial" w:cs="Times New Roman"/>
          <w:sz w:val="24"/>
          <w:lang w:val="en-US"/>
        </w:rPr>
        <w:t xml:space="preserve"> of a lean asset base (Watson and Head, 2019).</w:t>
      </w:r>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lastRenderedPageBreak/>
        <w:t>The current ratio has hovered around 1.0 (0.97–1.27), the quick ratio is virtually identical because inventory is negligible, and the cash ratio has declined modestly from 0.89 to approximately 0.54. These levels are typical of asset-light hospitality companies that generate predictable fee cash flows and maintain undrawn revolving credit facilities (Brealey et al., 2023).</w:t>
      </w:r>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 xml:space="preserve">Efficiency. Asset turnover improved from 0.62x to approximately 0.97x, while fixed-asset turnover remains extraordinarily high (around 35x) because of the minimal owned PPE. Receivable days (DSO) </w:t>
      </w:r>
      <w:r w:rsidR="0070431D" w:rsidRPr="00BD2FC2">
        <w:rPr>
          <w:rFonts w:ascii="Arial" w:eastAsia="Arial" w:hAnsi="Arial" w:cs="Times New Roman"/>
          <w:sz w:val="24"/>
          <w:lang w:val="en-US"/>
        </w:rPr>
        <w:t>stabilized</w:t>
      </w:r>
      <w:r w:rsidRPr="00BD2FC2">
        <w:rPr>
          <w:rFonts w:ascii="Arial" w:eastAsia="Arial" w:hAnsi="Arial" w:cs="Times New Roman"/>
          <w:sz w:val="24"/>
          <w:lang w:val="en-US"/>
        </w:rPr>
        <w:t xml:space="preserve"> near 60 days after an improvement from 72 days in 2021.</w:t>
      </w:r>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Gearing / Leverage. Interest coverage strengthened to approximately 7.8x in 2025. Net debt / adjusted EBITDA of 2.5x sits at the more conservative end of the peer range. Conventional debt-to-equity is meaningless because of negative equity; the more informative metrics are net-debt ratios and interest coverage (Arnold and Lewis, 2019).</w:t>
      </w:r>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Investment ratios. ROE is not interpretable in the conventional sense. The price/earnings ratio compressed from the low-40s to approximately 28x as earnings recovered faster than the share price, suggesting a more reasonable valuation relative to fundamentals (Damodaran, 2024).</w:t>
      </w:r>
    </w:p>
    <w:p w:rsidR="00BD2FC2" w:rsidRPr="00BD2FC2" w:rsidRDefault="0070431D" w:rsidP="000334BB">
      <w:pPr>
        <w:spacing w:after="160" w:line="360" w:lineRule="auto"/>
        <w:jc w:val="both"/>
        <w:rPr>
          <w:rFonts w:ascii="Cambria" w:eastAsia="MS Mincho" w:hAnsi="Cambria" w:cs="Times New Roman"/>
          <w:lang w:val="en-US"/>
        </w:rPr>
      </w:pPr>
      <w:r>
        <w:rPr>
          <w:rFonts w:ascii="Arial" w:eastAsia="Arial" w:hAnsi="Arial" w:cs="Times New Roman"/>
          <w:sz w:val="24"/>
          <w:lang w:val="en-US"/>
        </w:rPr>
        <w:t xml:space="preserve">Cash-flow </w:t>
      </w:r>
      <w:r w:rsidR="00BD2FC2" w:rsidRPr="00BD2FC2">
        <w:rPr>
          <w:rFonts w:ascii="Arial" w:eastAsia="Arial" w:hAnsi="Arial" w:cs="Times New Roman"/>
          <w:sz w:val="24"/>
          <w:lang w:val="en-US"/>
        </w:rPr>
        <w:t>ratios. The operating-cash-flow ratio (OCF / current liabilities) has remained stable around 0.40x. Free-cash-flow margin has stayed healthy in the 15–20 per cent range, confirming strong conversion of profit into cash after capital expenditure.</w:t>
      </w:r>
    </w:p>
    <w:p w:rsidR="00BD2FC2" w:rsidRPr="0070431D" w:rsidRDefault="0070431D" w:rsidP="000334BB">
      <w:pPr>
        <w:spacing w:line="360" w:lineRule="auto"/>
        <w:jc w:val="center"/>
        <w:rPr>
          <w:rFonts w:ascii="Cambria" w:eastAsia="MS Mincho" w:hAnsi="Cambria" w:cs="Times New Roman"/>
          <w:sz w:val="24"/>
          <w:szCs w:val="24"/>
          <w:lang w:val="en-US"/>
        </w:rPr>
      </w:pPr>
      <w:r w:rsidRPr="0070431D">
        <w:rPr>
          <w:rFonts w:ascii="Arial" w:eastAsia="Arial" w:hAnsi="Arial" w:cs="Times New Roman"/>
          <w:b/>
          <w:sz w:val="24"/>
          <w:szCs w:val="24"/>
          <w:lang w:val="en-US"/>
        </w:rPr>
        <w:t>Table 3</w:t>
      </w:r>
      <w:r w:rsidR="00BD2FC2" w:rsidRPr="0070431D">
        <w:rPr>
          <w:rFonts w:ascii="Arial" w:eastAsia="Arial" w:hAnsi="Arial" w:cs="Times New Roman"/>
          <w:b/>
          <w:sz w:val="24"/>
          <w:szCs w:val="24"/>
          <w:lang w:val="en-US"/>
        </w:rPr>
        <w:t xml:space="preserve"> Selected Profitability and Investment Ratios 2021–2025</w:t>
      </w:r>
    </w:p>
    <w:tbl>
      <w:tblPr>
        <w:tblStyle w:val="MediumShading2-Accent3"/>
        <w:tblW w:w="0" w:type="auto"/>
        <w:tblLook w:val="04A0" w:firstRow="1" w:lastRow="0" w:firstColumn="1" w:lastColumn="0" w:noHBand="0" w:noVBand="1"/>
      </w:tblPr>
      <w:tblGrid>
        <w:gridCol w:w="1504"/>
        <w:gridCol w:w="1504"/>
        <w:gridCol w:w="1504"/>
        <w:gridCol w:w="1504"/>
        <w:gridCol w:w="1504"/>
        <w:gridCol w:w="1504"/>
      </w:tblGrid>
      <w:tr w:rsidR="00BD2FC2" w:rsidRPr="00BD2FC2" w:rsidTr="000334B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504"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Ratio</w:t>
            </w:r>
          </w:p>
        </w:tc>
        <w:tc>
          <w:tcPr>
            <w:tcW w:w="1504" w:type="dxa"/>
          </w:tcPr>
          <w:p w:rsidR="00BD2FC2" w:rsidRPr="000334BB" w:rsidRDefault="00BD2FC2" w:rsidP="000334BB">
            <w:pPr>
              <w:spacing w:line="360" w:lineRule="auto"/>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2021</w:t>
            </w:r>
          </w:p>
        </w:tc>
        <w:tc>
          <w:tcPr>
            <w:tcW w:w="1504" w:type="dxa"/>
          </w:tcPr>
          <w:p w:rsidR="00BD2FC2" w:rsidRPr="000334BB" w:rsidRDefault="00BD2FC2" w:rsidP="000334BB">
            <w:pPr>
              <w:spacing w:line="360" w:lineRule="auto"/>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2022</w:t>
            </w:r>
          </w:p>
        </w:tc>
        <w:tc>
          <w:tcPr>
            <w:tcW w:w="1504" w:type="dxa"/>
          </w:tcPr>
          <w:p w:rsidR="00BD2FC2" w:rsidRPr="000334BB" w:rsidRDefault="00BD2FC2" w:rsidP="000334BB">
            <w:pPr>
              <w:spacing w:line="360" w:lineRule="auto"/>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2023</w:t>
            </w:r>
          </w:p>
        </w:tc>
        <w:tc>
          <w:tcPr>
            <w:tcW w:w="1504" w:type="dxa"/>
          </w:tcPr>
          <w:p w:rsidR="00BD2FC2" w:rsidRPr="000334BB" w:rsidRDefault="00BD2FC2" w:rsidP="000334BB">
            <w:pPr>
              <w:spacing w:line="360" w:lineRule="auto"/>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2024</w:t>
            </w:r>
          </w:p>
        </w:tc>
        <w:tc>
          <w:tcPr>
            <w:tcW w:w="1504" w:type="dxa"/>
          </w:tcPr>
          <w:p w:rsidR="00BD2FC2" w:rsidRPr="000334BB" w:rsidRDefault="00BD2FC2" w:rsidP="000334BB">
            <w:pPr>
              <w:spacing w:line="360" w:lineRule="auto"/>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2025</w:t>
            </w:r>
          </w:p>
        </w:tc>
      </w:tr>
      <w:tr w:rsidR="00BD2FC2" w:rsidRPr="00BD2FC2" w:rsidTr="000334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4"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Operating Margin</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17.0%</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16.1%</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23.1%</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21.1%</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23.1%</w:t>
            </w:r>
          </w:p>
        </w:tc>
      </w:tr>
      <w:tr w:rsidR="00BD2FC2" w:rsidRPr="00BD2FC2" w:rsidTr="000334BB">
        <w:tc>
          <w:tcPr>
            <w:cnfStyle w:val="001000000000" w:firstRow="0" w:lastRow="0" w:firstColumn="1" w:lastColumn="0" w:oddVBand="0" w:evenVBand="0" w:oddHBand="0" w:evenHBand="0" w:firstRowFirstColumn="0" w:firstRowLastColumn="0" w:lastRowFirstColumn="0" w:lastRowLastColumn="0"/>
            <w:tcW w:w="1504"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Net Profit Margin</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9.1%</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9.7%</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16.2%</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12.8%</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14.6%</w:t>
            </w:r>
          </w:p>
        </w:tc>
      </w:tr>
      <w:tr w:rsidR="00BD2FC2" w:rsidRPr="00BD2FC2" w:rsidTr="000334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4"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ROA</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5.6%</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8.9%</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15.6%</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13.2%</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14.2%</w:t>
            </w:r>
          </w:p>
        </w:tc>
      </w:tr>
      <w:tr w:rsidR="00BD2FC2" w:rsidRPr="00BD2FC2" w:rsidTr="000334BB">
        <w:tc>
          <w:tcPr>
            <w:cnfStyle w:val="001000000000" w:firstRow="0" w:lastRow="0" w:firstColumn="1" w:lastColumn="0" w:oddVBand="0" w:evenVBand="0" w:oddHBand="0" w:evenHBand="0" w:firstRowFirstColumn="0" w:firstRowLastColumn="0" w:lastRowFirstColumn="0" w:lastRowLastColumn="0"/>
            <w:tcW w:w="1504"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ROE</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N/A</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N/A</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N/A</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N/A</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N/A</w:t>
            </w:r>
          </w:p>
        </w:tc>
      </w:tr>
      <w:tr w:rsidR="00BD2FC2" w:rsidRPr="00BD2FC2" w:rsidTr="000334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4"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lastRenderedPageBreak/>
              <w:t>P/E (approx.)</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41x</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26x</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20x</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31x</w:t>
            </w:r>
          </w:p>
        </w:tc>
        <w:tc>
          <w:tcPr>
            <w:tcW w:w="1504"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28x</w:t>
            </w:r>
          </w:p>
        </w:tc>
      </w:tr>
      <w:tr w:rsidR="00BD2FC2" w:rsidRPr="00BD2FC2" w:rsidTr="000334BB">
        <w:tc>
          <w:tcPr>
            <w:cnfStyle w:val="001000000000" w:firstRow="0" w:lastRow="0" w:firstColumn="1" w:lastColumn="0" w:oddVBand="0" w:evenVBand="0" w:oddHBand="0" w:evenHBand="0" w:firstRowFirstColumn="0" w:firstRowLastColumn="0" w:lastRowFirstColumn="0" w:lastRowLastColumn="0"/>
            <w:tcW w:w="1504"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FCF Margin</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19.6%</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14.5%</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17.7%</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13.3%</w:t>
            </w:r>
          </w:p>
        </w:tc>
        <w:tc>
          <w:tcPr>
            <w:tcW w:w="1504"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17.2%</w:t>
            </w:r>
          </w:p>
        </w:tc>
      </w:tr>
    </w:tbl>
    <w:p w:rsidR="00BD2FC2" w:rsidRPr="00BD2FC2" w:rsidRDefault="00BD2FC2" w:rsidP="000334BB">
      <w:pPr>
        <w:spacing w:line="360" w:lineRule="auto"/>
        <w:jc w:val="center"/>
        <w:rPr>
          <w:rFonts w:ascii="Cambria" w:eastAsia="MS Mincho" w:hAnsi="Cambria" w:cs="Times New Roman"/>
          <w:lang w:val="en-US"/>
        </w:rPr>
      </w:pPr>
      <w:r w:rsidRPr="00BD2FC2">
        <w:rPr>
          <w:rFonts w:ascii="Arial" w:eastAsia="Arial" w:hAnsi="Arial" w:cs="Times New Roman"/>
          <w:i/>
          <w:sz w:val="18"/>
          <w:lang w:val="en-US"/>
        </w:rPr>
        <w:t>Source: Author’s calculations from IHG Full Year Results; Macro</w:t>
      </w:r>
      <w:r w:rsidR="0070431D">
        <w:rPr>
          <w:rFonts w:ascii="Arial" w:eastAsia="Arial" w:hAnsi="Arial" w:cs="Times New Roman"/>
          <w:i/>
          <w:sz w:val="18"/>
          <w:lang w:val="en-US"/>
        </w:rPr>
        <w:t xml:space="preserve"> </w:t>
      </w:r>
      <w:r w:rsidRPr="00BD2FC2">
        <w:rPr>
          <w:rFonts w:ascii="Arial" w:eastAsia="Arial" w:hAnsi="Arial" w:cs="Times New Roman"/>
          <w:i/>
          <w:sz w:val="18"/>
          <w:lang w:val="en-US"/>
        </w:rPr>
        <w:t>trends share-price data.</w:t>
      </w:r>
    </w:p>
    <w:p w:rsidR="00BD2FC2" w:rsidRPr="00BD2FC2" w:rsidRDefault="009A7230" w:rsidP="000334BB">
      <w:pPr>
        <w:pStyle w:val="Heading2"/>
        <w:numPr>
          <w:ilvl w:val="1"/>
          <w:numId w:val="5"/>
        </w:numPr>
        <w:rPr>
          <w:rFonts w:ascii="Calibri" w:eastAsia="MS Gothic" w:hAnsi="Calibri"/>
          <w:color w:val="4F81BD"/>
          <w:sz w:val="26"/>
          <w:lang w:val="en-US"/>
        </w:rPr>
      </w:pPr>
      <w:r>
        <w:rPr>
          <w:rFonts w:eastAsia="Arial"/>
          <w:lang w:val="en-US"/>
        </w:rPr>
        <w:t xml:space="preserve">  </w:t>
      </w:r>
      <w:bookmarkStart w:id="4" w:name="_Toc236825679"/>
      <w:r w:rsidR="00BD2FC2" w:rsidRPr="00BD2FC2">
        <w:rPr>
          <w:rFonts w:eastAsia="Arial"/>
          <w:lang w:val="en-US"/>
        </w:rPr>
        <w:t>Trends, Strengths and Potential Threats</w:t>
      </w:r>
      <w:bookmarkEnd w:id="4"/>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 xml:space="preserve">The dominant trend is a successful post-pandemic recovery </w:t>
      </w:r>
      <w:r w:rsidR="0070431D" w:rsidRPr="00BD2FC2">
        <w:rPr>
          <w:rFonts w:ascii="Arial" w:eastAsia="Arial" w:hAnsi="Arial" w:cs="Times New Roman"/>
          <w:sz w:val="24"/>
          <w:lang w:val="en-US"/>
        </w:rPr>
        <w:t>characterized</w:t>
      </w:r>
      <w:r w:rsidRPr="00BD2FC2">
        <w:rPr>
          <w:rFonts w:ascii="Arial" w:eastAsia="Arial" w:hAnsi="Arial" w:cs="Times New Roman"/>
          <w:sz w:val="24"/>
          <w:lang w:val="en-US"/>
        </w:rPr>
        <w:t xml:space="preserve"> by revenue growth, margin expansion and sustained free-cash-flow generation. Strengths include the highly scalable asset-light model, rising fee margins, disciplined leverage, and a demonstrated capacity to return capital to shareholders while maintaining investment-grade metrics. The negative-equity position, while optically concerning, is a deliberate consequence of buybacks rather than operating losses and is mirrored at Marriott and Hilton (Marriott International, 2026; Hilton Worldwide, 2026).</w:t>
      </w:r>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Potential threats include: (i) sensitivity of travel demand to macroeconomic or geopolitical shocks; (ii) rising cost of capital that could pressure valuation multiples and the economics of future growth capital; (iii) competitive intensity in the midscale and upscale segments; (iv) currency translation risk given the geographic diversity of the system; and (v) the structural limitation that conventional ROE analysis cannot be performed, which may complicate communication with certain investor constituencies (Pike and Neale, 2022).</w:t>
      </w:r>
    </w:p>
    <w:p w:rsidR="00BD2FC2" w:rsidRPr="00BD2FC2" w:rsidRDefault="009A7230" w:rsidP="000334BB">
      <w:pPr>
        <w:pStyle w:val="Heading2"/>
        <w:numPr>
          <w:ilvl w:val="1"/>
          <w:numId w:val="5"/>
        </w:numPr>
        <w:rPr>
          <w:rFonts w:ascii="Calibri" w:eastAsia="MS Gothic" w:hAnsi="Calibri"/>
          <w:color w:val="4F81BD"/>
          <w:sz w:val="26"/>
          <w:lang w:val="en-US"/>
        </w:rPr>
      </w:pPr>
      <w:r>
        <w:rPr>
          <w:rFonts w:eastAsia="Arial"/>
          <w:lang w:val="en-US"/>
        </w:rPr>
        <w:t xml:space="preserve">  </w:t>
      </w:r>
      <w:bookmarkStart w:id="5" w:name="_Toc236825680"/>
      <w:r w:rsidR="00BD2FC2" w:rsidRPr="00BD2FC2">
        <w:rPr>
          <w:rFonts w:eastAsia="Arial"/>
          <w:lang w:val="en-US"/>
        </w:rPr>
        <w:t>Liquidity Ratios vs</w:t>
      </w:r>
      <w:r w:rsidR="0070431D">
        <w:rPr>
          <w:rFonts w:eastAsia="Arial"/>
          <w:lang w:val="en-US"/>
        </w:rPr>
        <w:t>.</w:t>
      </w:r>
      <w:r w:rsidR="00BD2FC2" w:rsidRPr="00BD2FC2">
        <w:rPr>
          <w:rFonts w:eastAsia="Arial"/>
          <w:lang w:val="en-US"/>
        </w:rPr>
        <w:t xml:space="preserve"> Industry Benchmarks</w:t>
      </w:r>
      <w:bookmarkEnd w:id="5"/>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Table 7 places IHG’s 2025 liquidity position in a comparative context. The current ratio of approximately 0.98 is lower than the broader Hotels/Tourism sector average of around 1.22 (CSI</w:t>
      </w:r>
      <w:r w:rsidR="0070431D">
        <w:rPr>
          <w:rFonts w:ascii="Arial" w:eastAsia="Arial" w:hAnsi="Arial" w:cs="Times New Roman"/>
          <w:sz w:val="24"/>
          <w:lang w:val="en-US"/>
        </w:rPr>
        <w:t xml:space="preserve"> </w:t>
      </w:r>
      <w:r w:rsidRPr="00BD2FC2">
        <w:rPr>
          <w:rFonts w:ascii="Arial" w:eastAsia="Arial" w:hAnsi="Arial" w:cs="Times New Roman"/>
          <w:sz w:val="24"/>
          <w:lang w:val="en-US"/>
        </w:rPr>
        <w:t>Market, 2026), yet it is higher than Marriott’s reported figure of approximately 0.43 and consistent with the profile of other pure asset-light operators. Inventory is negligible, so the quick ratio is essentially identical to the current ratio. The cash ratio of ~0.54 indicates a comfortable cash buffer relative to current liabilities when viewed alongside undrawn committed facilities.</w:t>
      </w:r>
    </w:p>
    <w:p w:rsidR="00BD2FC2" w:rsidRDefault="00BD2FC2" w:rsidP="000334BB">
      <w:pPr>
        <w:spacing w:after="160" w:line="360" w:lineRule="auto"/>
        <w:jc w:val="both"/>
        <w:rPr>
          <w:rFonts w:ascii="Arial" w:eastAsia="Arial" w:hAnsi="Arial" w:cs="Times New Roman"/>
          <w:sz w:val="24"/>
          <w:lang w:val="en-US"/>
        </w:rPr>
      </w:pPr>
      <w:r w:rsidRPr="00BD2FC2">
        <w:rPr>
          <w:rFonts w:ascii="Arial" w:eastAsia="Arial" w:hAnsi="Arial" w:cs="Times New Roman"/>
          <w:sz w:val="24"/>
          <w:lang w:val="en-US"/>
        </w:rPr>
        <w:t xml:space="preserve">The apparent “weakness” relative to a mixed industry average is therefore largely an artefact of business-model differences. Owned-hotel operators typically carry higher inventory and receivables, producing higher current ratios. For a fee-based </w:t>
      </w:r>
      <w:r w:rsidRPr="00BD2FC2">
        <w:rPr>
          <w:rFonts w:ascii="Arial" w:eastAsia="Arial" w:hAnsi="Arial" w:cs="Times New Roman"/>
          <w:sz w:val="24"/>
          <w:lang w:val="en-US"/>
        </w:rPr>
        <w:lastRenderedPageBreak/>
        <w:t xml:space="preserve">franchisor, liquidity is better judged by the predictability of fee collections, the availability of revolving credit, </w:t>
      </w:r>
      <w:r w:rsidR="0070431D">
        <w:rPr>
          <w:rFonts w:ascii="Arial" w:eastAsia="Arial" w:hAnsi="Arial" w:cs="Times New Roman"/>
          <w:sz w:val="24"/>
          <w:lang w:val="en-US"/>
        </w:rPr>
        <w:t xml:space="preserve">and free-cash-flow conversion </w:t>
      </w:r>
      <w:r w:rsidRPr="00BD2FC2">
        <w:rPr>
          <w:rFonts w:ascii="Arial" w:eastAsia="Arial" w:hAnsi="Arial" w:cs="Times New Roman"/>
          <w:sz w:val="24"/>
          <w:lang w:val="en-US"/>
        </w:rPr>
        <w:t>all of which remain robust for IHG (Arnold and Lewis, 2019; IHG, 2026a).</w:t>
      </w:r>
    </w:p>
    <w:p w:rsidR="000334BB" w:rsidRPr="00BD2FC2" w:rsidRDefault="000334BB" w:rsidP="000334BB">
      <w:pPr>
        <w:spacing w:after="160" w:line="360" w:lineRule="auto"/>
        <w:jc w:val="both"/>
        <w:rPr>
          <w:rFonts w:ascii="Cambria" w:eastAsia="MS Mincho" w:hAnsi="Cambria" w:cs="Times New Roman"/>
          <w:lang w:val="en-US"/>
        </w:rPr>
      </w:pPr>
    </w:p>
    <w:p w:rsidR="00BD2FC2" w:rsidRPr="0070431D" w:rsidRDefault="0070431D" w:rsidP="000334BB">
      <w:pPr>
        <w:spacing w:line="360" w:lineRule="auto"/>
        <w:jc w:val="center"/>
        <w:rPr>
          <w:rFonts w:ascii="Cambria" w:eastAsia="MS Mincho" w:hAnsi="Cambria" w:cs="Times New Roman"/>
          <w:sz w:val="24"/>
          <w:szCs w:val="24"/>
          <w:lang w:val="en-US"/>
        </w:rPr>
      </w:pPr>
      <w:r>
        <w:rPr>
          <w:rFonts w:ascii="Arial" w:eastAsia="Arial" w:hAnsi="Arial" w:cs="Times New Roman"/>
          <w:b/>
          <w:sz w:val="24"/>
          <w:szCs w:val="24"/>
          <w:lang w:val="en-US"/>
        </w:rPr>
        <w:t>Table 7</w:t>
      </w:r>
      <w:r w:rsidR="00BD2FC2" w:rsidRPr="0070431D">
        <w:rPr>
          <w:rFonts w:ascii="Arial" w:eastAsia="Arial" w:hAnsi="Arial" w:cs="Times New Roman"/>
          <w:b/>
          <w:sz w:val="24"/>
          <w:szCs w:val="24"/>
          <w:lang w:val="en-US"/>
        </w:rPr>
        <w:t xml:space="preserve"> Liquidity Benchmark Comparison (2025)</w:t>
      </w:r>
    </w:p>
    <w:tbl>
      <w:tblPr>
        <w:tblStyle w:val="MediumShading2-Accent4"/>
        <w:tblW w:w="0" w:type="auto"/>
        <w:tblLook w:val="04A0" w:firstRow="1" w:lastRow="0" w:firstColumn="1" w:lastColumn="0" w:noHBand="0" w:noVBand="1"/>
      </w:tblPr>
      <w:tblGrid>
        <w:gridCol w:w="1805"/>
        <w:gridCol w:w="1805"/>
        <w:gridCol w:w="1805"/>
        <w:gridCol w:w="1805"/>
        <w:gridCol w:w="1805"/>
      </w:tblGrid>
      <w:tr w:rsidR="00BD2FC2" w:rsidRPr="00BD2FC2" w:rsidTr="00587B4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b w:val="0"/>
                <w:sz w:val="24"/>
                <w:szCs w:val="24"/>
              </w:rPr>
              <w:t>Ratio</w:t>
            </w:r>
          </w:p>
        </w:tc>
        <w:tc>
          <w:tcPr>
            <w:tcW w:w="1805" w:type="dxa"/>
          </w:tcPr>
          <w:p w:rsidR="00BD2FC2" w:rsidRPr="000334BB" w:rsidRDefault="00BD2FC2" w:rsidP="000334BB">
            <w:pPr>
              <w:spacing w:line="360" w:lineRule="auto"/>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b w:val="0"/>
                <w:sz w:val="24"/>
                <w:szCs w:val="24"/>
              </w:rPr>
              <w:t>IHG</w:t>
            </w:r>
          </w:p>
        </w:tc>
        <w:tc>
          <w:tcPr>
            <w:tcW w:w="1805" w:type="dxa"/>
          </w:tcPr>
          <w:p w:rsidR="00BD2FC2" w:rsidRPr="000334BB" w:rsidRDefault="00BD2FC2" w:rsidP="000334BB">
            <w:pPr>
              <w:spacing w:line="360" w:lineRule="auto"/>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b w:val="0"/>
                <w:sz w:val="24"/>
                <w:szCs w:val="24"/>
              </w:rPr>
              <w:t>Marriott</w:t>
            </w:r>
          </w:p>
        </w:tc>
        <w:tc>
          <w:tcPr>
            <w:tcW w:w="1805" w:type="dxa"/>
          </w:tcPr>
          <w:p w:rsidR="00BD2FC2" w:rsidRPr="000334BB" w:rsidRDefault="00BD2FC2" w:rsidP="000334BB">
            <w:pPr>
              <w:spacing w:line="360" w:lineRule="auto"/>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b w:val="0"/>
                <w:sz w:val="24"/>
                <w:szCs w:val="24"/>
              </w:rPr>
              <w:t>Hilton (typ.)</w:t>
            </w:r>
          </w:p>
        </w:tc>
        <w:tc>
          <w:tcPr>
            <w:tcW w:w="1805" w:type="dxa"/>
          </w:tcPr>
          <w:p w:rsidR="00BD2FC2" w:rsidRPr="000334BB" w:rsidRDefault="00BD2FC2" w:rsidP="000334BB">
            <w:pPr>
              <w:spacing w:line="360" w:lineRule="auto"/>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b w:val="0"/>
                <w:sz w:val="24"/>
                <w:szCs w:val="24"/>
              </w:rPr>
              <w:t>Industry Avg</w:t>
            </w:r>
          </w:p>
        </w:tc>
      </w:tr>
      <w:tr w:rsidR="00BD2FC2" w:rsidRPr="00BD2FC2" w:rsidTr="00587B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Current Ratio</w:t>
            </w:r>
          </w:p>
        </w:tc>
        <w:tc>
          <w:tcPr>
            <w:tcW w:w="1805"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0.98</w:t>
            </w:r>
          </w:p>
        </w:tc>
        <w:tc>
          <w:tcPr>
            <w:tcW w:w="1805"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0.43</w:t>
            </w:r>
          </w:p>
        </w:tc>
        <w:tc>
          <w:tcPr>
            <w:tcW w:w="1805"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1.0</w:t>
            </w:r>
          </w:p>
        </w:tc>
        <w:tc>
          <w:tcPr>
            <w:tcW w:w="1805"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1.22</w:t>
            </w:r>
          </w:p>
        </w:tc>
      </w:tr>
      <w:tr w:rsidR="00BD2FC2" w:rsidRPr="00BD2FC2" w:rsidTr="00587B43">
        <w:tc>
          <w:tcPr>
            <w:cnfStyle w:val="001000000000" w:firstRow="0" w:lastRow="0" w:firstColumn="1" w:lastColumn="0" w:oddVBand="0" w:evenVBand="0" w:oddHBand="0" w:evenHBand="0" w:firstRowFirstColumn="0" w:firstRowLastColumn="0" w:lastRowFirstColumn="0" w:lastRowLastColumn="0"/>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Quick Ratio</w:t>
            </w:r>
          </w:p>
        </w:tc>
        <w:tc>
          <w:tcPr>
            <w:tcW w:w="1805"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0.97</w:t>
            </w:r>
          </w:p>
        </w:tc>
        <w:tc>
          <w:tcPr>
            <w:tcW w:w="1805"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Similar</w:t>
            </w:r>
          </w:p>
        </w:tc>
        <w:tc>
          <w:tcPr>
            <w:tcW w:w="1805"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Similar</w:t>
            </w:r>
          </w:p>
        </w:tc>
        <w:tc>
          <w:tcPr>
            <w:tcW w:w="1805"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1.1</w:t>
            </w:r>
          </w:p>
        </w:tc>
      </w:tr>
      <w:tr w:rsidR="00BD2FC2" w:rsidRPr="00BD2FC2" w:rsidTr="00587B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Cash Ratio</w:t>
            </w:r>
          </w:p>
        </w:tc>
        <w:tc>
          <w:tcPr>
            <w:tcW w:w="1805"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0.54</w:t>
            </w:r>
          </w:p>
        </w:tc>
        <w:tc>
          <w:tcPr>
            <w:tcW w:w="1805"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Lower</w:t>
            </w:r>
          </w:p>
        </w:tc>
        <w:tc>
          <w:tcPr>
            <w:tcW w:w="1805"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Comparable</w:t>
            </w:r>
          </w:p>
        </w:tc>
        <w:tc>
          <w:tcPr>
            <w:tcW w:w="1805" w:type="dxa"/>
          </w:tcPr>
          <w:p w:rsidR="00BD2FC2" w:rsidRPr="000334BB" w:rsidRDefault="00BD2FC2" w:rsidP="000334BB">
            <w:pPr>
              <w:spacing w:line="360" w:lineRule="auto"/>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Varies</w:t>
            </w:r>
          </w:p>
        </w:tc>
      </w:tr>
      <w:tr w:rsidR="00BD2FC2" w:rsidRPr="00BD2FC2" w:rsidTr="00587B43">
        <w:tc>
          <w:tcPr>
            <w:cnfStyle w:val="001000000000" w:firstRow="0" w:lastRow="0" w:firstColumn="1" w:lastColumn="0" w:oddVBand="0" w:evenVBand="0" w:oddHBand="0" w:evenHBand="0" w:firstRowFirstColumn="0" w:firstRowLastColumn="0" w:lastRowFirstColumn="0" w:lastRowLastColumn="0"/>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OCF / CL</w:t>
            </w:r>
          </w:p>
        </w:tc>
        <w:tc>
          <w:tcPr>
            <w:tcW w:w="1805"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0.43x</w:t>
            </w:r>
          </w:p>
        </w:tc>
        <w:tc>
          <w:tcPr>
            <w:tcW w:w="1805"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0.3–0.5x</w:t>
            </w:r>
          </w:p>
        </w:tc>
        <w:tc>
          <w:tcPr>
            <w:tcW w:w="1805"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Similar</w:t>
            </w:r>
          </w:p>
        </w:tc>
        <w:tc>
          <w:tcPr>
            <w:tcW w:w="1805" w:type="dxa"/>
          </w:tcPr>
          <w:p w:rsidR="00BD2FC2" w:rsidRPr="000334BB" w:rsidRDefault="00BD2FC2" w:rsidP="000334BB">
            <w:pPr>
              <w:spacing w:line="360" w:lineRule="auto"/>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0334BB">
              <w:rPr>
                <w:rFonts w:ascii="Arial" w:eastAsia="Arial" w:hAnsi="Arial" w:cs="Times New Roman"/>
                <w:sz w:val="24"/>
                <w:szCs w:val="24"/>
              </w:rPr>
              <w:t>0.3–0.5x</w:t>
            </w:r>
          </w:p>
        </w:tc>
      </w:tr>
    </w:tbl>
    <w:p w:rsidR="00BD2FC2" w:rsidRPr="00BD2FC2" w:rsidRDefault="00BD2FC2" w:rsidP="000334BB">
      <w:pPr>
        <w:spacing w:line="360" w:lineRule="auto"/>
        <w:jc w:val="center"/>
        <w:rPr>
          <w:rFonts w:ascii="Cambria" w:eastAsia="MS Mincho" w:hAnsi="Cambria" w:cs="Times New Roman"/>
          <w:lang w:val="en-US"/>
        </w:rPr>
      </w:pPr>
      <w:r w:rsidRPr="00BD2FC2">
        <w:rPr>
          <w:rFonts w:ascii="Arial" w:eastAsia="Arial" w:hAnsi="Arial" w:cs="Times New Roman"/>
          <w:i/>
          <w:sz w:val="18"/>
          <w:lang w:val="en-US"/>
        </w:rPr>
        <w:t>Source: Author’s calculations; CSI</w:t>
      </w:r>
      <w:r w:rsidR="0070431D">
        <w:rPr>
          <w:rFonts w:ascii="Arial" w:eastAsia="Arial" w:hAnsi="Arial" w:cs="Times New Roman"/>
          <w:i/>
          <w:sz w:val="18"/>
          <w:lang w:val="en-US"/>
        </w:rPr>
        <w:t xml:space="preserve"> </w:t>
      </w:r>
      <w:r w:rsidRPr="00BD2FC2">
        <w:rPr>
          <w:rFonts w:ascii="Arial" w:eastAsia="Arial" w:hAnsi="Arial" w:cs="Times New Roman"/>
          <w:i/>
          <w:sz w:val="18"/>
          <w:lang w:val="en-US"/>
        </w:rPr>
        <w:t>Market (2026); company filings.</w:t>
      </w:r>
    </w:p>
    <w:p w:rsidR="00BD2FC2" w:rsidRPr="00BD2FC2" w:rsidRDefault="00BD2FC2" w:rsidP="000334BB">
      <w:pPr>
        <w:pStyle w:val="Heading1"/>
        <w:rPr>
          <w:rFonts w:ascii="Calibri" w:eastAsia="MS Gothic" w:hAnsi="Calibri"/>
          <w:color w:val="365F91"/>
          <w:lang w:val="en-US"/>
        </w:rPr>
      </w:pPr>
      <w:bookmarkStart w:id="6" w:name="_Toc236825681"/>
      <w:r w:rsidRPr="00BD2FC2">
        <w:rPr>
          <w:rFonts w:eastAsia="Arial"/>
          <w:lang w:val="en-US"/>
        </w:rPr>
        <w:t>Working Capital Management Analysis</w:t>
      </w:r>
      <w:bookmarkEnd w:id="6"/>
    </w:p>
    <w:p w:rsidR="009A7230" w:rsidRPr="009A7230" w:rsidRDefault="009A7230" w:rsidP="000334BB">
      <w:pPr>
        <w:pStyle w:val="ListParagraph"/>
        <w:keepNext/>
        <w:keepLines/>
        <w:numPr>
          <w:ilvl w:val="0"/>
          <w:numId w:val="6"/>
        </w:numPr>
        <w:spacing w:before="200" w:after="0" w:line="360" w:lineRule="auto"/>
        <w:contextualSpacing w:val="0"/>
        <w:outlineLvl w:val="1"/>
        <w:rPr>
          <w:rFonts w:ascii="Arial" w:eastAsia="Arial" w:hAnsi="Arial" w:cstheme="majorBidi"/>
          <w:b/>
          <w:bCs/>
          <w:vanish/>
          <w:color w:val="000000" w:themeColor="text1"/>
          <w:sz w:val="28"/>
          <w:szCs w:val="26"/>
          <w:lang w:val="en-US"/>
        </w:rPr>
      </w:pPr>
      <w:bookmarkStart w:id="7" w:name="_Toc236825384"/>
      <w:bookmarkStart w:id="8" w:name="_Toc236825682"/>
      <w:bookmarkEnd w:id="7"/>
      <w:bookmarkEnd w:id="8"/>
    </w:p>
    <w:p w:rsidR="009A7230" w:rsidRPr="009A7230" w:rsidRDefault="009A7230" w:rsidP="000334BB">
      <w:pPr>
        <w:pStyle w:val="ListParagraph"/>
        <w:keepNext/>
        <w:keepLines/>
        <w:numPr>
          <w:ilvl w:val="0"/>
          <w:numId w:val="6"/>
        </w:numPr>
        <w:spacing w:before="200" w:after="0" w:line="360" w:lineRule="auto"/>
        <w:contextualSpacing w:val="0"/>
        <w:outlineLvl w:val="1"/>
        <w:rPr>
          <w:rFonts w:ascii="Arial" w:eastAsia="Arial" w:hAnsi="Arial" w:cstheme="majorBidi"/>
          <w:b/>
          <w:bCs/>
          <w:vanish/>
          <w:color w:val="000000" w:themeColor="text1"/>
          <w:sz w:val="28"/>
          <w:szCs w:val="26"/>
          <w:lang w:val="en-US"/>
        </w:rPr>
      </w:pPr>
      <w:bookmarkStart w:id="9" w:name="_Toc236825385"/>
      <w:bookmarkStart w:id="10" w:name="_Toc236825683"/>
      <w:bookmarkEnd w:id="9"/>
      <w:bookmarkEnd w:id="10"/>
    </w:p>
    <w:p w:rsidR="00BD2FC2" w:rsidRPr="00BD2FC2" w:rsidRDefault="009A7230" w:rsidP="000334BB">
      <w:pPr>
        <w:pStyle w:val="Heading2"/>
        <w:rPr>
          <w:rFonts w:ascii="Calibri" w:eastAsia="MS Gothic" w:hAnsi="Calibri"/>
          <w:color w:val="4F81BD"/>
          <w:sz w:val="26"/>
          <w:lang w:val="en-US"/>
        </w:rPr>
      </w:pPr>
      <w:r>
        <w:rPr>
          <w:rFonts w:eastAsia="Arial"/>
          <w:lang w:val="en-US"/>
        </w:rPr>
        <w:t xml:space="preserve"> </w:t>
      </w:r>
      <w:bookmarkStart w:id="11" w:name="_Toc236825684"/>
      <w:r w:rsidR="00BD2FC2" w:rsidRPr="00BD2FC2">
        <w:rPr>
          <w:rFonts w:eastAsia="Arial"/>
          <w:lang w:val="en-US"/>
        </w:rPr>
        <w:t>Cash Operating Cycle Assessment</w:t>
      </w:r>
      <w:bookmarkEnd w:id="11"/>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The cash conversion cycle (CCC) is defined as Inv</w:t>
      </w:r>
      <w:r w:rsidR="0070431D">
        <w:rPr>
          <w:rFonts w:ascii="Arial" w:eastAsia="Arial" w:hAnsi="Arial" w:cs="Times New Roman"/>
          <w:sz w:val="24"/>
          <w:lang w:val="en-US"/>
        </w:rPr>
        <w:t xml:space="preserve">entory Days and Receivable Days </w:t>
      </w:r>
      <w:r w:rsidRPr="00BD2FC2">
        <w:rPr>
          <w:rFonts w:ascii="Arial" w:eastAsia="Arial" w:hAnsi="Arial" w:cs="Times New Roman"/>
          <w:sz w:val="24"/>
          <w:lang w:val="en-US"/>
        </w:rPr>
        <w:t>Payable Days (Brealey et al., 2023). For IHG the calculation yields a strongly negative CCC in the years for which complete dat</w:t>
      </w:r>
      <w:r w:rsidR="0070431D">
        <w:rPr>
          <w:rFonts w:ascii="Arial" w:eastAsia="Arial" w:hAnsi="Arial" w:cs="Times New Roman"/>
          <w:sz w:val="24"/>
          <w:lang w:val="en-US"/>
        </w:rPr>
        <w:t xml:space="preserve">a are available (approximately 257 days in 2024 and </w:t>
      </w:r>
      <w:r w:rsidRPr="00BD2FC2">
        <w:rPr>
          <w:rFonts w:ascii="Arial" w:eastAsia="Arial" w:hAnsi="Arial" w:cs="Times New Roman"/>
          <w:sz w:val="24"/>
          <w:lang w:val="en-US"/>
        </w:rPr>
        <w:t xml:space="preserve">260 days in 2025). Inventory days are effectively zero (0–2 days) because the Group holds virtually no trading inventory. Receivable days (DSO) have </w:t>
      </w:r>
      <w:r w:rsidR="00B20456" w:rsidRPr="00BD2FC2">
        <w:rPr>
          <w:rFonts w:ascii="Arial" w:eastAsia="Arial" w:hAnsi="Arial" w:cs="Times New Roman"/>
          <w:sz w:val="24"/>
          <w:lang w:val="en-US"/>
        </w:rPr>
        <w:t>stabilized</w:t>
      </w:r>
      <w:r w:rsidRPr="00BD2FC2">
        <w:rPr>
          <w:rFonts w:ascii="Arial" w:eastAsia="Arial" w:hAnsi="Arial" w:cs="Times New Roman"/>
          <w:sz w:val="24"/>
          <w:lang w:val="en-US"/>
        </w:rPr>
        <w:t xml:space="preserve"> near 60 days after improving from 72 days in 2021. Payable days appear very high (around 320 days) when measured against cost of sales; however, the “trade and other payables” balance includes substantial deferred revenue, loyalty-</w:t>
      </w:r>
      <w:r w:rsidR="00B20456" w:rsidRPr="00BD2FC2">
        <w:rPr>
          <w:rFonts w:ascii="Arial" w:eastAsia="Arial" w:hAnsi="Arial" w:cs="Times New Roman"/>
          <w:sz w:val="24"/>
          <w:lang w:val="en-US"/>
        </w:rPr>
        <w:t>programmed</w:t>
      </w:r>
      <w:r w:rsidRPr="00BD2FC2">
        <w:rPr>
          <w:rFonts w:ascii="Arial" w:eastAsia="Arial" w:hAnsi="Arial" w:cs="Times New Roman"/>
          <w:sz w:val="24"/>
          <w:lang w:val="en-US"/>
        </w:rPr>
        <w:t xml:space="preserve"> liabilities and System Fund items, so the conventional interpretation of supplier credit is inflated (IHG, 2026a).</w:t>
      </w:r>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A negative CCC indicates that the operating cyc</w:t>
      </w:r>
      <w:r w:rsidR="0070431D">
        <w:rPr>
          <w:rFonts w:ascii="Arial" w:eastAsia="Arial" w:hAnsi="Arial" w:cs="Times New Roman"/>
          <w:sz w:val="24"/>
          <w:lang w:val="en-US"/>
        </w:rPr>
        <w:t xml:space="preserve">le is a net generator of cash </w:t>
      </w:r>
      <w:r w:rsidRPr="00BD2FC2">
        <w:rPr>
          <w:rFonts w:ascii="Arial" w:eastAsia="Arial" w:hAnsi="Arial" w:cs="Times New Roman"/>
          <w:sz w:val="24"/>
          <w:lang w:val="en-US"/>
        </w:rPr>
        <w:t xml:space="preserve">a highly desirable characteristic for an asset-light platform. The primary working-capital focus for management is therefore the efficiency of fee collection (DSO) and the prudent management of loyalty and deferred-revenue balances rather than classic inventory </w:t>
      </w:r>
      <w:r w:rsidR="00B20456" w:rsidRPr="00BD2FC2">
        <w:rPr>
          <w:rFonts w:ascii="Arial" w:eastAsia="Arial" w:hAnsi="Arial" w:cs="Times New Roman"/>
          <w:sz w:val="24"/>
          <w:lang w:val="en-US"/>
        </w:rPr>
        <w:t>optimization</w:t>
      </w:r>
      <w:r w:rsidRPr="00BD2FC2">
        <w:rPr>
          <w:rFonts w:ascii="Arial" w:eastAsia="Arial" w:hAnsi="Arial" w:cs="Times New Roman"/>
          <w:sz w:val="24"/>
          <w:lang w:val="en-US"/>
        </w:rPr>
        <w:t xml:space="preserve"> (Watson and Head, 2019).</w:t>
      </w:r>
    </w:p>
    <w:p w:rsidR="00BD2FC2" w:rsidRPr="00BD2FC2" w:rsidRDefault="009A7230" w:rsidP="000334BB">
      <w:pPr>
        <w:pStyle w:val="Heading2"/>
        <w:rPr>
          <w:rFonts w:ascii="Calibri" w:eastAsia="MS Gothic" w:hAnsi="Calibri"/>
          <w:color w:val="4F81BD"/>
          <w:sz w:val="26"/>
          <w:lang w:val="en-US"/>
        </w:rPr>
      </w:pPr>
      <w:r>
        <w:rPr>
          <w:rFonts w:eastAsia="Arial"/>
          <w:lang w:val="en-US"/>
        </w:rPr>
        <w:lastRenderedPageBreak/>
        <w:t xml:space="preserve"> </w:t>
      </w:r>
      <w:bookmarkStart w:id="12" w:name="_Toc236825685"/>
      <w:r w:rsidR="00BD2FC2" w:rsidRPr="00BD2FC2">
        <w:rPr>
          <w:rFonts w:eastAsia="Arial"/>
          <w:lang w:val="en-US"/>
        </w:rPr>
        <w:t>Strategies to Improve Liquidity through Working Capital Reforms</w:t>
      </w:r>
      <w:bookmarkEnd w:id="12"/>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 xml:space="preserve">Although liquidity is already adequate, incremental improvements can be pursued. First, continued investment in automated billing and owner-portal technology can further compress DSO toward the mid-50-day range without damaging owner relationships. Second, dynamic management of loyalty-point liability and advance-deposit balances can smooth cash timing. Third, the Group should maintain a target cash buffer calibrated to stress-test scenarios (e.g., a 20–30 per cent temporary drop in RevPAR) while returning surplus cash via dividends and buybacks once the buffer is secure. Fourth, supply-chain finance </w:t>
      </w:r>
      <w:r w:rsidR="0070431D" w:rsidRPr="00BD2FC2">
        <w:rPr>
          <w:rFonts w:ascii="Arial" w:eastAsia="Arial" w:hAnsi="Arial" w:cs="Times New Roman"/>
          <w:sz w:val="24"/>
          <w:lang w:val="en-US"/>
        </w:rPr>
        <w:t>programs</w:t>
      </w:r>
      <w:r w:rsidRPr="00BD2FC2">
        <w:rPr>
          <w:rFonts w:ascii="Arial" w:eastAsia="Arial" w:hAnsi="Arial" w:cs="Times New Roman"/>
          <w:sz w:val="24"/>
          <w:lang w:val="en-US"/>
        </w:rPr>
        <w:t xml:space="preserve"> for larger franchisees can be explored on a voluntary basis to support system health without transferring credit risk onto IHG’s balance sheet (Deloitte, 2025).</w:t>
      </w:r>
    </w:p>
    <w:p w:rsidR="00BD2FC2" w:rsidRPr="00BD2FC2" w:rsidRDefault="009A7230" w:rsidP="000334BB">
      <w:pPr>
        <w:pStyle w:val="Heading2"/>
        <w:rPr>
          <w:rFonts w:ascii="Calibri" w:eastAsia="MS Gothic" w:hAnsi="Calibri"/>
          <w:color w:val="4F81BD"/>
          <w:sz w:val="26"/>
          <w:lang w:val="en-US"/>
        </w:rPr>
      </w:pPr>
      <w:r>
        <w:rPr>
          <w:rFonts w:eastAsia="Arial"/>
          <w:lang w:val="en-US"/>
        </w:rPr>
        <w:t xml:space="preserve">  </w:t>
      </w:r>
      <w:bookmarkStart w:id="13" w:name="_Toc236825686"/>
      <w:r w:rsidR="00BD2FC2" w:rsidRPr="00BD2FC2">
        <w:rPr>
          <w:rFonts w:eastAsia="Arial"/>
          <w:lang w:val="en-US"/>
        </w:rPr>
        <w:t xml:space="preserve">Short-term </w:t>
      </w:r>
      <w:r w:rsidR="0070431D" w:rsidRPr="00BD2FC2">
        <w:rPr>
          <w:rFonts w:eastAsia="Arial"/>
          <w:lang w:val="en-US"/>
        </w:rPr>
        <w:t>vs.</w:t>
      </w:r>
      <w:r w:rsidR="00BD2FC2" w:rsidRPr="00BD2FC2">
        <w:rPr>
          <w:rFonts w:eastAsia="Arial"/>
          <w:lang w:val="en-US"/>
        </w:rPr>
        <w:t xml:space="preserve"> Long-term Financing Options</w:t>
      </w:r>
      <w:bookmarkEnd w:id="13"/>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IHG’s financing mix already leans toward longer-dated bonds and committed revolving facilities, consistent with an investment-grade profile. Short-term financing (commercial paper, short-term bank lines) offers flexibility and lower all-in cost in normal markets but introduces refinancing risk. Long-term debt provides certainty of tenure and matches the long-lived nature of brand and contract assets, at the cost of higher coupons and potential early-call constraints. Given the Group’s strong free-cash-flow generation and the desire to preserve rating-agency headroom, the preference should remain for a predominantly long-term debt stack supplemented by a substantial undrawn revolving credit facility for liquidity insurance (Arnold and Lewis, 2019; S&amp;P Global, 2025). Equity issuance is unnecessary at present and would be dilutive given the buyback history.</w:t>
      </w:r>
    </w:p>
    <w:p w:rsidR="00BD2FC2" w:rsidRPr="00BD2FC2" w:rsidRDefault="00BD2FC2" w:rsidP="000334BB">
      <w:pPr>
        <w:pStyle w:val="Heading1"/>
        <w:rPr>
          <w:rFonts w:ascii="Calibri" w:eastAsia="MS Gothic" w:hAnsi="Calibri"/>
          <w:color w:val="365F91"/>
          <w:lang w:val="en-US"/>
        </w:rPr>
      </w:pPr>
      <w:bookmarkStart w:id="14" w:name="_Toc236825687"/>
      <w:r w:rsidRPr="00BD2FC2">
        <w:rPr>
          <w:rFonts w:eastAsia="Arial"/>
          <w:lang w:val="en-US"/>
        </w:rPr>
        <w:t>Strategic Financial Restructuring Plan</w:t>
      </w:r>
      <w:bookmarkEnd w:id="14"/>
    </w:p>
    <w:p w:rsidR="009A7230" w:rsidRPr="009A7230" w:rsidRDefault="009A7230" w:rsidP="000334BB">
      <w:pPr>
        <w:pStyle w:val="ListParagraph"/>
        <w:keepNext/>
        <w:keepLines/>
        <w:numPr>
          <w:ilvl w:val="0"/>
          <w:numId w:val="7"/>
        </w:numPr>
        <w:spacing w:before="200" w:after="0" w:line="360" w:lineRule="auto"/>
        <w:contextualSpacing w:val="0"/>
        <w:outlineLvl w:val="1"/>
        <w:rPr>
          <w:rFonts w:ascii="Arial" w:eastAsia="Arial" w:hAnsi="Arial" w:cstheme="majorBidi"/>
          <w:b/>
          <w:bCs/>
          <w:vanish/>
          <w:color w:val="000000" w:themeColor="text1"/>
          <w:sz w:val="28"/>
          <w:szCs w:val="26"/>
          <w:lang w:val="en-US"/>
        </w:rPr>
      </w:pPr>
      <w:bookmarkStart w:id="15" w:name="_Toc236825390"/>
      <w:bookmarkStart w:id="16" w:name="_Toc236825688"/>
      <w:bookmarkEnd w:id="15"/>
      <w:bookmarkEnd w:id="16"/>
    </w:p>
    <w:p w:rsidR="00BD2FC2" w:rsidRPr="009A7230" w:rsidRDefault="009A7230" w:rsidP="000334BB">
      <w:pPr>
        <w:pStyle w:val="Heading2"/>
        <w:numPr>
          <w:ilvl w:val="1"/>
          <w:numId w:val="7"/>
        </w:numPr>
        <w:rPr>
          <w:rFonts w:ascii="Calibri" w:eastAsia="MS Gothic" w:hAnsi="Calibri"/>
          <w:color w:val="4F81BD"/>
          <w:sz w:val="26"/>
          <w:lang w:val="en-US"/>
        </w:rPr>
      </w:pPr>
      <w:r w:rsidRPr="009A7230">
        <w:rPr>
          <w:rFonts w:eastAsia="Arial"/>
          <w:lang w:val="en-US"/>
        </w:rPr>
        <w:t xml:space="preserve"> </w:t>
      </w:r>
      <w:bookmarkStart w:id="17" w:name="_Toc236825689"/>
      <w:r w:rsidR="00BD2FC2" w:rsidRPr="009A7230">
        <w:rPr>
          <w:rFonts w:eastAsia="Arial"/>
          <w:lang w:val="en-US"/>
        </w:rPr>
        <w:t>Recommended Restructuring Options</w:t>
      </w:r>
      <w:bookmarkEnd w:id="17"/>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 xml:space="preserve">Three complementary levers are recommended. First, continued disciplined capital returns (ordinary dividend growth plus opportunistic buybacks) within the existing net-debt/EBITDA guardrails of approximately 2.0–2.5x. Second, selective divestiture or recycling of any residual owned or leased hotel assets that no longer meet return </w:t>
      </w:r>
      <w:r w:rsidRPr="00BD2FC2">
        <w:rPr>
          <w:rFonts w:ascii="Arial" w:eastAsia="Arial" w:hAnsi="Arial" w:cs="Times New Roman"/>
          <w:sz w:val="24"/>
          <w:lang w:val="en-US"/>
        </w:rPr>
        <w:lastRenderedPageBreak/>
        <w:t>thresholds, thereby further purifying the asset-light model and releasing capital. Third, modest, targeted equity-like instruments (e.g., convertible bonds or equity-settled employee schemes) only if required to fund a transformative acquisition; under baseline conditions, organic system growth and free cash flow are sufficient (IHG, 2026a; Damodaran, 2024).</w:t>
      </w:r>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A full-scale merger with a major peer is not advised at present: antitrust complexity, cultural integration risk and the limited incremental synergy available between two already asset-light platforms would likely destroy value relative to organic growth plus selective bolt-ons.</w:t>
      </w:r>
    </w:p>
    <w:p w:rsidR="00BD2FC2" w:rsidRPr="00BD2FC2" w:rsidRDefault="009A7230" w:rsidP="000334BB">
      <w:pPr>
        <w:pStyle w:val="Heading2"/>
        <w:rPr>
          <w:rFonts w:ascii="Calibri" w:eastAsia="MS Gothic" w:hAnsi="Calibri"/>
          <w:color w:val="4F81BD"/>
          <w:sz w:val="26"/>
          <w:lang w:val="en-US"/>
        </w:rPr>
      </w:pPr>
      <w:r>
        <w:rPr>
          <w:rFonts w:eastAsia="Arial"/>
          <w:lang w:val="en-US"/>
        </w:rPr>
        <w:t xml:space="preserve">  </w:t>
      </w:r>
      <w:bookmarkStart w:id="18" w:name="_Toc236825690"/>
      <w:r w:rsidR="00BD2FC2" w:rsidRPr="00BD2FC2">
        <w:rPr>
          <w:rFonts w:eastAsia="Arial"/>
          <w:lang w:val="en-US"/>
        </w:rPr>
        <w:t>Impact on Shareholder Value, Debt Structure and Operational Flexibility</w:t>
      </w:r>
      <w:bookmarkEnd w:id="18"/>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 xml:space="preserve">Continued buybacks and dividends, funded by free cash flow, support earnings-per-share accretion and signal confidence, thereby supporting valuation multiples. Maintaining net debt / adjusted EBITDA near </w:t>
      </w:r>
      <w:r w:rsidR="0070431D" w:rsidRPr="00BD2FC2">
        <w:rPr>
          <w:rFonts w:ascii="Arial" w:eastAsia="Arial" w:hAnsi="Arial" w:cs="Times New Roman"/>
          <w:sz w:val="24"/>
          <w:lang w:val="en-US"/>
        </w:rPr>
        <w:t>2.5 xs</w:t>
      </w:r>
      <w:r w:rsidRPr="00BD2FC2">
        <w:rPr>
          <w:rFonts w:ascii="Arial" w:eastAsia="Arial" w:hAnsi="Arial" w:cs="Times New Roman"/>
          <w:sz w:val="24"/>
          <w:lang w:val="en-US"/>
        </w:rPr>
        <w:t xml:space="preserve"> preserves rating-agency flexibility and keeps interest coverage comfortably above 6–7x. Operational flexibility is enhanced by the absence of heavy owned-asset obligations and by the modular nature of franchise/management contracts, which can be scaled regionally without large fixed-cost commitments (Brealey et al., 2023).</w:t>
      </w:r>
    </w:p>
    <w:p w:rsidR="00BD2FC2" w:rsidRPr="00BD2FC2" w:rsidRDefault="009A7230" w:rsidP="000334BB">
      <w:pPr>
        <w:pStyle w:val="Heading2"/>
        <w:rPr>
          <w:rFonts w:ascii="Calibri" w:eastAsia="MS Gothic" w:hAnsi="Calibri"/>
          <w:color w:val="4F81BD"/>
          <w:sz w:val="26"/>
          <w:lang w:val="en-US"/>
        </w:rPr>
      </w:pPr>
      <w:r>
        <w:rPr>
          <w:rFonts w:eastAsia="Arial"/>
          <w:lang w:val="en-US"/>
        </w:rPr>
        <w:t xml:space="preserve">  </w:t>
      </w:r>
      <w:bookmarkStart w:id="19" w:name="_Toc236825691"/>
      <w:r w:rsidR="00BD2FC2" w:rsidRPr="00BD2FC2">
        <w:rPr>
          <w:rFonts w:eastAsia="Arial"/>
          <w:lang w:val="en-US"/>
        </w:rPr>
        <w:t>International and Ethical Considerations</w:t>
      </w:r>
      <w:bookmarkEnd w:id="19"/>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 xml:space="preserve">Currency risk is managed through natural hedges (revenue and cost matching by region) and selective hedging of net investment and transactional exposures. Inflation differentials across markets are largely passed through via fee structures linked to hotel revenues. Taxation planning must remain fully compliant with OECD BEPS principles and evolving global minimum-tax rules; aggressive tax structures would be inconsistent with the Group’s stated ESG commitments and would create reputational risk (OECD, 2024). From a CSR/ESG perspective, capital allocation should continue to </w:t>
      </w:r>
      <w:r w:rsidR="0070431D" w:rsidRPr="00BD2FC2">
        <w:rPr>
          <w:rFonts w:ascii="Arial" w:eastAsia="Arial" w:hAnsi="Arial" w:cs="Times New Roman"/>
          <w:sz w:val="24"/>
          <w:lang w:val="en-US"/>
        </w:rPr>
        <w:t>prioritize</w:t>
      </w:r>
      <w:r w:rsidRPr="00BD2FC2">
        <w:rPr>
          <w:rFonts w:ascii="Arial" w:eastAsia="Arial" w:hAnsi="Arial" w:cs="Times New Roman"/>
          <w:sz w:val="24"/>
          <w:lang w:val="en-US"/>
        </w:rPr>
        <w:t xml:space="preserve"> energy-efficiency </w:t>
      </w:r>
      <w:r w:rsidR="0070431D" w:rsidRPr="00BD2FC2">
        <w:rPr>
          <w:rFonts w:ascii="Arial" w:eastAsia="Arial" w:hAnsi="Arial" w:cs="Times New Roman"/>
          <w:sz w:val="24"/>
          <w:lang w:val="en-US"/>
        </w:rPr>
        <w:t>programs</w:t>
      </w:r>
      <w:r w:rsidRPr="00BD2FC2">
        <w:rPr>
          <w:rFonts w:ascii="Arial" w:eastAsia="Arial" w:hAnsi="Arial" w:cs="Times New Roman"/>
          <w:sz w:val="24"/>
          <w:lang w:val="en-US"/>
        </w:rPr>
        <w:t>, responsible sourcing and community engagement, both because they are ethically required and because they protect long-term brand equity and guest loyalty (IHG, 2026b; KPMG, 2025).</w:t>
      </w:r>
    </w:p>
    <w:p w:rsidR="00BD2FC2" w:rsidRPr="00BD2FC2" w:rsidRDefault="00BD2FC2" w:rsidP="000334BB">
      <w:pPr>
        <w:pStyle w:val="Heading1"/>
        <w:rPr>
          <w:rFonts w:ascii="Calibri" w:eastAsia="MS Gothic" w:hAnsi="Calibri"/>
          <w:color w:val="365F91"/>
          <w:lang w:val="en-US"/>
        </w:rPr>
      </w:pPr>
      <w:bookmarkStart w:id="20" w:name="_Toc236825692"/>
      <w:r w:rsidRPr="00BD2FC2">
        <w:rPr>
          <w:rFonts w:eastAsia="Arial"/>
          <w:lang w:val="en-US"/>
        </w:rPr>
        <w:lastRenderedPageBreak/>
        <w:t>Investment Appraisal and Capital Budgeting</w:t>
      </w:r>
      <w:bookmarkEnd w:id="20"/>
    </w:p>
    <w:p w:rsidR="009A7230" w:rsidRPr="009A7230" w:rsidRDefault="009A7230" w:rsidP="000334BB">
      <w:pPr>
        <w:pStyle w:val="ListParagraph"/>
        <w:keepNext/>
        <w:keepLines/>
        <w:numPr>
          <w:ilvl w:val="0"/>
          <w:numId w:val="6"/>
        </w:numPr>
        <w:spacing w:before="200" w:after="0" w:line="360" w:lineRule="auto"/>
        <w:contextualSpacing w:val="0"/>
        <w:outlineLvl w:val="1"/>
        <w:rPr>
          <w:rFonts w:ascii="Arial" w:eastAsia="Arial" w:hAnsi="Arial" w:cstheme="majorBidi"/>
          <w:b/>
          <w:bCs/>
          <w:vanish/>
          <w:color w:val="000000" w:themeColor="text1"/>
          <w:sz w:val="28"/>
          <w:szCs w:val="26"/>
          <w:lang w:val="en-US"/>
        </w:rPr>
      </w:pPr>
      <w:bookmarkStart w:id="21" w:name="_Toc236825395"/>
      <w:bookmarkStart w:id="22" w:name="_Toc236825693"/>
      <w:bookmarkEnd w:id="21"/>
      <w:bookmarkEnd w:id="22"/>
    </w:p>
    <w:p w:rsidR="00BD2FC2" w:rsidRPr="00BD2FC2" w:rsidRDefault="009A7230" w:rsidP="000334BB">
      <w:pPr>
        <w:pStyle w:val="Heading2"/>
        <w:rPr>
          <w:rFonts w:ascii="Calibri" w:eastAsia="MS Gothic" w:hAnsi="Calibri"/>
          <w:color w:val="4F81BD"/>
          <w:sz w:val="26"/>
          <w:lang w:val="en-US"/>
        </w:rPr>
      </w:pPr>
      <w:r>
        <w:rPr>
          <w:rFonts w:eastAsia="Arial"/>
          <w:lang w:val="en-US"/>
        </w:rPr>
        <w:t xml:space="preserve">  </w:t>
      </w:r>
      <w:bookmarkStart w:id="23" w:name="_Toc236825694"/>
      <w:r w:rsidR="00BD2FC2" w:rsidRPr="00BD2FC2">
        <w:rPr>
          <w:rFonts w:eastAsia="Arial"/>
          <w:lang w:val="en-US"/>
        </w:rPr>
        <w:t>Project Evaluation (PBP, ARR, NPV, PI, IRR)</w:t>
      </w:r>
      <w:bookmarkEnd w:id="23"/>
    </w:p>
    <w:p w:rsidR="00821E5B" w:rsidRDefault="00821E5B" w:rsidP="00821E5B">
      <w:pPr>
        <w:spacing w:after="160" w:line="360" w:lineRule="auto"/>
        <w:jc w:val="both"/>
      </w:pPr>
      <w:r>
        <w:rPr>
          <w:rFonts w:ascii="Arial" w:eastAsia="Arial" w:hAnsi="Arial"/>
          <w:sz w:val="24"/>
        </w:rPr>
        <w:t>Capital budgeting decisions determine the long-term allocation of scarce financial resources and therefore exert a direct influence on shareholder value. In accordance with standard corporate-finance practice, three mutually exclusive investment projects, each requiring an initial capital outlay of £50 million, have been subjected to a full multi-criteria appraisal. The evaluation employs five complementary techniques: the payback period (PBP), the accounting rate of return (ARR), net present value (NPV), the profitability index (PI) and the internal rate of return (IRR). A discount rate of 8 per cent is applied throughout, reflecting a conservative estimate of IHG’s weighted average cost of capital under prevailing market conditions. Straight-line depreciation to a zero residual value over a five-year life is assumed for ARR calculations, producing an annual depreciation charge of £10 million for each project (Brealey, Myers and Allen, 2023; Watson and Head, 2019).</w:t>
      </w:r>
    </w:p>
    <w:p w:rsidR="00821E5B" w:rsidRPr="00821E5B" w:rsidRDefault="00821E5B" w:rsidP="00821E5B">
      <w:pPr>
        <w:spacing w:after="160" w:line="360" w:lineRule="auto"/>
        <w:jc w:val="both"/>
        <w:rPr>
          <w:rFonts w:ascii="Cambria" w:eastAsia="MS Mincho" w:hAnsi="Cambria" w:cs="Times New Roman"/>
          <w:lang w:val="en-US"/>
        </w:rPr>
      </w:pPr>
      <w:r w:rsidRPr="00821E5B">
        <w:rPr>
          <w:rFonts w:ascii="Arial" w:eastAsia="Arial" w:hAnsi="Arial" w:cs="Times New Roman"/>
          <w:sz w:val="24"/>
          <w:lang w:val="en-US"/>
        </w:rPr>
        <w:t>The net cash-inflow profiles of the three projects are as follows:</w:t>
      </w:r>
    </w:p>
    <w:p w:rsidR="00821E5B" w:rsidRPr="00821E5B" w:rsidRDefault="00821E5B" w:rsidP="00821E5B">
      <w:pPr>
        <w:spacing w:after="160" w:line="360" w:lineRule="auto"/>
        <w:jc w:val="both"/>
        <w:rPr>
          <w:rFonts w:ascii="Cambria" w:eastAsia="MS Mincho" w:hAnsi="Cambria" w:cs="Times New Roman"/>
          <w:lang w:val="en-US"/>
        </w:rPr>
      </w:pPr>
      <w:r w:rsidRPr="00821E5B">
        <w:rPr>
          <w:rFonts w:ascii="Arial" w:eastAsia="Arial" w:hAnsi="Arial" w:cs="Times New Roman"/>
          <w:sz w:val="24"/>
          <w:lang w:val="en-US"/>
        </w:rPr>
        <w:t>• Project A: Year 1 £10 m; Year 2 £12 m; Year 3 £14 m; Year 4 £10 m; Year 5 £8 m.</w:t>
      </w:r>
    </w:p>
    <w:p w:rsidR="00821E5B" w:rsidRPr="00821E5B" w:rsidRDefault="00821E5B" w:rsidP="00821E5B">
      <w:pPr>
        <w:spacing w:after="160" w:line="360" w:lineRule="auto"/>
        <w:jc w:val="both"/>
        <w:rPr>
          <w:rFonts w:ascii="Cambria" w:eastAsia="MS Mincho" w:hAnsi="Cambria" w:cs="Times New Roman"/>
          <w:lang w:val="en-US"/>
        </w:rPr>
      </w:pPr>
      <w:r w:rsidRPr="00821E5B">
        <w:rPr>
          <w:rFonts w:ascii="Arial" w:eastAsia="Arial" w:hAnsi="Arial" w:cs="Times New Roman"/>
          <w:sz w:val="24"/>
          <w:lang w:val="en-US"/>
        </w:rPr>
        <w:t>• Project B: Year 1–5 £11 m each year (an annuity).</w:t>
      </w:r>
    </w:p>
    <w:p w:rsidR="00821E5B" w:rsidRPr="00821E5B" w:rsidRDefault="00821E5B" w:rsidP="00821E5B">
      <w:pPr>
        <w:spacing w:after="160" w:line="360" w:lineRule="auto"/>
        <w:jc w:val="both"/>
        <w:rPr>
          <w:rFonts w:ascii="Cambria" w:eastAsia="MS Mincho" w:hAnsi="Cambria" w:cs="Times New Roman"/>
          <w:lang w:val="en-US"/>
        </w:rPr>
      </w:pPr>
      <w:r w:rsidRPr="00821E5B">
        <w:rPr>
          <w:rFonts w:ascii="Arial" w:eastAsia="Arial" w:hAnsi="Arial" w:cs="Times New Roman"/>
          <w:sz w:val="24"/>
          <w:lang w:val="en-US"/>
        </w:rPr>
        <w:t>• Project C: Year 1 £5 m; Year 2 £10 m; Year 3 £20 m; Year 4 £25 m; Year 5 £5 m.</w:t>
      </w:r>
    </w:p>
    <w:p w:rsidR="00BD2FC2" w:rsidRPr="00BD2FC2" w:rsidRDefault="00821E5B" w:rsidP="000334BB">
      <w:pPr>
        <w:spacing w:after="160" w:line="360" w:lineRule="auto"/>
        <w:jc w:val="both"/>
        <w:rPr>
          <w:rFonts w:ascii="Cambria" w:eastAsia="MS Mincho" w:hAnsi="Cambria" w:cs="Times New Roman"/>
          <w:lang w:val="en-US"/>
        </w:rPr>
      </w:pPr>
      <w:r w:rsidRPr="00821E5B">
        <w:rPr>
          <w:rFonts w:ascii="Arial" w:eastAsia="Arial" w:hAnsi="Arial" w:cs="Times New Roman"/>
          <w:sz w:val="24"/>
          <w:lang w:val="en-US"/>
        </w:rPr>
        <w:t>Detailed year-by-year discounting schedules, cumulative cash-flow tables and ARR profit workings are contained in the accompanying Excel workbook (sheet “Investment_Appraisal”) and are reproduced in summarized form in the Appendix. The narrative below explains the computation and interpretation of each metric.</w:t>
      </w:r>
    </w:p>
    <w:p w:rsidR="00BD2FC2" w:rsidRPr="00B20456" w:rsidRDefault="00B20456" w:rsidP="000334BB">
      <w:pPr>
        <w:spacing w:line="360" w:lineRule="auto"/>
        <w:jc w:val="center"/>
        <w:rPr>
          <w:rFonts w:ascii="Cambria" w:eastAsia="MS Mincho" w:hAnsi="Cambria" w:cs="Times New Roman"/>
          <w:sz w:val="24"/>
          <w:szCs w:val="24"/>
          <w:lang w:val="en-US"/>
        </w:rPr>
      </w:pPr>
      <w:r>
        <w:rPr>
          <w:rFonts w:ascii="Arial" w:eastAsia="Arial" w:hAnsi="Arial" w:cs="Times New Roman"/>
          <w:b/>
          <w:sz w:val="24"/>
          <w:szCs w:val="24"/>
          <w:lang w:val="en-US"/>
        </w:rPr>
        <w:t xml:space="preserve">Table </w:t>
      </w:r>
      <w:r w:rsidR="0070431D">
        <w:rPr>
          <w:rFonts w:ascii="Arial" w:eastAsia="Arial" w:hAnsi="Arial" w:cs="Times New Roman"/>
          <w:b/>
          <w:sz w:val="24"/>
          <w:szCs w:val="24"/>
          <w:lang w:val="en-US"/>
        </w:rPr>
        <w:t>9</w:t>
      </w:r>
      <w:r w:rsidR="00BD2FC2" w:rsidRPr="00B20456">
        <w:rPr>
          <w:rFonts w:ascii="Arial" w:eastAsia="Arial" w:hAnsi="Arial" w:cs="Times New Roman"/>
          <w:b/>
          <w:sz w:val="24"/>
          <w:szCs w:val="24"/>
          <w:lang w:val="en-US"/>
        </w:rPr>
        <w:t xml:space="preserve"> Investment Appraisal </w:t>
      </w:r>
      <w:r w:rsidR="00821E5B" w:rsidRPr="00B20456">
        <w:rPr>
          <w:rFonts w:ascii="Arial" w:eastAsia="Arial" w:hAnsi="Arial" w:cs="Times New Roman"/>
          <w:b/>
          <w:sz w:val="24"/>
          <w:szCs w:val="24"/>
          <w:lang w:val="en-US"/>
        </w:rPr>
        <w:t>Summaries</w:t>
      </w:r>
      <w:r w:rsidR="00BD2FC2" w:rsidRPr="00B20456">
        <w:rPr>
          <w:rFonts w:ascii="Arial" w:eastAsia="Arial" w:hAnsi="Arial" w:cs="Times New Roman"/>
          <w:b/>
          <w:sz w:val="24"/>
          <w:szCs w:val="24"/>
          <w:lang w:val="en-US"/>
        </w:rPr>
        <w:t xml:space="preserve"> – Projects A, B, C</w:t>
      </w:r>
    </w:p>
    <w:tbl>
      <w:tblPr>
        <w:tblStyle w:val="TableGrid"/>
        <w:tblW w:w="0" w:type="auto"/>
        <w:tblLook w:val="04A0" w:firstRow="1" w:lastRow="0" w:firstColumn="1" w:lastColumn="0" w:noHBand="0" w:noVBand="1"/>
      </w:tblPr>
      <w:tblGrid>
        <w:gridCol w:w="1805"/>
        <w:gridCol w:w="1805"/>
        <w:gridCol w:w="1805"/>
        <w:gridCol w:w="1805"/>
        <w:gridCol w:w="1805"/>
      </w:tblGrid>
      <w:tr w:rsidR="00BD2FC2" w:rsidRPr="00BD2FC2" w:rsidTr="000334BB">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b/>
                <w:sz w:val="24"/>
                <w:szCs w:val="24"/>
              </w:rPr>
              <w:t>Metric</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b/>
                <w:sz w:val="24"/>
                <w:szCs w:val="24"/>
              </w:rPr>
              <w:t>Project A</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b/>
                <w:sz w:val="24"/>
                <w:szCs w:val="24"/>
              </w:rPr>
              <w:t>Project B</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b/>
                <w:sz w:val="24"/>
                <w:szCs w:val="24"/>
              </w:rPr>
              <w:t>Project C</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b/>
                <w:sz w:val="24"/>
                <w:szCs w:val="24"/>
              </w:rPr>
              <w:t>Decision Rule</w:t>
            </w:r>
          </w:p>
        </w:tc>
      </w:tr>
      <w:tr w:rsidR="00BD2FC2" w:rsidRPr="00BD2FC2" w:rsidTr="000334BB">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Payback Period (yrs)</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4.50</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4.55</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3.60</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Shorter preferred</w:t>
            </w:r>
          </w:p>
        </w:tc>
      </w:tr>
      <w:tr w:rsidR="00BD2FC2" w:rsidRPr="00BD2FC2" w:rsidTr="000334BB">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ARR</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1.6%</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2.0%</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6.0%</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Higher better</w:t>
            </w:r>
          </w:p>
        </w:tc>
      </w:tr>
      <w:tr w:rsidR="00BD2FC2" w:rsidRPr="00BD2FC2" w:rsidTr="000334BB">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NPV @ 8% (£m)</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–3.07</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–2.57</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+4.93</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Accept if &gt; 0</w:t>
            </w:r>
          </w:p>
        </w:tc>
      </w:tr>
      <w:tr w:rsidR="00BD2FC2" w:rsidRPr="00BD2FC2" w:rsidTr="000334BB">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lastRenderedPageBreak/>
              <w:t>Profitability Index</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0.939</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0.949</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1.099</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Accept if &gt; 1</w:t>
            </w:r>
          </w:p>
        </w:tc>
      </w:tr>
      <w:tr w:rsidR="00BD2FC2" w:rsidRPr="00BD2FC2" w:rsidTr="000334BB">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IRR</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2.72%</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3.26%</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8.59%</w:t>
            </w:r>
          </w:p>
        </w:tc>
        <w:tc>
          <w:tcPr>
            <w:tcW w:w="1805" w:type="dxa"/>
          </w:tcPr>
          <w:p w:rsidR="00BD2FC2" w:rsidRPr="000334BB" w:rsidRDefault="00BD2FC2" w:rsidP="000334BB">
            <w:pPr>
              <w:spacing w:line="360" w:lineRule="auto"/>
              <w:rPr>
                <w:rFonts w:ascii="Cambria" w:hAnsi="Cambria" w:cs="Times New Roman"/>
                <w:sz w:val="24"/>
                <w:szCs w:val="24"/>
              </w:rPr>
            </w:pPr>
            <w:r w:rsidRPr="000334BB">
              <w:rPr>
                <w:rFonts w:ascii="Arial" w:eastAsia="Arial" w:hAnsi="Arial" w:cs="Times New Roman"/>
                <w:sz w:val="24"/>
                <w:szCs w:val="24"/>
              </w:rPr>
              <w:t>Accept if &gt; 8%</w:t>
            </w:r>
          </w:p>
        </w:tc>
      </w:tr>
    </w:tbl>
    <w:p w:rsidR="00BD2FC2" w:rsidRPr="0070431D" w:rsidRDefault="00BD2FC2" w:rsidP="000334BB">
      <w:pPr>
        <w:spacing w:line="360" w:lineRule="auto"/>
        <w:jc w:val="center"/>
        <w:rPr>
          <w:rFonts w:ascii="Cambria" w:eastAsia="MS Mincho" w:hAnsi="Cambria" w:cs="Times New Roman"/>
          <w:lang w:val="en-US"/>
        </w:rPr>
      </w:pPr>
      <w:r w:rsidRPr="0070431D">
        <w:rPr>
          <w:rFonts w:ascii="Arial" w:eastAsia="Arial" w:hAnsi="Arial" w:cs="Times New Roman"/>
          <w:sz w:val="18"/>
          <w:lang w:val="en-US"/>
        </w:rPr>
        <w:t>Source: Author’s</w:t>
      </w:r>
      <w:r w:rsidR="0070431D" w:rsidRPr="0070431D">
        <w:rPr>
          <w:rFonts w:ascii="Arial" w:eastAsia="Arial" w:hAnsi="Arial" w:cs="Times New Roman"/>
          <w:sz w:val="18"/>
          <w:lang w:val="en-US"/>
        </w:rPr>
        <w:t xml:space="preserve"> calculations (Excel Investment </w:t>
      </w:r>
      <w:r w:rsidRPr="0070431D">
        <w:rPr>
          <w:rFonts w:ascii="Arial" w:eastAsia="Arial" w:hAnsi="Arial" w:cs="Times New Roman"/>
          <w:sz w:val="18"/>
          <w:lang w:val="en-US"/>
        </w:rPr>
        <w:t>Appraisal sheet).</w:t>
      </w:r>
    </w:p>
    <w:p w:rsidR="00821E5B" w:rsidRPr="00821E5B" w:rsidRDefault="00821E5B" w:rsidP="00821E5B">
      <w:pPr>
        <w:spacing w:after="80" w:line="360" w:lineRule="auto"/>
        <w:jc w:val="both"/>
        <w:rPr>
          <w:rFonts w:ascii="Cambria" w:eastAsia="MS Mincho" w:hAnsi="Cambria" w:cs="Times New Roman"/>
          <w:lang w:val="en-US"/>
        </w:rPr>
      </w:pPr>
      <w:r w:rsidRPr="00821E5B">
        <w:rPr>
          <w:rFonts w:ascii="Arial" w:eastAsia="Arial" w:hAnsi="Arial" w:cs="Times New Roman"/>
          <w:b/>
          <w:sz w:val="24"/>
          <w:lang w:val="en-US"/>
        </w:rPr>
        <w:t>Payback Period (PBP)</w:t>
      </w:r>
    </w:p>
    <w:p w:rsidR="00821E5B" w:rsidRPr="00821E5B" w:rsidRDefault="00821E5B" w:rsidP="00821E5B">
      <w:pPr>
        <w:spacing w:after="160" w:line="360" w:lineRule="auto"/>
        <w:jc w:val="both"/>
        <w:rPr>
          <w:rFonts w:ascii="Cambria" w:eastAsia="MS Mincho" w:hAnsi="Cambria" w:cs="Times New Roman"/>
          <w:lang w:val="en-US"/>
        </w:rPr>
      </w:pPr>
      <w:r w:rsidRPr="00821E5B">
        <w:rPr>
          <w:rFonts w:ascii="Arial" w:eastAsia="Arial" w:hAnsi="Arial" w:cs="Times New Roman"/>
          <w:sz w:val="24"/>
          <w:lang w:val="en-US"/>
        </w:rPr>
        <w:t>The payback period measures the time required for cumulative undiscounted cash inflows to recover the initial investment. It is a simple liquidity-oriented screen that ignores the time value of money and all cash flows beyond the recovery point (Pike and Neale, 2022). For Project A the cumulative inflows reach £46 million by the end</w:t>
      </w:r>
      <w:r>
        <w:rPr>
          <w:rFonts w:ascii="Arial" w:eastAsia="Arial" w:hAnsi="Arial" w:cs="Times New Roman"/>
          <w:sz w:val="24"/>
          <w:lang w:val="en-US"/>
        </w:rPr>
        <w:t xml:space="preserve"> </w:t>
      </w:r>
      <w:r w:rsidRPr="00821E5B">
        <w:rPr>
          <w:rFonts w:ascii="Arial" w:eastAsia="Arial" w:hAnsi="Arial" w:cs="Times New Roman"/>
          <w:sz w:val="24"/>
          <w:lang w:val="en-US"/>
        </w:rPr>
        <w:t>of Year 4 and the remaining £4 million is recovered in Year 5, giving a payback of 4.50 years. Project B recovers £44 million after four years and the residual £6 million in Year 5, producing a payback of approximately 4.55 years. Project C accumulates £35 million by the end of Year 3 and recovers the remaining £15 million early in Year 4, yielding the shortest payback of 3.60 years. On a pure payback ranking, therefore, C is preferred to A, which is preferred to B. While none of the projects recovers capital within a particularly aggressive threshold (for example three years), C’s shorter exposure period reduces the horizon over which forecast risk is borne.</w:t>
      </w:r>
    </w:p>
    <w:p w:rsidR="00821E5B" w:rsidRPr="00821E5B" w:rsidRDefault="00821E5B" w:rsidP="00821E5B">
      <w:pPr>
        <w:spacing w:after="80" w:line="360" w:lineRule="auto"/>
        <w:jc w:val="both"/>
        <w:rPr>
          <w:rFonts w:ascii="Cambria" w:eastAsia="MS Mincho" w:hAnsi="Cambria" w:cs="Times New Roman"/>
          <w:lang w:val="en-US"/>
        </w:rPr>
      </w:pPr>
      <w:r w:rsidRPr="00821E5B">
        <w:rPr>
          <w:rFonts w:ascii="Arial" w:eastAsia="Arial" w:hAnsi="Arial" w:cs="Times New Roman"/>
          <w:b/>
          <w:sz w:val="24"/>
          <w:lang w:val="en-US"/>
        </w:rPr>
        <w:t>Accounting Rate of Return (ARR)</w:t>
      </w:r>
    </w:p>
    <w:p w:rsidR="00821E5B" w:rsidRPr="00821E5B" w:rsidRDefault="00821E5B" w:rsidP="00821E5B">
      <w:pPr>
        <w:spacing w:after="160" w:line="360" w:lineRule="auto"/>
        <w:jc w:val="both"/>
        <w:rPr>
          <w:rFonts w:ascii="Cambria" w:eastAsia="MS Mincho" w:hAnsi="Cambria" w:cs="Times New Roman"/>
          <w:lang w:val="en-US"/>
        </w:rPr>
      </w:pPr>
      <w:r w:rsidRPr="00821E5B">
        <w:rPr>
          <w:rFonts w:ascii="Arial" w:eastAsia="Arial" w:hAnsi="Arial" w:cs="Times New Roman"/>
          <w:sz w:val="24"/>
          <w:lang w:val="en-US"/>
        </w:rPr>
        <w:t>ARR is defined as average annual accounting profit divided by the initial investment. Accounting profit is obtained by subtracting the annual depreciation charge of £10 million from each year’s cash inflow. Project A generates accounting profits of £0 m, £2 m, £4 m, £0 m and –£2 m, an average of £0.8 million and an ARR of 1.6 per cent. Project B produces a constant accounting profit of £1 million each year, an ARR of 2.0 per cent. Project C yields profits of –£5 m, £0 m, £10 m, £15 m and –£5 m, an average of £3.0 million and an ARR of 6.0 per cent. Although ARR is widely criticised for its reliance on accounting numbers rather than cash flows and for its neglect of the time value of money, the ranking remains unambiguous: C dominates A and B. The absolute levels of ARR are modest relative to a typical target return, yet the comparative information is consistent with the discounted-cash-flow results that follow (Arnold and Lewis, 2019).</w:t>
      </w:r>
    </w:p>
    <w:p w:rsidR="00897E88" w:rsidRPr="00897E88" w:rsidRDefault="00897E88" w:rsidP="00897E88">
      <w:pPr>
        <w:spacing w:after="80" w:line="360" w:lineRule="auto"/>
        <w:jc w:val="both"/>
        <w:rPr>
          <w:rFonts w:ascii="Cambria" w:eastAsia="MS Mincho" w:hAnsi="Cambria" w:cs="Times New Roman"/>
          <w:lang w:val="en-US"/>
        </w:rPr>
      </w:pPr>
      <w:r w:rsidRPr="00897E88">
        <w:rPr>
          <w:rFonts w:ascii="Arial" w:eastAsia="Arial" w:hAnsi="Arial" w:cs="Times New Roman"/>
          <w:b/>
          <w:sz w:val="24"/>
          <w:lang w:val="en-US"/>
        </w:rPr>
        <w:t>Net Present Value (NPV)</w:t>
      </w:r>
    </w:p>
    <w:p w:rsidR="00897E88" w:rsidRPr="00897E88" w:rsidRDefault="00897E88" w:rsidP="00897E88">
      <w:pPr>
        <w:spacing w:after="160" w:line="360" w:lineRule="auto"/>
        <w:jc w:val="both"/>
        <w:rPr>
          <w:rFonts w:ascii="Cambria" w:eastAsia="MS Mincho" w:hAnsi="Cambria" w:cs="Times New Roman"/>
          <w:lang w:val="en-US"/>
        </w:rPr>
      </w:pPr>
      <w:r w:rsidRPr="00897E88">
        <w:rPr>
          <w:rFonts w:ascii="Arial" w:eastAsia="Arial" w:hAnsi="Arial" w:cs="Times New Roman"/>
          <w:sz w:val="24"/>
          <w:lang w:val="en-US"/>
        </w:rPr>
        <w:lastRenderedPageBreak/>
        <w:t>NPV is the sum of the present values of all project cash flows, discounted at the cost of capital, minus the initial outlay. It is the theoretically preferred decision criterion because it measures the absolute increase in shareholder wealth in present-value terms (Brealey et al., 2023; Damodaran, 2024). Discount factors at 8 per cent are 0.9259, 0.8573, 0.7938, 0.7350 and 0.6806 for Years 1 to 5 respectively. Applying these factors yields a total present value of inflows of £43.46 million for Project A, £43.92 million for Project B and £50.86 million for Project C. Subtracting the £50 million initial investment produces NPVs of –£3.07 million (A), –£2.57 million (B) and +£4.93 million (C). Only Project C creates value; Projects A and B destroy value at the 8 per cent hurdle rate. The economic interpretation is clear: accepting A or B would reduce the market value of the firm, whereas accepting C increases it by nearly £5 million in present-value terms.</w:t>
      </w:r>
    </w:p>
    <w:p w:rsidR="00897E88" w:rsidRPr="00897E88" w:rsidRDefault="00897E88" w:rsidP="00897E88">
      <w:pPr>
        <w:spacing w:after="80" w:line="360" w:lineRule="auto"/>
        <w:jc w:val="both"/>
        <w:rPr>
          <w:rFonts w:ascii="Cambria" w:eastAsia="MS Mincho" w:hAnsi="Cambria" w:cs="Times New Roman"/>
          <w:lang w:val="en-US"/>
        </w:rPr>
      </w:pPr>
      <w:r w:rsidRPr="00897E88">
        <w:rPr>
          <w:rFonts w:ascii="Arial" w:eastAsia="Arial" w:hAnsi="Arial" w:cs="Times New Roman"/>
          <w:b/>
          <w:sz w:val="24"/>
          <w:lang w:val="en-US"/>
        </w:rPr>
        <w:t>Profitability Index (PI)</w:t>
      </w:r>
    </w:p>
    <w:p w:rsidR="00897E88" w:rsidRPr="00897E88" w:rsidRDefault="00897E88" w:rsidP="00897E88">
      <w:pPr>
        <w:spacing w:after="160" w:line="360" w:lineRule="auto"/>
        <w:jc w:val="both"/>
        <w:rPr>
          <w:rFonts w:ascii="Cambria" w:eastAsia="MS Mincho" w:hAnsi="Cambria" w:cs="Times New Roman"/>
          <w:lang w:val="en-US"/>
        </w:rPr>
      </w:pPr>
      <w:r w:rsidRPr="00897E88">
        <w:rPr>
          <w:rFonts w:ascii="Arial" w:eastAsia="Arial" w:hAnsi="Arial" w:cs="Times New Roman"/>
          <w:sz w:val="24"/>
          <w:lang w:val="en-US"/>
        </w:rPr>
        <w:t>The profitability index is defined as the present value of future cash inflows divided by the initial investment (or, equivalently, 1 + NPV / Initial Investment). It is particularly useful under capital rationing because it measures value created per unit of scarce capital (Watson and Head, 2019). Project A has a PI of 0.939, Project B a PI of 0.949 and Project C a PI of 1.099. A PI greater than one confirms that the project earns more than the cost of capital; a PI less than one confirms value destruction. The ranking again places C first, and only C satisfies the acceptance threshold.</w:t>
      </w:r>
    </w:p>
    <w:p w:rsidR="00897E88" w:rsidRPr="00897E88" w:rsidRDefault="00897E88" w:rsidP="00897E88">
      <w:pPr>
        <w:spacing w:after="80" w:line="360" w:lineRule="auto"/>
        <w:jc w:val="both"/>
        <w:rPr>
          <w:rFonts w:ascii="Cambria" w:eastAsia="MS Mincho" w:hAnsi="Cambria" w:cs="Times New Roman"/>
          <w:lang w:val="en-US"/>
        </w:rPr>
      </w:pPr>
      <w:r w:rsidRPr="00897E88">
        <w:rPr>
          <w:rFonts w:ascii="Arial" w:eastAsia="Arial" w:hAnsi="Arial" w:cs="Times New Roman"/>
          <w:b/>
          <w:sz w:val="24"/>
          <w:lang w:val="en-US"/>
        </w:rPr>
        <w:t>Internal Rate of Return (IRR)</w:t>
      </w:r>
    </w:p>
    <w:p w:rsidR="00897E88" w:rsidRPr="00897E88" w:rsidRDefault="00897E88" w:rsidP="00897E88">
      <w:pPr>
        <w:spacing w:after="160" w:line="360" w:lineRule="auto"/>
        <w:jc w:val="both"/>
        <w:rPr>
          <w:rFonts w:ascii="Cambria" w:eastAsia="MS Mincho" w:hAnsi="Cambria" w:cs="Times New Roman"/>
          <w:lang w:val="en-US"/>
        </w:rPr>
      </w:pPr>
      <w:r w:rsidRPr="00897E88">
        <w:rPr>
          <w:rFonts w:ascii="Arial" w:eastAsia="Arial" w:hAnsi="Arial" w:cs="Times New Roman"/>
          <w:sz w:val="24"/>
          <w:lang w:val="en-US"/>
        </w:rPr>
        <w:t>IRR is the discount rate that sets a project’s NPV to zero. It is compared with the cost of capital: projects whose IRR exceeds the hurdle rate are accepted. Solving the IRR equation for each cash-flow series produces an IRR of 2.72 per cent for Project A, 3.26 per cent for Project B and 8.59 per cent for Project C. Only Project C clears the 8 per cent cost-of-capital threshold, and then only by a modest margin. The low IRRs of A and B confirm that their cash-flow streams are insufficient to compensate investors for the time value of money and risk embedded in the 8 per cent discount rate (Pike and Neale, 2022).</w:t>
      </w:r>
    </w:p>
    <w:p w:rsidR="00897E88" w:rsidRPr="00897E88" w:rsidRDefault="00897E88" w:rsidP="00897E88">
      <w:pPr>
        <w:spacing w:after="160" w:line="360" w:lineRule="auto"/>
        <w:jc w:val="both"/>
        <w:rPr>
          <w:rFonts w:ascii="Cambria" w:eastAsia="MS Mincho" w:hAnsi="Cambria" w:cs="Times New Roman"/>
          <w:lang w:val="en-US"/>
        </w:rPr>
      </w:pPr>
      <w:r w:rsidRPr="00897E88">
        <w:rPr>
          <w:rFonts w:ascii="Arial" w:eastAsia="Arial" w:hAnsi="Arial" w:cs="Times New Roman"/>
          <w:sz w:val="24"/>
          <w:lang w:val="en-US"/>
        </w:rPr>
        <w:t xml:space="preserve">Table 9 consolidates the five metrics. The ranking is identical across every criterion: Project C is unambiguously superior to Projects A and B. Moreover, C is the sole </w:t>
      </w:r>
      <w:r w:rsidRPr="00897E88">
        <w:rPr>
          <w:rFonts w:ascii="Arial" w:eastAsia="Arial" w:hAnsi="Arial" w:cs="Times New Roman"/>
          <w:sz w:val="24"/>
          <w:lang w:val="en-US"/>
        </w:rPr>
        <w:lastRenderedPageBreak/>
        <w:t>project that satisfies the conventional decision rules of positive NPV, PI greater than one and IRR greater than the cost of capital.</w:t>
      </w:r>
    </w:p>
    <w:p w:rsidR="00821E5B" w:rsidRPr="00BD2FC2" w:rsidRDefault="00821E5B" w:rsidP="000334BB">
      <w:pPr>
        <w:spacing w:after="160" w:line="360" w:lineRule="auto"/>
        <w:jc w:val="both"/>
        <w:rPr>
          <w:rFonts w:ascii="Cambria" w:eastAsia="MS Mincho" w:hAnsi="Cambria" w:cs="Times New Roman"/>
          <w:lang w:val="en-US"/>
        </w:rPr>
      </w:pPr>
    </w:p>
    <w:p w:rsidR="00BD2FC2" w:rsidRPr="00BD2FC2" w:rsidRDefault="009A7230" w:rsidP="000334BB">
      <w:pPr>
        <w:pStyle w:val="Heading2"/>
        <w:rPr>
          <w:rFonts w:ascii="Calibri" w:eastAsia="MS Gothic" w:hAnsi="Calibri"/>
          <w:color w:val="4F81BD"/>
          <w:sz w:val="26"/>
          <w:lang w:val="en-US"/>
        </w:rPr>
      </w:pPr>
      <w:r>
        <w:rPr>
          <w:rFonts w:eastAsia="Arial"/>
          <w:lang w:val="en-US"/>
        </w:rPr>
        <w:t xml:space="preserve">  </w:t>
      </w:r>
      <w:bookmarkStart w:id="24" w:name="_Toc236825695"/>
      <w:r w:rsidR="00BD2FC2" w:rsidRPr="00BD2FC2">
        <w:rPr>
          <w:rFonts w:eastAsia="Arial"/>
          <w:lang w:val="en-US"/>
        </w:rPr>
        <w:t>Single Project Recommendation</w:t>
      </w:r>
      <w:bookmarkEnd w:id="24"/>
    </w:p>
    <w:p w:rsidR="00F32B21" w:rsidRDefault="00F32B21" w:rsidP="000334BB">
      <w:pPr>
        <w:spacing w:after="160" w:line="360" w:lineRule="auto"/>
        <w:jc w:val="both"/>
        <w:rPr>
          <w:rFonts w:ascii="Arial" w:eastAsia="Arial" w:hAnsi="Arial" w:cs="Times New Roman"/>
          <w:sz w:val="24"/>
          <w:lang w:val="en-US"/>
        </w:rPr>
      </w:pPr>
    </w:p>
    <w:p w:rsidR="00BD2FC2" w:rsidRPr="00BD2FC2" w:rsidRDefault="00E75811"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Recommend</w:t>
      </w:r>
      <w:r w:rsidR="00BD2FC2" w:rsidRPr="00BD2FC2">
        <w:rPr>
          <w:rFonts w:ascii="Arial" w:eastAsia="Arial" w:hAnsi="Arial" w:cs="Times New Roman"/>
          <w:sz w:val="24"/>
          <w:lang w:val="en-US"/>
        </w:rPr>
        <w:t xml:space="preserve"> Project C as the sole project to be accepted. From a pure financial perspective it is the only value-creating opportunity under the stated assumptions. Linking the decision to IHG’s broader financial profile, the Group’s strong free-cash-flow generation and controlled leverage provide the capacity to fund a £50 million outlay without stressing liquidity or credit metrics. The back-end-loaded cash-flow profile of Project C is consistent with the multi-year nature of hotel-system development and brand-building initiatives that </w:t>
      </w:r>
      <w:r w:rsidR="0070431D" w:rsidRPr="00BD2FC2">
        <w:rPr>
          <w:rFonts w:ascii="Arial" w:eastAsia="Arial" w:hAnsi="Arial" w:cs="Times New Roman"/>
          <w:sz w:val="24"/>
          <w:lang w:val="en-US"/>
        </w:rPr>
        <w:t>characterize</w:t>
      </w:r>
      <w:r w:rsidR="00BD2FC2" w:rsidRPr="00BD2FC2">
        <w:rPr>
          <w:rFonts w:ascii="Arial" w:eastAsia="Arial" w:hAnsi="Arial" w:cs="Times New Roman"/>
          <w:sz w:val="24"/>
          <w:lang w:val="en-US"/>
        </w:rPr>
        <w:t xml:space="preserve"> IHG’s organic growth model.</w:t>
      </w:r>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Non-financial risks must still be weighed. Political and regulatory risk in certain expansion markets, potential dilution of brand equity if standards are compromised, and the need to maintain owner and guest loyalty all require rigorous due diligence. Nonetheless, these risks are common to any growth project in the sector and do not overturn the clear financial superiority of Project C (Pike and Neale, 2022).</w:t>
      </w:r>
    </w:p>
    <w:p w:rsidR="00BD2FC2" w:rsidRPr="00BD2FC2" w:rsidRDefault="009A7230" w:rsidP="000334BB">
      <w:pPr>
        <w:pStyle w:val="Heading2"/>
        <w:rPr>
          <w:rFonts w:ascii="Calibri" w:eastAsia="MS Gothic" w:hAnsi="Calibri"/>
          <w:color w:val="4F81BD"/>
          <w:sz w:val="26"/>
          <w:lang w:val="en-US"/>
        </w:rPr>
      </w:pPr>
      <w:r>
        <w:rPr>
          <w:rFonts w:eastAsia="Arial"/>
          <w:lang w:val="en-US"/>
        </w:rPr>
        <w:t xml:space="preserve">  </w:t>
      </w:r>
      <w:bookmarkStart w:id="25" w:name="_Toc236825696"/>
      <w:r w:rsidR="00BD2FC2" w:rsidRPr="00BD2FC2">
        <w:rPr>
          <w:rFonts w:eastAsia="Arial"/>
          <w:lang w:val="en-US"/>
        </w:rPr>
        <w:t>Capital Rationing – Optimal Combination</w:t>
      </w:r>
      <w:bookmarkEnd w:id="25"/>
    </w:p>
    <w:p w:rsidR="0073440B" w:rsidRDefault="0073440B" w:rsidP="0073440B">
      <w:pPr>
        <w:spacing w:after="160" w:line="360" w:lineRule="auto"/>
        <w:jc w:val="both"/>
      </w:pPr>
      <w:r>
        <w:rPr>
          <w:rFonts w:ascii="Arial" w:eastAsia="Arial" w:hAnsi="Arial"/>
          <w:sz w:val="24"/>
        </w:rPr>
        <w:t>The combination that maximises shareholder wealth is therefore Project C alone (NPV +£4.93 million). Adding either A or B to C reduces total NPV because both A and B contribute negative present value; the residual £50 million of capital is better left uninvest (or reserved for future value-accretive opportunities that may arise outside the three projects under consideration) than deployed in a value-destroying project. The profitability-index ranking yields the same conclusion: only C has a PI greater than one, so only C should receive scarce capital.</w:t>
      </w:r>
    </w:p>
    <w:p w:rsidR="0073440B" w:rsidRDefault="0073440B" w:rsidP="0073440B">
      <w:pPr>
        <w:spacing w:after="160" w:line="360" w:lineRule="auto"/>
        <w:jc w:val="both"/>
      </w:pPr>
      <w:r>
        <w:rPr>
          <w:rFonts w:ascii="Arial" w:eastAsia="Arial" w:hAnsi="Arial"/>
          <w:sz w:val="24"/>
        </w:rPr>
        <w:t xml:space="preserve">It is worth emphasising that the capital-rationing result is not an artefact of a single metric. Because A and B fail the NPV, PI and IRR tests simultaneously, any portfolio that includes them is inferior to a portfolio that excludes them. The decision rule under capital rationing therefore collapses to the same recommendation already reached under the unconstrained single-project analysis: accept C and reject A and </w:t>
      </w:r>
      <w:r>
        <w:rPr>
          <w:rFonts w:ascii="Arial" w:eastAsia="Arial" w:hAnsi="Arial"/>
          <w:sz w:val="24"/>
        </w:rPr>
        <w:lastRenderedPageBreak/>
        <w:t>B. This congruence between the unconstrained and constrained solutions strengthens confidence in the robustness of the recommendation (Arnold and Lewis, 2019).</w:t>
      </w:r>
    </w:p>
    <w:p w:rsidR="0073440B" w:rsidRPr="0073440B" w:rsidRDefault="0073440B" w:rsidP="0073440B">
      <w:pPr>
        <w:spacing w:after="160" w:line="360" w:lineRule="auto"/>
        <w:jc w:val="both"/>
        <w:rPr>
          <w:rFonts w:ascii="Cambria" w:eastAsia="MS Mincho" w:hAnsi="Cambria" w:cs="Times New Roman"/>
          <w:lang w:val="en-US"/>
        </w:rPr>
      </w:pPr>
      <w:r w:rsidRPr="0073440B">
        <w:rPr>
          <w:rFonts w:ascii="Arial" w:eastAsia="Arial" w:hAnsi="Arial" w:cs="Times New Roman"/>
          <w:sz w:val="24"/>
          <w:lang w:val="en-US"/>
        </w:rPr>
        <w:t xml:space="preserve">From a practical corporate-finance standpoint, the residual capital capacity of £50 million should be retained as a strategic reserve. IHG’s demonstrated free-cash-flow generation implies that additional </w:t>
      </w:r>
      <w:r>
        <w:rPr>
          <w:rFonts w:ascii="Arial" w:eastAsia="Arial" w:hAnsi="Arial" w:cs="Times New Roman"/>
          <w:sz w:val="24"/>
          <w:lang w:val="en-US"/>
        </w:rPr>
        <w:t xml:space="preserve">value-creating opportunities </w:t>
      </w:r>
      <w:r w:rsidRPr="0073440B">
        <w:rPr>
          <w:rFonts w:ascii="Arial" w:eastAsia="Arial" w:hAnsi="Arial" w:cs="Times New Roman"/>
          <w:sz w:val="24"/>
          <w:lang w:val="en-US"/>
        </w:rPr>
        <w:t>whether bolt-on acquisitions; system-growth ini</w:t>
      </w:r>
      <w:r>
        <w:rPr>
          <w:rFonts w:ascii="Arial" w:eastAsia="Arial" w:hAnsi="Arial" w:cs="Times New Roman"/>
          <w:sz w:val="24"/>
          <w:lang w:val="en-US"/>
        </w:rPr>
        <w:t xml:space="preserve">tiatives or digital investments </w:t>
      </w:r>
      <w:r w:rsidRPr="0073440B">
        <w:rPr>
          <w:rFonts w:ascii="Arial" w:eastAsia="Arial" w:hAnsi="Arial" w:cs="Times New Roman"/>
          <w:sz w:val="24"/>
          <w:lang w:val="en-US"/>
        </w:rPr>
        <w:t>are likely to emerge within the planning horizon. Maintaining unused headroom preserves the optionality to fund such opportunities without resorting to incremental leverage that might pressure the net-debt/EBITDA ratio or the Group’s investment-grade rating. In short, capital rationing, when applied rigorously, not only selects the best project among those currently on the table but also disciplines management to with</w:t>
      </w:r>
      <w:r>
        <w:rPr>
          <w:rFonts w:ascii="Arial" w:eastAsia="Arial" w:hAnsi="Arial" w:cs="Times New Roman"/>
          <w:sz w:val="24"/>
          <w:lang w:val="en-US"/>
        </w:rPr>
        <w:t xml:space="preserve">hold capital from inferior uses </w:t>
      </w:r>
      <w:r w:rsidRPr="0073440B">
        <w:rPr>
          <w:rFonts w:ascii="Arial" w:eastAsia="Arial" w:hAnsi="Arial" w:cs="Times New Roman"/>
          <w:sz w:val="24"/>
          <w:lang w:val="en-US"/>
        </w:rPr>
        <w:t>an essential safeguard of long-term shareholder value.</w:t>
      </w:r>
    </w:p>
    <w:p w:rsidR="0073440B" w:rsidRDefault="0073440B" w:rsidP="000334BB">
      <w:pPr>
        <w:spacing w:after="160" w:line="360" w:lineRule="auto"/>
        <w:jc w:val="both"/>
        <w:rPr>
          <w:rFonts w:ascii="Arial" w:eastAsia="Arial" w:hAnsi="Arial" w:cs="Times New Roman"/>
          <w:sz w:val="24"/>
          <w:lang w:val="en-US"/>
        </w:rPr>
      </w:pPr>
    </w:p>
    <w:p w:rsidR="000433B9" w:rsidRPr="000433B9" w:rsidRDefault="000433B9" w:rsidP="000433B9">
      <w:pPr>
        <w:spacing w:after="160" w:line="360" w:lineRule="auto"/>
        <w:jc w:val="both"/>
        <w:rPr>
          <w:rFonts w:ascii="Cambria" w:eastAsia="MS Mincho" w:hAnsi="Cambria" w:cs="Times New Roman"/>
          <w:lang w:val="en-US"/>
        </w:rPr>
      </w:pPr>
      <w:r w:rsidRPr="000433B9">
        <w:rPr>
          <w:rFonts w:ascii="Arial" w:eastAsia="Arial" w:hAnsi="Arial" w:cs="Times New Roman"/>
          <w:sz w:val="24"/>
          <w:lang w:val="en-US"/>
        </w:rPr>
        <w:t>When projects are indivisible, the correct procedure is to enumerate the feasible combinations and to choose the set with the highest aggregate NPV. The NPVs of the individual projects are –£3.07 m (A), –£2.57 m (B) and +£4.93 m (C). Consequently the aggregate NPVs are:</w:t>
      </w:r>
    </w:p>
    <w:p w:rsidR="000433B9" w:rsidRPr="000433B9" w:rsidRDefault="000433B9" w:rsidP="000433B9">
      <w:pPr>
        <w:spacing w:after="160" w:line="360" w:lineRule="auto"/>
        <w:jc w:val="both"/>
        <w:rPr>
          <w:rFonts w:ascii="Cambria" w:eastAsia="MS Mincho" w:hAnsi="Cambria" w:cs="Times New Roman"/>
          <w:lang w:val="en-US"/>
        </w:rPr>
      </w:pPr>
      <w:r w:rsidRPr="000433B9">
        <w:rPr>
          <w:rFonts w:ascii="Arial" w:eastAsia="Arial" w:hAnsi="Arial" w:cs="Times New Roman"/>
          <w:sz w:val="24"/>
          <w:lang w:val="en-US"/>
        </w:rPr>
        <w:t>• A alone: NPV = –£3.07 m</w:t>
      </w:r>
    </w:p>
    <w:p w:rsidR="000433B9" w:rsidRPr="000433B9" w:rsidRDefault="000433B9" w:rsidP="000433B9">
      <w:pPr>
        <w:spacing w:after="160" w:line="360" w:lineRule="auto"/>
        <w:jc w:val="both"/>
        <w:rPr>
          <w:rFonts w:ascii="Cambria" w:eastAsia="MS Mincho" w:hAnsi="Cambria" w:cs="Times New Roman"/>
          <w:lang w:val="en-US"/>
        </w:rPr>
      </w:pPr>
      <w:r w:rsidRPr="000433B9">
        <w:rPr>
          <w:rFonts w:ascii="Arial" w:eastAsia="Arial" w:hAnsi="Arial" w:cs="Times New Roman"/>
          <w:sz w:val="24"/>
          <w:lang w:val="en-US"/>
        </w:rPr>
        <w:t>• B alone: NPV = –£2.57 m</w:t>
      </w:r>
    </w:p>
    <w:p w:rsidR="000433B9" w:rsidRPr="000433B9" w:rsidRDefault="000433B9" w:rsidP="000433B9">
      <w:pPr>
        <w:spacing w:after="160" w:line="360" w:lineRule="auto"/>
        <w:jc w:val="both"/>
        <w:rPr>
          <w:rFonts w:ascii="Cambria" w:eastAsia="MS Mincho" w:hAnsi="Cambria" w:cs="Times New Roman"/>
          <w:lang w:val="en-US"/>
        </w:rPr>
      </w:pPr>
      <w:r w:rsidRPr="000433B9">
        <w:rPr>
          <w:rFonts w:ascii="Arial" w:eastAsia="Arial" w:hAnsi="Arial" w:cs="Times New Roman"/>
          <w:sz w:val="24"/>
          <w:lang w:val="en-US"/>
        </w:rPr>
        <w:t>• C alone: NPV = +£4.93 m</w:t>
      </w:r>
    </w:p>
    <w:p w:rsidR="000433B9" w:rsidRPr="000433B9" w:rsidRDefault="000433B9" w:rsidP="000433B9">
      <w:pPr>
        <w:spacing w:after="160" w:line="360" w:lineRule="auto"/>
        <w:jc w:val="both"/>
        <w:rPr>
          <w:rFonts w:ascii="Cambria" w:eastAsia="MS Mincho" w:hAnsi="Cambria" w:cs="Times New Roman"/>
          <w:lang w:val="en-US"/>
        </w:rPr>
      </w:pPr>
      <w:r w:rsidRPr="000433B9">
        <w:rPr>
          <w:rFonts w:ascii="Arial" w:eastAsia="Arial" w:hAnsi="Arial" w:cs="Times New Roman"/>
          <w:sz w:val="24"/>
          <w:lang w:val="en-US"/>
        </w:rPr>
        <w:t>• A + B: NPV = –£5.64 m</w:t>
      </w:r>
    </w:p>
    <w:p w:rsidR="000433B9" w:rsidRPr="000433B9" w:rsidRDefault="000433B9" w:rsidP="000433B9">
      <w:pPr>
        <w:spacing w:after="160" w:line="360" w:lineRule="auto"/>
        <w:jc w:val="both"/>
        <w:rPr>
          <w:rFonts w:ascii="Cambria" w:eastAsia="MS Mincho" w:hAnsi="Cambria" w:cs="Times New Roman"/>
          <w:lang w:val="en-US"/>
        </w:rPr>
      </w:pPr>
      <w:r w:rsidRPr="000433B9">
        <w:rPr>
          <w:rFonts w:ascii="Arial" w:eastAsia="Arial" w:hAnsi="Arial" w:cs="Times New Roman"/>
          <w:sz w:val="24"/>
          <w:lang w:val="en-US"/>
        </w:rPr>
        <w:t>• A + C: NPV = +£1.86 m</w:t>
      </w:r>
    </w:p>
    <w:p w:rsidR="00FA7396" w:rsidRPr="000433B9" w:rsidRDefault="000433B9" w:rsidP="000334BB">
      <w:pPr>
        <w:spacing w:after="160" w:line="360" w:lineRule="auto"/>
        <w:jc w:val="both"/>
        <w:rPr>
          <w:rFonts w:ascii="Cambria" w:eastAsia="MS Mincho" w:hAnsi="Cambria" w:cs="Times New Roman"/>
          <w:lang w:val="en-US"/>
        </w:rPr>
      </w:pPr>
      <w:r w:rsidRPr="000433B9">
        <w:rPr>
          <w:rFonts w:ascii="Arial" w:eastAsia="Arial" w:hAnsi="Arial" w:cs="Times New Roman"/>
          <w:sz w:val="24"/>
          <w:lang w:val="en-US"/>
        </w:rPr>
        <w:t>• B + C: NPV = +£2.36 m</w:t>
      </w:r>
    </w:p>
    <w:p w:rsidR="00FA7396" w:rsidRDefault="00FA7396" w:rsidP="000334BB">
      <w:pPr>
        <w:spacing w:after="160" w:line="360" w:lineRule="auto"/>
        <w:jc w:val="both"/>
        <w:rPr>
          <w:rFonts w:ascii="Arial" w:eastAsia="Arial" w:hAnsi="Arial" w:cs="Times New Roman"/>
          <w:sz w:val="24"/>
          <w:lang w:val="en-US"/>
        </w:rPr>
      </w:pPr>
    </w:p>
    <w:p w:rsidR="00FA7396" w:rsidRDefault="0073440B" w:rsidP="000334BB">
      <w:pPr>
        <w:spacing w:after="160" w:line="360" w:lineRule="auto"/>
        <w:jc w:val="both"/>
        <w:rPr>
          <w:rFonts w:ascii="Arial" w:eastAsia="Arial" w:hAnsi="Arial" w:cs="Times New Roman"/>
          <w:sz w:val="24"/>
          <w:lang w:val="en-US"/>
        </w:rPr>
      </w:pPr>
      <w:r>
        <w:rPr>
          <w:noProof/>
          <w:lang w:eastAsia="en-GB"/>
        </w:rPr>
        <w:lastRenderedPageBreak/>
        <w:drawing>
          <wp:inline distT="0" distB="0" distL="0" distR="0" wp14:anchorId="6458C680" wp14:editId="48940DD3">
            <wp:extent cx="5303520" cy="3156585"/>
            <wp:effectExtent l="0" t="0" r="0" b="5715"/>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stretch>
                      <a:fillRect/>
                    </a:stretch>
                  </pic:blipFill>
                  <pic:spPr>
                    <a:xfrm>
                      <a:off x="0" y="0"/>
                      <a:ext cx="5303520" cy="3156585"/>
                    </a:xfrm>
                    <a:prstGeom prst="rect">
                      <a:avLst/>
                    </a:prstGeom>
                  </pic:spPr>
                </pic:pic>
              </a:graphicData>
            </a:graphic>
          </wp:inline>
        </w:drawing>
      </w:r>
    </w:p>
    <w:p w:rsidR="0073440B" w:rsidRPr="000433B9" w:rsidRDefault="0073440B" w:rsidP="0073440B">
      <w:pPr>
        <w:jc w:val="center"/>
      </w:pPr>
      <w:r w:rsidRPr="000433B9">
        <w:rPr>
          <w:rFonts w:ascii="Arial" w:eastAsia="Arial" w:hAnsi="Arial"/>
          <w:b/>
          <w:sz w:val="18"/>
        </w:rPr>
        <w:t>Figure 5.3 Capital Rationing – Aggregate NPV by Project Combination (£ million)</w:t>
      </w:r>
    </w:p>
    <w:p w:rsidR="0073440B" w:rsidRPr="000433B9" w:rsidRDefault="0073440B" w:rsidP="0073440B">
      <w:pPr>
        <w:spacing w:after="160"/>
        <w:jc w:val="center"/>
      </w:pPr>
      <w:r w:rsidRPr="000433B9">
        <w:rPr>
          <w:rFonts w:ascii="Arial" w:eastAsia="Arial" w:hAnsi="Arial"/>
          <w:i/>
          <w:sz w:val="16"/>
        </w:rPr>
        <w:t>Source: Author’s calculations. Optimal combination highlighted in green.</w:t>
      </w:r>
    </w:p>
    <w:p w:rsidR="00FA7396" w:rsidRDefault="00FA7396" w:rsidP="000334BB">
      <w:pPr>
        <w:spacing w:after="160" w:line="360" w:lineRule="auto"/>
        <w:jc w:val="both"/>
        <w:rPr>
          <w:rFonts w:ascii="Arial" w:eastAsia="Arial" w:hAnsi="Arial" w:cs="Times New Roman"/>
          <w:sz w:val="24"/>
          <w:lang w:val="en-US"/>
        </w:rPr>
      </w:pPr>
    </w:p>
    <w:p w:rsidR="00FA7396" w:rsidRDefault="00FA7396" w:rsidP="000334BB">
      <w:pPr>
        <w:spacing w:after="160" w:line="360" w:lineRule="auto"/>
        <w:jc w:val="both"/>
        <w:rPr>
          <w:rFonts w:ascii="Arial" w:eastAsia="Arial" w:hAnsi="Arial" w:cs="Times New Roman"/>
          <w:sz w:val="24"/>
          <w:lang w:val="en-US"/>
        </w:rPr>
      </w:pPr>
    </w:p>
    <w:p w:rsidR="00FA7396" w:rsidRDefault="00FA7396" w:rsidP="000334BB">
      <w:pPr>
        <w:spacing w:after="160" w:line="360" w:lineRule="auto"/>
        <w:jc w:val="both"/>
        <w:rPr>
          <w:rFonts w:ascii="Arial" w:eastAsia="Arial" w:hAnsi="Arial" w:cs="Times New Roman"/>
          <w:sz w:val="24"/>
          <w:lang w:val="en-US"/>
        </w:rPr>
      </w:pPr>
    </w:p>
    <w:p w:rsidR="00FA7396" w:rsidRDefault="00FA7396" w:rsidP="000334BB">
      <w:pPr>
        <w:spacing w:after="160" w:line="360" w:lineRule="auto"/>
        <w:jc w:val="both"/>
        <w:rPr>
          <w:rFonts w:ascii="Arial" w:eastAsia="Arial" w:hAnsi="Arial" w:cs="Times New Roman"/>
          <w:sz w:val="24"/>
          <w:lang w:val="en-US"/>
        </w:rPr>
      </w:pPr>
    </w:p>
    <w:p w:rsidR="00FA7396" w:rsidRDefault="00FA7396" w:rsidP="000334BB">
      <w:pPr>
        <w:spacing w:after="160" w:line="360" w:lineRule="auto"/>
        <w:jc w:val="both"/>
        <w:rPr>
          <w:rFonts w:ascii="Arial" w:eastAsia="Arial" w:hAnsi="Arial" w:cs="Times New Roman"/>
          <w:sz w:val="24"/>
          <w:lang w:val="en-US"/>
        </w:rPr>
      </w:pPr>
    </w:p>
    <w:p w:rsidR="00FA7396" w:rsidRDefault="00FA7396" w:rsidP="000334BB">
      <w:pPr>
        <w:spacing w:after="160" w:line="360" w:lineRule="auto"/>
        <w:jc w:val="both"/>
        <w:rPr>
          <w:rFonts w:ascii="Arial" w:eastAsia="Arial" w:hAnsi="Arial" w:cs="Times New Roman"/>
          <w:sz w:val="24"/>
          <w:lang w:val="en-US"/>
        </w:rPr>
      </w:pPr>
    </w:p>
    <w:p w:rsidR="00FA7396" w:rsidRDefault="00FA7396" w:rsidP="000334BB">
      <w:pPr>
        <w:spacing w:after="160" w:line="360" w:lineRule="auto"/>
        <w:jc w:val="both"/>
        <w:rPr>
          <w:rFonts w:ascii="Arial" w:eastAsia="Arial" w:hAnsi="Arial" w:cs="Times New Roman"/>
          <w:sz w:val="24"/>
          <w:lang w:val="en-US"/>
        </w:rPr>
      </w:pPr>
    </w:p>
    <w:p w:rsidR="00FA7396" w:rsidRDefault="00FA7396" w:rsidP="000334BB">
      <w:pPr>
        <w:spacing w:after="160" w:line="360" w:lineRule="auto"/>
        <w:jc w:val="both"/>
        <w:rPr>
          <w:rFonts w:ascii="Arial" w:eastAsia="Arial" w:hAnsi="Arial" w:cs="Times New Roman"/>
          <w:sz w:val="24"/>
          <w:lang w:val="en-US"/>
        </w:rPr>
      </w:pPr>
    </w:p>
    <w:p w:rsidR="00FA7396" w:rsidRDefault="00FA7396" w:rsidP="000334BB">
      <w:pPr>
        <w:spacing w:after="160" w:line="360" w:lineRule="auto"/>
        <w:jc w:val="both"/>
        <w:rPr>
          <w:rFonts w:ascii="Arial" w:eastAsia="Arial" w:hAnsi="Arial" w:cs="Times New Roman"/>
          <w:sz w:val="24"/>
          <w:lang w:val="en-US"/>
        </w:rPr>
      </w:pPr>
    </w:p>
    <w:p w:rsidR="00FA7396" w:rsidRDefault="00FA7396" w:rsidP="000334BB">
      <w:pPr>
        <w:spacing w:after="160" w:line="360" w:lineRule="auto"/>
        <w:jc w:val="both"/>
        <w:rPr>
          <w:rFonts w:ascii="Arial" w:eastAsia="Arial" w:hAnsi="Arial" w:cs="Times New Roman"/>
          <w:sz w:val="24"/>
          <w:lang w:val="en-US"/>
        </w:rPr>
      </w:pPr>
    </w:p>
    <w:p w:rsidR="00FA7396" w:rsidRDefault="00FA7396" w:rsidP="000334BB">
      <w:pPr>
        <w:spacing w:after="160" w:line="360" w:lineRule="auto"/>
        <w:jc w:val="both"/>
        <w:rPr>
          <w:rFonts w:ascii="Arial" w:eastAsia="Arial" w:hAnsi="Arial" w:cs="Times New Roman"/>
          <w:sz w:val="24"/>
          <w:lang w:val="en-US"/>
        </w:rPr>
      </w:pPr>
    </w:p>
    <w:p w:rsidR="00FA7396" w:rsidRDefault="00FA7396" w:rsidP="000334BB">
      <w:pPr>
        <w:spacing w:after="160" w:line="360" w:lineRule="auto"/>
        <w:jc w:val="both"/>
        <w:rPr>
          <w:rFonts w:ascii="Arial" w:eastAsia="Arial" w:hAnsi="Arial" w:cs="Times New Roman"/>
          <w:sz w:val="24"/>
          <w:lang w:val="en-US"/>
        </w:rPr>
      </w:pPr>
    </w:p>
    <w:p w:rsidR="00FA7396" w:rsidRDefault="00FA7396" w:rsidP="000334BB">
      <w:pPr>
        <w:spacing w:after="160" w:line="360" w:lineRule="auto"/>
        <w:jc w:val="both"/>
        <w:rPr>
          <w:rFonts w:ascii="Arial" w:eastAsia="Arial" w:hAnsi="Arial" w:cs="Times New Roman"/>
          <w:sz w:val="24"/>
          <w:lang w:val="en-US"/>
        </w:rPr>
      </w:pPr>
    </w:p>
    <w:p w:rsidR="00FA7396" w:rsidRPr="00BD2FC2" w:rsidRDefault="00FA7396" w:rsidP="000334BB">
      <w:pPr>
        <w:spacing w:after="160" w:line="360" w:lineRule="auto"/>
        <w:jc w:val="both"/>
        <w:rPr>
          <w:rFonts w:ascii="Cambria" w:eastAsia="MS Mincho" w:hAnsi="Cambria" w:cs="Times New Roman"/>
          <w:lang w:val="en-US"/>
        </w:rPr>
      </w:pPr>
    </w:p>
    <w:p w:rsidR="00BD2FC2" w:rsidRPr="00BD2FC2" w:rsidRDefault="00BD2FC2" w:rsidP="000334BB">
      <w:pPr>
        <w:pStyle w:val="Heading1"/>
        <w:rPr>
          <w:rFonts w:ascii="Calibri" w:eastAsia="MS Gothic" w:hAnsi="Calibri"/>
          <w:color w:val="365F91"/>
          <w:lang w:val="en-US"/>
        </w:rPr>
      </w:pPr>
      <w:bookmarkStart w:id="26" w:name="_Toc236825697"/>
      <w:r w:rsidRPr="00BD2FC2">
        <w:rPr>
          <w:rFonts w:eastAsia="Arial"/>
          <w:lang w:val="en-US"/>
        </w:rPr>
        <w:lastRenderedPageBreak/>
        <w:t>Critical Reflection on AI Usage</w:t>
      </w:r>
      <w:bookmarkEnd w:id="26"/>
    </w:p>
    <w:p w:rsidR="009A7230" w:rsidRPr="009A7230" w:rsidRDefault="009A7230" w:rsidP="000334BB">
      <w:pPr>
        <w:pStyle w:val="ListParagraph"/>
        <w:keepNext/>
        <w:keepLines/>
        <w:numPr>
          <w:ilvl w:val="0"/>
          <w:numId w:val="6"/>
        </w:numPr>
        <w:spacing w:before="200" w:after="0" w:line="360" w:lineRule="auto"/>
        <w:contextualSpacing w:val="0"/>
        <w:outlineLvl w:val="1"/>
        <w:rPr>
          <w:rFonts w:ascii="Arial" w:eastAsia="Arial" w:hAnsi="Arial" w:cstheme="majorBidi"/>
          <w:b/>
          <w:bCs/>
          <w:vanish/>
          <w:color w:val="000000" w:themeColor="text1"/>
          <w:sz w:val="28"/>
          <w:szCs w:val="26"/>
          <w:lang w:val="en-US"/>
        </w:rPr>
      </w:pPr>
      <w:bookmarkStart w:id="27" w:name="_Toc236825400"/>
      <w:bookmarkStart w:id="28" w:name="_Toc236825698"/>
      <w:bookmarkEnd w:id="27"/>
      <w:bookmarkEnd w:id="28"/>
    </w:p>
    <w:p w:rsidR="00BD2FC2" w:rsidRPr="00BD2FC2" w:rsidRDefault="009A7230" w:rsidP="000334BB">
      <w:pPr>
        <w:pStyle w:val="Heading2"/>
        <w:rPr>
          <w:rFonts w:ascii="Calibri" w:eastAsia="MS Gothic" w:hAnsi="Calibri"/>
          <w:color w:val="4F81BD"/>
          <w:sz w:val="26"/>
          <w:lang w:val="en-US"/>
        </w:rPr>
      </w:pPr>
      <w:r>
        <w:rPr>
          <w:rFonts w:eastAsia="Arial"/>
          <w:lang w:val="en-US"/>
        </w:rPr>
        <w:t xml:space="preserve">  </w:t>
      </w:r>
      <w:bookmarkStart w:id="29" w:name="_Toc236825699"/>
      <w:r w:rsidR="00BD2FC2" w:rsidRPr="00BD2FC2">
        <w:rPr>
          <w:rFonts w:eastAsia="Arial"/>
          <w:lang w:val="en-US"/>
        </w:rPr>
        <w:t>Tool Disclosure</w:t>
      </w:r>
      <w:bookmarkEnd w:id="29"/>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Artificial int</w:t>
      </w:r>
      <w:r w:rsidR="00B20456">
        <w:rPr>
          <w:rFonts w:ascii="Arial" w:eastAsia="Arial" w:hAnsi="Arial" w:cs="Times New Roman"/>
          <w:sz w:val="24"/>
          <w:lang w:val="en-US"/>
        </w:rPr>
        <w:t>elligence, specifically the ChatGpt</w:t>
      </w:r>
      <w:r w:rsidRPr="00BD2FC2">
        <w:rPr>
          <w:rFonts w:ascii="Arial" w:eastAsia="Arial" w:hAnsi="Arial" w:cs="Times New Roman"/>
          <w:sz w:val="24"/>
          <w:lang w:val="en-US"/>
        </w:rPr>
        <w:t xml:space="preserve"> large-language model dev</w:t>
      </w:r>
      <w:r w:rsidR="00B20456">
        <w:rPr>
          <w:rFonts w:ascii="Arial" w:eastAsia="Arial" w:hAnsi="Arial" w:cs="Times New Roman"/>
          <w:sz w:val="24"/>
          <w:lang w:val="en-US"/>
        </w:rPr>
        <w:t xml:space="preserve">eloped by </w:t>
      </w:r>
      <w:r w:rsidRPr="00BD2FC2">
        <w:rPr>
          <w:rFonts w:ascii="Arial" w:eastAsia="Arial" w:hAnsi="Arial" w:cs="Times New Roman"/>
          <w:sz w:val="24"/>
          <w:lang w:val="en-US"/>
        </w:rPr>
        <w:t>AI, was employed as a research-assistant and drafting aid during the preparation of this report. Typical prompts requested multi-year ratio extraction from IHG’s published results, calculation of the cash conversion cycle, peer benchmarking against Marriott and Hilton, and the numerical evaluation of the three capital projects under NPV, IRR and related criteria. AI was also used to structure early outlines and to generate first-draft paragraphs that were subsequently rewritten. An explicit AI-use acknowledgement appears in the final section of the report, consistent with institutional requirements.</w:t>
      </w:r>
    </w:p>
    <w:p w:rsidR="00BD2FC2" w:rsidRPr="00BD2FC2" w:rsidRDefault="000334BB" w:rsidP="000334BB">
      <w:pPr>
        <w:pStyle w:val="Heading2"/>
        <w:rPr>
          <w:rFonts w:ascii="Calibri" w:eastAsia="MS Gothic" w:hAnsi="Calibri"/>
          <w:color w:val="4F81BD"/>
          <w:sz w:val="26"/>
          <w:lang w:val="en-US"/>
        </w:rPr>
      </w:pPr>
      <w:r>
        <w:rPr>
          <w:rFonts w:eastAsia="Arial"/>
          <w:lang w:val="en-US"/>
        </w:rPr>
        <w:t xml:space="preserve">  </w:t>
      </w:r>
      <w:bookmarkStart w:id="30" w:name="_Toc236825700"/>
      <w:r w:rsidR="00BD2FC2" w:rsidRPr="00BD2FC2">
        <w:rPr>
          <w:rFonts w:eastAsia="Arial"/>
          <w:lang w:val="en-US"/>
        </w:rPr>
        <w:t>Critical Evaluation of AI Output</w:t>
      </w:r>
      <w:bookmarkEnd w:id="30"/>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All numerical outputs were cross-ch</w:t>
      </w:r>
      <w:r w:rsidR="00B20456">
        <w:rPr>
          <w:rFonts w:ascii="Arial" w:eastAsia="Arial" w:hAnsi="Arial" w:cs="Times New Roman"/>
          <w:sz w:val="24"/>
          <w:lang w:val="en-US"/>
        </w:rPr>
        <w:t xml:space="preserve">ecked against primary sources </w:t>
      </w:r>
      <w:r w:rsidRPr="00BD2FC2">
        <w:rPr>
          <w:rFonts w:ascii="Arial" w:eastAsia="Arial" w:hAnsi="Arial" w:cs="Times New Roman"/>
          <w:sz w:val="24"/>
          <w:lang w:val="en-US"/>
        </w:rPr>
        <w:t>IHG Full</w:t>
      </w:r>
      <w:r>
        <w:rPr>
          <w:rFonts w:ascii="Arial" w:eastAsia="Arial" w:hAnsi="Arial" w:cs="Times New Roman"/>
          <w:sz w:val="24"/>
          <w:lang w:val="en-US"/>
        </w:rPr>
        <w:t xml:space="preserve"> </w:t>
      </w:r>
      <w:r w:rsidRPr="00BD2FC2">
        <w:rPr>
          <w:rFonts w:ascii="Arial" w:eastAsia="Arial" w:hAnsi="Arial" w:cs="Times New Roman"/>
          <w:sz w:val="24"/>
          <w:lang w:val="en-US"/>
        </w:rPr>
        <w:t xml:space="preserve">Year Results PDFs, </w:t>
      </w:r>
      <w:r w:rsidR="00B20456" w:rsidRPr="00BD2FC2">
        <w:rPr>
          <w:rFonts w:ascii="Arial" w:eastAsia="Arial" w:hAnsi="Arial" w:cs="Times New Roman"/>
          <w:sz w:val="24"/>
          <w:lang w:val="en-US"/>
        </w:rPr>
        <w:t>Macro trends</w:t>
      </w:r>
      <w:r w:rsidRPr="00BD2FC2">
        <w:rPr>
          <w:rFonts w:ascii="Arial" w:eastAsia="Arial" w:hAnsi="Arial" w:cs="Times New Roman"/>
          <w:sz w:val="24"/>
          <w:lang w:val="en-US"/>
        </w:rPr>
        <w:t xml:space="preserve"> balance-sheet extracts, and independent recalculation in Excel. Several instances of incomplete or approximate figures (particularly earlier-year cost-of-sales and detailed payables breakdowns) were identified and corrected by returning to the original filings. Ratio definitions were verified against standard textbooks (Brealey et al., 2023; Watson and Head, 2019) to ensure consistency. Where AI suggested interpretive language that overstated causality or ignored the structural nature of negative equity, the text was revised to reflect a more cautious and accurate narrative. Hallucinated references or non-existent statistics were discarded.</w:t>
      </w:r>
    </w:p>
    <w:p w:rsidR="00BD2FC2" w:rsidRPr="00BD2FC2" w:rsidRDefault="000334BB" w:rsidP="000334BB">
      <w:pPr>
        <w:pStyle w:val="Heading2"/>
        <w:rPr>
          <w:rFonts w:ascii="Calibri" w:eastAsia="MS Gothic" w:hAnsi="Calibri"/>
          <w:color w:val="4F81BD"/>
          <w:sz w:val="26"/>
          <w:lang w:val="en-US"/>
        </w:rPr>
      </w:pPr>
      <w:r>
        <w:rPr>
          <w:rFonts w:eastAsia="Arial"/>
          <w:lang w:val="en-US"/>
        </w:rPr>
        <w:t xml:space="preserve">  </w:t>
      </w:r>
      <w:bookmarkStart w:id="31" w:name="_Toc236825701"/>
      <w:r w:rsidR="00BD2FC2" w:rsidRPr="00BD2FC2">
        <w:rPr>
          <w:rFonts w:eastAsia="Arial"/>
          <w:lang w:val="en-US"/>
        </w:rPr>
        <w:t>Contribution Analysis</w:t>
      </w:r>
      <w:bookmarkEnd w:id="31"/>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 xml:space="preserve">AI contributed primarily to data assembly, preliminary ratio computation, and the generation of structural scaffolding. The selection of which ratios mattered for an asset-light hospitality firm, the interpretation of negative equity as a buyback-driven phenomenon rather than distress, the strategic weighting of fee-margin expansion, the rejection of Projects A and B on NPV grounds, and the final restructuring and capital-rationing recommendations are the product of the author’s own critical analysis and professional </w:t>
      </w:r>
      <w:r w:rsidR="00B20456" w:rsidRPr="00BD2FC2">
        <w:rPr>
          <w:rFonts w:ascii="Arial" w:eastAsia="Arial" w:hAnsi="Arial" w:cs="Times New Roman"/>
          <w:sz w:val="24"/>
          <w:lang w:val="en-US"/>
        </w:rPr>
        <w:t>judgment</w:t>
      </w:r>
      <w:r w:rsidRPr="00BD2FC2">
        <w:rPr>
          <w:rFonts w:ascii="Arial" w:eastAsia="Arial" w:hAnsi="Arial" w:cs="Times New Roman"/>
          <w:sz w:val="24"/>
          <w:lang w:val="en-US"/>
        </w:rPr>
        <w:t xml:space="preserve">. The ethical and international considerations in </w:t>
      </w:r>
      <w:r w:rsidRPr="00BD2FC2">
        <w:rPr>
          <w:rFonts w:ascii="Arial" w:eastAsia="Arial" w:hAnsi="Arial" w:cs="Times New Roman"/>
          <w:sz w:val="24"/>
          <w:lang w:val="en-US"/>
        </w:rPr>
        <w:lastRenderedPageBreak/>
        <w:t>Section 4, and the nuanced discussion of liquidity benchmarks, likewise reflect independent synthesis rather than uncritical acceptance of AI prose.</w:t>
      </w:r>
    </w:p>
    <w:p w:rsidR="00BD2FC2" w:rsidRPr="00BD2FC2" w:rsidRDefault="000334BB" w:rsidP="000334BB">
      <w:pPr>
        <w:pStyle w:val="Heading2"/>
        <w:rPr>
          <w:rFonts w:ascii="Calibri" w:eastAsia="MS Gothic" w:hAnsi="Calibri"/>
          <w:color w:val="4F81BD"/>
          <w:sz w:val="26"/>
          <w:lang w:val="en-US"/>
        </w:rPr>
      </w:pPr>
      <w:r>
        <w:rPr>
          <w:rFonts w:eastAsia="Arial"/>
          <w:lang w:val="en-US"/>
        </w:rPr>
        <w:t xml:space="preserve">  </w:t>
      </w:r>
      <w:bookmarkStart w:id="32" w:name="_Toc236825702"/>
      <w:r w:rsidR="00BD2FC2" w:rsidRPr="00BD2FC2">
        <w:rPr>
          <w:rFonts w:eastAsia="Arial"/>
          <w:lang w:val="en-US"/>
        </w:rPr>
        <w:t>Ethical and Professional Reflection</w:t>
      </w:r>
      <w:bookmarkEnd w:id="32"/>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 xml:space="preserve">The use of AI in financial analysis raises three interlocking ethical issues. Transparency requires that stakeholders understand the extent of machine assistance; this has been addressed through explicit disclosure. Data privacy is less acute when working solely with publicly available annual-report data, yet any future use of proprietary or client information would demand strict contractual and technical safeguards. Most importantly, over-reliance on AI for executive-level </w:t>
      </w:r>
      <w:r w:rsidR="00E620B4" w:rsidRPr="00BD2FC2">
        <w:rPr>
          <w:rFonts w:ascii="Arial" w:eastAsia="Arial" w:hAnsi="Arial" w:cs="Times New Roman"/>
          <w:sz w:val="24"/>
          <w:lang w:val="en-US"/>
        </w:rPr>
        <w:t>judgment</w:t>
      </w:r>
      <w:r w:rsidRPr="00BD2FC2">
        <w:rPr>
          <w:rFonts w:ascii="Arial" w:eastAsia="Arial" w:hAnsi="Arial" w:cs="Times New Roman"/>
          <w:sz w:val="24"/>
          <w:lang w:val="en-US"/>
        </w:rPr>
        <w:t xml:space="preserve"> risk</w:t>
      </w:r>
      <w:r w:rsidR="00B20456">
        <w:rPr>
          <w:rFonts w:ascii="Arial" w:eastAsia="Arial" w:hAnsi="Arial" w:cs="Times New Roman"/>
          <w:sz w:val="24"/>
          <w:lang w:val="en-US"/>
        </w:rPr>
        <w:t>s the erosion of professional sk</w:t>
      </w:r>
      <w:r w:rsidRPr="00BD2FC2">
        <w:rPr>
          <w:rFonts w:ascii="Arial" w:eastAsia="Arial" w:hAnsi="Arial" w:cs="Times New Roman"/>
          <w:sz w:val="24"/>
          <w:lang w:val="en-US"/>
        </w:rPr>
        <w:t>epticism and the propagation of subtle errors at scale. In a CFO role, AI should remain a productivity tool that accelerates data handling and first-draft production, while final accountability for valuation assumptions, risk assessment and strategic recommendations rests exclusively with the human decision-maker (ICAEW, 2024; CFA Institute, 2024). The present report has been prepared in that spirit.</w:t>
      </w:r>
    </w:p>
    <w:p w:rsidR="00BD2FC2" w:rsidRPr="00BD2FC2" w:rsidRDefault="00BD2FC2" w:rsidP="000334BB">
      <w:pPr>
        <w:pStyle w:val="Heading1"/>
        <w:rPr>
          <w:rFonts w:ascii="Calibri" w:eastAsia="MS Gothic" w:hAnsi="Calibri"/>
          <w:color w:val="365F91"/>
          <w:lang w:val="en-US"/>
        </w:rPr>
      </w:pPr>
      <w:bookmarkStart w:id="33" w:name="_Toc236825703"/>
      <w:r w:rsidRPr="00BD2FC2">
        <w:rPr>
          <w:rFonts w:eastAsia="Arial"/>
          <w:lang w:val="en-US"/>
        </w:rPr>
        <w:t>Conclusion</w:t>
      </w:r>
      <w:bookmarkEnd w:id="33"/>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IHG emerges from the 2021–2025 review period as a financially resilient, cash-generative, asset-light hospitality platform. Revenue and fee margins have expanded, free-cash-flow conversion is strong, leverage is controlled, and liquidity, while appearing modest on conventional current-ratio metrics, is adequate for the business model when judged against peers and undrawn facilities. The</w:t>
      </w:r>
      <w:r w:rsidR="00897E88">
        <w:rPr>
          <w:rFonts w:ascii="Arial" w:eastAsia="Arial" w:hAnsi="Arial" w:cs="Times New Roman"/>
          <w:sz w:val="24"/>
          <w:lang w:val="en-US"/>
        </w:rPr>
        <w:t xml:space="preserve"> principal structural anomaly negative equity </w:t>
      </w:r>
      <w:r w:rsidRPr="00BD2FC2">
        <w:rPr>
          <w:rFonts w:ascii="Arial" w:eastAsia="Arial" w:hAnsi="Arial" w:cs="Times New Roman"/>
          <w:sz w:val="24"/>
          <w:lang w:val="en-US"/>
        </w:rPr>
        <w:t>is the deliberate result of shareholder-return policies shared with major competitors and does not signal distress.</w:t>
      </w:r>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t xml:space="preserve">Working-capital management is already efficient, as evidenced by a strongly negative cash conversion cycle; incremental gains should focus on receivable-collection technology and loyalty-liability </w:t>
      </w:r>
      <w:r w:rsidR="00B20456" w:rsidRPr="00BD2FC2">
        <w:rPr>
          <w:rFonts w:ascii="Arial" w:eastAsia="Arial" w:hAnsi="Arial" w:cs="Times New Roman"/>
          <w:sz w:val="24"/>
          <w:lang w:val="en-US"/>
        </w:rPr>
        <w:t>optimization</w:t>
      </w:r>
      <w:r w:rsidRPr="00BD2FC2">
        <w:rPr>
          <w:rFonts w:ascii="Arial" w:eastAsia="Arial" w:hAnsi="Arial" w:cs="Times New Roman"/>
          <w:sz w:val="24"/>
          <w:lang w:val="en-US"/>
        </w:rPr>
        <w:t xml:space="preserve">. The recommended financial strategy centres on continued disciplined capital returns within existing leverage guardrails, selective recycling of any residual owned assets, and avoidance of </w:t>
      </w:r>
      <w:r w:rsidR="00897E88">
        <w:rPr>
          <w:rFonts w:ascii="Arial" w:eastAsia="Arial" w:hAnsi="Arial" w:cs="Times New Roman"/>
          <w:sz w:val="24"/>
          <w:lang w:val="en-US"/>
        </w:rPr>
        <w:t xml:space="preserve">value </w:t>
      </w:r>
      <w:r w:rsidRPr="00BD2FC2">
        <w:rPr>
          <w:rFonts w:ascii="Arial" w:eastAsia="Arial" w:hAnsi="Arial" w:cs="Times New Roman"/>
          <w:sz w:val="24"/>
          <w:lang w:val="en-US"/>
        </w:rPr>
        <w:t>destructive large-scale mergers. Among the three capital projects examined, only Project C creates shareholder value at an 8 per cent cost of capital; under a £100 million capital constraint it should be accepted alone.</w:t>
      </w:r>
    </w:p>
    <w:p w:rsidR="00BD2FC2" w:rsidRPr="00BD2FC2" w:rsidRDefault="00BD2FC2" w:rsidP="000334BB">
      <w:pPr>
        <w:spacing w:after="160" w:line="360" w:lineRule="auto"/>
        <w:jc w:val="both"/>
        <w:rPr>
          <w:rFonts w:ascii="Cambria" w:eastAsia="MS Mincho" w:hAnsi="Cambria" w:cs="Times New Roman"/>
          <w:lang w:val="en-US"/>
        </w:rPr>
      </w:pPr>
      <w:r w:rsidRPr="00BD2FC2">
        <w:rPr>
          <w:rFonts w:ascii="Arial" w:eastAsia="Arial" w:hAnsi="Arial" w:cs="Times New Roman"/>
          <w:sz w:val="24"/>
          <w:lang w:val="en-US"/>
        </w:rPr>
        <w:lastRenderedPageBreak/>
        <w:t>Taken together, the analysis s</w:t>
      </w:r>
      <w:r w:rsidR="00897E88">
        <w:rPr>
          <w:rFonts w:ascii="Arial" w:eastAsia="Arial" w:hAnsi="Arial" w:cs="Times New Roman"/>
          <w:sz w:val="24"/>
          <w:lang w:val="en-US"/>
        </w:rPr>
        <w:t xml:space="preserve">upports a turnaround and </w:t>
      </w:r>
      <w:r w:rsidRPr="00BD2FC2">
        <w:rPr>
          <w:rFonts w:ascii="Arial" w:eastAsia="Arial" w:hAnsi="Arial" w:cs="Times New Roman"/>
          <w:sz w:val="24"/>
          <w:lang w:val="en-US"/>
        </w:rPr>
        <w:t>growth agenda that is financially viable, scalable across IHG’s global system, and consistent with the Group’s ethical and ESG commitments. Execution will require continued vigilance on geopolitical, currency and demand risks, together with rigorous capital-allocation discipline.</w:t>
      </w:r>
    </w:p>
    <w:p w:rsidR="00BD2FC2" w:rsidRPr="00BD2FC2" w:rsidRDefault="00BD2FC2" w:rsidP="000334BB">
      <w:pPr>
        <w:spacing w:line="360" w:lineRule="auto"/>
        <w:rPr>
          <w:rFonts w:ascii="Cambria" w:eastAsia="MS Mincho" w:hAnsi="Cambria" w:cs="Times New Roman"/>
          <w:lang w:val="en-US"/>
        </w:rPr>
      </w:pPr>
      <w:r w:rsidRPr="00BD2FC2">
        <w:rPr>
          <w:rFonts w:ascii="Cambria" w:eastAsia="MS Mincho" w:hAnsi="Cambria" w:cs="Times New Roman"/>
          <w:lang w:val="en-US"/>
        </w:rPr>
        <w:br w:type="page"/>
      </w:r>
    </w:p>
    <w:p w:rsidR="00BD2FC2" w:rsidRPr="00BD2FC2" w:rsidRDefault="00BD2FC2" w:rsidP="000334BB">
      <w:pPr>
        <w:pStyle w:val="Heading1"/>
        <w:numPr>
          <w:ilvl w:val="0"/>
          <w:numId w:val="0"/>
        </w:numPr>
        <w:ind w:left="360"/>
        <w:rPr>
          <w:rFonts w:ascii="Calibri" w:eastAsia="MS Gothic" w:hAnsi="Calibri"/>
          <w:color w:val="365F91"/>
          <w:lang w:val="en-US"/>
        </w:rPr>
      </w:pPr>
      <w:bookmarkStart w:id="34" w:name="_Toc236825704"/>
      <w:r w:rsidRPr="00BD2FC2">
        <w:rPr>
          <w:rFonts w:eastAsia="Arial"/>
          <w:lang w:val="en-US"/>
        </w:rPr>
        <w:lastRenderedPageBreak/>
        <w:t>References</w:t>
      </w:r>
      <w:bookmarkEnd w:id="34"/>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t xml:space="preserve">Arnold, G. and Lewis, D. (2019) </w:t>
      </w:r>
      <w:r w:rsidRPr="00027E4B">
        <w:rPr>
          <w:rFonts w:ascii="Arial" w:eastAsia="Times New Roman" w:hAnsi="Arial" w:cs="Arial"/>
          <w:i/>
          <w:iCs/>
          <w:sz w:val="24"/>
          <w:szCs w:val="24"/>
          <w:lang w:eastAsia="en-GB"/>
        </w:rPr>
        <w:t>Corporate financial management</w:t>
      </w:r>
      <w:r w:rsidRPr="00027E4B">
        <w:rPr>
          <w:rFonts w:ascii="Arial" w:eastAsia="Times New Roman" w:hAnsi="Arial" w:cs="Arial"/>
          <w:sz w:val="24"/>
          <w:szCs w:val="24"/>
          <w:lang w:eastAsia="en-GB"/>
        </w:rPr>
        <w:t>. 6th edn. Harlow: Pearson.</w:t>
      </w:r>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t xml:space="preserve">Brealey, R.A., Myers, S.C. and Allen, F. (2023) </w:t>
      </w:r>
      <w:r w:rsidRPr="00027E4B">
        <w:rPr>
          <w:rFonts w:ascii="Arial" w:eastAsia="Times New Roman" w:hAnsi="Arial" w:cs="Arial"/>
          <w:i/>
          <w:iCs/>
          <w:sz w:val="24"/>
          <w:szCs w:val="24"/>
          <w:lang w:eastAsia="en-GB"/>
        </w:rPr>
        <w:t>Principles of corporate finance</w:t>
      </w:r>
      <w:r w:rsidRPr="00027E4B">
        <w:rPr>
          <w:rFonts w:ascii="Arial" w:eastAsia="Times New Roman" w:hAnsi="Arial" w:cs="Arial"/>
          <w:sz w:val="24"/>
          <w:szCs w:val="24"/>
          <w:lang w:eastAsia="en-GB"/>
        </w:rPr>
        <w:t>. 14th edn. New York: McGraw-Hill.</w:t>
      </w:r>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t xml:space="preserve">CFA Institute (2024) </w:t>
      </w:r>
      <w:r w:rsidRPr="00027E4B">
        <w:rPr>
          <w:rFonts w:ascii="Arial" w:eastAsia="Times New Roman" w:hAnsi="Arial" w:cs="Arial"/>
          <w:i/>
          <w:iCs/>
          <w:sz w:val="24"/>
          <w:szCs w:val="24"/>
          <w:lang w:eastAsia="en-GB"/>
        </w:rPr>
        <w:t>AI and the future of investment management</w:t>
      </w:r>
      <w:r w:rsidRPr="00027E4B">
        <w:rPr>
          <w:rFonts w:ascii="Arial" w:eastAsia="Times New Roman" w:hAnsi="Arial" w:cs="Arial"/>
          <w:sz w:val="24"/>
          <w:szCs w:val="24"/>
          <w:lang w:eastAsia="en-GB"/>
        </w:rPr>
        <w:t>. Charlottesville: CFA Institute.</w:t>
      </w:r>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t xml:space="preserve">CSIMarket (2026) </w:t>
      </w:r>
      <w:r w:rsidRPr="00027E4B">
        <w:rPr>
          <w:rFonts w:ascii="Arial" w:eastAsia="Times New Roman" w:hAnsi="Arial" w:cs="Arial"/>
          <w:i/>
          <w:iCs/>
          <w:sz w:val="24"/>
          <w:szCs w:val="24"/>
          <w:lang w:eastAsia="en-GB"/>
        </w:rPr>
        <w:t>Hotels, tourism and amusement industry financial ratios</w:t>
      </w:r>
      <w:r w:rsidRPr="00027E4B">
        <w:rPr>
          <w:rFonts w:ascii="Arial" w:eastAsia="Times New Roman" w:hAnsi="Arial" w:cs="Arial"/>
          <w:sz w:val="24"/>
          <w:szCs w:val="24"/>
          <w:lang w:eastAsia="en-GB"/>
        </w:rPr>
        <w:t xml:space="preserve">. Available at: </w:t>
      </w:r>
      <w:hyperlink r:id="rId11" w:tgtFrame="_blank" w:history="1">
        <w:r w:rsidRPr="00027E4B">
          <w:rPr>
            <w:rFonts w:ascii="Arial" w:eastAsia="Times New Roman" w:hAnsi="Arial" w:cs="Arial"/>
            <w:color w:val="0000FF"/>
            <w:sz w:val="24"/>
            <w:szCs w:val="24"/>
            <w:u w:val="single"/>
            <w:lang w:eastAsia="en-GB"/>
          </w:rPr>
          <w:t>https://csimarket.com</w:t>
        </w:r>
      </w:hyperlink>
      <w:r w:rsidRPr="00027E4B">
        <w:rPr>
          <w:rFonts w:ascii="Arial" w:eastAsia="Times New Roman" w:hAnsi="Arial" w:cs="Arial"/>
          <w:sz w:val="24"/>
          <w:szCs w:val="24"/>
          <w:lang w:eastAsia="en-GB"/>
        </w:rPr>
        <w:t xml:space="preserve"> (Accessed: 25 July 2026).</w:t>
      </w:r>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t xml:space="preserve">Damodaran, A. (2024) </w:t>
      </w:r>
      <w:r w:rsidRPr="00027E4B">
        <w:rPr>
          <w:rFonts w:ascii="Arial" w:eastAsia="Times New Roman" w:hAnsi="Arial" w:cs="Arial"/>
          <w:i/>
          <w:iCs/>
          <w:sz w:val="24"/>
          <w:szCs w:val="24"/>
          <w:lang w:eastAsia="en-GB"/>
        </w:rPr>
        <w:t>Investment valuation</w:t>
      </w:r>
      <w:r w:rsidRPr="00027E4B">
        <w:rPr>
          <w:rFonts w:ascii="Arial" w:eastAsia="Times New Roman" w:hAnsi="Arial" w:cs="Arial"/>
          <w:sz w:val="24"/>
          <w:szCs w:val="24"/>
          <w:lang w:eastAsia="en-GB"/>
        </w:rPr>
        <w:t>. 4th edn. Hoboken: Wiley.</w:t>
      </w:r>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t xml:space="preserve">Deloitte (2025) </w:t>
      </w:r>
      <w:r w:rsidRPr="00027E4B">
        <w:rPr>
          <w:rFonts w:ascii="Arial" w:eastAsia="Times New Roman" w:hAnsi="Arial" w:cs="Arial"/>
          <w:i/>
          <w:iCs/>
          <w:sz w:val="24"/>
          <w:szCs w:val="24"/>
          <w:lang w:eastAsia="en-GB"/>
        </w:rPr>
        <w:t>2025 travel and hospitality industry outlook</w:t>
      </w:r>
      <w:r w:rsidRPr="00027E4B">
        <w:rPr>
          <w:rFonts w:ascii="Arial" w:eastAsia="Times New Roman" w:hAnsi="Arial" w:cs="Arial"/>
          <w:sz w:val="24"/>
          <w:szCs w:val="24"/>
          <w:lang w:eastAsia="en-GB"/>
        </w:rPr>
        <w:t>. London: Deloitte.</w:t>
      </w:r>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t xml:space="preserve">Hilton Worldwide Holdings Inc. (2026) </w:t>
      </w:r>
      <w:r w:rsidRPr="00027E4B">
        <w:rPr>
          <w:rFonts w:ascii="Arial" w:eastAsia="Times New Roman" w:hAnsi="Arial" w:cs="Arial"/>
          <w:i/>
          <w:iCs/>
          <w:sz w:val="24"/>
          <w:szCs w:val="24"/>
          <w:lang w:eastAsia="en-GB"/>
        </w:rPr>
        <w:t>Annual report 2025</w:t>
      </w:r>
      <w:r w:rsidRPr="00027E4B">
        <w:rPr>
          <w:rFonts w:ascii="Arial" w:eastAsia="Times New Roman" w:hAnsi="Arial" w:cs="Arial"/>
          <w:sz w:val="24"/>
          <w:szCs w:val="24"/>
          <w:lang w:eastAsia="en-GB"/>
        </w:rPr>
        <w:t>. McLean, VA: Hilton.</w:t>
      </w:r>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t xml:space="preserve">ICAEW (2024) </w:t>
      </w:r>
      <w:r w:rsidRPr="00027E4B">
        <w:rPr>
          <w:rFonts w:ascii="Arial" w:eastAsia="Times New Roman" w:hAnsi="Arial" w:cs="Arial"/>
          <w:i/>
          <w:iCs/>
          <w:sz w:val="24"/>
          <w:szCs w:val="24"/>
          <w:lang w:eastAsia="en-GB"/>
        </w:rPr>
        <w:t>Artificial intelligence and the finance function</w:t>
      </w:r>
      <w:r w:rsidRPr="00027E4B">
        <w:rPr>
          <w:rFonts w:ascii="Arial" w:eastAsia="Times New Roman" w:hAnsi="Arial" w:cs="Arial"/>
          <w:sz w:val="24"/>
          <w:szCs w:val="24"/>
          <w:lang w:eastAsia="en-GB"/>
        </w:rPr>
        <w:t>. London: ICAEW.</w:t>
      </w:r>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t xml:space="preserve">IHG (2022) </w:t>
      </w:r>
      <w:r w:rsidRPr="00027E4B">
        <w:rPr>
          <w:rFonts w:ascii="Arial" w:eastAsia="Times New Roman" w:hAnsi="Arial" w:cs="Arial"/>
          <w:i/>
          <w:iCs/>
          <w:sz w:val="24"/>
          <w:szCs w:val="24"/>
          <w:lang w:eastAsia="en-GB"/>
        </w:rPr>
        <w:t>Full year results 2021</w:t>
      </w:r>
      <w:r w:rsidRPr="00027E4B">
        <w:rPr>
          <w:rFonts w:ascii="Arial" w:eastAsia="Times New Roman" w:hAnsi="Arial" w:cs="Arial"/>
          <w:sz w:val="24"/>
          <w:szCs w:val="24"/>
          <w:lang w:eastAsia="en-GB"/>
        </w:rPr>
        <w:t>. Denham: InterContinental Hotels Group plc.</w:t>
      </w:r>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t xml:space="preserve">IHG (2023) </w:t>
      </w:r>
      <w:r w:rsidRPr="00027E4B">
        <w:rPr>
          <w:rFonts w:ascii="Arial" w:eastAsia="Times New Roman" w:hAnsi="Arial" w:cs="Arial"/>
          <w:i/>
          <w:iCs/>
          <w:sz w:val="24"/>
          <w:szCs w:val="24"/>
          <w:lang w:eastAsia="en-GB"/>
        </w:rPr>
        <w:t>Full year results 2022</w:t>
      </w:r>
      <w:r w:rsidRPr="00027E4B">
        <w:rPr>
          <w:rFonts w:ascii="Arial" w:eastAsia="Times New Roman" w:hAnsi="Arial" w:cs="Arial"/>
          <w:sz w:val="24"/>
          <w:szCs w:val="24"/>
          <w:lang w:eastAsia="en-GB"/>
        </w:rPr>
        <w:t>. Denham: InterContinental Hotels Group plc.</w:t>
      </w:r>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t xml:space="preserve">IHG (2024) </w:t>
      </w:r>
      <w:r w:rsidRPr="00027E4B">
        <w:rPr>
          <w:rFonts w:ascii="Arial" w:eastAsia="Times New Roman" w:hAnsi="Arial" w:cs="Arial"/>
          <w:i/>
          <w:iCs/>
          <w:sz w:val="24"/>
          <w:szCs w:val="24"/>
          <w:lang w:eastAsia="en-GB"/>
        </w:rPr>
        <w:t>Full year results 2023</w:t>
      </w:r>
      <w:r w:rsidRPr="00027E4B">
        <w:rPr>
          <w:rFonts w:ascii="Arial" w:eastAsia="Times New Roman" w:hAnsi="Arial" w:cs="Arial"/>
          <w:sz w:val="24"/>
          <w:szCs w:val="24"/>
          <w:lang w:eastAsia="en-GB"/>
        </w:rPr>
        <w:t>. Denham: InterContinental Hotels Group plc.</w:t>
      </w:r>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t xml:space="preserve">IHG (2025) </w:t>
      </w:r>
      <w:r w:rsidRPr="00027E4B">
        <w:rPr>
          <w:rFonts w:ascii="Arial" w:eastAsia="Times New Roman" w:hAnsi="Arial" w:cs="Arial"/>
          <w:i/>
          <w:iCs/>
          <w:sz w:val="24"/>
          <w:szCs w:val="24"/>
          <w:lang w:eastAsia="en-GB"/>
        </w:rPr>
        <w:t>Full year results 2024</w:t>
      </w:r>
      <w:r w:rsidRPr="00027E4B">
        <w:rPr>
          <w:rFonts w:ascii="Arial" w:eastAsia="Times New Roman" w:hAnsi="Arial" w:cs="Arial"/>
          <w:sz w:val="24"/>
          <w:szCs w:val="24"/>
          <w:lang w:eastAsia="en-GB"/>
        </w:rPr>
        <w:t>. Denham: InterContinental Hotels Group plc.</w:t>
      </w:r>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t xml:space="preserve">IHG (2026a) </w:t>
      </w:r>
      <w:r w:rsidRPr="00027E4B">
        <w:rPr>
          <w:rFonts w:ascii="Arial" w:eastAsia="Times New Roman" w:hAnsi="Arial" w:cs="Arial"/>
          <w:i/>
          <w:iCs/>
          <w:sz w:val="24"/>
          <w:szCs w:val="24"/>
          <w:lang w:eastAsia="en-GB"/>
        </w:rPr>
        <w:t>Full year results 2025 and annual report and Form 20-F 2025</w:t>
      </w:r>
      <w:r w:rsidRPr="00027E4B">
        <w:rPr>
          <w:rFonts w:ascii="Arial" w:eastAsia="Times New Roman" w:hAnsi="Arial" w:cs="Arial"/>
          <w:sz w:val="24"/>
          <w:szCs w:val="24"/>
          <w:lang w:eastAsia="en-GB"/>
        </w:rPr>
        <w:t>. Denham: InterContinental Hotels Group plc.</w:t>
      </w:r>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t xml:space="preserve">IHG (2026b) </w:t>
      </w:r>
      <w:r w:rsidRPr="00027E4B">
        <w:rPr>
          <w:rFonts w:ascii="Arial" w:eastAsia="Times New Roman" w:hAnsi="Arial" w:cs="Arial"/>
          <w:i/>
          <w:iCs/>
          <w:sz w:val="24"/>
          <w:szCs w:val="24"/>
          <w:lang w:eastAsia="en-GB"/>
        </w:rPr>
        <w:t>Responsible business report 2025</w:t>
      </w:r>
      <w:r w:rsidRPr="00027E4B">
        <w:rPr>
          <w:rFonts w:ascii="Arial" w:eastAsia="Times New Roman" w:hAnsi="Arial" w:cs="Arial"/>
          <w:sz w:val="24"/>
          <w:szCs w:val="24"/>
          <w:lang w:eastAsia="en-GB"/>
        </w:rPr>
        <w:t>. Denham: InterContinental Hotels Group plc.</w:t>
      </w:r>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t xml:space="preserve">KPMG (2025) </w:t>
      </w:r>
      <w:r w:rsidRPr="00027E4B">
        <w:rPr>
          <w:rFonts w:ascii="Arial" w:eastAsia="Times New Roman" w:hAnsi="Arial" w:cs="Arial"/>
          <w:i/>
          <w:iCs/>
          <w:sz w:val="24"/>
          <w:szCs w:val="24"/>
          <w:lang w:eastAsia="en-GB"/>
        </w:rPr>
        <w:t>ESG in hospitality: global trends</w:t>
      </w:r>
      <w:r w:rsidRPr="00027E4B">
        <w:rPr>
          <w:rFonts w:ascii="Arial" w:eastAsia="Times New Roman" w:hAnsi="Arial" w:cs="Arial"/>
          <w:sz w:val="24"/>
          <w:szCs w:val="24"/>
          <w:lang w:eastAsia="en-GB"/>
        </w:rPr>
        <w:t>. London: KPMG.</w:t>
      </w:r>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t xml:space="preserve">Marriott International Inc. (2026) </w:t>
      </w:r>
      <w:r w:rsidRPr="00027E4B">
        <w:rPr>
          <w:rFonts w:ascii="Arial" w:eastAsia="Times New Roman" w:hAnsi="Arial" w:cs="Arial"/>
          <w:i/>
          <w:iCs/>
          <w:sz w:val="24"/>
          <w:szCs w:val="24"/>
          <w:lang w:eastAsia="en-GB"/>
        </w:rPr>
        <w:t>Annual report 2025</w:t>
      </w:r>
      <w:r w:rsidRPr="00027E4B">
        <w:rPr>
          <w:rFonts w:ascii="Arial" w:eastAsia="Times New Roman" w:hAnsi="Arial" w:cs="Arial"/>
          <w:sz w:val="24"/>
          <w:szCs w:val="24"/>
          <w:lang w:eastAsia="en-GB"/>
        </w:rPr>
        <w:t>. Bethesda, MD: Marriott.</w:t>
      </w:r>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t xml:space="preserve">OECD (2024) </w:t>
      </w:r>
      <w:r w:rsidRPr="00027E4B">
        <w:rPr>
          <w:rFonts w:ascii="Arial" w:eastAsia="Times New Roman" w:hAnsi="Arial" w:cs="Arial"/>
          <w:i/>
          <w:iCs/>
          <w:sz w:val="24"/>
          <w:szCs w:val="24"/>
          <w:lang w:eastAsia="en-GB"/>
        </w:rPr>
        <w:t>Tax challenges arising from the digitalisation of the economy – global anti-base erosion model rules</w:t>
      </w:r>
      <w:r w:rsidRPr="00027E4B">
        <w:rPr>
          <w:rFonts w:ascii="Arial" w:eastAsia="Times New Roman" w:hAnsi="Arial" w:cs="Arial"/>
          <w:sz w:val="24"/>
          <w:szCs w:val="24"/>
          <w:lang w:eastAsia="en-GB"/>
        </w:rPr>
        <w:t>. Paris: OECD.</w:t>
      </w:r>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t xml:space="preserve">Pike, R. and Neale, B. (2022) </w:t>
      </w:r>
      <w:r w:rsidRPr="00027E4B">
        <w:rPr>
          <w:rFonts w:ascii="Arial" w:eastAsia="Times New Roman" w:hAnsi="Arial" w:cs="Arial"/>
          <w:i/>
          <w:iCs/>
          <w:sz w:val="24"/>
          <w:szCs w:val="24"/>
          <w:lang w:eastAsia="en-GB"/>
        </w:rPr>
        <w:t>Corporate finance and investment</w:t>
      </w:r>
      <w:r w:rsidRPr="00027E4B">
        <w:rPr>
          <w:rFonts w:ascii="Arial" w:eastAsia="Times New Roman" w:hAnsi="Arial" w:cs="Arial"/>
          <w:sz w:val="24"/>
          <w:szCs w:val="24"/>
          <w:lang w:eastAsia="en-GB"/>
        </w:rPr>
        <w:t>. 10th edn. Harlow: Pearson.</w:t>
      </w:r>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t xml:space="preserve">S&amp;P Global Ratings (2025) </w:t>
      </w:r>
      <w:r w:rsidRPr="00027E4B">
        <w:rPr>
          <w:rFonts w:ascii="Arial" w:eastAsia="Times New Roman" w:hAnsi="Arial" w:cs="Arial"/>
          <w:i/>
          <w:iCs/>
          <w:sz w:val="24"/>
          <w:szCs w:val="24"/>
          <w:lang w:eastAsia="en-GB"/>
        </w:rPr>
        <w:t>IHG credit opinion</w:t>
      </w:r>
      <w:r w:rsidRPr="00027E4B">
        <w:rPr>
          <w:rFonts w:ascii="Arial" w:eastAsia="Times New Roman" w:hAnsi="Arial" w:cs="Arial"/>
          <w:sz w:val="24"/>
          <w:szCs w:val="24"/>
          <w:lang w:eastAsia="en-GB"/>
        </w:rPr>
        <w:t>. New York: S&amp;P Global.</w:t>
      </w:r>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lastRenderedPageBreak/>
        <w:t xml:space="preserve">UNWTO (2025) </w:t>
      </w:r>
      <w:r w:rsidRPr="00027E4B">
        <w:rPr>
          <w:rFonts w:ascii="Arial" w:eastAsia="Times New Roman" w:hAnsi="Arial" w:cs="Arial"/>
          <w:i/>
          <w:iCs/>
          <w:sz w:val="24"/>
          <w:szCs w:val="24"/>
          <w:lang w:eastAsia="en-GB"/>
        </w:rPr>
        <w:t>World tourism barometer</w:t>
      </w:r>
      <w:r w:rsidRPr="00027E4B">
        <w:rPr>
          <w:rFonts w:ascii="Arial" w:eastAsia="Times New Roman" w:hAnsi="Arial" w:cs="Arial"/>
          <w:sz w:val="24"/>
          <w:szCs w:val="24"/>
          <w:lang w:eastAsia="en-GB"/>
        </w:rPr>
        <w:t>. Madrid: United Nations World Tourism Organization.</w:t>
      </w:r>
    </w:p>
    <w:p w:rsidR="00027E4B" w:rsidRPr="00027E4B" w:rsidRDefault="00027E4B" w:rsidP="00027E4B">
      <w:pPr>
        <w:spacing w:before="100" w:beforeAutospacing="1" w:after="100" w:afterAutospacing="1" w:line="240" w:lineRule="auto"/>
        <w:rPr>
          <w:rFonts w:ascii="Arial" w:eastAsia="Times New Roman" w:hAnsi="Arial" w:cs="Arial"/>
          <w:sz w:val="24"/>
          <w:szCs w:val="24"/>
          <w:lang w:eastAsia="en-GB"/>
        </w:rPr>
      </w:pPr>
      <w:r w:rsidRPr="00027E4B">
        <w:rPr>
          <w:rFonts w:ascii="Arial" w:eastAsia="Times New Roman" w:hAnsi="Arial" w:cs="Arial"/>
          <w:sz w:val="24"/>
          <w:szCs w:val="24"/>
          <w:lang w:eastAsia="en-GB"/>
        </w:rPr>
        <w:t xml:space="preserve">Watson, D. and Head, A. (2019) </w:t>
      </w:r>
      <w:r w:rsidRPr="00027E4B">
        <w:rPr>
          <w:rFonts w:ascii="Arial" w:eastAsia="Times New Roman" w:hAnsi="Arial" w:cs="Arial"/>
          <w:i/>
          <w:iCs/>
          <w:sz w:val="24"/>
          <w:szCs w:val="24"/>
          <w:lang w:eastAsia="en-GB"/>
        </w:rPr>
        <w:t>Corporate finance: principles and practice</w:t>
      </w:r>
      <w:r w:rsidRPr="00027E4B">
        <w:rPr>
          <w:rFonts w:ascii="Arial" w:eastAsia="Times New Roman" w:hAnsi="Arial" w:cs="Arial"/>
          <w:sz w:val="24"/>
          <w:szCs w:val="24"/>
          <w:lang w:eastAsia="en-GB"/>
        </w:rPr>
        <w:t>. 8th edn. Harlow: Pearson.</w:t>
      </w:r>
    </w:p>
    <w:p w:rsidR="00BD2FC2" w:rsidRPr="00BD2FC2" w:rsidRDefault="00BD2FC2" w:rsidP="000334BB">
      <w:pPr>
        <w:spacing w:line="360" w:lineRule="auto"/>
        <w:rPr>
          <w:rFonts w:ascii="Cambria" w:eastAsia="MS Mincho" w:hAnsi="Cambria" w:cs="Times New Roman"/>
          <w:lang w:val="en-US"/>
        </w:rPr>
      </w:pPr>
      <w:r w:rsidRPr="00BD2FC2">
        <w:rPr>
          <w:rFonts w:ascii="Cambria" w:eastAsia="MS Mincho" w:hAnsi="Cambria" w:cs="Times New Roman"/>
          <w:lang w:val="en-US"/>
        </w:rPr>
        <w:br w:type="page"/>
      </w:r>
    </w:p>
    <w:p w:rsidR="00BD2FC2" w:rsidRPr="00A15257" w:rsidRDefault="00BD2FC2" w:rsidP="000334BB">
      <w:pPr>
        <w:keepNext/>
        <w:keepLines/>
        <w:spacing w:before="240" w:after="120" w:line="360" w:lineRule="auto"/>
        <w:outlineLvl w:val="0"/>
        <w:rPr>
          <w:rFonts w:ascii="Arial" w:eastAsia="Arial" w:hAnsi="Arial" w:cs="Times New Roman"/>
          <w:b/>
          <w:bCs/>
          <w:sz w:val="28"/>
          <w:szCs w:val="28"/>
          <w:lang w:val="en-US"/>
        </w:rPr>
      </w:pPr>
      <w:bookmarkStart w:id="35" w:name="_Toc236825705"/>
      <w:r w:rsidRPr="00A15257">
        <w:rPr>
          <w:rFonts w:ascii="Arial" w:eastAsia="Arial" w:hAnsi="Arial" w:cs="Times New Roman"/>
          <w:b/>
          <w:bCs/>
          <w:sz w:val="28"/>
          <w:szCs w:val="28"/>
          <w:lang w:val="en-US"/>
        </w:rPr>
        <w:lastRenderedPageBreak/>
        <w:t>Appendices</w:t>
      </w:r>
      <w:bookmarkEnd w:id="35"/>
    </w:p>
    <w:p w:rsidR="00027E4B" w:rsidRPr="00A15257" w:rsidRDefault="00027E4B" w:rsidP="00027E4B">
      <w:pPr>
        <w:jc w:val="center"/>
        <w:rPr>
          <w:rFonts w:ascii="Cambria" w:eastAsia="MS Mincho" w:hAnsi="Cambria" w:cs="Times New Roman"/>
          <w:lang w:val="en-US"/>
        </w:rPr>
      </w:pPr>
      <w:r w:rsidRPr="00A15257">
        <w:rPr>
          <w:rFonts w:ascii="Arial" w:eastAsia="Arial" w:hAnsi="Arial" w:cs="Times New Roman"/>
          <w:b/>
          <w:sz w:val="32"/>
          <w:lang w:val="en-US"/>
        </w:rPr>
        <w:t>APPENDIX – Supporting Calculations</w:t>
      </w:r>
    </w:p>
    <w:p w:rsidR="00027E4B" w:rsidRPr="00027E4B" w:rsidRDefault="00027E4B" w:rsidP="00027E4B">
      <w:pPr>
        <w:jc w:val="center"/>
        <w:rPr>
          <w:rFonts w:ascii="Cambria" w:eastAsia="MS Mincho" w:hAnsi="Cambria" w:cs="Times New Roman"/>
          <w:lang w:val="en-US"/>
        </w:rPr>
      </w:pPr>
      <w:r w:rsidRPr="00027E4B">
        <w:rPr>
          <w:rFonts w:ascii="Arial" w:eastAsia="Arial" w:hAnsi="Arial" w:cs="Times New Roman"/>
          <w:b/>
          <w:sz w:val="26"/>
          <w:lang w:val="en-US"/>
        </w:rPr>
        <w:t>InterContinental Hotels Group (IHG)</w:t>
      </w:r>
    </w:p>
    <w:p w:rsidR="00027E4B" w:rsidRPr="00A15257" w:rsidRDefault="00027E4B" w:rsidP="00027E4B">
      <w:pPr>
        <w:jc w:val="center"/>
        <w:rPr>
          <w:rFonts w:ascii="Cambria" w:eastAsia="MS Mincho" w:hAnsi="Cambria" w:cs="Times New Roman"/>
          <w:sz w:val="24"/>
          <w:szCs w:val="24"/>
          <w:lang w:val="en-US"/>
        </w:rPr>
      </w:pPr>
      <w:r w:rsidRPr="00A15257">
        <w:rPr>
          <w:rFonts w:ascii="Arial" w:eastAsia="Arial" w:hAnsi="Arial" w:cs="Times New Roman"/>
          <w:sz w:val="24"/>
          <w:szCs w:val="24"/>
          <w:lang w:val="en-US"/>
        </w:rPr>
        <w:t>Financial Ratio Analysis, Working Capital Cycle &amp; Investment Appraisal</w:t>
      </w:r>
    </w:p>
    <w:p w:rsidR="00027E4B" w:rsidRPr="00A15257" w:rsidRDefault="00027E4B" w:rsidP="00027E4B">
      <w:pPr>
        <w:spacing w:after="120"/>
        <w:rPr>
          <w:rFonts w:ascii="Cambria" w:eastAsia="MS Mincho" w:hAnsi="Cambria" w:cs="Times New Roman"/>
          <w:sz w:val="24"/>
          <w:szCs w:val="24"/>
          <w:lang w:val="en-US"/>
        </w:rPr>
      </w:pPr>
      <w:r w:rsidRPr="00A15257">
        <w:rPr>
          <w:rFonts w:ascii="Arial" w:eastAsia="Arial" w:hAnsi="Arial" w:cs="Times New Roman"/>
          <w:sz w:val="24"/>
          <w:szCs w:val="24"/>
          <w:lang w:val="en-US"/>
        </w:rPr>
        <w:t>This appendix consolidates the key quantitative workings that support the main report. All figures are drawn from IHG Full Year Results 2021–2025 and independent calculations. Values in US$ millions unless otherwise stated.</w:t>
      </w:r>
    </w:p>
    <w:p w:rsidR="00027E4B" w:rsidRPr="00A15257" w:rsidRDefault="00027E4B" w:rsidP="00027E4B">
      <w:pPr>
        <w:keepNext/>
        <w:keepLines/>
        <w:numPr>
          <w:ilvl w:val="0"/>
          <w:numId w:val="1"/>
        </w:numPr>
        <w:spacing w:before="280" w:after="120"/>
        <w:ind w:left="0" w:firstLine="0"/>
        <w:outlineLvl w:val="0"/>
        <w:rPr>
          <w:rFonts w:ascii="Calibri" w:eastAsia="MS Gothic" w:hAnsi="Calibri" w:cs="Times New Roman"/>
          <w:b/>
          <w:bCs/>
          <w:sz w:val="28"/>
          <w:szCs w:val="28"/>
          <w:lang w:val="en-US"/>
        </w:rPr>
      </w:pPr>
      <w:r w:rsidRPr="00A15257">
        <w:rPr>
          <w:rFonts w:ascii="Arial" w:eastAsia="Arial" w:hAnsi="Arial" w:cs="Times New Roman"/>
          <w:b/>
          <w:bCs/>
          <w:sz w:val="28"/>
          <w:szCs w:val="28"/>
          <w:lang w:val="en-US"/>
        </w:rPr>
        <w:t>A. Key Financial Data (2021–2025)</w:t>
      </w:r>
    </w:p>
    <w:p w:rsidR="00027E4B" w:rsidRPr="00A15257" w:rsidRDefault="00027E4B" w:rsidP="00027E4B">
      <w:pPr>
        <w:spacing w:before="160" w:after="80"/>
        <w:jc w:val="center"/>
        <w:rPr>
          <w:rFonts w:ascii="Cambria" w:eastAsia="MS Mincho" w:hAnsi="Cambria" w:cs="Times New Roman"/>
          <w:lang w:val="en-US"/>
        </w:rPr>
      </w:pPr>
      <w:r w:rsidRPr="00A15257">
        <w:rPr>
          <w:rFonts w:ascii="Arial" w:eastAsia="Arial" w:hAnsi="Arial" w:cs="Times New Roman"/>
          <w:b/>
          <w:sz w:val="20"/>
          <w:lang w:val="en-US"/>
        </w:rPr>
        <w:t>Table A1. Income Statement and Balance Sheet Extracts (US$ million)</w:t>
      </w:r>
    </w:p>
    <w:tbl>
      <w:tblPr>
        <w:tblStyle w:val="TableGrid1"/>
        <w:tblW w:w="0" w:type="auto"/>
        <w:jc w:val="center"/>
        <w:tblInd w:w="0" w:type="dxa"/>
        <w:tblLook w:val="04A0" w:firstRow="1" w:lastRow="0" w:firstColumn="1" w:lastColumn="0" w:noHBand="0" w:noVBand="1"/>
      </w:tblPr>
      <w:tblGrid>
        <w:gridCol w:w="1597"/>
        <w:gridCol w:w="1529"/>
        <w:gridCol w:w="1529"/>
        <w:gridCol w:w="1529"/>
        <w:gridCol w:w="1529"/>
        <w:gridCol w:w="1529"/>
      </w:tblGrid>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Item</w:t>
            </w:r>
          </w:p>
        </w:tc>
        <w:tc>
          <w:tcPr>
            <w:tcW w:w="1662"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2021</w:t>
            </w:r>
          </w:p>
        </w:tc>
        <w:tc>
          <w:tcPr>
            <w:tcW w:w="1662"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2022</w:t>
            </w:r>
          </w:p>
        </w:tc>
        <w:tc>
          <w:tcPr>
            <w:tcW w:w="1662"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2023</w:t>
            </w:r>
          </w:p>
        </w:tc>
        <w:tc>
          <w:tcPr>
            <w:tcW w:w="1662"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2024</w:t>
            </w:r>
          </w:p>
        </w:tc>
        <w:tc>
          <w:tcPr>
            <w:tcW w:w="1662"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2025</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Total Revenue</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2,907</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3,892</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4,624</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4,923</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5,189</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Operating Profit (IFRS)</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494</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628</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1,066</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1,041</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1,198</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Net Income</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265</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376</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750</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628</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759</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Cost of Sales (approx)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745</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764</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Cash</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1,450</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976</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1,322</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1,008</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1,129</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Receivables</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575</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662</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755</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807</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860</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Inventories</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4</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4</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5</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4</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5</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Total Current Assets</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2,066</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1,678</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2,129</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1,869</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2,049</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PPE (Fixed Assets)</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137</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157</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153</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146</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148</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Total Assets</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4,716</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4,216</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4,813</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4,748</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5,345</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Total Current Liabilities</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1,624</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1,544</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2,190</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1,928</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2,100</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Total Debt</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2,845</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2,396</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3,166</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3,274</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4,201</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Shareholders' Equity</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−1,474</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−1,608</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−1,946</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−2,308</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−2,736</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Net Cash from Operating Activities</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636</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646</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893</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724</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898</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Adjusted Free Cash Flow</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571</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565</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819</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655</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893</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Basic EPS (US$)</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1.45</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2.07</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4.44</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3.90</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4.91</w:t>
            </w:r>
          </w:p>
        </w:tc>
      </w:tr>
    </w:tbl>
    <w:p w:rsidR="00027E4B" w:rsidRPr="00027E4B" w:rsidRDefault="00027E4B" w:rsidP="00027E4B">
      <w:pPr>
        <w:jc w:val="center"/>
        <w:rPr>
          <w:rFonts w:ascii="Cambria" w:eastAsia="MS Mincho" w:hAnsi="Cambria" w:cs="Times New Roman"/>
          <w:lang w:val="en-US"/>
        </w:rPr>
      </w:pPr>
      <w:r w:rsidRPr="00027E4B">
        <w:rPr>
          <w:rFonts w:ascii="Arial" w:eastAsia="Arial" w:hAnsi="Arial" w:cs="Times New Roman"/>
          <w:i/>
          <w:color w:val="666666"/>
          <w:sz w:val="16"/>
          <w:lang w:val="en-US"/>
        </w:rPr>
        <w:t>Source: IHG Full Year Results 2021–2025; Macrotrends / company filings. Author’s compilation.</w:t>
      </w:r>
    </w:p>
    <w:p w:rsidR="00027E4B" w:rsidRPr="00A15257" w:rsidRDefault="00027E4B" w:rsidP="00027E4B">
      <w:pPr>
        <w:keepNext/>
        <w:keepLines/>
        <w:numPr>
          <w:ilvl w:val="0"/>
          <w:numId w:val="1"/>
        </w:numPr>
        <w:spacing w:before="280" w:after="120"/>
        <w:ind w:left="0" w:firstLine="0"/>
        <w:outlineLvl w:val="0"/>
        <w:rPr>
          <w:rFonts w:ascii="Calibri" w:eastAsia="MS Gothic" w:hAnsi="Calibri" w:cs="Times New Roman"/>
          <w:b/>
          <w:bCs/>
          <w:sz w:val="28"/>
          <w:szCs w:val="28"/>
          <w:lang w:val="en-US"/>
        </w:rPr>
      </w:pPr>
      <w:r w:rsidRPr="00A15257">
        <w:rPr>
          <w:rFonts w:ascii="Arial" w:eastAsia="Arial" w:hAnsi="Arial" w:cs="Times New Roman"/>
          <w:b/>
          <w:bCs/>
          <w:sz w:val="28"/>
          <w:szCs w:val="28"/>
          <w:lang w:val="en-US"/>
        </w:rPr>
        <w:t>B. Financial Ratios – Investment &amp; Cash Flow (Ratios_5yr)</w:t>
      </w:r>
    </w:p>
    <w:p w:rsidR="00027E4B" w:rsidRPr="00A15257" w:rsidRDefault="00027E4B" w:rsidP="00027E4B">
      <w:pPr>
        <w:spacing w:before="160" w:after="80"/>
        <w:jc w:val="center"/>
        <w:rPr>
          <w:rFonts w:ascii="Cambria" w:eastAsia="MS Mincho" w:hAnsi="Cambria" w:cs="Times New Roman"/>
          <w:lang w:val="en-US"/>
        </w:rPr>
      </w:pPr>
      <w:r w:rsidRPr="00A15257">
        <w:rPr>
          <w:rFonts w:ascii="Arial" w:eastAsia="Arial" w:hAnsi="Arial" w:cs="Times New Roman"/>
          <w:b/>
          <w:sz w:val="20"/>
          <w:lang w:val="en-US"/>
        </w:rPr>
        <w:t>Table B1. Investment and Cash-Flow Ratios 2021–2025</w:t>
      </w:r>
    </w:p>
    <w:tbl>
      <w:tblPr>
        <w:tblStyle w:val="TableGrid1"/>
        <w:tblW w:w="0" w:type="auto"/>
        <w:jc w:val="center"/>
        <w:tblInd w:w="0" w:type="dxa"/>
        <w:tblLook w:val="04A0" w:firstRow="1" w:lastRow="0" w:firstColumn="1" w:lastColumn="0" w:noHBand="0" w:noVBand="1"/>
      </w:tblPr>
      <w:tblGrid>
        <w:gridCol w:w="1567"/>
        <w:gridCol w:w="1535"/>
        <w:gridCol w:w="1534"/>
        <w:gridCol w:w="1538"/>
        <w:gridCol w:w="1534"/>
        <w:gridCol w:w="1534"/>
      </w:tblGrid>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Ratio</w:t>
            </w:r>
          </w:p>
        </w:tc>
        <w:tc>
          <w:tcPr>
            <w:tcW w:w="1662"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2021</w:t>
            </w:r>
          </w:p>
        </w:tc>
        <w:tc>
          <w:tcPr>
            <w:tcW w:w="1662"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2022</w:t>
            </w:r>
          </w:p>
        </w:tc>
        <w:tc>
          <w:tcPr>
            <w:tcW w:w="1662"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2023</w:t>
            </w:r>
          </w:p>
        </w:tc>
        <w:tc>
          <w:tcPr>
            <w:tcW w:w="1662"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2024</w:t>
            </w:r>
          </w:p>
        </w:tc>
        <w:tc>
          <w:tcPr>
            <w:tcW w:w="1662"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2025</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ROA (Return on Assets)</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5.6%</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8.9%</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15.6%</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13.2%</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14.2%</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ROE (Return on Equity)</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N/A*</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N/A*</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N/A*</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N/A*</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N/A*</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P/E Ratio (Price / EPS)</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41.0x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26.2x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19.5x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30.9x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28.4x</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Operating Cash Flow Ratio</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0.39x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0.42x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0.41x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0.38x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0.43x</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Free Cash Flow Margin</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19.6%</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14.5%</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17.7%</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13.3%</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17.2%</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Operating Margin (IFRS)</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17.0%</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16.1%</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23.1%</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21.1%</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23.1%</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Net Profit Margin</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9.1%</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9.7%</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16.2%</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12.8%</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14.6%</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Current Ratio</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1.27</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1.09</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0.97</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0.97</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0.98</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Quick Ratio</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1.27</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1.09</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0.97</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0.97</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0.97</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Cash Ratio</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0.89</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0.63</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0.60</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0.52</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0.54</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lastRenderedPageBreak/>
              <w:t>Asset Turnover</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0.62x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0.92x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0.96x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1.04x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0.97x</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Interest Coverage</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~4.1x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~6.3x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~13.3x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~9.1x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~7.8x</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Net Debt / Adj. EBITDA</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3.0x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2.1x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2.1x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2.3x</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2.5x</w:t>
            </w:r>
          </w:p>
        </w:tc>
      </w:tr>
    </w:tbl>
    <w:p w:rsidR="00027E4B" w:rsidRPr="00027E4B" w:rsidRDefault="00027E4B" w:rsidP="00027E4B">
      <w:pPr>
        <w:jc w:val="center"/>
        <w:rPr>
          <w:rFonts w:ascii="Cambria" w:eastAsia="MS Mincho" w:hAnsi="Cambria" w:cs="Times New Roman"/>
          <w:lang w:val="en-US"/>
        </w:rPr>
      </w:pPr>
      <w:r w:rsidRPr="00027E4B">
        <w:rPr>
          <w:rFonts w:ascii="Arial" w:eastAsia="Arial" w:hAnsi="Arial" w:cs="Times New Roman"/>
          <w:i/>
          <w:color w:val="666666"/>
          <w:sz w:val="16"/>
          <w:lang w:val="en-US"/>
        </w:rPr>
        <w:t>* ROE not meaningful due to negative shareholders’ equity caused by cumulative share buybacks. Source: Author’s calculations from IHG results.</w:t>
      </w:r>
    </w:p>
    <w:p w:rsidR="00027E4B" w:rsidRDefault="00027E4B" w:rsidP="000334BB">
      <w:pPr>
        <w:keepNext/>
        <w:keepLines/>
        <w:spacing w:before="240" w:after="120" w:line="360" w:lineRule="auto"/>
        <w:outlineLvl w:val="0"/>
        <w:rPr>
          <w:rFonts w:ascii="Calibri" w:eastAsia="MS Gothic" w:hAnsi="Calibri" w:cs="Times New Roman"/>
          <w:b/>
          <w:bCs/>
          <w:color w:val="365F91"/>
          <w:sz w:val="28"/>
          <w:szCs w:val="28"/>
          <w:lang w:val="en-US"/>
        </w:rPr>
      </w:pPr>
    </w:p>
    <w:p w:rsidR="00027E4B" w:rsidRPr="00027E4B" w:rsidRDefault="00027E4B" w:rsidP="00027E4B">
      <w:pPr>
        <w:spacing w:after="120"/>
        <w:rPr>
          <w:rFonts w:ascii="Cambria" w:eastAsia="MS Mincho" w:hAnsi="Cambria" w:cs="Times New Roman"/>
          <w:lang w:val="en-US"/>
        </w:rPr>
      </w:pPr>
      <w:r w:rsidRPr="00027E4B">
        <w:rPr>
          <w:rFonts w:ascii="Arial" w:eastAsia="Arial" w:hAnsi="Arial" w:cs="Times New Roman"/>
          <w:b/>
          <w:sz w:val="20"/>
          <w:lang w:val="en-US"/>
        </w:rPr>
        <w:t>Trend notes:</w:t>
      </w:r>
    </w:p>
    <w:p w:rsidR="00027E4B" w:rsidRPr="00027E4B" w:rsidRDefault="00027E4B" w:rsidP="00027E4B">
      <w:pPr>
        <w:spacing w:after="120"/>
        <w:rPr>
          <w:rFonts w:ascii="Cambria" w:eastAsia="MS Mincho" w:hAnsi="Cambria" w:cs="Times New Roman"/>
          <w:lang w:val="en-US"/>
        </w:rPr>
      </w:pPr>
      <w:r w:rsidRPr="00027E4B">
        <w:rPr>
          <w:rFonts w:ascii="Arial" w:eastAsia="Arial" w:hAnsi="Arial" w:cs="Times New Roman"/>
          <w:sz w:val="20"/>
          <w:lang w:val="en-US"/>
        </w:rPr>
        <w:t>• ROA more than doubled (5.6% → 14.2%), reflecting recovery and asset-light efficiency.</w:t>
      </w:r>
    </w:p>
    <w:p w:rsidR="00027E4B" w:rsidRPr="00027E4B" w:rsidRDefault="00027E4B" w:rsidP="00027E4B">
      <w:pPr>
        <w:spacing w:after="120"/>
        <w:rPr>
          <w:rFonts w:ascii="Cambria" w:eastAsia="MS Mincho" w:hAnsi="Cambria" w:cs="Times New Roman"/>
          <w:lang w:val="en-US"/>
        </w:rPr>
      </w:pPr>
      <w:r w:rsidRPr="00027E4B">
        <w:rPr>
          <w:rFonts w:ascii="Arial" w:eastAsia="Arial" w:hAnsi="Arial" w:cs="Times New Roman"/>
          <w:sz w:val="20"/>
          <w:lang w:val="en-US"/>
        </w:rPr>
        <w:t>• P/E compressed from ~41x to ~28x as earnings recovered faster than the share price.</w:t>
      </w:r>
    </w:p>
    <w:p w:rsidR="00027E4B" w:rsidRPr="00027E4B" w:rsidRDefault="00027E4B" w:rsidP="00027E4B">
      <w:pPr>
        <w:spacing w:after="120"/>
        <w:rPr>
          <w:rFonts w:ascii="Cambria" w:eastAsia="MS Mincho" w:hAnsi="Cambria" w:cs="Times New Roman"/>
          <w:lang w:val="en-US"/>
        </w:rPr>
      </w:pPr>
      <w:r w:rsidRPr="00027E4B">
        <w:rPr>
          <w:rFonts w:ascii="Arial" w:eastAsia="Arial" w:hAnsi="Arial" w:cs="Times New Roman"/>
          <w:sz w:val="20"/>
          <w:lang w:val="en-US"/>
        </w:rPr>
        <w:t>• FCF Margin remained healthy (13–20%), confirming strong cash conversion.</w:t>
      </w:r>
    </w:p>
    <w:p w:rsidR="00027E4B" w:rsidRPr="00027E4B" w:rsidRDefault="00027E4B" w:rsidP="00027E4B">
      <w:pPr>
        <w:spacing w:after="120"/>
        <w:rPr>
          <w:rFonts w:ascii="Cambria" w:eastAsia="MS Mincho" w:hAnsi="Cambria" w:cs="Times New Roman"/>
          <w:lang w:val="en-US"/>
        </w:rPr>
      </w:pPr>
      <w:r w:rsidRPr="00027E4B">
        <w:rPr>
          <w:rFonts w:ascii="Arial" w:eastAsia="Arial" w:hAnsi="Arial" w:cs="Times New Roman"/>
          <w:sz w:val="20"/>
          <w:lang w:val="en-US"/>
        </w:rPr>
        <w:t>• Liquidity ratios (~1.0 current ratio) are typical for pure asset-light hotel companies.</w:t>
      </w:r>
    </w:p>
    <w:p w:rsidR="00027E4B" w:rsidRPr="00A15257" w:rsidRDefault="00027E4B" w:rsidP="00027E4B">
      <w:pPr>
        <w:keepNext/>
        <w:keepLines/>
        <w:numPr>
          <w:ilvl w:val="0"/>
          <w:numId w:val="1"/>
        </w:numPr>
        <w:spacing w:before="280" w:after="120"/>
        <w:ind w:left="0" w:firstLine="0"/>
        <w:outlineLvl w:val="0"/>
        <w:rPr>
          <w:rFonts w:ascii="Calibri" w:eastAsia="MS Gothic" w:hAnsi="Calibri" w:cs="Times New Roman"/>
          <w:b/>
          <w:bCs/>
          <w:sz w:val="28"/>
          <w:szCs w:val="28"/>
          <w:lang w:val="en-US"/>
        </w:rPr>
      </w:pPr>
      <w:r w:rsidRPr="00A15257">
        <w:rPr>
          <w:rFonts w:ascii="Arial" w:eastAsia="Arial" w:hAnsi="Arial" w:cs="Times New Roman"/>
          <w:b/>
          <w:bCs/>
          <w:sz w:val="28"/>
          <w:szCs w:val="28"/>
          <w:lang w:val="en-US"/>
        </w:rPr>
        <w:t>C. Peer &amp; Industry Benchmark Comparison (2025)</w:t>
      </w:r>
    </w:p>
    <w:p w:rsidR="00027E4B" w:rsidRPr="00A15257" w:rsidRDefault="00027E4B" w:rsidP="00027E4B">
      <w:pPr>
        <w:spacing w:before="160" w:after="80"/>
        <w:jc w:val="center"/>
        <w:rPr>
          <w:rFonts w:ascii="Cambria" w:eastAsia="MS Mincho" w:hAnsi="Cambria" w:cs="Times New Roman"/>
          <w:lang w:val="en-US"/>
        </w:rPr>
      </w:pPr>
      <w:r w:rsidRPr="00A15257">
        <w:rPr>
          <w:rFonts w:ascii="Arial" w:eastAsia="Arial" w:hAnsi="Arial" w:cs="Times New Roman"/>
          <w:b/>
          <w:sz w:val="20"/>
          <w:lang w:val="en-US"/>
        </w:rPr>
        <w:t>Table C1. IHG vs Marriott, Hilton and Industry Averages (2025)</w:t>
      </w:r>
    </w:p>
    <w:tbl>
      <w:tblPr>
        <w:tblStyle w:val="TableGrid2"/>
        <w:tblW w:w="0" w:type="auto"/>
        <w:jc w:val="center"/>
        <w:tblInd w:w="0" w:type="dxa"/>
        <w:tblLook w:val="04A0" w:firstRow="1" w:lastRow="0" w:firstColumn="1" w:lastColumn="0" w:noHBand="0" w:noVBand="1"/>
      </w:tblPr>
      <w:tblGrid>
        <w:gridCol w:w="1850"/>
        <w:gridCol w:w="1821"/>
        <w:gridCol w:w="1861"/>
        <w:gridCol w:w="1869"/>
        <w:gridCol w:w="1841"/>
      </w:tblGrid>
      <w:tr w:rsidR="00027E4B" w:rsidRPr="00027E4B" w:rsidTr="00027E4B">
        <w:trPr>
          <w:jc w:val="center"/>
        </w:trPr>
        <w:tc>
          <w:tcPr>
            <w:tcW w:w="1994"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Ratio</w:t>
            </w:r>
          </w:p>
        </w:tc>
        <w:tc>
          <w:tcPr>
            <w:tcW w:w="1994"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IHG</w:t>
            </w:r>
          </w:p>
        </w:tc>
        <w:tc>
          <w:tcPr>
            <w:tcW w:w="1994"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Marriott</w:t>
            </w:r>
          </w:p>
        </w:tc>
        <w:tc>
          <w:tcPr>
            <w:tcW w:w="1994"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Hilton</w:t>
            </w:r>
          </w:p>
        </w:tc>
        <w:tc>
          <w:tcPr>
            <w:tcW w:w="1994"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Industry Avg</w:t>
            </w:r>
          </w:p>
        </w:tc>
      </w:tr>
      <w:tr w:rsidR="00027E4B" w:rsidRPr="00027E4B" w:rsidTr="00027E4B">
        <w:trPr>
          <w:jc w:val="center"/>
        </w:trPr>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ROA</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14.2%</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~9.4%</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~10–12%</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~6–9%</w:t>
            </w:r>
          </w:p>
        </w:tc>
      </w:tr>
      <w:tr w:rsidR="00027E4B" w:rsidRPr="00027E4B" w:rsidTr="00027E4B">
        <w:trPr>
          <w:jc w:val="center"/>
        </w:trPr>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ROE</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N/A (neg. equity)</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High (buybacks)</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High (buybacks)</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Varies</w:t>
            </w:r>
          </w:p>
        </w:tc>
      </w:tr>
      <w:tr w:rsidR="00027E4B" w:rsidRPr="00027E4B" w:rsidTr="00027E4B">
        <w:trPr>
          <w:jc w:val="center"/>
        </w:trPr>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P/E</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~28x</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~30–35x</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~35–40x</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~25–35x</w:t>
            </w:r>
          </w:p>
        </w:tc>
      </w:tr>
      <w:tr w:rsidR="00027E4B" w:rsidRPr="00027E4B" w:rsidTr="00027E4B">
        <w:trPr>
          <w:jc w:val="center"/>
        </w:trPr>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Operating Margin</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23.1%</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15.8%</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22.4%</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Lower (owned-heavy)</w:t>
            </w:r>
          </w:p>
        </w:tc>
      </w:tr>
      <w:tr w:rsidR="00027E4B" w:rsidRPr="00027E4B" w:rsidTr="00027E4B">
        <w:trPr>
          <w:jc w:val="center"/>
        </w:trPr>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Net Profit Margin</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14.6%</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9.9%</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12.1%</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~8–12%</w:t>
            </w:r>
          </w:p>
        </w:tc>
      </w:tr>
      <w:tr w:rsidR="00027E4B" w:rsidRPr="00027E4B" w:rsidTr="00027E4B">
        <w:trPr>
          <w:jc w:val="center"/>
        </w:trPr>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OCF Ratio</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0.43x</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0.3–0.5x</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Similar</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~0.3–0.5x</w:t>
            </w:r>
          </w:p>
        </w:tc>
      </w:tr>
      <w:tr w:rsidR="00027E4B" w:rsidRPr="00027E4B" w:rsidTr="00027E4B">
        <w:trPr>
          <w:jc w:val="center"/>
        </w:trPr>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FCF Margin</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17.2%</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High teens</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High teens</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Lower</w:t>
            </w:r>
          </w:p>
        </w:tc>
      </w:tr>
      <w:tr w:rsidR="00027E4B" w:rsidRPr="00027E4B" w:rsidTr="00027E4B">
        <w:trPr>
          <w:jc w:val="center"/>
        </w:trPr>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Net Debt / Adj. EBITDA</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2.5x</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2.5–3.5x</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~3.1x</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2–4x+</w:t>
            </w:r>
          </w:p>
        </w:tc>
      </w:tr>
      <w:tr w:rsidR="00027E4B" w:rsidRPr="00027E4B" w:rsidTr="00027E4B">
        <w:trPr>
          <w:jc w:val="center"/>
        </w:trPr>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Current Ratio</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~0.98</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~0.43</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&lt;1.0 typical</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~1.22</w:t>
            </w:r>
          </w:p>
        </w:tc>
      </w:tr>
      <w:tr w:rsidR="00027E4B" w:rsidRPr="00027E4B" w:rsidTr="00027E4B">
        <w:trPr>
          <w:jc w:val="center"/>
        </w:trPr>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Asset Turnover</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0.97x</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~0.95x</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Competitive</w:t>
            </w:r>
          </w:p>
        </w:tc>
        <w:tc>
          <w:tcPr>
            <w:tcW w:w="1994"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0.5–1.0x</w:t>
            </w:r>
          </w:p>
        </w:tc>
      </w:tr>
    </w:tbl>
    <w:p w:rsidR="00027E4B" w:rsidRPr="00027E4B" w:rsidRDefault="00027E4B" w:rsidP="00027E4B">
      <w:pPr>
        <w:jc w:val="center"/>
        <w:rPr>
          <w:rFonts w:ascii="Cambria" w:eastAsia="MS Mincho" w:hAnsi="Cambria" w:cs="Times New Roman"/>
          <w:lang w:val="en-US"/>
        </w:rPr>
      </w:pPr>
      <w:r w:rsidRPr="00027E4B">
        <w:rPr>
          <w:rFonts w:ascii="Arial" w:eastAsia="Arial" w:hAnsi="Arial" w:cs="Times New Roman"/>
          <w:i/>
          <w:color w:val="666666"/>
          <w:sz w:val="16"/>
          <w:lang w:val="en-US"/>
        </w:rPr>
        <w:t>Source: Company FY 2025 results; CSIMarket; Macrotrends; author’s compilation.</w:t>
      </w:r>
    </w:p>
    <w:p w:rsidR="00027E4B" w:rsidRPr="00A15257" w:rsidRDefault="00027E4B" w:rsidP="00027E4B">
      <w:pPr>
        <w:spacing w:after="120"/>
        <w:rPr>
          <w:rFonts w:ascii="Cambria" w:eastAsia="MS Mincho" w:hAnsi="Cambria" w:cs="Times New Roman"/>
          <w:sz w:val="24"/>
          <w:szCs w:val="24"/>
          <w:lang w:val="en-US"/>
        </w:rPr>
      </w:pPr>
      <w:r w:rsidRPr="00A15257">
        <w:rPr>
          <w:rFonts w:ascii="Arial" w:eastAsia="Arial" w:hAnsi="Arial" w:cs="Times New Roman"/>
          <w:b/>
          <w:sz w:val="24"/>
          <w:szCs w:val="24"/>
          <w:lang w:val="en-US"/>
        </w:rPr>
        <w:t>Key observations:</w:t>
      </w:r>
    </w:p>
    <w:p w:rsidR="00027E4B" w:rsidRPr="00A15257" w:rsidRDefault="00027E4B" w:rsidP="00027E4B">
      <w:pPr>
        <w:spacing w:after="120"/>
        <w:rPr>
          <w:rFonts w:ascii="Cambria" w:eastAsia="MS Mincho" w:hAnsi="Cambria" w:cs="Times New Roman"/>
          <w:sz w:val="24"/>
          <w:szCs w:val="24"/>
          <w:lang w:val="en-US"/>
        </w:rPr>
      </w:pPr>
      <w:r w:rsidRPr="00A15257">
        <w:rPr>
          <w:rFonts w:ascii="Arial" w:eastAsia="Arial" w:hAnsi="Arial" w:cs="Times New Roman"/>
          <w:sz w:val="24"/>
          <w:szCs w:val="24"/>
          <w:lang w:val="en-US"/>
        </w:rPr>
        <w:t>• IHG leads on net margin and ROA among the three large peers.</w:t>
      </w:r>
    </w:p>
    <w:p w:rsidR="00027E4B" w:rsidRPr="00A15257" w:rsidRDefault="00027E4B" w:rsidP="00027E4B">
      <w:pPr>
        <w:spacing w:after="120"/>
        <w:rPr>
          <w:rFonts w:ascii="Cambria" w:eastAsia="MS Mincho" w:hAnsi="Cambria" w:cs="Times New Roman"/>
          <w:sz w:val="24"/>
          <w:szCs w:val="24"/>
          <w:lang w:val="en-US"/>
        </w:rPr>
      </w:pPr>
      <w:r w:rsidRPr="00A15257">
        <w:rPr>
          <w:rFonts w:ascii="Arial" w:eastAsia="Arial" w:hAnsi="Arial" w:cs="Times New Roman"/>
          <w:sz w:val="24"/>
          <w:szCs w:val="24"/>
          <w:lang w:val="en-US"/>
        </w:rPr>
        <w:t>• Leverage (2.5x Net Debt/EBITDA) is more conservative than Hilton.</w:t>
      </w:r>
    </w:p>
    <w:p w:rsidR="00027E4B" w:rsidRPr="00A15257" w:rsidRDefault="00027E4B" w:rsidP="00027E4B">
      <w:pPr>
        <w:spacing w:after="120"/>
        <w:rPr>
          <w:rFonts w:ascii="Cambria" w:eastAsia="MS Mincho" w:hAnsi="Cambria" w:cs="Times New Roman"/>
          <w:sz w:val="24"/>
          <w:szCs w:val="24"/>
          <w:lang w:val="en-US"/>
        </w:rPr>
      </w:pPr>
      <w:r w:rsidRPr="00A15257">
        <w:rPr>
          <w:rFonts w:ascii="Arial" w:eastAsia="Arial" w:hAnsi="Arial" w:cs="Times New Roman"/>
          <w:sz w:val="24"/>
          <w:szCs w:val="24"/>
          <w:lang w:val="en-US"/>
        </w:rPr>
        <w:t>• Low current ratios are structural for asset-light models, not a liquidity weakness.</w:t>
      </w:r>
    </w:p>
    <w:p w:rsidR="00027E4B" w:rsidRPr="00A15257" w:rsidRDefault="00027E4B" w:rsidP="00027E4B">
      <w:pPr>
        <w:keepNext/>
        <w:keepLines/>
        <w:numPr>
          <w:ilvl w:val="0"/>
          <w:numId w:val="1"/>
        </w:numPr>
        <w:spacing w:before="280" w:after="120"/>
        <w:ind w:left="0" w:firstLine="0"/>
        <w:outlineLvl w:val="0"/>
        <w:rPr>
          <w:rFonts w:ascii="Calibri" w:eastAsia="MS Gothic" w:hAnsi="Calibri" w:cs="Times New Roman"/>
          <w:b/>
          <w:bCs/>
          <w:sz w:val="28"/>
          <w:szCs w:val="28"/>
          <w:lang w:val="en-US"/>
        </w:rPr>
      </w:pPr>
      <w:r w:rsidRPr="00A15257">
        <w:rPr>
          <w:rFonts w:ascii="Arial" w:eastAsia="Arial" w:hAnsi="Arial" w:cs="Times New Roman"/>
          <w:b/>
          <w:bCs/>
          <w:sz w:val="28"/>
          <w:szCs w:val="28"/>
          <w:lang w:val="en-US"/>
        </w:rPr>
        <w:t>D. Working Capital Cycle / Cash Conversion Cycle</w:t>
      </w:r>
    </w:p>
    <w:p w:rsidR="00027E4B" w:rsidRPr="00A15257" w:rsidRDefault="00027E4B" w:rsidP="00027E4B">
      <w:pPr>
        <w:spacing w:before="160" w:after="80"/>
        <w:jc w:val="center"/>
        <w:rPr>
          <w:rFonts w:ascii="Cambria" w:eastAsia="MS Mincho" w:hAnsi="Cambria" w:cs="Times New Roman"/>
          <w:lang w:val="en-US"/>
        </w:rPr>
      </w:pPr>
      <w:r w:rsidRPr="00A15257">
        <w:rPr>
          <w:rFonts w:ascii="Arial" w:eastAsia="Arial" w:hAnsi="Arial" w:cs="Times New Roman"/>
          <w:b/>
          <w:sz w:val="20"/>
          <w:lang w:val="en-US"/>
        </w:rPr>
        <w:t>Table D1. Cash Conversion Cycle Components (Days)</w:t>
      </w:r>
    </w:p>
    <w:tbl>
      <w:tblPr>
        <w:tblStyle w:val="TableGrid3"/>
        <w:tblW w:w="0" w:type="auto"/>
        <w:jc w:val="center"/>
        <w:tblInd w:w="0" w:type="dxa"/>
        <w:tblLook w:val="04A0" w:firstRow="1" w:lastRow="0" w:firstColumn="1" w:lastColumn="0" w:noHBand="0" w:noVBand="1"/>
      </w:tblPr>
      <w:tblGrid>
        <w:gridCol w:w="1581"/>
        <w:gridCol w:w="1525"/>
        <w:gridCol w:w="1525"/>
        <w:gridCol w:w="1525"/>
        <w:gridCol w:w="1543"/>
        <w:gridCol w:w="1543"/>
      </w:tblGrid>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Metric</w:t>
            </w:r>
          </w:p>
        </w:tc>
        <w:tc>
          <w:tcPr>
            <w:tcW w:w="1662"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2021</w:t>
            </w:r>
          </w:p>
        </w:tc>
        <w:tc>
          <w:tcPr>
            <w:tcW w:w="1662"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2022</w:t>
            </w:r>
          </w:p>
        </w:tc>
        <w:tc>
          <w:tcPr>
            <w:tcW w:w="1662"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2023</w:t>
            </w:r>
          </w:p>
        </w:tc>
        <w:tc>
          <w:tcPr>
            <w:tcW w:w="1662"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2024</w:t>
            </w:r>
          </w:p>
        </w:tc>
        <w:tc>
          <w:tcPr>
            <w:tcW w:w="1662" w:type="dxa"/>
            <w:tcBorders>
              <w:top w:val="single" w:sz="4" w:space="0" w:color="auto"/>
              <w:left w:val="single" w:sz="4" w:space="0" w:color="auto"/>
              <w:bottom w:val="single" w:sz="4" w:space="0" w:color="auto"/>
              <w:right w:val="single" w:sz="4" w:space="0" w:color="auto"/>
            </w:tcBorders>
            <w:shd w:val="clear" w:color="auto" w:fill="1F4E79"/>
            <w:hideMark/>
          </w:tcPr>
          <w:p w:rsidR="00027E4B" w:rsidRPr="00027E4B" w:rsidRDefault="00027E4B" w:rsidP="00027E4B">
            <w:pPr>
              <w:jc w:val="center"/>
            </w:pPr>
            <w:r w:rsidRPr="00027E4B">
              <w:rPr>
                <w:rFonts w:ascii="Arial" w:eastAsia="Arial" w:hAnsi="Arial"/>
                <w:b/>
                <w:color w:val="FFFFFF"/>
                <w:sz w:val="16"/>
              </w:rPr>
              <w:t>2025</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DSO – Receivable Days</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72.2</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62.1</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59.6</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59.8</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60.5</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DIO – Inventory Days</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~1.0</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~0.8</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~0.8</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2.0</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2.4</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DPO – Payable Days</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n/a</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n/a</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n/a*</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318.5</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323.0</w:t>
            </w:r>
          </w:p>
        </w:tc>
      </w:tr>
      <w:tr w:rsidR="00027E4B" w:rsidRPr="00027E4B" w:rsidTr="00027E4B">
        <w:trPr>
          <w:jc w:val="center"/>
        </w:trPr>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CCC (DSO + DIO − DPO)</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n/a</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n/a</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n/a*</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−256.7</w:t>
            </w:r>
          </w:p>
        </w:tc>
        <w:tc>
          <w:tcPr>
            <w:tcW w:w="1662" w:type="dxa"/>
            <w:tcBorders>
              <w:top w:val="single" w:sz="4" w:space="0" w:color="auto"/>
              <w:left w:val="single" w:sz="4" w:space="0" w:color="auto"/>
              <w:bottom w:val="single" w:sz="4" w:space="0" w:color="auto"/>
              <w:right w:val="single" w:sz="4" w:space="0" w:color="auto"/>
            </w:tcBorders>
            <w:hideMark/>
          </w:tcPr>
          <w:p w:rsidR="00027E4B" w:rsidRPr="00027E4B" w:rsidRDefault="00027E4B" w:rsidP="00027E4B">
            <w:pPr>
              <w:jc w:val="center"/>
            </w:pPr>
            <w:r w:rsidRPr="00027E4B">
              <w:rPr>
                <w:rFonts w:ascii="Arial" w:eastAsia="Arial" w:hAnsi="Arial"/>
                <w:sz w:val="16"/>
              </w:rPr>
              <w:t>−260.1</w:t>
            </w:r>
          </w:p>
        </w:tc>
      </w:tr>
    </w:tbl>
    <w:p w:rsidR="00027E4B" w:rsidRPr="00A15257" w:rsidRDefault="00027E4B" w:rsidP="00027E4B">
      <w:pPr>
        <w:jc w:val="center"/>
        <w:rPr>
          <w:rFonts w:ascii="Cambria" w:eastAsia="MS Mincho" w:hAnsi="Cambria" w:cs="Times New Roman"/>
          <w:b/>
          <w:lang w:val="en-US"/>
        </w:rPr>
      </w:pPr>
      <w:r w:rsidRPr="00A15257">
        <w:rPr>
          <w:rFonts w:ascii="Arial" w:eastAsia="Arial" w:hAnsi="Arial" w:cs="Times New Roman"/>
          <w:b/>
          <w:color w:val="666666"/>
          <w:sz w:val="16"/>
          <w:lang w:val="en-US"/>
        </w:rPr>
        <w:t>* Limited Cost of Sales / detailed payables data for earlier years. Source: Author’s calculations. Formulas: DSO = Receivables/Revenue×365; DIO = Inventory/COGS×365; DPO = Payables/COGS×365.</w:t>
      </w:r>
    </w:p>
    <w:p w:rsidR="00027E4B" w:rsidRPr="00A15257" w:rsidRDefault="00027E4B" w:rsidP="00027E4B">
      <w:pPr>
        <w:spacing w:after="120"/>
        <w:rPr>
          <w:rFonts w:ascii="Cambria" w:eastAsia="MS Mincho" w:hAnsi="Cambria" w:cs="Times New Roman"/>
          <w:sz w:val="24"/>
          <w:szCs w:val="24"/>
          <w:lang w:val="en-US"/>
        </w:rPr>
      </w:pPr>
      <w:r w:rsidRPr="00A15257">
        <w:rPr>
          <w:rFonts w:ascii="Arial" w:eastAsia="Arial" w:hAnsi="Arial" w:cs="Times New Roman"/>
          <w:sz w:val="24"/>
          <w:szCs w:val="24"/>
          <w:lang w:val="en-US"/>
        </w:rPr>
        <w:t>Interpretation: Strongly negative CCC indicates the operating cyc</w:t>
      </w:r>
      <w:r w:rsidR="00A15257">
        <w:rPr>
          <w:rFonts w:ascii="Arial" w:eastAsia="Arial" w:hAnsi="Arial" w:cs="Times New Roman"/>
          <w:sz w:val="24"/>
          <w:szCs w:val="24"/>
          <w:lang w:val="en-US"/>
        </w:rPr>
        <w:t xml:space="preserve">le is a net generator of cash </w:t>
      </w:r>
      <w:r w:rsidRPr="00A15257">
        <w:rPr>
          <w:rFonts w:ascii="Arial" w:eastAsia="Arial" w:hAnsi="Arial" w:cs="Times New Roman"/>
          <w:sz w:val="24"/>
          <w:szCs w:val="24"/>
          <w:lang w:val="en-US"/>
        </w:rPr>
        <w:t xml:space="preserve">typical and desirable for an asset-light franchisor. Inventory is negligible; high </w:t>
      </w:r>
      <w:r w:rsidRPr="00A15257">
        <w:rPr>
          <w:rFonts w:ascii="Arial" w:eastAsia="Arial" w:hAnsi="Arial" w:cs="Times New Roman"/>
          <w:sz w:val="24"/>
          <w:szCs w:val="24"/>
          <w:lang w:val="en-US"/>
        </w:rPr>
        <w:lastRenderedPageBreak/>
        <w:t>DPO is inflated by deferred revenue and loyalty liabilities within “trade and other payables”.</w:t>
      </w:r>
    </w:p>
    <w:p w:rsidR="00027E4B" w:rsidRPr="00A15257" w:rsidRDefault="00027E4B" w:rsidP="00027E4B">
      <w:pPr>
        <w:keepNext/>
        <w:keepLines/>
        <w:numPr>
          <w:ilvl w:val="0"/>
          <w:numId w:val="1"/>
        </w:numPr>
        <w:spacing w:before="280" w:after="120"/>
        <w:ind w:left="0" w:firstLine="0"/>
        <w:outlineLvl w:val="0"/>
        <w:rPr>
          <w:rFonts w:ascii="Calibri" w:eastAsia="MS Gothic" w:hAnsi="Calibri" w:cs="Times New Roman"/>
          <w:b/>
          <w:bCs/>
          <w:sz w:val="28"/>
          <w:szCs w:val="28"/>
          <w:lang w:val="en-US"/>
        </w:rPr>
      </w:pPr>
      <w:r w:rsidRPr="00A15257">
        <w:rPr>
          <w:rFonts w:ascii="Arial" w:eastAsia="Arial" w:hAnsi="Arial" w:cs="Times New Roman"/>
          <w:b/>
          <w:bCs/>
          <w:sz w:val="28"/>
          <w:szCs w:val="28"/>
          <w:lang w:val="en-US"/>
        </w:rPr>
        <w:t>E. Investment Appraisal – Projects A, B, C</w:t>
      </w:r>
    </w:p>
    <w:p w:rsidR="00027E4B" w:rsidRPr="00027E4B" w:rsidRDefault="00027E4B" w:rsidP="00027E4B">
      <w:pPr>
        <w:spacing w:after="120"/>
        <w:rPr>
          <w:rFonts w:ascii="Cambria" w:eastAsia="MS Mincho" w:hAnsi="Cambria" w:cs="Times New Roman"/>
          <w:lang w:val="en-US"/>
        </w:rPr>
      </w:pPr>
      <w:r w:rsidRPr="00027E4B">
        <w:rPr>
          <w:rFonts w:ascii="Arial" w:eastAsia="Arial" w:hAnsi="Arial" w:cs="Times New Roman"/>
          <w:sz w:val="20"/>
          <w:lang w:val="en-US"/>
        </w:rPr>
        <w:t>Assumptions: Initial investment £50 m each; discount rate 8%; straight-line depreciation to zero over 5 years (annual depreciation = £10 m).</w:t>
      </w:r>
    </w:p>
    <w:p w:rsidR="00A15257" w:rsidRPr="00A15257" w:rsidRDefault="00A15257" w:rsidP="00A15257">
      <w:pPr>
        <w:spacing w:before="160" w:after="80"/>
        <w:jc w:val="center"/>
        <w:rPr>
          <w:rFonts w:ascii="Cambria" w:eastAsia="MS Mincho" w:hAnsi="Cambria" w:cs="Times New Roman"/>
          <w:lang w:val="en-US"/>
        </w:rPr>
      </w:pPr>
      <w:r w:rsidRPr="00A15257">
        <w:rPr>
          <w:rFonts w:ascii="Arial" w:eastAsia="Arial" w:hAnsi="Arial" w:cs="Times New Roman"/>
          <w:b/>
          <w:sz w:val="20"/>
          <w:lang w:val="en-US"/>
        </w:rPr>
        <w:t>Table E1. Project Cash Flows (£ million)</w:t>
      </w:r>
    </w:p>
    <w:tbl>
      <w:tblPr>
        <w:tblStyle w:val="TableGrid4"/>
        <w:tblW w:w="0" w:type="auto"/>
        <w:jc w:val="center"/>
        <w:tblInd w:w="0" w:type="dxa"/>
        <w:tblLook w:val="04A0" w:firstRow="1" w:lastRow="0" w:firstColumn="1" w:lastColumn="0" w:noHBand="0" w:noVBand="1"/>
      </w:tblPr>
      <w:tblGrid>
        <w:gridCol w:w="1146"/>
        <w:gridCol w:w="1155"/>
        <w:gridCol w:w="1155"/>
        <w:gridCol w:w="1155"/>
        <w:gridCol w:w="1145"/>
        <w:gridCol w:w="1162"/>
        <w:gridCol w:w="1162"/>
        <w:gridCol w:w="1162"/>
      </w:tblGrid>
      <w:tr w:rsidR="00A15257" w:rsidRPr="00A15257" w:rsidTr="00A15257">
        <w:trPr>
          <w:jc w:val="center"/>
        </w:trPr>
        <w:tc>
          <w:tcPr>
            <w:tcW w:w="1246" w:type="dxa"/>
            <w:tcBorders>
              <w:top w:val="single" w:sz="4" w:space="0" w:color="auto"/>
              <w:left w:val="single" w:sz="4" w:space="0" w:color="auto"/>
              <w:bottom w:val="single" w:sz="4" w:space="0" w:color="auto"/>
              <w:right w:val="single" w:sz="4" w:space="0" w:color="auto"/>
            </w:tcBorders>
            <w:shd w:val="clear" w:color="auto" w:fill="1F4E79"/>
            <w:hideMark/>
          </w:tcPr>
          <w:p w:rsidR="00A15257" w:rsidRPr="00A15257" w:rsidRDefault="00A15257" w:rsidP="00A15257">
            <w:pPr>
              <w:jc w:val="center"/>
            </w:pPr>
            <w:r w:rsidRPr="00A15257">
              <w:rPr>
                <w:rFonts w:ascii="Arial" w:eastAsia="Arial" w:hAnsi="Arial"/>
                <w:b/>
                <w:color w:val="FFFFFF"/>
                <w:sz w:val="16"/>
              </w:rPr>
              <w:t>Year</w:t>
            </w:r>
          </w:p>
        </w:tc>
        <w:tc>
          <w:tcPr>
            <w:tcW w:w="1246" w:type="dxa"/>
            <w:tcBorders>
              <w:top w:val="single" w:sz="4" w:space="0" w:color="auto"/>
              <w:left w:val="single" w:sz="4" w:space="0" w:color="auto"/>
              <w:bottom w:val="single" w:sz="4" w:space="0" w:color="auto"/>
              <w:right w:val="single" w:sz="4" w:space="0" w:color="auto"/>
            </w:tcBorders>
            <w:shd w:val="clear" w:color="auto" w:fill="1F4E79"/>
            <w:hideMark/>
          </w:tcPr>
          <w:p w:rsidR="00A15257" w:rsidRPr="00A15257" w:rsidRDefault="00A15257" w:rsidP="00A15257">
            <w:pPr>
              <w:jc w:val="center"/>
            </w:pPr>
            <w:r w:rsidRPr="00A15257">
              <w:rPr>
                <w:rFonts w:ascii="Arial" w:eastAsia="Arial" w:hAnsi="Arial"/>
                <w:b/>
                <w:color w:val="FFFFFF"/>
                <w:sz w:val="16"/>
              </w:rPr>
              <w:t>Project A</w:t>
            </w:r>
          </w:p>
        </w:tc>
        <w:tc>
          <w:tcPr>
            <w:tcW w:w="1246" w:type="dxa"/>
            <w:tcBorders>
              <w:top w:val="single" w:sz="4" w:space="0" w:color="auto"/>
              <w:left w:val="single" w:sz="4" w:space="0" w:color="auto"/>
              <w:bottom w:val="single" w:sz="4" w:space="0" w:color="auto"/>
              <w:right w:val="single" w:sz="4" w:space="0" w:color="auto"/>
            </w:tcBorders>
            <w:shd w:val="clear" w:color="auto" w:fill="1F4E79"/>
            <w:hideMark/>
          </w:tcPr>
          <w:p w:rsidR="00A15257" w:rsidRPr="00A15257" w:rsidRDefault="00A15257" w:rsidP="00A15257">
            <w:pPr>
              <w:jc w:val="center"/>
            </w:pPr>
            <w:r w:rsidRPr="00A15257">
              <w:rPr>
                <w:rFonts w:ascii="Arial" w:eastAsia="Arial" w:hAnsi="Arial"/>
                <w:b/>
                <w:color w:val="FFFFFF"/>
                <w:sz w:val="16"/>
              </w:rPr>
              <w:t>Project B</w:t>
            </w:r>
          </w:p>
        </w:tc>
        <w:tc>
          <w:tcPr>
            <w:tcW w:w="1246" w:type="dxa"/>
            <w:tcBorders>
              <w:top w:val="single" w:sz="4" w:space="0" w:color="auto"/>
              <w:left w:val="single" w:sz="4" w:space="0" w:color="auto"/>
              <w:bottom w:val="single" w:sz="4" w:space="0" w:color="auto"/>
              <w:right w:val="single" w:sz="4" w:space="0" w:color="auto"/>
            </w:tcBorders>
            <w:shd w:val="clear" w:color="auto" w:fill="1F4E79"/>
            <w:hideMark/>
          </w:tcPr>
          <w:p w:rsidR="00A15257" w:rsidRPr="00A15257" w:rsidRDefault="00A15257" w:rsidP="00A15257">
            <w:pPr>
              <w:jc w:val="center"/>
            </w:pPr>
            <w:r w:rsidRPr="00A15257">
              <w:rPr>
                <w:rFonts w:ascii="Arial" w:eastAsia="Arial" w:hAnsi="Arial"/>
                <w:b/>
                <w:color w:val="FFFFFF"/>
                <w:sz w:val="16"/>
              </w:rPr>
              <w:t>Project C</w:t>
            </w:r>
          </w:p>
        </w:tc>
        <w:tc>
          <w:tcPr>
            <w:tcW w:w="1246" w:type="dxa"/>
            <w:tcBorders>
              <w:top w:val="single" w:sz="4" w:space="0" w:color="auto"/>
              <w:left w:val="single" w:sz="4" w:space="0" w:color="auto"/>
              <w:bottom w:val="single" w:sz="4" w:space="0" w:color="auto"/>
              <w:right w:val="single" w:sz="4" w:space="0" w:color="auto"/>
            </w:tcBorders>
            <w:shd w:val="clear" w:color="auto" w:fill="1F4E79"/>
            <w:hideMark/>
          </w:tcPr>
          <w:p w:rsidR="00A15257" w:rsidRPr="00A15257" w:rsidRDefault="00A15257" w:rsidP="00A15257">
            <w:pPr>
              <w:jc w:val="center"/>
            </w:pPr>
            <w:r w:rsidRPr="00A15257">
              <w:rPr>
                <w:rFonts w:ascii="Arial" w:eastAsia="Arial" w:hAnsi="Arial"/>
                <w:b/>
                <w:color w:val="FFFFFF"/>
                <w:sz w:val="16"/>
              </w:rPr>
              <w:t>DF @ 8%</w:t>
            </w:r>
          </w:p>
        </w:tc>
        <w:tc>
          <w:tcPr>
            <w:tcW w:w="1246" w:type="dxa"/>
            <w:tcBorders>
              <w:top w:val="single" w:sz="4" w:space="0" w:color="auto"/>
              <w:left w:val="single" w:sz="4" w:space="0" w:color="auto"/>
              <w:bottom w:val="single" w:sz="4" w:space="0" w:color="auto"/>
              <w:right w:val="single" w:sz="4" w:space="0" w:color="auto"/>
            </w:tcBorders>
            <w:shd w:val="clear" w:color="auto" w:fill="1F4E79"/>
            <w:hideMark/>
          </w:tcPr>
          <w:p w:rsidR="00A15257" w:rsidRPr="00A15257" w:rsidRDefault="00A15257" w:rsidP="00A15257">
            <w:pPr>
              <w:jc w:val="center"/>
            </w:pPr>
            <w:r w:rsidRPr="00A15257">
              <w:rPr>
                <w:rFonts w:ascii="Arial" w:eastAsia="Arial" w:hAnsi="Arial"/>
                <w:b/>
                <w:color w:val="FFFFFF"/>
                <w:sz w:val="16"/>
              </w:rPr>
              <w:t>PV A</w:t>
            </w:r>
          </w:p>
        </w:tc>
        <w:tc>
          <w:tcPr>
            <w:tcW w:w="1246" w:type="dxa"/>
            <w:tcBorders>
              <w:top w:val="single" w:sz="4" w:space="0" w:color="auto"/>
              <w:left w:val="single" w:sz="4" w:space="0" w:color="auto"/>
              <w:bottom w:val="single" w:sz="4" w:space="0" w:color="auto"/>
              <w:right w:val="single" w:sz="4" w:space="0" w:color="auto"/>
            </w:tcBorders>
            <w:shd w:val="clear" w:color="auto" w:fill="1F4E79"/>
            <w:hideMark/>
          </w:tcPr>
          <w:p w:rsidR="00A15257" w:rsidRPr="00A15257" w:rsidRDefault="00A15257" w:rsidP="00A15257">
            <w:pPr>
              <w:jc w:val="center"/>
            </w:pPr>
            <w:r w:rsidRPr="00A15257">
              <w:rPr>
                <w:rFonts w:ascii="Arial" w:eastAsia="Arial" w:hAnsi="Arial"/>
                <w:b/>
                <w:color w:val="FFFFFF"/>
                <w:sz w:val="16"/>
              </w:rPr>
              <w:t>PV B</w:t>
            </w:r>
          </w:p>
        </w:tc>
        <w:tc>
          <w:tcPr>
            <w:tcW w:w="1246" w:type="dxa"/>
            <w:tcBorders>
              <w:top w:val="single" w:sz="4" w:space="0" w:color="auto"/>
              <w:left w:val="single" w:sz="4" w:space="0" w:color="auto"/>
              <w:bottom w:val="single" w:sz="4" w:space="0" w:color="auto"/>
              <w:right w:val="single" w:sz="4" w:space="0" w:color="auto"/>
            </w:tcBorders>
            <w:shd w:val="clear" w:color="auto" w:fill="1F4E79"/>
            <w:hideMark/>
          </w:tcPr>
          <w:p w:rsidR="00A15257" w:rsidRPr="00A15257" w:rsidRDefault="00A15257" w:rsidP="00A15257">
            <w:pPr>
              <w:jc w:val="center"/>
            </w:pPr>
            <w:r w:rsidRPr="00A15257">
              <w:rPr>
                <w:rFonts w:ascii="Arial" w:eastAsia="Arial" w:hAnsi="Arial"/>
                <w:b/>
                <w:color w:val="FFFFFF"/>
                <w:sz w:val="16"/>
              </w:rPr>
              <w:t>PV C</w:t>
            </w:r>
          </w:p>
        </w:tc>
      </w:tr>
      <w:tr w:rsidR="00A15257" w:rsidRPr="00A15257" w:rsidTr="00A15257">
        <w:trPr>
          <w:jc w:val="center"/>
        </w:trPr>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0</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−50</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−50</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−50</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1.0000</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−50.000</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−50.000</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−50.000</w:t>
            </w:r>
          </w:p>
        </w:tc>
      </w:tr>
      <w:tr w:rsidR="00A15257" w:rsidRPr="00A15257" w:rsidTr="00A15257">
        <w:trPr>
          <w:jc w:val="center"/>
        </w:trPr>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10</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11</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5</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0.9259</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9.259</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10.185</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4.630</w:t>
            </w:r>
          </w:p>
        </w:tc>
      </w:tr>
      <w:tr w:rsidR="00A15257" w:rsidRPr="00A15257" w:rsidTr="00A15257">
        <w:trPr>
          <w:jc w:val="center"/>
        </w:trPr>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2</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12</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11</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10</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0.8573</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10.288</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9.431</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8.573</w:t>
            </w:r>
          </w:p>
        </w:tc>
      </w:tr>
      <w:tr w:rsidR="00A15257" w:rsidRPr="00A15257" w:rsidTr="00A15257">
        <w:trPr>
          <w:jc w:val="center"/>
        </w:trPr>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3</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14</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11</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20</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0.7938</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11.114</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8.732</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15.877</w:t>
            </w:r>
          </w:p>
        </w:tc>
      </w:tr>
      <w:tr w:rsidR="00A15257" w:rsidRPr="00A15257" w:rsidTr="00A15257">
        <w:trPr>
          <w:jc w:val="center"/>
        </w:trPr>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4</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10</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11</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25</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0.7350</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7.350</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8.085</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18.376</w:t>
            </w:r>
          </w:p>
        </w:tc>
      </w:tr>
      <w:tr w:rsidR="00A15257" w:rsidRPr="00A15257" w:rsidTr="00A15257">
        <w:trPr>
          <w:jc w:val="center"/>
        </w:trPr>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5</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8</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11</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5</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0.6806</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5.445</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7.486</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3.403</w:t>
            </w:r>
          </w:p>
        </w:tc>
      </w:tr>
      <w:tr w:rsidR="00A15257" w:rsidRPr="00A15257" w:rsidTr="00A15257">
        <w:trPr>
          <w:jc w:val="center"/>
        </w:trPr>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Total PV inflows</w:t>
            </w:r>
          </w:p>
        </w:tc>
        <w:tc>
          <w:tcPr>
            <w:tcW w:w="1246" w:type="dxa"/>
            <w:tcBorders>
              <w:top w:val="single" w:sz="4" w:space="0" w:color="auto"/>
              <w:left w:val="single" w:sz="4" w:space="0" w:color="auto"/>
              <w:bottom w:val="single" w:sz="4" w:space="0" w:color="auto"/>
              <w:right w:val="single" w:sz="4" w:space="0" w:color="auto"/>
            </w:tcBorders>
          </w:tcPr>
          <w:p w:rsidR="00A15257" w:rsidRPr="00A15257" w:rsidRDefault="00A15257" w:rsidP="00A15257">
            <w:pPr>
              <w:jc w:val="center"/>
            </w:pPr>
          </w:p>
        </w:tc>
        <w:tc>
          <w:tcPr>
            <w:tcW w:w="1246" w:type="dxa"/>
            <w:tcBorders>
              <w:top w:val="single" w:sz="4" w:space="0" w:color="auto"/>
              <w:left w:val="single" w:sz="4" w:space="0" w:color="auto"/>
              <w:bottom w:val="single" w:sz="4" w:space="0" w:color="auto"/>
              <w:right w:val="single" w:sz="4" w:space="0" w:color="auto"/>
            </w:tcBorders>
          </w:tcPr>
          <w:p w:rsidR="00A15257" w:rsidRPr="00A15257" w:rsidRDefault="00A15257" w:rsidP="00A15257">
            <w:pPr>
              <w:jc w:val="center"/>
            </w:pPr>
          </w:p>
        </w:tc>
        <w:tc>
          <w:tcPr>
            <w:tcW w:w="1246" w:type="dxa"/>
            <w:tcBorders>
              <w:top w:val="single" w:sz="4" w:space="0" w:color="auto"/>
              <w:left w:val="single" w:sz="4" w:space="0" w:color="auto"/>
              <w:bottom w:val="single" w:sz="4" w:space="0" w:color="auto"/>
              <w:right w:val="single" w:sz="4" w:space="0" w:color="auto"/>
            </w:tcBorders>
          </w:tcPr>
          <w:p w:rsidR="00A15257" w:rsidRPr="00A15257" w:rsidRDefault="00A15257" w:rsidP="00A15257">
            <w:pPr>
              <w:jc w:val="center"/>
            </w:pPr>
          </w:p>
        </w:tc>
        <w:tc>
          <w:tcPr>
            <w:tcW w:w="1246" w:type="dxa"/>
            <w:tcBorders>
              <w:top w:val="single" w:sz="4" w:space="0" w:color="auto"/>
              <w:left w:val="single" w:sz="4" w:space="0" w:color="auto"/>
              <w:bottom w:val="single" w:sz="4" w:space="0" w:color="auto"/>
              <w:right w:val="single" w:sz="4" w:space="0" w:color="auto"/>
            </w:tcBorders>
          </w:tcPr>
          <w:p w:rsidR="00A15257" w:rsidRPr="00A15257" w:rsidRDefault="00A15257" w:rsidP="00A15257">
            <w:pPr>
              <w:jc w:val="center"/>
            </w:pP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43.456</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43.919</w:t>
            </w:r>
          </w:p>
        </w:tc>
        <w:tc>
          <w:tcPr>
            <w:tcW w:w="1246"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50.859</w:t>
            </w:r>
          </w:p>
        </w:tc>
      </w:tr>
    </w:tbl>
    <w:p w:rsidR="00A15257" w:rsidRPr="00A15257" w:rsidRDefault="00A15257" w:rsidP="00A15257">
      <w:pPr>
        <w:jc w:val="center"/>
        <w:rPr>
          <w:rFonts w:ascii="Cambria" w:eastAsia="MS Mincho" w:hAnsi="Cambria" w:cs="Times New Roman"/>
          <w:lang w:val="en-US"/>
        </w:rPr>
      </w:pPr>
      <w:r w:rsidRPr="00A15257">
        <w:rPr>
          <w:rFonts w:ascii="Arial" w:eastAsia="Arial" w:hAnsi="Arial" w:cs="Times New Roman"/>
          <w:i/>
          <w:color w:val="666666"/>
          <w:sz w:val="16"/>
          <w:lang w:val="en-US"/>
        </w:rPr>
        <w:t>Source: Author’s calculations. DF = 1/(1.08)^n.</w:t>
      </w:r>
    </w:p>
    <w:p w:rsidR="00A15257" w:rsidRPr="00A15257" w:rsidRDefault="00A15257" w:rsidP="00A15257">
      <w:pPr>
        <w:spacing w:before="160" w:after="80"/>
        <w:jc w:val="center"/>
        <w:rPr>
          <w:rFonts w:ascii="Cambria" w:eastAsia="MS Mincho" w:hAnsi="Cambria" w:cs="Times New Roman"/>
          <w:lang w:val="en-US"/>
        </w:rPr>
      </w:pPr>
      <w:r w:rsidRPr="00A15257">
        <w:rPr>
          <w:rFonts w:ascii="Arial" w:eastAsia="Arial" w:hAnsi="Arial" w:cs="Times New Roman"/>
          <w:b/>
          <w:sz w:val="20"/>
          <w:lang w:val="en-US"/>
        </w:rPr>
        <w:t>Table E2. Appraisal Metrics Summary</w:t>
      </w:r>
    </w:p>
    <w:tbl>
      <w:tblPr>
        <w:tblStyle w:val="TableGrid4"/>
        <w:tblW w:w="0" w:type="auto"/>
        <w:jc w:val="center"/>
        <w:tblInd w:w="0" w:type="dxa"/>
        <w:tblLook w:val="04A0" w:firstRow="1" w:lastRow="0" w:firstColumn="1" w:lastColumn="0" w:noHBand="0" w:noVBand="1"/>
      </w:tblPr>
      <w:tblGrid>
        <w:gridCol w:w="1870"/>
        <w:gridCol w:w="1839"/>
        <w:gridCol w:w="1839"/>
        <w:gridCol w:w="1839"/>
        <w:gridCol w:w="1855"/>
      </w:tblGrid>
      <w:tr w:rsidR="00A15257" w:rsidRPr="00A15257" w:rsidTr="00A15257">
        <w:trPr>
          <w:jc w:val="center"/>
        </w:trPr>
        <w:tc>
          <w:tcPr>
            <w:tcW w:w="1994" w:type="dxa"/>
            <w:tcBorders>
              <w:top w:val="single" w:sz="4" w:space="0" w:color="auto"/>
              <w:left w:val="single" w:sz="4" w:space="0" w:color="auto"/>
              <w:bottom w:val="single" w:sz="4" w:space="0" w:color="auto"/>
              <w:right w:val="single" w:sz="4" w:space="0" w:color="auto"/>
            </w:tcBorders>
            <w:shd w:val="clear" w:color="auto" w:fill="1F4E79"/>
            <w:hideMark/>
          </w:tcPr>
          <w:p w:rsidR="00A15257" w:rsidRPr="00A15257" w:rsidRDefault="00A15257" w:rsidP="00A15257">
            <w:pPr>
              <w:jc w:val="center"/>
            </w:pPr>
            <w:r w:rsidRPr="00A15257">
              <w:rPr>
                <w:rFonts w:ascii="Arial" w:eastAsia="Arial" w:hAnsi="Arial"/>
                <w:b/>
                <w:color w:val="FFFFFF"/>
                <w:sz w:val="16"/>
              </w:rPr>
              <w:t>Metric</w:t>
            </w:r>
          </w:p>
        </w:tc>
        <w:tc>
          <w:tcPr>
            <w:tcW w:w="1994" w:type="dxa"/>
            <w:tcBorders>
              <w:top w:val="single" w:sz="4" w:space="0" w:color="auto"/>
              <w:left w:val="single" w:sz="4" w:space="0" w:color="auto"/>
              <w:bottom w:val="single" w:sz="4" w:space="0" w:color="auto"/>
              <w:right w:val="single" w:sz="4" w:space="0" w:color="auto"/>
            </w:tcBorders>
            <w:shd w:val="clear" w:color="auto" w:fill="1F4E79"/>
            <w:hideMark/>
          </w:tcPr>
          <w:p w:rsidR="00A15257" w:rsidRPr="00A15257" w:rsidRDefault="00A15257" w:rsidP="00A15257">
            <w:pPr>
              <w:jc w:val="center"/>
            </w:pPr>
            <w:r w:rsidRPr="00A15257">
              <w:rPr>
                <w:rFonts w:ascii="Arial" w:eastAsia="Arial" w:hAnsi="Arial"/>
                <w:b/>
                <w:color w:val="FFFFFF"/>
                <w:sz w:val="16"/>
              </w:rPr>
              <w:t>Project A</w:t>
            </w:r>
          </w:p>
        </w:tc>
        <w:tc>
          <w:tcPr>
            <w:tcW w:w="1994" w:type="dxa"/>
            <w:tcBorders>
              <w:top w:val="single" w:sz="4" w:space="0" w:color="auto"/>
              <w:left w:val="single" w:sz="4" w:space="0" w:color="auto"/>
              <w:bottom w:val="single" w:sz="4" w:space="0" w:color="auto"/>
              <w:right w:val="single" w:sz="4" w:space="0" w:color="auto"/>
            </w:tcBorders>
            <w:shd w:val="clear" w:color="auto" w:fill="1F4E79"/>
            <w:hideMark/>
          </w:tcPr>
          <w:p w:rsidR="00A15257" w:rsidRPr="00A15257" w:rsidRDefault="00A15257" w:rsidP="00A15257">
            <w:pPr>
              <w:jc w:val="center"/>
            </w:pPr>
            <w:r w:rsidRPr="00A15257">
              <w:rPr>
                <w:rFonts w:ascii="Arial" w:eastAsia="Arial" w:hAnsi="Arial"/>
                <w:b/>
                <w:color w:val="FFFFFF"/>
                <w:sz w:val="16"/>
              </w:rPr>
              <w:t>Project B</w:t>
            </w:r>
          </w:p>
        </w:tc>
        <w:tc>
          <w:tcPr>
            <w:tcW w:w="1994" w:type="dxa"/>
            <w:tcBorders>
              <w:top w:val="single" w:sz="4" w:space="0" w:color="auto"/>
              <w:left w:val="single" w:sz="4" w:space="0" w:color="auto"/>
              <w:bottom w:val="single" w:sz="4" w:space="0" w:color="auto"/>
              <w:right w:val="single" w:sz="4" w:space="0" w:color="auto"/>
            </w:tcBorders>
            <w:shd w:val="clear" w:color="auto" w:fill="1F4E79"/>
            <w:hideMark/>
          </w:tcPr>
          <w:p w:rsidR="00A15257" w:rsidRPr="00A15257" w:rsidRDefault="00A15257" w:rsidP="00A15257">
            <w:pPr>
              <w:jc w:val="center"/>
            </w:pPr>
            <w:r w:rsidRPr="00A15257">
              <w:rPr>
                <w:rFonts w:ascii="Arial" w:eastAsia="Arial" w:hAnsi="Arial"/>
                <w:b/>
                <w:color w:val="FFFFFF"/>
                <w:sz w:val="16"/>
              </w:rPr>
              <w:t>Project C</w:t>
            </w:r>
          </w:p>
        </w:tc>
        <w:tc>
          <w:tcPr>
            <w:tcW w:w="1994" w:type="dxa"/>
            <w:tcBorders>
              <w:top w:val="single" w:sz="4" w:space="0" w:color="auto"/>
              <w:left w:val="single" w:sz="4" w:space="0" w:color="auto"/>
              <w:bottom w:val="single" w:sz="4" w:space="0" w:color="auto"/>
              <w:right w:val="single" w:sz="4" w:space="0" w:color="auto"/>
            </w:tcBorders>
            <w:shd w:val="clear" w:color="auto" w:fill="1F4E79"/>
            <w:hideMark/>
          </w:tcPr>
          <w:p w:rsidR="00A15257" w:rsidRPr="00A15257" w:rsidRDefault="00A15257" w:rsidP="00A15257">
            <w:pPr>
              <w:jc w:val="center"/>
            </w:pPr>
            <w:r w:rsidRPr="00A15257">
              <w:rPr>
                <w:rFonts w:ascii="Arial" w:eastAsia="Arial" w:hAnsi="Arial"/>
                <w:b/>
                <w:color w:val="FFFFFF"/>
                <w:sz w:val="16"/>
              </w:rPr>
              <w:t>Decision Rule</w:t>
            </w:r>
          </w:p>
        </w:tc>
      </w:tr>
      <w:tr w:rsidR="00A15257" w:rsidRPr="00A15257" w:rsidTr="00A15257">
        <w:trPr>
          <w:jc w:val="center"/>
        </w:trPr>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Payback Period (years)</w:t>
            </w:r>
          </w:p>
        </w:tc>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4.50</w:t>
            </w:r>
          </w:p>
        </w:tc>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4.55</w:t>
            </w:r>
          </w:p>
        </w:tc>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3.60</w:t>
            </w:r>
          </w:p>
        </w:tc>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Shorter preferred</w:t>
            </w:r>
          </w:p>
        </w:tc>
      </w:tr>
      <w:tr w:rsidR="00A15257" w:rsidRPr="00A15257" w:rsidTr="00A15257">
        <w:trPr>
          <w:jc w:val="center"/>
        </w:trPr>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ARR</w:t>
            </w:r>
          </w:p>
        </w:tc>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1.6%</w:t>
            </w:r>
          </w:p>
        </w:tc>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2.0%</w:t>
            </w:r>
          </w:p>
        </w:tc>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6.0%</w:t>
            </w:r>
          </w:p>
        </w:tc>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Higher better</w:t>
            </w:r>
          </w:p>
        </w:tc>
      </w:tr>
      <w:tr w:rsidR="00A15257" w:rsidRPr="00A15257" w:rsidTr="00A15257">
        <w:trPr>
          <w:jc w:val="center"/>
        </w:trPr>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NPV @ 8% (£ m)</w:t>
            </w:r>
          </w:p>
        </w:tc>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−3.07</w:t>
            </w:r>
          </w:p>
        </w:tc>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−2.57</w:t>
            </w:r>
          </w:p>
        </w:tc>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+4.93</w:t>
            </w:r>
          </w:p>
        </w:tc>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Accept if NPV &gt; 0</w:t>
            </w:r>
          </w:p>
        </w:tc>
      </w:tr>
      <w:tr w:rsidR="00A15257" w:rsidRPr="00A15257" w:rsidTr="00A15257">
        <w:trPr>
          <w:jc w:val="center"/>
        </w:trPr>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Profitability Index (PI)</w:t>
            </w:r>
          </w:p>
        </w:tc>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0.939</w:t>
            </w:r>
          </w:p>
        </w:tc>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0.949</w:t>
            </w:r>
          </w:p>
        </w:tc>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1.099</w:t>
            </w:r>
          </w:p>
        </w:tc>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Accept if PI &gt; 1</w:t>
            </w:r>
          </w:p>
        </w:tc>
      </w:tr>
      <w:tr w:rsidR="00A15257" w:rsidRPr="00A15257" w:rsidTr="00A15257">
        <w:trPr>
          <w:jc w:val="center"/>
        </w:trPr>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IRR</w:t>
            </w:r>
          </w:p>
        </w:tc>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2.72%</w:t>
            </w:r>
          </w:p>
        </w:tc>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3.26%</w:t>
            </w:r>
          </w:p>
        </w:tc>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8.59%</w:t>
            </w:r>
          </w:p>
        </w:tc>
        <w:tc>
          <w:tcPr>
            <w:tcW w:w="1994"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Accept if IRR &gt; 8%</w:t>
            </w:r>
          </w:p>
        </w:tc>
      </w:tr>
    </w:tbl>
    <w:p w:rsidR="00A15257" w:rsidRPr="00A15257" w:rsidRDefault="00A15257" w:rsidP="00A15257">
      <w:pPr>
        <w:jc w:val="center"/>
        <w:rPr>
          <w:rFonts w:ascii="Cambria" w:eastAsia="MS Mincho" w:hAnsi="Cambria" w:cs="Times New Roman"/>
          <w:lang w:val="en-US"/>
        </w:rPr>
      </w:pPr>
      <w:r w:rsidRPr="00A15257">
        <w:rPr>
          <w:rFonts w:ascii="Arial" w:eastAsia="Arial" w:hAnsi="Arial" w:cs="Times New Roman"/>
          <w:i/>
          <w:color w:val="666666"/>
          <w:sz w:val="16"/>
          <w:lang w:val="en-US"/>
        </w:rPr>
        <w:t>Source: Author’s calculations (Excel Investment_Appraisal sheet).</w:t>
      </w:r>
    </w:p>
    <w:p w:rsidR="00A15257" w:rsidRPr="00A15257" w:rsidRDefault="00A15257" w:rsidP="00A15257">
      <w:pPr>
        <w:spacing w:after="120"/>
        <w:rPr>
          <w:rFonts w:ascii="Cambria" w:eastAsia="MS Mincho" w:hAnsi="Cambria" w:cs="Times New Roman"/>
          <w:lang w:val="en-US"/>
        </w:rPr>
      </w:pPr>
      <w:r w:rsidRPr="00A15257">
        <w:rPr>
          <w:rFonts w:ascii="Arial" w:eastAsia="Arial" w:hAnsi="Arial" w:cs="Times New Roman"/>
          <w:b/>
          <w:sz w:val="20"/>
          <w:lang w:val="en-US"/>
        </w:rPr>
        <w:t>ARR workings (straight-line depreciation £10 m p.a.):</w:t>
      </w:r>
    </w:p>
    <w:p w:rsidR="00A15257" w:rsidRPr="00A15257" w:rsidRDefault="00A15257" w:rsidP="00A15257">
      <w:pPr>
        <w:spacing w:before="160" w:after="80"/>
        <w:jc w:val="center"/>
        <w:rPr>
          <w:rFonts w:ascii="Cambria" w:eastAsia="MS Mincho" w:hAnsi="Cambria" w:cs="Times New Roman"/>
          <w:lang w:val="en-US"/>
        </w:rPr>
      </w:pPr>
      <w:r w:rsidRPr="00A15257">
        <w:rPr>
          <w:rFonts w:ascii="Arial" w:eastAsia="Arial" w:hAnsi="Arial" w:cs="Times New Roman"/>
          <w:b/>
          <w:sz w:val="20"/>
          <w:lang w:val="en-US"/>
        </w:rPr>
        <w:t>Table E3. Accounting Profit by Year (£ million)</w:t>
      </w:r>
    </w:p>
    <w:tbl>
      <w:tblPr>
        <w:tblStyle w:val="TableGrid5"/>
        <w:tblW w:w="0" w:type="auto"/>
        <w:jc w:val="center"/>
        <w:tblInd w:w="0" w:type="dxa"/>
        <w:tblLook w:val="04A0" w:firstRow="1" w:lastRow="0" w:firstColumn="1" w:lastColumn="0" w:noHBand="0" w:noVBand="1"/>
      </w:tblPr>
      <w:tblGrid>
        <w:gridCol w:w="2324"/>
        <w:gridCol w:w="2306"/>
        <w:gridCol w:w="2306"/>
        <w:gridCol w:w="2306"/>
      </w:tblGrid>
      <w:tr w:rsidR="00A15257" w:rsidRPr="00A15257" w:rsidTr="00A15257">
        <w:trPr>
          <w:jc w:val="center"/>
        </w:trPr>
        <w:tc>
          <w:tcPr>
            <w:tcW w:w="2493" w:type="dxa"/>
            <w:tcBorders>
              <w:top w:val="single" w:sz="4" w:space="0" w:color="auto"/>
              <w:left w:val="single" w:sz="4" w:space="0" w:color="auto"/>
              <w:bottom w:val="single" w:sz="4" w:space="0" w:color="auto"/>
              <w:right w:val="single" w:sz="4" w:space="0" w:color="auto"/>
            </w:tcBorders>
            <w:shd w:val="clear" w:color="auto" w:fill="1F4E79"/>
            <w:hideMark/>
          </w:tcPr>
          <w:p w:rsidR="00A15257" w:rsidRPr="00A15257" w:rsidRDefault="00A15257" w:rsidP="00A15257">
            <w:pPr>
              <w:jc w:val="center"/>
            </w:pPr>
            <w:r w:rsidRPr="00A15257">
              <w:rPr>
                <w:rFonts w:ascii="Arial" w:eastAsia="Arial" w:hAnsi="Arial"/>
                <w:b/>
                <w:color w:val="FFFFFF"/>
                <w:sz w:val="16"/>
              </w:rPr>
              <w:t>Year</w:t>
            </w:r>
          </w:p>
        </w:tc>
        <w:tc>
          <w:tcPr>
            <w:tcW w:w="2493" w:type="dxa"/>
            <w:tcBorders>
              <w:top w:val="single" w:sz="4" w:space="0" w:color="auto"/>
              <w:left w:val="single" w:sz="4" w:space="0" w:color="auto"/>
              <w:bottom w:val="single" w:sz="4" w:space="0" w:color="auto"/>
              <w:right w:val="single" w:sz="4" w:space="0" w:color="auto"/>
            </w:tcBorders>
            <w:shd w:val="clear" w:color="auto" w:fill="1F4E79"/>
            <w:hideMark/>
          </w:tcPr>
          <w:p w:rsidR="00A15257" w:rsidRPr="00A15257" w:rsidRDefault="00A15257" w:rsidP="00A15257">
            <w:pPr>
              <w:jc w:val="center"/>
            </w:pPr>
            <w:r w:rsidRPr="00A15257">
              <w:rPr>
                <w:rFonts w:ascii="Arial" w:eastAsia="Arial" w:hAnsi="Arial"/>
                <w:b/>
                <w:color w:val="FFFFFF"/>
                <w:sz w:val="16"/>
              </w:rPr>
              <w:t>A Profit</w:t>
            </w:r>
          </w:p>
        </w:tc>
        <w:tc>
          <w:tcPr>
            <w:tcW w:w="2493" w:type="dxa"/>
            <w:tcBorders>
              <w:top w:val="single" w:sz="4" w:space="0" w:color="auto"/>
              <w:left w:val="single" w:sz="4" w:space="0" w:color="auto"/>
              <w:bottom w:val="single" w:sz="4" w:space="0" w:color="auto"/>
              <w:right w:val="single" w:sz="4" w:space="0" w:color="auto"/>
            </w:tcBorders>
            <w:shd w:val="clear" w:color="auto" w:fill="1F4E79"/>
            <w:hideMark/>
          </w:tcPr>
          <w:p w:rsidR="00A15257" w:rsidRPr="00A15257" w:rsidRDefault="00A15257" w:rsidP="00A15257">
            <w:pPr>
              <w:jc w:val="center"/>
            </w:pPr>
            <w:r w:rsidRPr="00A15257">
              <w:rPr>
                <w:rFonts w:ascii="Arial" w:eastAsia="Arial" w:hAnsi="Arial"/>
                <w:b/>
                <w:color w:val="FFFFFF"/>
                <w:sz w:val="16"/>
              </w:rPr>
              <w:t>B Profit</w:t>
            </w:r>
          </w:p>
        </w:tc>
        <w:tc>
          <w:tcPr>
            <w:tcW w:w="2493" w:type="dxa"/>
            <w:tcBorders>
              <w:top w:val="single" w:sz="4" w:space="0" w:color="auto"/>
              <w:left w:val="single" w:sz="4" w:space="0" w:color="auto"/>
              <w:bottom w:val="single" w:sz="4" w:space="0" w:color="auto"/>
              <w:right w:val="single" w:sz="4" w:space="0" w:color="auto"/>
            </w:tcBorders>
            <w:shd w:val="clear" w:color="auto" w:fill="1F4E79"/>
            <w:hideMark/>
          </w:tcPr>
          <w:p w:rsidR="00A15257" w:rsidRPr="00A15257" w:rsidRDefault="00A15257" w:rsidP="00A15257">
            <w:pPr>
              <w:jc w:val="center"/>
            </w:pPr>
            <w:r w:rsidRPr="00A15257">
              <w:rPr>
                <w:rFonts w:ascii="Arial" w:eastAsia="Arial" w:hAnsi="Arial"/>
                <w:b/>
                <w:color w:val="FFFFFF"/>
                <w:sz w:val="16"/>
              </w:rPr>
              <w:t>C Profit</w:t>
            </w:r>
          </w:p>
        </w:tc>
      </w:tr>
      <w:tr w:rsidR="00A15257" w:rsidRPr="00A15257" w:rsidTr="00A15257">
        <w:trPr>
          <w:jc w:val="center"/>
        </w:trPr>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0</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−5</w:t>
            </w:r>
          </w:p>
        </w:tc>
      </w:tr>
      <w:tr w:rsidR="00A15257" w:rsidRPr="00A15257" w:rsidTr="00A15257">
        <w:trPr>
          <w:jc w:val="center"/>
        </w:trPr>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2</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2</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0</w:t>
            </w:r>
          </w:p>
        </w:tc>
      </w:tr>
      <w:tr w:rsidR="00A15257" w:rsidRPr="00A15257" w:rsidTr="00A15257">
        <w:trPr>
          <w:jc w:val="center"/>
        </w:trPr>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3</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4</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10</w:t>
            </w:r>
          </w:p>
        </w:tc>
      </w:tr>
      <w:tr w:rsidR="00A15257" w:rsidRPr="00A15257" w:rsidTr="00A15257">
        <w:trPr>
          <w:jc w:val="center"/>
        </w:trPr>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4</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0</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15</w:t>
            </w:r>
          </w:p>
        </w:tc>
      </w:tr>
      <w:tr w:rsidR="00A15257" w:rsidRPr="00A15257" w:rsidTr="00A15257">
        <w:trPr>
          <w:jc w:val="center"/>
        </w:trPr>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5</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−2</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−5</w:t>
            </w:r>
          </w:p>
        </w:tc>
      </w:tr>
      <w:tr w:rsidR="00A15257" w:rsidRPr="00A15257" w:rsidTr="00A15257">
        <w:trPr>
          <w:jc w:val="center"/>
        </w:trPr>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Average</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0.8</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1.0</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3.0</w:t>
            </w:r>
          </w:p>
        </w:tc>
      </w:tr>
      <w:tr w:rsidR="00A15257" w:rsidRPr="00A15257" w:rsidTr="00A15257">
        <w:trPr>
          <w:jc w:val="center"/>
        </w:trPr>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ARR = Avg / 50</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1.6%</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2.0%</w:t>
            </w:r>
          </w:p>
        </w:tc>
        <w:tc>
          <w:tcPr>
            <w:tcW w:w="2493" w:type="dxa"/>
            <w:tcBorders>
              <w:top w:val="single" w:sz="4" w:space="0" w:color="auto"/>
              <w:left w:val="single" w:sz="4" w:space="0" w:color="auto"/>
              <w:bottom w:val="single" w:sz="4" w:space="0" w:color="auto"/>
              <w:right w:val="single" w:sz="4" w:space="0" w:color="auto"/>
            </w:tcBorders>
            <w:hideMark/>
          </w:tcPr>
          <w:p w:rsidR="00A15257" w:rsidRPr="00A15257" w:rsidRDefault="00A15257" w:rsidP="00A15257">
            <w:pPr>
              <w:jc w:val="center"/>
            </w:pPr>
            <w:r w:rsidRPr="00A15257">
              <w:rPr>
                <w:rFonts w:ascii="Arial" w:eastAsia="Arial" w:hAnsi="Arial"/>
                <w:sz w:val="16"/>
              </w:rPr>
              <w:t>6.0%</w:t>
            </w:r>
          </w:p>
        </w:tc>
      </w:tr>
    </w:tbl>
    <w:p w:rsidR="00A15257" w:rsidRPr="00A15257" w:rsidRDefault="00A15257" w:rsidP="00A15257">
      <w:pPr>
        <w:jc w:val="center"/>
        <w:rPr>
          <w:rFonts w:ascii="Cambria" w:eastAsia="MS Mincho" w:hAnsi="Cambria" w:cs="Times New Roman"/>
          <w:lang w:val="en-US"/>
        </w:rPr>
      </w:pPr>
      <w:r w:rsidRPr="00A15257">
        <w:rPr>
          <w:rFonts w:ascii="Arial" w:eastAsia="Arial" w:hAnsi="Arial" w:cs="Times New Roman"/>
          <w:i/>
          <w:color w:val="666666"/>
          <w:sz w:val="16"/>
          <w:lang w:val="en-US"/>
        </w:rPr>
        <w:t>Accounting profit = Cash inflow − Depreciation (£10 m).</w:t>
      </w:r>
    </w:p>
    <w:p w:rsidR="00A15257" w:rsidRPr="00A15257" w:rsidRDefault="00A15257" w:rsidP="00A15257">
      <w:pPr>
        <w:keepNext/>
        <w:keepLines/>
        <w:numPr>
          <w:ilvl w:val="0"/>
          <w:numId w:val="1"/>
        </w:numPr>
        <w:spacing w:before="280" w:after="120"/>
        <w:ind w:left="0" w:firstLine="0"/>
        <w:outlineLvl w:val="0"/>
        <w:rPr>
          <w:rFonts w:ascii="Calibri" w:eastAsia="MS Gothic" w:hAnsi="Calibri" w:cs="Times New Roman"/>
          <w:b/>
          <w:bCs/>
          <w:sz w:val="28"/>
          <w:szCs w:val="28"/>
          <w:lang w:val="en-US"/>
        </w:rPr>
      </w:pPr>
      <w:r w:rsidRPr="00A15257">
        <w:rPr>
          <w:rFonts w:ascii="Arial" w:eastAsia="Arial" w:hAnsi="Arial" w:cs="Times New Roman"/>
          <w:b/>
          <w:bCs/>
          <w:sz w:val="28"/>
          <w:szCs w:val="28"/>
          <w:lang w:val="en-US"/>
        </w:rPr>
        <w:t>F. Notes on Data and Limitations</w:t>
      </w:r>
    </w:p>
    <w:p w:rsidR="00A15257" w:rsidRPr="00A15257" w:rsidRDefault="00A15257" w:rsidP="00A15257">
      <w:pPr>
        <w:spacing w:after="120"/>
        <w:rPr>
          <w:rFonts w:ascii="Cambria" w:eastAsia="MS Mincho" w:hAnsi="Cambria" w:cs="Times New Roman"/>
          <w:lang w:val="en-US"/>
        </w:rPr>
      </w:pPr>
      <w:r w:rsidRPr="00A15257">
        <w:rPr>
          <w:rFonts w:ascii="Arial" w:eastAsia="Arial" w:hAnsi="Arial" w:cs="Times New Roman"/>
          <w:sz w:val="20"/>
          <w:lang w:val="en-US"/>
        </w:rPr>
        <w:t>1. All IHG figures are taken from published Full Year Results and Annual Reports / Form 20-F. Minor differences may exist due to restatements or non-GAAP adjustments.</w:t>
      </w:r>
    </w:p>
    <w:p w:rsidR="00A15257" w:rsidRPr="00A15257" w:rsidRDefault="00A15257" w:rsidP="00A15257">
      <w:pPr>
        <w:spacing w:after="120"/>
        <w:rPr>
          <w:rFonts w:ascii="Cambria" w:eastAsia="MS Mincho" w:hAnsi="Cambria" w:cs="Times New Roman"/>
          <w:lang w:val="en-US"/>
        </w:rPr>
      </w:pPr>
      <w:r w:rsidRPr="00A15257">
        <w:rPr>
          <w:rFonts w:ascii="Arial" w:eastAsia="Arial" w:hAnsi="Arial" w:cs="Times New Roman"/>
          <w:sz w:val="20"/>
          <w:lang w:val="en-US"/>
        </w:rPr>
        <w:t>2. Cost of Sales data are limited for 2021–2023; DIO and DPO are therefore most reliable for 2024–2025.</w:t>
      </w:r>
    </w:p>
    <w:p w:rsidR="00A15257" w:rsidRPr="00A15257" w:rsidRDefault="00A15257" w:rsidP="00A15257">
      <w:pPr>
        <w:spacing w:after="120"/>
        <w:rPr>
          <w:rFonts w:ascii="Cambria" w:eastAsia="MS Mincho" w:hAnsi="Cambria" w:cs="Times New Roman"/>
          <w:lang w:val="en-US"/>
        </w:rPr>
      </w:pPr>
      <w:r w:rsidRPr="00A15257">
        <w:rPr>
          <w:rFonts w:ascii="Arial" w:eastAsia="Arial" w:hAnsi="Arial" w:cs="Times New Roman"/>
          <w:sz w:val="20"/>
          <w:lang w:val="en-US"/>
        </w:rPr>
        <w:t>3. “Trade and other payables” include deferred revenue, loyalty liabilities and System Fund items; traditional DPO interpretation is therefore inflated.</w:t>
      </w:r>
    </w:p>
    <w:p w:rsidR="00A15257" w:rsidRPr="00A15257" w:rsidRDefault="00A15257" w:rsidP="00A15257">
      <w:pPr>
        <w:spacing w:after="120"/>
        <w:rPr>
          <w:rFonts w:ascii="Cambria" w:eastAsia="MS Mincho" w:hAnsi="Cambria" w:cs="Times New Roman"/>
          <w:lang w:val="en-US"/>
        </w:rPr>
      </w:pPr>
      <w:r w:rsidRPr="00A15257">
        <w:rPr>
          <w:rFonts w:ascii="Arial" w:eastAsia="Arial" w:hAnsi="Arial" w:cs="Times New Roman"/>
          <w:sz w:val="20"/>
          <w:lang w:val="en-US"/>
        </w:rPr>
        <w:t>4. Negative equity is structural (share buybacks) and shared with major peers; conventional ROE is not meaningful.</w:t>
      </w:r>
    </w:p>
    <w:p w:rsidR="00A15257" w:rsidRPr="00A15257" w:rsidRDefault="00A15257" w:rsidP="00A15257">
      <w:pPr>
        <w:spacing w:after="120"/>
        <w:rPr>
          <w:rFonts w:ascii="Cambria" w:eastAsia="MS Mincho" w:hAnsi="Cambria" w:cs="Times New Roman"/>
          <w:lang w:val="en-US"/>
        </w:rPr>
      </w:pPr>
      <w:r w:rsidRPr="00A15257">
        <w:rPr>
          <w:rFonts w:ascii="Arial" w:eastAsia="Arial" w:hAnsi="Arial" w:cs="Times New Roman"/>
          <w:sz w:val="20"/>
          <w:lang w:val="en-US"/>
        </w:rPr>
        <w:t>5. Share prices used for P/E are approximate year-end ADR prices (USD).</w:t>
      </w:r>
    </w:p>
    <w:p w:rsidR="00A15257" w:rsidRPr="00A15257" w:rsidRDefault="00A15257" w:rsidP="00A15257">
      <w:pPr>
        <w:spacing w:after="120"/>
        <w:rPr>
          <w:rFonts w:ascii="Cambria" w:eastAsia="MS Mincho" w:hAnsi="Cambria" w:cs="Times New Roman"/>
          <w:lang w:val="en-US"/>
        </w:rPr>
      </w:pPr>
      <w:r w:rsidRPr="00A15257">
        <w:rPr>
          <w:rFonts w:ascii="Arial" w:eastAsia="Arial" w:hAnsi="Arial" w:cs="Times New Roman"/>
          <w:sz w:val="20"/>
          <w:lang w:val="en-US"/>
        </w:rPr>
        <w:t>6. Peer and industry figures are approximate and drawn from company filings, Macrotrends and CSIMarket.</w:t>
      </w:r>
      <w:bookmarkStart w:id="36" w:name="_GoBack"/>
      <w:bookmarkEnd w:id="36"/>
    </w:p>
    <w:sectPr w:rsidR="00A15257" w:rsidRPr="00A1525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A2662" w:rsidRDefault="004A2662" w:rsidP="000334BB">
      <w:pPr>
        <w:spacing w:after="0" w:line="240" w:lineRule="auto"/>
      </w:pPr>
      <w:r>
        <w:separator/>
      </w:r>
    </w:p>
  </w:endnote>
  <w:endnote w:type="continuationSeparator" w:id="0">
    <w:p w:rsidR="004A2662" w:rsidRDefault="004A2662" w:rsidP="000334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64452629"/>
      <w:docPartObj>
        <w:docPartGallery w:val="Page Numbers (Bottom of Page)"/>
        <w:docPartUnique/>
      </w:docPartObj>
    </w:sdtPr>
    <w:sdtEndPr>
      <w:rPr>
        <w:noProof/>
      </w:rPr>
    </w:sdtEndPr>
    <w:sdtContent>
      <w:p w:rsidR="00027E4B" w:rsidRDefault="00027E4B">
        <w:pPr>
          <w:pStyle w:val="Footer"/>
          <w:jc w:val="right"/>
        </w:pPr>
        <w:r>
          <w:fldChar w:fldCharType="begin"/>
        </w:r>
        <w:r>
          <w:instrText xml:space="preserve"> PAGE   \* MERGEFORMAT </w:instrText>
        </w:r>
        <w:r>
          <w:fldChar w:fldCharType="separate"/>
        </w:r>
        <w:r w:rsidR="007B725B">
          <w:rPr>
            <w:noProof/>
          </w:rPr>
          <w:t>18</w:t>
        </w:r>
        <w:r>
          <w:rPr>
            <w:noProof/>
          </w:rPr>
          <w:fldChar w:fldCharType="end"/>
        </w:r>
      </w:p>
    </w:sdtContent>
  </w:sdt>
  <w:p w:rsidR="00027E4B" w:rsidRDefault="00027E4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A2662" w:rsidRDefault="004A2662" w:rsidP="000334BB">
      <w:pPr>
        <w:spacing w:after="0" w:line="240" w:lineRule="auto"/>
      </w:pPr>
      <w:r>
        <w:separator/>
      </w:r>
    </w:p>
  </w:footnote>
  <w:footnote w:type="continuationSeparator" w:id="0">
    <w:p w:rsidR="004A2662" w:rsidRDefault="004A2662" w:rsidP="000334B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25369C"/>
    <w:multiLevelType w:val="multilevel"/>
    <w:tmpl w:val="F83A7A70"/>
    <w:lvl w:ilvl="0">
      <w:start w:val="1"/>
      <w:numFmt w:val="decimal"/>
      <w:pStyle w:val="Heading1"/>
      <w:lvlText w:val="%1."/>
      <w:lvlJc w:val="left"/>
      <w:pPr>
        <w:ind w:left="360" w:hanging="360"/>
      </w:pPr>
      <w:rPr>
        <w:rFonts w:ascii="Arial" w:hAnsi="Arial" w:cs="Arial" w:hint="default"/>
        <w:color w:val="auto"/>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204A61BB"/>
    <w:multiLevelType w:val="multilevel"/>
    <w:tmpl w:val="02D0493E"/>
    <w:lvl w:ilvl="0">
      <w:start w:val="2"/>
      <w:numFmt w:val="decimal"/>
      <w:lvlText w:val="%1"/>
      <w:lvlJc w:val="left"/>
      <w:pPr>
        <w:ind w:left="450" w:hanging="450"/>
      </w:pPr>
      <w:rPr>
        <w:rFonts w:ascii="Arial" w:eastAsia="Arial" w:hAnsi="Arial" w:hint="default"/>
        <w:color w:val="auto"/>
        <w:sz w:val="32"/>
      </w:rPr>
    </w:lvl>
    <w:lvl w:ilvl="1">
      <w:start w:val="1"/>
      <w:numFmt w:val="decimal"/>
      <w:lvlText w:val="%1.%2"/>
      <w:lvlJc w:val="left"/>
      <w:pPr>
        <w:ind w:left="810" w:hanging="450"/>
      </w:pPr>
      <w:rPr>
        <w:rFonts w:ascii="Arial" w:eastAsia="Arial" w:hAnsi="Arial" w:hint="default"/>
        <w:color w:val="auto"/>
        <w:sz w:val="32"/>
      </w:rPr>
    </w:lvl>
    <w:lvl w:ilvl="2">
      <w:start w:val="1"/>
      <w:numFmt w:val="decimal"/>
      <w:lvlText w:val="%1.%2.%3"/>
      <w:lvlJc w:val="left"/>
      <w:pPr>
        <w:ind w:left="1440" w:hanging="720"/>
      </w:pPr>
      <w:rPr>
        <w:rFonts w:ascii="Arial" w:eastAsia="Arial" w:hAnsi="Arial" w:hint="default"/>
        <w:color w:val="auto"/>
        <w:sz w:val="32"/>
      </w:rPr>
    </w:lvl>
    <w:lvl w:ilvl="3">
      <w:start w:val="1"/>
      <w:numFmt w:val="decimal"/>
      <w:lvlText w:val="%1.%2.%3.%4"/>
      <w:lvlJc w:val="left"/>
      <w:pPr>
        <w:ind w:left="2160" w:hanging="1080"/>
      </w:pPr>
      <w:rPr>
        <w:rFonts w:ascii="Arial" w:eastAsia="Arial" w:hAnsi="Arial" w:hint="default"/>
        <w:color w:val="auto"/>
        <w:sz w:val="32"/>
      </w:rPr>
    </w:lvl>
    <w:lvl w:ilvl="4">
      <w:start w:val="1"/>
      <w:numFmt w:val="decimal"/>
      <w:lvlText w:val="%1.%2.%3.%4.%5"/>
      <w:lvlJc w:val="left"/>
      <w:pPr>
        <w:ind w:left="2520" w:hanging="1080"/>
      </w:pPr>
      <w:rPr>
        <w:rFonts w:ascii="Arial" w:eastAsia="Arial" w:hAnsi="Arial" w:hint="default"/>
        <w:color w:val="auto"/>
        <w:sz w:val="32"/>
      </w:rPr>
    </w:lvl>
    <w:lvl w:ilvl="5">
      <w:start w:val="1"/>
      <w:numFmt w:val="decimal"/>
      <w:lvlText w:val="%1.%2.%3.%4.%5.%6"/>
      <w:lvlJc w:val="left"/>
      <w:pPr>
        <w:ind w:left="3240" w:hanging="1440"/>
      </w:pPr>
      <w:rPr>
        <w:rFonts w:ascii="Arial" w:eastAsia="Arial" w:hAnsi="Arial" w:hint="default"/>
        <w:color w:val="auto"/>
        <w:sz w:val="32"/>
      </w:rPr>
    </w:lvl>
    <w:lvl w:ilvl="6">
      <w:start w:val="1"/>
      <w:numFmt w:val="decimal"/>
      <w:lvlText w:val="%1.%2.%3.%4.%5.%6.%7"/>
      <w:lvlJc w:val="left"/>
      <w:pPr>
        <w:ind w:left="3600" w:hanging="1440"/>
      </w:pPr>
      <w:rPr>
        <w:rFonts w:ascii="Arial" w:eastAsia="Arial" w:hAnsi="Arial" w:hint="default"/>
        <w:color w:val="auto"/>
        <w:sz w:val="32"/>
      </w:rPr>
    </w:lvl>
    <w:lvl w:ilvl="7">
      <w:start w:val="1"/>
      <w:numFmt w:val="decimal"/>
      <w:lvlText w:val="%1.%2.%3.%4.%5.%6.%7.%8"/>
      <w:lvlJc w:val="left"/>
      <w:pPr>
        <w:ind w:left="4320" w:hanging="1800"/>
      </w:pPr>
      <w:rPr>
        <w:rFonts w:ascii="Arial" w:eastAsia="Arial" w:hAnsi="Arial" w:hint="default"/>
        <w:color w:val="auto"/>
        <w:sz w:val="32"/>
      </w:rPr>
    </w:lvl>
    <w:lvl w:ilvl="8">
      <w:start w:val="1"/>
      <w:numFmt w:val="decimal"/>
      <w:lvlText w:val="%1.%2.%3.%4.%5.%6.%7.%8.%9"/>
      <w:lvlJc w:val="left"/>
      <w:pPr>
        <w:ind w:left="4680" w:hanging="1800"/>
      </w:pPr>
      <w:rPr>
        <w:rFonts w:ascii="Arial" w:eastAsia="Arial" w:hAnsi="Arial" w:hint="default"/>
        <w:color w:val="auto"/>
        <w:sz w:val="32"/>
      </w:rPr>
    </w:lvl>
  </w:abstractNum>
  <w:abstractNum w:abstractNumId="2">
    <w:nsid w:val="23E83C51"/>
    <w:multiLevelType w:val="multilevel"/>
    <w:tmpl w:val="92869A48"/>
    <w:lvl w:ilvl="0">
      <w:start w:val="2"/>
      <w:numFmt w:val="decimal"/>
      <w:lvlText w:val="%1"/>
      <w:lvlJc w:val="left"/>
      <w:pPr>
        <w:ind w:left="400" w:hanging="400"/>
      </w:pPr>
      <w:rPr>
        <w:rFonts w:ascii="Arial" w:eastAsia="Arial" w:hAnsi="Arial" w:hint="default"/>
        <w:color w:val="000000" w:themeColor="text1"/>
        <w:sz w:val="28"/>
      </w:rPr>
    </w:lvl>
    <w:lvl w:ilvl="1">
      <w:start w:val="1"/>
      <w:numFmt w:val="decimal"/>
      <w:pStyle w:val="Heading2"/>
      <w:lvlText w:val="%1.%2"/>
      <w:lvlJc w:val="left"/>
      <w:pPr>
        <w:ind w:left="850" w:hanging="400"/>
      </w:pPr>
      <w:rPr>
        <w:rFonts w:ascii="Arial" w:eastAsia="Arial" w:hAnsi="Arial" w:hint="default"/>
        <w:color w:val="000000" w:themeColor="text1"/>
        <w:sz w:val="28"/>
      </w:rPr>
    </w:lvl>
    <w:lvl w:ilvl="2">
      <w:start w:val="1"/>
      <w:numFmt w:val="decimal"/>
      <w:lvlText w:val="%1.%2.%3"/>
      <w:lvlJc w:val="left"/>
      <w:pPr>
        <w:ind w:left="1620" w:hanging="720"/>
      </w:pPr>
      <w:rPr>
        <w:rFonts w:ascii="Arial" w:eastAsia="Arial" w:hAnsi="Arial" w:hint="default"/>
        <w:color w:val="000000" w:themeColor="text1"/>
        <w:sz w:val="28"/>
      </w:rPr>
    </w:lvl>
    <w:lvl w:ilvl="3">
      <w:start w:val="1"/>
      <w:numFmt w:val="decimal"/>
      <w:lvlText w:val="%1.%2.%3.%4"/>
      <w:lvlJc w:val="left"/>
      <w:pPr>
        <w:ind w:left="2430" w:hanging="1080"/>
      </w:pPr>
      <w:rPr>
        <w:rFonts w:ascii="Arial" w:eastAsia="Arial" w:hAnsi="Arial" w:hint="default"/>
        <w:color w:val="000000" w:themeColor="text1"/>
        <w:sz w:val="28"/>
      </w:rPr>
    </w:lvl>
    <w:lvl w:ilvl="4">
      <w:start w:val="1"/>
      <w:numFmt w:val="decimal"/>
      <w:lvlText w:val="%1.%2.%3.%4.%5"/>
      <w:lvlJc w:val="left"/>
      <w:pPr>
        <w:ind w:left="2880" w:hanging="1080"/>
      </w:pPr>
      <w:rPr>
        <w:rFonts w:ascii="Arial" w:eastAsia="Arial" w:hAnsi="Arial" w:hint="default"/>
        <w:color w:val="000000" w:themeColor="text1"/>
        <w:sz w:val="28"/>
      </w:rPr>
    </w:lvl>
    <w:lvl w:ilvl="5">
      <w:start w:val="1"/>
      <w:numFmt w:val="decimal"/>
      <w:lvlText w:val="%1.%2.%3.%4.%5.%6"/>
      <w:lvlJc w:val="left"/>
      <w:pPr>
        <w:ind w:left="3690" w:hanging="1440"/>
      </w:pPr>
      <w:rPr>
        <w:rFonts w:ascii="Arial" w:eastAsia="Arial" w:hAnsi="Arial" w:hint="default"/>
        <w:color w:val="000000" w:themeColor="text1"/>
        <w:sz w:val="28"/>
      </w:rPr>
    </w:lvl>
    <w:lvl w:ilvl="6">
      <w:start w:val="1"/>
      <w:numFmt w:val="decimal"/>
      <w:lvlText w:val="%1.%2.%3.%4.%5.%6.%7"/>
      <w:lvlJc w:val="left"/>
      <w:pPr>
        <w:ind w:left="4140" w:hanging="1440"/>
      </w:pPr>
      <w:rPr>
        <w:rFonts w:ascii="Arial" w:eastAsia="Arial" w:hAnsi="Arial" w:hint="default"/>
        <w:color w:val="000000" w:themeColor="text1"/>
        <w:sz w:val="28"/>
      </w:rPr>
    </w:lvl>
    <w:lvl w:ilvl="7">
      <w:start w:val="1"/>
      <w:numFmt w:val="decimal"/>
      <w:lvlText w:val="%1.%2.%3.%4.%5.%6.%7.%8"/>
      <w:lvlJc w:val="left"/>
      <w:pPr>
        <w:ind w:left="4950" w:hanging="1800"/>
      </w:pPr>
      <w:rPr>
        <w:rFonts w:ascii="Arial" w:eastAsia="Arial" w:hAnsi="Arial" w:hint="default"/>
        <w:color w:val="000000" w:themeColor="text1"/>
        <w:sz w:val="28"/>
      </w:rPr>
    </w:lvl>
    <w:lvl w:ilvl="8">
      <w:start w:val="1"/>
      <w:numFmt w:val="decimal"/>
      <w:lvlText w:val="%1.%2.%3.%4.%5.%6.%7.%8.%9"/>
      <w:lvlJc w:val="left"/>
      <w:pPr>
        <w:ind w:left="5400" w:hanging="1800"/>
      </w:pPr>
      <w:rPr>
        <w:rFonts w:ascii="Arial" w:eastAsia="Arial" w:hAnsi="Arial" w:hint="default"/>
        <w:color w:val="000000" w:themeColor="text1"/>
        <w:sz w:val="28"/>
      </w:rPr>
    </w:lvl>
  </w:abstractNum>
  <w:abstractNum w:abstractNumId="3">
    <w:nsid w:val="4D016926"/>
    <w:multiLevelType w:val="multilevel"/>
    <w:tmpl w:val="02D0493E"/>
    <w:lvl w:ilvl="0">
      <w:start w:val="2"/>
      <w:numFmt w:val="decimal"/>
      <w:lvlText w:val="%1"/>
      <w:lvlJc w:val="left"/>
      <w:pPr>
        <w:ind w:left="450" w:hanging="450"/>
      </w:pPr>
      <w:rPr>
        <w:rFonts w:ascii="Arial" w:eastAsia="Arial" w:hAnsi="Arial" w:hint="default"/>
        <w:color w:val="auto"/>
        <w:sz w:val="32"/>
      </w:rPr>
    </w:lvl>
    <w:lvl w:ilvl="1">
      <w:start w:val="1"/>
      <w:numFmt w:val="decimal"/>
      <w:lvlText w:val="%1.%2"/>
      <w:lvlJc w:val="left"/>
      <w:pPr>
        <w:ind w:left="810" w:hanging="450"/>
      </w:pPr>
      <w:rPr>
        <w:rFonts w:ascii="Arial" w:eastAsia="Arial" w:hAnsi="Arial" w:hint="default"/>
        <w:color w:val="auto"/>
        <w:sz w:val="32"/>
      </w:rPr>
    </w:lvl>
    <w:lvl w:ilvl="2">
      <w:start w:val="1"/>
      <w:numFmt w:val="decimal"/>
      <w:lvlText w:val="%1.%2.%3"/>
      <w:lvlJc w:val="left"/>
      <w:pPr>
        <w:ind w:left="1440" w:hanging="720"/>
      </w:pPr>
      <w:rPr>
        <w:rFonts w:ascii="Arial" w:eastAsia="Arial" w:hAnsi="Arial" w:hint="default"/>
        <w:color w:val="auto"/>
        <w:sz w:val="32"/>
      </w:rPr>
    </w:lvl>
    <w:lvl w:ilvl="3">
      <w:start w:val="1"/>
      <w:numFmt w:val="decimal"/>
      <w:lvlText w:val="%1.%2.%3.%4"/>
      <w:lvlJc w:val="left"/>
      <w:pPr>
        <w:ind w:left="2160" w:hanging="1080"/>
      </w:pPr>
      <w:rPr>
        <w:rFonts w:ascii="Arial" w:eastAsia="Arial" w:hAnsi="Arial" w:hint="default"/>
        <w:color w:val="auto"/>
        <w:sz w:val="32"/>
      </w:rPr>
    </w:lvl>
    <w:lvl w:ilvl="4">
      <w:start w:val="1"/>
      <w:numFmt w:val="decimal"/>
      <w:lvlText w:val="%1.%2.%3.%4.%5"/>
      <w:lvlJc w:val="left"/>
      <w:pPr>
        <w:ind w:left="2520" w:hanging="1080"/>
      </w:pPr>
      <w:rPr>
        <w:rFonts w:ascii="Arial" w:eastAsia="Arial" w:hAnsi="Arial" w:hint="default"/>
        <w:color w:val="auto"/>
        <w:sz w:val="32"/>
      </w:rPr>
    </w:lvl>
    <w:lvl w:ilvl="5">
      <w:start w:val="1"/>
      <w:numFmt w:val="decimal"/>
      <w:lvlText w:val="%1.%2.%3.%4.%5.%6"/>
      <w:lvlJc w:val="left"/>
      <w:pPr>
        <w:ind w:left="3240" w:hanging="1440"/>
      </w:pPr>
      <w:rPr>
        <w:rFonts w:ascii="Arial" w:eastAsia="Arial" w:hAnsi="Arial" w:hint="default"/>
        <w:color w:val="auto"/>
        <w:sz w:val="32"/>
      </w:rPr>
    </w:lvl>
    <w:lvl w:ilvl="6">
      <w:start w:val="1"/>
      <w:numFmt w:val="decimal"/>
      <w:lvlText w:val="%1.%2.%3.%4.%5.%6.%7"/>
      <w:lvlJc w:val="left"/>
      <w:pPr>
        <w:ind w:left="3600" w:hanging="1440"/>
      </w:pPr>
      <w:rPr>
        <w:rFonts w:ascii="Arial" w:eastAsia="Arial" w:hAnsi="Arial" w:hint="default"/>
        <w:color w:val="auto"/>
        <w:sz w:val="32"/>
      </w:rPr>
    </w:lvl>
    <w:lvl w:ilvl="7">
      <w:start w:val="1"/>
      <w:numFmt w:val="decimal"/>
      <w:lvlText w:val="%1.%2.%3.%4.%5.%6.%7.%8"/>
      <w:lvlJc w:val="left"/>
      <w:pPr>
        <w:ind w:left="4320" w:hanging="1800"/>
      </w:pPr>
      <w:rPr>
        <w:rFonts w:ascii="Arial" w:eastAsia="Arial" w:hAnsi="Arial" w:hint="default"/>
        <w:color w:val="auto"/>
        <w:sz w:val="32"/>
      </w:rPr>
    </w:lvl>
    <w:lvl w:ilvl="8">
      <w:start w:val="1"/>
      <w:numFmt w:val="decimal"/>
      <w:lvlText w:val="%1.%2.%3.%4.%5.%6.%7.%8.%9"/>
      <w:lvlJc w:val="left"/>
      <w:pPr>
        <w:ind w:left="4680" w:hanging="1800"/>
      </w:pPr>
      <w:rPr>
        <w:rFonts w:ascii="Arial" w:eastAsia="Arial" w:hAnsi="Arial" w:hint="default"/>
        <w:color w:val="auto"/>
        <w:sz w:val="32"/>
      </w:rPr>
    </w:lvl>
  </w:abstractNum>
  <w:abstractNum w:abstractNumId="4">
    <w:nsid w:val="4E4C712B"/>
    <w:multiLevelType w:val="multilevel"/>
    <w:tmpl w:val="02D0493E"/>
    <w:lvl w:ilvl="0">
      <w:start w:val="2"/>
      <w:numFmt w:val="decimal"/>
      <w:lvlText w:val="%1"/>
      <w:lvlJc w:val="left"/>
      <w:pPr>
        <w:ind w:left="450" w:hanging="450"/>
      </w:pPr>
      <w:rPr>
        <w:rFonts w:ascii="Arial" w:eastAsia="Arial" w:hAnsi="Arial" w:hint="default"/>
        <w:color w:val="auto"/>
        <w:sz w:val="32"/>
      </w:rPr>
    </w:lvl>
    <w:lvl w:ilvl="1">
      <w:start w:val="1"/>
      <w:numFmt w:val="decimal"/>
      <w:lvlText w:val="%1.%2"/>
      <w:lvlJc w:val="left"/>
      <w:pPr>
        <w:ind w:left="810" w:hanging="450"/>
      </w:pPr>
      <w:rPr>
        <w:rFonts w:ascii="Arial" w:eastAsia="Arial" w:hAnsi="Arial" w:hint="default"/>
        <w:color w:val="auto"/>
        <w:sz w:val="32"/>
      </w:rPr>
    </w:lvl>
    <w:lvl w:ilvl="2">
      <w:start w:val="1"/>
      <w:numFmt w:val="decimal"/>
      <w:lvlText w:val="%1.%2.%3"/>
      <w:lvlJc w:val="left"/>
      <w:pPr>
        <w:ind w:left="1440" w:hanging="720"/>
      </w:pPr>
      <w:rPr>
        <w:rFonts w:ascii="Arial" w:eastAsia="Arial" w:hAnsi="Arial" w:hint="default"/>
        <w:color w:val="auto"/>
        <w:sz w:val="32"/>
      </w:rPr>
    </w:lvl>
    <w:lvl w:ilvl="3">
      <w:start w:val="1"/>
      <w:numFmt w:val="decimal"/>
      <w:lvlText w:val="%1.%2.%3.%4"/>
      <w:lvlJc w:val="left"/>
      <w:pPr>
        <w:ind w:left="2160" w:hanging="1080"/>
      </w:pPr>
      <w:rPr>
        <w:rFonts w:ascii="Arial" w:eastAsia="Arial" w:hAnsi="Arial" w:hint="default"/>
        <w:color w:val="auto"/>
        <w:sz w:val="32"/>
      </w:rPr>
    </w:lvl>
    <w:lvl w:ilvl="4">
      <w:start w:val="1"/>
      <w:numFmt w:val="decimal"/>
      <w:lvlText w:val="%1.%2.%3.%4.%5"/>
      <w:lvlJc w:val="left"/>
      <w:pPr>
        <w:ind w:left="2520" w:hanging="1080"/>
      </w:pPr>
      <w:rPr>
        <w:rFonts w:ascii="Arial" w:eastAsia="Arial" w:hAnsi="Arial" w:hint="default"/>
        <w:color w:val="auto"/>
        <w:sz w:val="32"/>
      </w:rPr>
    </w:lvl>
    <w:lvl w:ilvl="5">
      <w:start w:val="1"/>
      <w:numFmt w:val="decimal"/>
      <w:lvlText w:val="%1.%2.%3.%4.%5.%6"/>
      <w:lvlJc w:val="left"/>
      <w:pPr>
        <w:ind w:left="3240" w:hanging="1440"/>
      </w:pPr>
      <w:rPr>
        <w:rFonts w:ascii="Arial" w:eastAsia="Arial" w:hAnsi="Arial" w:hint="default"/>
        <w:color w:val="auto"/>
        <w:sz w:val="32"/>
      </w:rPr>
    </w:lvl>
    <w:lvl w:ilvl="6">
      <w:start w:val="1"/>
      <w:numFmt w:val="decimal"/>
      <w:lvlText w:val="%1.%2.%3.%4.%5.%6.%7"/>
      <w:lvlJc w:val="left"/>
      <w:pPr>
        <w:ind w:left="3600" w:hanging="1440"/>
      </w:pPr>
      <w:rPr>
        <w:rFonts w:ascii="Arial" w:eastAsia="Arial" w:hAnsi="Arial" w:hint="default"/>
        <w:color w:val="auto"/>
        <w:sz w:val="32"/>
      </w:rPr>
    </w:lvl>
    <w:lvl w:ilvl="7">
      <w:start w:val="1"/>
      <w:numFmt w:val="decimal"/>
      <w:lvlText w:val="%1.%2.%3.%4.%5.%6.%7.%8"/>
      <w:lvlJc w:val="left"/>
      <w:pPr>
        <w:ind w:left="4320" w:hanging="1800"/>
      </w:pPr>
      <w:rPr>
        <w:rFonts w:ascii="Arial" w:eastAsia="Arial" w:hAnsi="Arial" w:hint="default"/>
        <w:color w:val="auto"/>
        <w:sz w:val="32"/>
      </w:rPr>
    </w:lvl>
    <w:lvl w:ilvl="8">
      <w:start w:val="1"/>
      <w:numFmt w:val="decimal"/>
      <w:lvlText w:val="%1.%2.%3.%4.%5.%6.%7.%8.%9"/>
      <w:lvlJc w:val="left"/>
      <w:pPr>
        <w:ind w:left="4680" w:hanging="1800"/>
      </w:pPr>
      <w:rPr>
        <w:rFonts w:ascii="Arial" w:eastAsia="Arial" w:hAnsi="Arial" w:hint="default"/>
        <w:color w:val="auto"/>
        <w:sz w:val="32"/>
      </w:rPr>
    </w:lvl>
  </w:abstractNum>
  <w:abstractNum w:abstractNumId="5">
    <w:nsid w:val="5094050B"/>
    <w:multiLevelType w:val="multilevel"/>
    <w:tmpl w:val="4B045CAC"/>
    <w:lvl w:ilvl="0">
      <w:start w:val="2"/>
      <w:numFmt w:val="decimal"/>
      <w:lvlText w:val="%1"/>
      <w:lvlJc w:val="left"/>
      <w:pPr>
        <w:ind w:left="400" w:hanging="400"/>
      </w:pPr>
      <w:rPr>
        <w:rFonts w:ascii="Arial" w:eastAsia="Arial" w:hAnsi="Arial" w:hint="default"/>
        <w:color w:val="000000" w:themeColor="text1"/>
        <w:sz w:val="28"/>
      </w:rPr>
    </w:lvl>
    <w:lvl w:ilvl="1">
      <w:start w:val="1"/>
      <w:numFmt w:val="decimal"/>
      <w:lvlText w:val="%1.%2"/>
      <w:lvlJc w:val="left"/>
      <w:pPr>
        <w:ind w:left="850" w:hanging="400"/>
      </w:pPr>
      <w:rPr>
        <w:rFonts w:ascii="Arial" w:eastAsia="Arial" w:hAnsi="Arial" w:hint="default"/>
        <w:color w:val="000000" w:themeColor="text1"/>
        <w:sz w:val="28"/>
      </w:rPr>
    </w:lvl>
    <w:lvl w:ilvl="2">
      <w:start w:val="1"/>
      <w:numFmt w:val="decimal"/>
      <w:lvlText w:val="%1.%2.%3"/>
      <w:lvlJc w:val="left"/>
      <w:pPr>
        <w:ind w:left="1620" w:hanging="720"/>
      </w:pPr>
      <w:rPr>
        <w:rFonts w:ascii="Arial" w:eastAsia="Arial" w:hAnsi="Arial" w:hint="default"/>
        <w:color w:val="000000" w:themeColor="text1"/>
        <w:sz w:val="28"/>
      </w:rPr>
    </w:lvl>
    <w:lvl w:ilvl="3">
      <w:start w:val="1"/>
      <w:numFmt w:val="decimal"/>
      <w:lvlText w:val="%1.%2.%3.%4"/>
      <w:lvlJc w:val="left"/>
      <w:pPr>
        <w:ind w:left="2430" w:hanging="1080"/>
      </w:pPr>
      <w:rPr>
        <w:rFonts w:ascii="Arial" w:eastAsia="Arial" w:hAnsi="Arial" w:hint="default"/>
        <w:color w:val="000000" w:themeColor="text1"/>
        <w:sz w:val="28"/>
      </w:rPr>
    </w:lvl>
    <w:lvl w:ilvl="4">
      <w:start w:val="1"/>
      <w:numFmt w:val="decimal"/>
      <w:lvlText w:val="%1.%2.%3.%4.%5"/>
      <w:lvlJc w:val="left"/>
      <w:pPr>
        <w:ind w:left="2880" w:hanging="1080"/>
      </w:pPr>
      <w:rPr>
        <w:rFonts w:ascii="Arial" w:eastAsia="Arial" w:hAnsi="Arial" w:hint="default"/>
        <w:color w:val="000000" w:themeColor="text1"/>
        <w:sz w:val="28"/>
      </w:rPr>
    </w:lvl>
    <w:lvl w:ilvl="5">
      <w:start w:val="1"/>
      <w:numFmt w:val="decimal"/>
      <w:lvlText w:val="%1.%2.%3.%4.%5.%6"/>
      <w:lvlJc w:val="left"/>
      <w:pPr>
        <w:ind w:left="3690" w:hanging="1440"/>
      </w:pPr>
      <w:rPr>
        <w:rFonts w:ascii="Arial" w:eastAsia="Arial" w:hAnsi="Arial" w:hint="default"/>
        <w:color w:val="000000" w:themeColor="text1"/>
        <w:sz w:val="28"/>
      </w:rPr>
    </w:lvl>
    <w:lvl w:ilvl="6">
      <w:start w:val="1"/>
      <w:numFmt w:val="decimal"/>
      <w:lvlText w:val="%1.%2.%3.%4.%5.%6.%7"/>
      <w:lvlJc w:val="left"/>
      <w:pPr>
        <w:ind w:left="4140" w:hanging="1440"/>
      </w:pPr>
      <w:rPr>
        <w:rFonts w:ascii="Arial" w:eastAsia="Arial" w:hAnsi="Arial" w:hint="default"/>
        <w:color w:val="000000" w:themeColor="text1"/>
        <w:sz w:val="28"/>
      </w:rPr>
    </w:lvl>
    <w:lvl w:ilvl="7">
      <w:start w:val="1"/>
      <w:numFmt w:val="decimal"/>
      <w:lvlText w:val="%1.%2.%3.%4.%5.%6.%7.%8"/>
      <w:lvlJc w:val="left"/>
      <w:pPr>
        <w:ind w:left="4950" w:hanging="1800"/>
      </w:pPr>
      <w:rPr>
        <w:rFonts w:ascii="Arial" w:eastAsia="Arial" w:hAnsi="Arial" w:hint="default"/>
        <w:color w:val="000000" w:themeColor="text1"/>
        <w:sz w:val="28"/>
      </w:rPr>
    </w:lvl>
    <w:lvl w:ilvl="8">
      <w:start w:val="1"/>
      <w:numFmt w:val="decimal"/>
      <w:lvlText w:val="%1.%2.%3.%4.%5.%6.%7.%8.%9"/>
      <w:lvlJc w:val="left"/>
      <w:pPr>
        <w:ind w:left="5400" w:hanging="1800"/>
      </w:pPr>
      <w:rPr>
        <w:rFonts w:ascii="Arial" w:eastAsia="Arial" w:hAnsi="Arial" w:hint="default"/>
        <w:color w:val="000000" w:themeColor="text1"/>
        <w:sz w:val="28"/>
      </w:rPr>
    </w:lvl>
  </w:abstractNum>
  <w:num w:numId="1">
    <w:abstractNumId w:val="0"/>
  </w:num>
  <w:num w:numId="2">
    <w:abstractNumId w:val="1"/>
  </w:num>
  <w:num w:numId="3">
    <w:abstractNumId w:val="4"/>
  </w:num>
  <w:num w:numId="4">
    <w:abstractNumId w:val="3"/>
  </w:num>
  <w:num w:numId="5">
    <w:abstractNumId w:val="5"/>
  </w:num>
  <w:num w:numId="6">
    <w:abstractNumId w:val="2"/>
  </w:num>
  <w:num w:numId="7">
    <w:abstractNumId w:val="2"/>
    <w:lvlOverride w:ilvl="0">
      <w:startOverride w:val="4"/>
    </w:lvlOverride>
    <w:lvlOverride w:ilvl="1">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D2FC2"/>
    <w:rsid w:val="00027E4B"/>
    <w:rsid w:val="000334BB"/>
    <w:rsid w:val="000433B9"/>
    <w:rsid w:val="004A2662"/>
    <w:rsid w:val="00587B43"/>
    <w:rsid w:val="005C1FF7"/>
    <w:rsid w:val="006F0824"/>
    <w:rsid w:val="0070431D"/>
    <w:rsid w:val="0073440B"/>
    <w:rsid w:val="007B725B"/>
    <w:rsid w:val="007E7A5E"/>
    <w:rsid w:val="00821E5B"/>
    <w:rsid w:val="00863308"/>
    <w:rsid w:val="00897E88"/>
    <w:rsid w:val="008A091D"/>
    <w:rsid w:val="009A7230"/>
    <w:rsid w:val="00A15257"/>
    <w:rsid w:val="00B20456"/>
    <w:rsid w:val="00BD2FC2"/>
    <w:rsid w:val="00CF1606"/>
    <w:rsid w:val="00D8579F"/>
    <w:rsid w:val="00E620B4"/>
    <w:rsid w:val="00E75811"/>
    <w:rsid w:val="00F32B21"/>
    <w:rsid w:val="00FA7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0334BB"/>
    <w:pPr>
      <w:keepNext/>
      <w:keepLines/>
      <w:numPr>
        <w:numId w:val="1"/>
      </w:numPr>
      <w:spacing w:before="480" w:after="0" w:line="360" w:lineRule="auto"/>
      <w:outlineLvl w:val="0"/>
    </w:pPr>
    <w:rPr>
      <w:rFonts w:ascii="Arial" w:eastAsiaTheme="majorEastAsia" w:hAnsi="Arial" w:cstheme="majorBidi"/>
      <w:b/>
      <w:bCs/>
      <w:sz w:val="32"/>
      <w:szCs w:val="28"/>
    </w:rPr>
  </w:style>
  <w:style w:type="paragraph" w:styleId="Heading2">
    <w:name w:val="heading 2"/>
    <w:basedOn w:val="Normal"/>
    <w:next w:val="Normal"/>
    <w:link w:val="Heading2Char"/>
    <w:autoRedefine/>
    <w:uiPriority w:val="9"/>
    <w:unhideWhenUsed/>
    <w:qFormat/>
    <w:rsid w:val="009A7230"/>
    <w:pPr>
      <w:keepNext/>
      <w:keepLines/>
      <w:numPr>
        <w:ilvl w:val="1"/>
        <w:numId w:val="6"/>
      </w:numPr>
      <w:spacing w:before="200" w:after="0" w:line="360" w:lineRule="auto"/>
      <w:outlineLvl w:val="1"/>
    </w:pPr>
    <w:rPr>
      <w:rFonts w:ascii="Arial" w:eastAsiaTheme="majorEastAsia" w:hAnsi="Arial"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D2FC2"/>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0334BB"/>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9A7230"/>
    <w:rPr>
      <w:rFonts w:ascii="Arial" w:eastAsiaTheme="majorEastAsia" w:hAnsi="Arial" w:cstheme="majorBidi"/>
      <w:b/>
      <w:bCs/>
      <w:color w:val="000000" w:themeColor="text1"/>
      <w:sz w:val="28"/>
      <w:szCs w:val="26"/>
    </w:rPr>
  </w:style>
  <w:style w:type="paragraph" w:styleId="ListParagraph">
    <w:name w:val="List Paragraph"/>
    <w:basedOn w:val="Normal"/>
    <w:uiPriority w:val="34"/>
    <w:qFormat/>
    <w:rsid w:val="009A7230"/>
    <w:pPr>
      <w:ind w:left="720"/>
      <w:contextualSpacing/>
    </w:pPr>
  </w:style>
  <w:style w:type="table" w:styleId="MediumShading2-Accent2">
    <w:name w:val="Medium Shading 2 Accent 2"/>
    <w:basedOn w:val="TableNormal"/>
    <w:uiPriority w:val="64"/>
    <w:rsid w:val="000334BB"/>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0334BB"/>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TOCHeading">
    <w:name w:val="TOC Heading"/>
    <w:basedOn w:val="Heading1"/>
    <w:next w:val="Normal"/>
    <w:uiPriority w:val="39"/>
    <w:unhideWhenUsed/>
    <w:qFormat/>
    <w:rsid w:val="000334BB"/>
    <w:pPr>
      <w:numPr>
        <w:numId w:val="0"/>
      </w:numPr>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0334BB"/>
    <w:pPr>
      <w:spacing w:after="100"/>
    </w:pPr>
  </w:style>
  <w:style w:type="paragraph" w:styleId="TOC2">
    <w:name w:val="toc 2"/>
    <w:basedOn w:val="Normal"/>
    <w:next w:val="Normal"/>
    <w:autoRedefine/>
    <w:uiPriority w:val="39"/>
    <w:unhideWhenUsed/>
    <w:rsid w:val="000334BB"/>
    <w:pPr>
      <w:spacing w:after="100"/>
      <w:ind w:left="220"/>
    </w:pPr>
  </w:style>
  <w:style w:type="character" w:styleId="Hyperlink">
    <w:name w:val="Hyperlink"/>
    <w:basedOn w:val="DefaultParagraphFont"/>
    <w:uiPriority w:val="99"/>
    <w:unhideWhenUsed/>
    <w:rsid w:val="000334BB"/>
    <w:rPr>
      <w:color w:val="0000FF" w:themeColor="hyperlink"/>
      <w:u w:val="single"/>
    </w:rPr>
  </w:style>
  <w:style w:type="paragraph" w:styleId="BalloonText">
    <w:name w:val="Balloon Text"/>
    <w:basedOn w:val="Normal"/>
    <w:link w:val="BalloonTextChar"/>
    <w:uiPriority w:val="99"/>
    <w:semiHidden/>
    <w:unhideWhenUsed/>
    <w:rsid w:val="000334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34BB"/>
    <w:rPr>
      <w:rFonts w:ascii="Tahoma" w:hAnsi="Tahoma" w:cs="Tahoma"/>
      <w:sz w:val="16"/>
      <w:szCs w:val="16"/>
    </w:rPr>
  </w:style>
  <w:style w:type="paragraph" w:styleId="Header">
    <w:name w:val="header"/>
    <w:basedOn w:val="Normal"/>
    <w:link w:val="HeaderChar"/>
    <w:uiPriority w:val="99"/>
    <w:unhideWhenUsed/>
    <w:rsid w:val="000334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34BB"/>
  </w:style>
  <w:style w:type="paragraph" w:styleId="Footer">
    <w:name w:val="footer"/>
    <w:basedOn w:val="Normal"/>
    <w:link w:val="FooterChar"/>
    <w:uiPriority w:val="99"/>
    <w:unhideWhenUsed/>
    <w:rsid w:val="000334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34BB"/>
  </w:style>
  <w:style w:type="table" w:styleId="MediumShading2-Accent4">
    <w:name w:val="Medium Shading 2 Accent 4"/>
    <w:basedOn w:val="TableNormal"/>
    <w:uiPriority w:val="64"/>
    <w:rsid w:val="00587B43"/>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TableGrid1">
    <w:name w:val="Table Grid1"/>
    <w:basedOn w:val="TableNormal"/>
    <w:next w:val="TableGrid"/>
    <w:uiPriority w:val="59"/>
    <w:rsid w:val="00027E4B"/>
    <w:pPr>
      <w:spacing w:after="0" w:line="240" w:lineRule="auto"/>
    </w:pPr>
    <w:rPr>
      <w:rFonts w:ascii="Cambria" w:eastAsia="MS Mincho" w:hAnsi="Cambria"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59"/>
    <w:rsid w:val="00027E4B"/>
    <w:pPr>
      <w:spacing w:after="0" w:line="240" w:lineRule="auto"/>
    </w:pPr>
    <w:rPr>
      <w:rFonts w:ascii="Cambria" w:eastAsia="MS Mincho" w:hAnsi="Cambria"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59"/>
    <w:rsid w:val="00027E4B"/>
    <w:pPr>
      <w:spacing w:after="0" w:line="240" w:lineRule="auto"/>
    </w:pPr>
    <w:rPr>
      <w:rFonts w:ascii="Cambria" w:eastAsia="MS Mincho" w:hAnsi="Cambria"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4">
    <w:name w:val="Table Grid4"/>
    <w:basedOn w:val="TableNormal"/>
    <w:next w:val="TableGrid"/>
    <w:uiPriority w:val="59"/>
    <w:rsid w:val="00A15257"/>
    <w:pPr>
      <w:spacing w:after="0" w:line="240" w:lineRule="auto"/>
    </w:pPr>
    <w:rPr>
      <w:rFonts w:ascii="Cambria" w:eastAsia="MS Mincho" w:hAnsi="Cambria"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5">
    <w:name w:val="Table Grid5"/>
    <w:basedOn w:val="TableNormal"/>
    <w:next w:val="TableGrid"/>
    <w:uiPriority w:val="59"/>
    <w:rsid w:val="00A15257"/>
    <w:pPr>
      <w:spacing w:after="0" w:line="240" w:lineRule="auto"/>
    </w:pPr>
    <w:rPr>
      <w:rFonts w:ascii="Cambria" w:eastAsia="MS Mincho" w:hAnsi="Cambria"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0334BB"/>
    <w:pPr>
      <w:keepNext/>
      <w:keepLines/>
      <w:numPr>
        <w:numId w:val="1"/>
      </w:numPr>
      <w:spacing w:before="480" w:after="0" w:line="360" w:lineRule="auto"/>
      <w:outlineLvl w:val="0"/>
    </w:pPr>
    <w:rPr>
      <w:rFonts w:ascii="Arial" w:eastAsiaTheme="majorEastAsia" w:hAnsi="Arial" w:cstheme="majorBidi"/>
      <w:b/>
      <w:bCs/>
      <w:sz w:val="32"/>
      <w:szCs w:val="28"/>
    </w:rPr>
  </w:style>
  <w:style w:type="paragraph" w:styleId="Heading2">
    <w:name w:val="heading 2"/>
    <w:basedOn w:val="Normal"/>
    <w:next w:val="Normal"/>
    <w:link w:val="Heading2Char"/>
    <w:autoRedefine/>
    <w:uiPriority w:val="9"/>
    <w:unhideWhenUsed/>
    <w:qFormat/>
    <w:rsid w:val="009A7230"/>
    <w:pPr>
      <w:keepNext/>
      <w:keepLines/>
      <w:numPr>
        <w:ilvl w:val="1"/>
        <w:numId w:val="6"/>
      </w:numPr>
      <w:spacing w:before="200" w:after="0" w:line="360" w:lineRule="auto"/>
      <w:outlineLvl w:val="1"/>
    </w:pPr>
    <w:rPr>
      <w:rFonts w:ascii="Arial" w:eastAsiaTheme="majorEastAsia" w:hAnsi="Arial"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D2FC2"/>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0334BB"/>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9A7230"/>
    <w:rPr>
      <w:rFonts w:ascii="Arial" w:eastAsiaTheme="majorEastAsia" w:hAnsi="Arial" w:cstheme="majorBidi"/>
      <w:b/>
      <w:bCs/>
      <w:color w:val="000000" w:themeColor="text1"/>
      <w:sz w:val="28"/>
      <w:szCs w:val="26"/>
    </w:rPr>
  </w:style>
  <w:style w:type="paragraph" w:styleId="ListParagraph">
    <w:name w:val="List Paragraph"/>
    <w:basedOn w:val="Normal"/>
    <w:uiPriority w:val="34"/>
    <w:qFormat/>
    <w:rsid w:val="009A7230"/>
    <w:pPr>
      <w:ind w:left="720"/>
      <w:contextualSpacing/>
    </w:pPr>
  </w:style>
  <w:style w:type="table" w:styleId="MediumShading2-Accent2">
    <w:name w:val="Medium Shading 2 Accent 2"/>
    <w:basedOn w:val="TableNormal"/>
    <w:uiPriority w:val="64"/>
    <w:rsid w:val="000334BB"/>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0334BB"/>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TOCHeading">
    <w:name w:val="TOC Heading"/>
    <w:basedOn w:val="Heading1"/>
    <w:next w:val="Normal"/>
    <w:uiPriority w:val="39"/>
    <w:unhideWhenUsed/>
    <w:qFormat/>
    <w:rsid w:val="000334BB"/>
    <w:pPr>
      <w:numPr>
        <w:numId w:val="0"/>
      </w:numPr>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0334BB"/>
    <w:pPr>
      <w:spacing w:after="100"/>
    </w:pPr>
  </w:style>
  <w:style w:type="paragraph" w:styleId="TOC2">
    <w:name w:val="toc 2"/>
    <w:basedOn w:val="Normal"/>
    <w:next w:val="Normal"/>
    <w:autoRedefine/>
    <w:uiPriority w:val="39"/>
    <w:unhideWhenUsed/>
    <w:rsid w:val="000334BB"/>
    <w:pPr>
      <w:spacing w:after="100"/>
      <w:ind w:left="220"/>
    </w:pPr>
  </w:style>
  <w:style w:type="character" w:styleId="Hyperlink">
    <w:name w:val="Hyperlink"/>
    <w:basedOn w:val="DefaultParagraphFont"/>
    <w:uiPriority w:val="99"/>
    <w:unhideWhenUsed/>
    <w:rsid w:val="000334BB"/>
    <w:rPr>
      <w:color w:val="0000FF" w:themeColor="hyperlink"/>
      <w:u w:val="single"/>
    </w:rPr>
  </w:style>
  <w:style w:type="paragraph" w:styleId="BalloonText">
    <w:name w:val="Balloon Text"/>
    <w:basedOn w:val="Normal"/>
    <w:link w:val="BalloonTextChar"/>
    <w:uiPriority w:val="99"/>
    <w:semiHidden/>
    <w:unhideWhenUsed/>
    <w:rsid w:val="000334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34BB"/>
    <w:rPr>
      <w:rFonts w:ascii="Tahoma" w:hAnsi="Tahoma" w:cs="Tahoma"/>
      <w:sz w:val="16"/>
      <w:szCs w:val="16"/>
    </w:rPr>
  </w:style>
  <w:style w:type="paragraph" w:styleId="Header">
    <w:name w:val="header"/>
    <w:basedOn w:val="Normal"/>
    <w:link w:val="HeaderChar"/>
    <w:uiPriority w:val="99"/>
    <w:unhideWhenUsed/>
    <w:rsid w:val="000334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34BB"/>
  </w:style>
  <w:style w:type="paragraph" w:styleId="Footer">
    <w:name w:val="footer"/>
    <w:basedOn w:val="Normal"/>
    <w:link w:val="FooterChar"/>
    <w:uiPriority w:val="99"/>
    <w:unhideWhenUsed/>
    <w:rsid w:val="000334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34BB"/>
  </w:style>
  <w:style w:type="table" w:styleId="MediumShading2-Accent4">
    <w:name w:val="Medium Shading 2 Accent 4"/>
    <w:basedOn w:val="TableNormal"/>
    <w:uiPriority w:val="64"/>
    <w:rsid w:val="00587B43"/>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TableGrid1">
    <w:name w:val="Table Grid1"/>
    <w:basedOn w:val="TableNormal"/>
    <w:next w:val="TableGrid"/>
    <w:uiPriority w:val="59"/>
    <w:rsid w:val="00027E4B"/>
    <w:pPr>
      <w:spacing w:after="0" w:line="240" w:lineRule="auto"/>
    </w:pPr>
    <w:rPr>
      <w:rFonts w:ascii="Cambria" w:eastAsia="MS Mincho" w:hAnsi="Cambria"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59"/>
    <w:rsid w:val="00027E4B"/>
    <w:pPr>
      <w:spacing w:after="0" w:line="240" w:lineRule="auto"/>
    </w:pPr>
    <w:rPr>
      <w:rFonts w:ascii="Cambria" w:eastAsia="MS Mincho" w:hAnsi="Cambria"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59"/>
    <w:rsid w:val="00027E4B"/>
    <w:pPr>
      <w:spacing w:after="0" w:line="240" w:lineRule="auto"/>
    </w:pPr>
    <w:rPr>
      <w:rFonts w:ascii="Cambria" w:eastAsia="MS Mincho" w:hAnsi="Cambria"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4">
    <w:name w:val="Table Grid4"/>
    <w:basedOn w:val="TableNormal"/>
    <w:next w:val="TableGrid"/>
    <w:uiPriority w:val="59"/>
    <w:rsid w:val="00A15257"/>
    <w:pPr>
      <w:spacing w:after="0" w:line="240" w:lineRule="auto"/>
    </w:pPr>
    <w:rPr>
      <w:rFonts w:ascii="Cambria" w:eastAsia="MS Mincho" w:hAnsi="Cambria"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5">
    <w:name w:val="Table Grid5"/>
    <w:basedOn w:val="TableNormal"/>
    <w:next w:val="TableGrid"/>
    <w:uiPriority w:val="59"/>
    <w:rsid w:val="00A15257"/>
    <w:pPr>
      <w:spacing w:after="0" w:line="240" w:lineRule="auto"/>
    </w:pPr>
    <w:rPr>
      <w:rFonts w:ascii="Cambria" w:eastAsia="MS Mincho" w:hAnsi="Cambria"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5045492">
      <w:bodyDiv w:val="1"/>
      <w:marLeft w:val="0"/>
      <w:marRight w:val="0"/>
      <w:marTop w:val="0"/>
      <w:marBottom w:val="0"/>
      <w:divBdr>
        <w:top w:val="none" w:sz="0" w:space="0" w:color="auto"/>
        <w:left w:val="none" w:sz="0" w:space="0" w:color="auto"/>
        <w:bottom w:val="none" w:sz="0" w:space="0" w:color="auto"/>
        <w:right w:val="none" w:sz="0" w:space="0" w:color="auto"/>
      </w:divBdr>
    </w:div>
    <w:div w:id="486019527">
      <w:bodyDiv w:val="1"/>
      <w:marLeft w:val="0"/>
      <w:marRight w:val="0"/>
      <w:marTop w:val="0"/>
      <w:marBottom w:val="0"/>
      <w:divBdr>
        <w:top w:val="none" w:sz="0" w:space="0" w:color="auto"/>
        <w:left w:val="none" w:sz="0" w:space="0" w:color="auto"/>
        <w:bottom w:val="none" w:sz="0" w:space="0" w:color="auto"/>
        <w:right w:val="none" w:sz="0" w:space="0" w:color="auto"/>
      </w:divBdr>
    </w:div>
    <w:div w:id="553011107">
      <w:bodyDiv w:val="1"/>
      <w:marLeft w:val="0"/>
      <w:marRight w:val="0"/>
      <w:marTop w:val="0"/>
      <w:marBottom w:val="0"/>
      <w:divBdr>
        <w:top w:val="none" w:sz="0" w:space="0" w:color="auto"/>
        <w:left w:val="none" w:sz="0" w:space="0" w:color="auto"/>
        <w:bottom w:val="none" w:sz="0" w:space="0" w:color="auto"/>
        <w:right w:val="none" w:sz="0" w:space="0" w:color="auto"/>
      </w:divBdr>
    </w:div>
    <w:div w:id="595137966">
      <w:bodyDiv w:val="1"/>
      <w:marLeft w:val="0"/>
      <w:marRight w:val="0"/>
      <w:marTop w:val="0"/>
      <w:marBottom w:val="0"/>
      <w:divBdr>
        <w:top w:val="none" w:sz="0" w:space="0" w:color="auto"/>
        <w:left w:val="none" w:sz="0" w:space="0" w:color="auto"/>
        <w:bottom w:val="none" w:sz="0" w:space="0" w:color="auto"/>
        <w:right w:val="none" w:sz="0" w:space="0" w:color="auto"/>
      </w:divBdr>
    </w:div>
    <w:div w:id="651636662">
      <w:bodyDiv w:val="1"/>
      <w:marLeft w:val="0"/>
      <w:marRight w:val="0"/>
      <w:marTop w:val="0"/>
      <w:marBottom w:val="0"/>
      <w:divBdr>
        <w:top w:val="none" w:sz="0" w:space="0" w:color="auto"/>
        <w:left w:val="none" w:sz="0" w:space="0" w:color="auto"/>
        <w:bottom w:val="none" w:sz="0" w:space="0" w:color="auto"/>
        <w:right w:val="none" w:sz="0" w:space="0" w:color="auto"/>
      </w:divBdr>
    </w:div>
    <w:div w:id="691538373">
      <w:bodyDiv w:val="1"/>
      <w:marLeft w:val="0"/>
      <w:marRight w:val="0"/>
      <w:marTop w:val="0"/>
      <w:marBottom w:val="0"/>
      <w:divBdr>
        <w:top w:val="none" w:sz="0" w:space="0" w:color="auto"/>
        <w:left w:val="none" w:sz="0" w:space="0" w:color="auto"/>
        <w:bottom w:val="none" w:sz="0" w:space="0" w:color="auto"/>
        <w:right w:val="none" w:sz="0" w:space="0" w:color="auto"/>
      </w:divBdr>
    </w:div>
    <w:div w:id="703559085">
      <w:bodyDiv w:val="1"/>
      <w:marLeft w:val="0"/>
      <w:marRight w:val="0"/>
      <w:marTop w:val="0"/>
      <w:marBottom w:val="0"/>
      <w:divBdr>
        <w:top w:val="none" w:sz="0" w:space="0" w:color="auto"/>
        <w:left w:val="none" w:sz="0" w:space="0" w:color="auto"/>
        <w:bottom w:val="none" w:sz="0" w:space="0" w:color="auto"/>
        <w:right w:val="none" w:sz="0" w:space="0" w:color="auto"/>
      </w:divBdr>
    </w:div>
    <w:div w:id="723219997">
      <w:bodyDiv w:val="1"/>
      <w:marLeft w:val="0"/>
      <w:marRight w:val="0"/>
      <w:marTop w:val="0"/>
      <w:marBottom w:val="0"/>
      <w:divBdr>
        <w:top w:val="none" w:sz="0" w:space="0" w:color="auto"/>
        <w:left w:val="none" w:sz="0" w:space="0" w:color="auto"/>
        <w:bottom w:val="none" w:sz="0" w:space="0" w:color="auto"/>
        <w:right w:val="none" w:sz="0" w:space="0" w:color="auto"/>
      </w:divBdr>
    </w:div>
    <w:div w:id="770857381">
      <w:bodyDiv w:val="1"/>
      <w:marLeft w:val="0"/>
      <w:marRight w:val="0"/>
      <w:marTop w:val="0"/>
      <w:marBottom w:val="0"/>
      <w:divBdr>
        <w:top w:val="none" w:sz="0" w:space="0" w:color="auto"/>
        <w:left w:val="none" w:sz="0" w:space="0" w:color="auto"/>
        <w:bottom w:val="none" w:sz="0" w:space="0" w:color="auto"/>
        <w:right w:val="none" w:sz="0" w:space="0" w:color="auto"/>
      </w:divBdr>
    </w:div>
    <w:div w:id="783378973">
      <w:bodyDiv w:val="1"/>
      <w:marLeft w:val="0"/>
      <w:marRight w:val="0"/>
      <w:marTop w:val="0"/>
      <w:marBottom w:val="0"/>
      <w:divBdr>
        <w:top w:val="none" w:sz="0" w:space="0" w:color="auto"/>
        <w:left w:val="none" w:sz="0" w:space="0" w:color="auto"/>
        <w:bottom w:val="none" w:sz="0" w:space="0" w:color="auto"/>
        <w:right w:val="none" w:sz="0" w:space="0" w:color="auto"/>
      </w:divBdr>
    </w:div>
    <w:div w:id="827552083">
      <w:bodyDiv w:val="1"/>
      <w:marLeft w:val="0"/>
      <w:marRight w:val="0"/>
      <w:marTop w:val="0"/>
      <w:marBottom w:val="0"/>
      <w:divBdr>
        <w:top w:val="none" w:sz="0" w:space="0" w:color="auto"/>
        <w:left w:val="none" w:sz="0" w:space="0" w:color="auto"/>
        <w:bottom w:val="none" w:sz="0" w:space="0" w:color="auto"/>
        <w:right w:val="none" w:sz="0" w:space="0" w:color="auto"/>
      </w:divBdr>
    </w:div>
    <w:div w:id="1015769934">
      <w:bodyDiv w:val="1"/>
      <w:marLeft w:val="0"/>
      <w:marRight w:val="0"/>
      <w:marTop w:val="0"/>
      <w:marBottom w:val="0"/>
      <w:divBdr>
        <w:top w:val="none" w:sz="0" w:space="0" w:color="auto"/>
        <w:left w:val="none" w:sz="0" w:space="0" w:color="auto"/>
        <w:bottom w:val="none" w:sz="0" w:space="0" w:color="auto"/>
        <w:right w:val="none" w:sz="0" w:space="0" w:color="auto"/>
      </w:divBdr>
    </w:div>
    <w:div w:id="1024017960">
      <w:bodyDiv w:val="1"/>
      <w:marLeft w:val="0"/>
      <w:marRight w:val="0"/>
      <w:marTop w:val="0"/>
      <w:marBottom w:val="0"/>
      <w:divBdr>
        <w:top w:val="none" w:sz="0" w:space="0" w:color="auto"/>
        <w:left w:val="none" w:sz="0" w:space="0" w:color="auto"/>
        <w:bottom w:val="none" w:sz="0" w:space="0" w:color="auto"/>
        <w:right w:val="none" w:sz="0" w:space="0" w:color="auto"/>
      </w:divBdr>
    </w:div>
    <w:div w:id="1126508858">
      <w:bodyDiv w:val="1"/>
      <w:marLeft w:val="0"/>
      <w:marRight w:val="0"/>
      <w:marTop w:val="0"/>
      <w:marBottom w:val="0"/>
      <w:divBdr>
        <w:top w:val="none" w:sz="0" w:space="0" w:color="auto"/>
        <w:left w:val="none" w:sz="0" w:space="0" w:color="auto"/>
        <w:bottom w:val="none" w:sz="0" w:space="0" w:color="auto"/>
        <w:right w:val="none" w:sz="0" w:space="0" w:color="auto"/>
      </w:divBdr>
    </w:div>
    <w:div w:id="1149521906">
      <w:bodyDiv w:val="1"/>
      <w:marLeft w:val="0"/>
      <w:marRight w:val="0"/>
      <w:marTop w:val="0"/>
      <w:marBottom w:val="0"/>
      <w:divBdr>
        <w:top w:val="none" w:sz="0" w:space="0" w:color="auto"/>
        <w:left w:val="none" w:sz="0" w:space="0" w:color="auto"/>
        <w:bottom w:val="none" w:sz="0" w:space="0" w:color="auto"/>
        <w:right w:val="none" w:sz="0" w:space="0" w:color="auto"/>
      </w:divBdr>
    </w:div>
    <w:div w:id="1461267955">
      <w:bodyDiv w:val="1"/>
      <w:marLeft w:val="0"/>
      <w:marRight w:val="0"/>
      <w:marTop w:val="0"/>
      <w:marBottom w:val="0"/>
      <w:divBdr>
        <w:top w:val="none" w:sz="0" w:space="0" w:color="auto"/>
        <w:left w:val="none" w:sz="0" w:space="0" w:color="auto"/>
        <w:bottom w:val="none" w:sz="0" w:space="0" w:color="auto"/>
        <w:right w:val="none" w:sz="0" w:space="0" w:color="auto"/>
      </w:divBdr>
    </w:div>
    <w:div w:id="1500580344">
      <w:bodyDiv w:val="1"/>
      <w:marLeft w:val="0"/>
      <w:marRight w:val="0"/>
      <w:marTop w:val="0"/>
      <w:marBottom w:val="0"/>
      <w:divBdr>
        <w:top w:val="none" w:sz="0" w:space="0" w:color="auto"/>
        <w:left w:val="none" w:sz="0" w:space="0" w:color="auto"/>
        <w:bottom w:val="none" w:sz="0" w:space="0" w:color="auto"/>
        <w:right w:val="none" w:sz="0" w:space="0" w:color="auto"/>
      </w:divBdr>
    </w:div>
    <w:div w:id="1571840908">
      <w:bodyDiv w:val="1"/>
      <w:marLeft w:val="0"/>
      <w:marRight w:val="0"/>
      <w:marTop w:val="0"/>
      <w:marBottom w:val="0"/>
      <w:divBdr>
        <w:top w:val="none" w:sz="0" w:space="0" w:color="auto"/>
        <w:left w:val="none" w:sz="0" w:space="0" w:color="auto"/>
        <w:bottom w:val="none" w:sz="0" w:space="0" w:color="auto"/>
        <w:right w:val="none" w:sz="0" w:space="0" w:color="auto"/>
      </w:divBdr>
    </w:div>
    <w:div w:id="1577015799">
      <w:bodyDiv w:val="1"/>
      <w:marLeft w:val="0"/>
      <w:marRight w:val="0"/>
      <w:marTop w:val="0"/>
      <w:marBottom w:val="0"/>
      <w:divBdr>
        <w:top w:val="none" w:sz="0" w:space="0" w:color="auto"/>
        <w:left w:val="none" w:sz="0" w:space="0" w:color="auto"/>
        <w:bottom w:val="none" w:sz="0" w:space="0" w:color="auto"/>
        <w:right w:val="none" w:sz="0" w:space="0" w:color="auto"/>
      </w:divBdr>
    </w:div>
    <w:div w:id="1759595435">
      <w:bodyDiv w:val="1"/>
      <w:marLeft w:val="0"/>
      <w:marRight w:val="0"/>
      <w:marTop w:val="0"/>
      <w:marBottom w:val="0"/>
      <w:divBdr>
        <w:top w:val="none" w:sz="0" w:space="0" w:color="auto"/>
        <w:left w:val="none" w:sz="0" w:space="0" w:color="auto"/>
        <w:bottom w:val="none" w:sz="0" w:space="0" w:color="auto"/>
        <w:right w:val="none" w:sz="0" w:space="0" w:color="auto"/>
      </w:divBdr>
    </w:div>
    <w:div w:id="2024941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simarket.com" TargetMode="Externa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63AB08-2348-459B-8C0E-8877FF1CEE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6336</Words>
  <Characters>36121</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2026-08-10T23:21:00Z</dcterms:created>
  <dcterms:modified xsi:type="dcterms:W3CDTF">2026-08-10T23:21:00Z</dcterms:modified>
</cp:coreProperties>
</file>