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276" w:lineRule="auto"/>
        <w:rPr>
          <w:rFonts w:cs="Arial"/>
          <w:sz w:val="22"/>
          <w:szCs w:val="22"/>
        </w:rPr>
      </w:pPr>
    </w:p>
    <w:p>
      <w:pPr>
        <w:spacing w:line="276" w:lineRule="auto"/>
        <w:ind w:left="284" w:right="531"/>
        <w:rPr>
          <w:rFonts w:cs="Arial"/>
          <w:b/>
          <w:sz w:val="22"/>
          <w:szCs w:val="22"/>
        </w:rPr>
      </w:pPr>
    </w:p>
    <w:p>
      <w:pPr>
        <w:pStyle w:val="3"/>
        <w:jc w:val="right"/>
      </w:pPr>
      <w:bookmarkStart w:id="0" w:name="_Toc69761602"/>
      <w:bookmarkStart w:id="1" w:name="_Toc69760684"/>
      <w:r>
        <w:drawing>
          <wp:anchor distT="0" distB="0" distL="114300" distR="114300" simplePos="0" relativeHeight="251659264"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9" name="Picture 9"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br w:type="textWrapping" w:clear="all"/>
      </w:r>
      <w:r>
        <w:t>Assessment 2</w:t>
      </w:r>
      <w:bookmarkEnd w:id="0"/>
      <w:bookmarkEnd w:id="1"/>
    </w:p>
    <w:tbl>
      <w:tblPr>
        <w:tblStyle w:val="16"/>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autofit"/>
        <w:tblCellMar>
          <w:top w:w="0" w:type="dxa"/>
          <w:left w:w="108" w:type="dxa"/>
          <w:bottom w:w="0" w:type="dxa"/>
          <w:right w:w="108" w:type="dxa"/>
        </w:tblCellMar>
      </w:tblPr>
      <w:tblGrid>
        <w:gridCol w:w="2093"/>
        <w:gridCol w:w="3293"/>
        <w:gridCol w:w="2268"/>
        <w:gridCol w:w="226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CellMar>
            <w:top w:w="0" w:type="dxa"/>
            <w:left w:w="108" w:type="dxa"/>
            <w:bottom w:w="0" w:type="dxa"/>
            <w:right w:w="108" w:type="dxa"/>
          </w:tblCellMar>
        </w:tblPrEx>
        <w:tc>
          <w:tcPr>
            <w:tcW w:w="9922" w:type="dxa"/>
            <w:gridSpan w:val="4"/>
            <w:shd w:val="clear" w:color="auto" w:fill="C0C0C0"/>
          </w:tcPr>
          <w:p>
            <w:pPr>
              <w:pStyle w:val="5"/>
              <w:spacing w:line="240" w:lineRule="auto"/>
              <w:rPr>
                <w:rFonts w:cs="Arial"/>
                <w:b/>
                <w:sz w:val="22"/>
                <w:szCs w:val="22"/>
              </w:rPr>
            </w:pPr>
            <w:r>
              <w:rPr>
                <w:rFonts w:cs="Arial"/>
                <w:b/>
                <w:sz w:val="36"/>
                <w:szCs w:val="36"/>
              </w:rPr>
              <w:t xml:space="preserve">LEVEL 7 ASSESSMENT SPECIFICATION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2093" w:type="dxa"/>
            <w:shd w:val="clear" w:color="auto" w:fill="auto"/>
          </w:tcPr>
          <w:p>
            <w:pPr>
              <w:spacing w:before="120" w:after="120" w:line="240" w:lineRule="auto"/>
              <w:jc w:val="both"/>
              <w:rPr>
                <w:rFonts w:cs="Arial"/>
                <w:b/>
                <w:sz w:val="22"/>
                <w:szCs w:val="22"/>
              </w:rPr>
            </w:pPr>
            <w:r>
              <w:rPr>
                <w:rFonts w:cs="Arial"/>
                <w:b/>
                <w:sz w:val="22"/>
                <w:szCs w:val="22"/>
              </w:rPr>
              <w:t>Student name:</w:t>
            </w:r>
          </w:p>
        </w:tc>
        <w:tc>
          <w:tcPr>
            <w:tcW w:w="3293" w:type="dxa"/>
            <w:shd w:val="clear" w:color="auto" w:fill="auto"/>
          </w:tcPr>
          <w:p>
            <w:pPr>
              <w:spacing w:before="120" w:after="120" w:line="240" w:lineRule="auto"/>
              <w:jc w:val="both"/>
              <w:rPr>
                <w:rFonts w:cs="Arial"/>
                <w:b/>
                <w:sz w:val="22"/>
                <w:szCs w:val="22"/>
              </w:rPr>
            </w:pPr>
            <w:r>
              <w:rPr>
                <w:rFonts w:cs="Arial"/>
                <w:b/>
                <w:sz w:val="22"/>
                <w:szCs w:val="22"/>
              </w:rPr>
              <w:t>MA YINNI</w:t>
            </w:r>
            <w:r>
              <w:rPr>
                <w:rFonts w:cs="Arial"/>
                <w:b/>
                <w:sz w:val="22"/>
                <w:szCs w:val="22"/>
              </w:rPr>
              <w:fldChar w:fldCharType="begin">
                <w:ffData>
                  <w:name w:val="Text2"/>
                  <w:enabled/>
                  <w:calcOnExit w:val="0"/>
                  <w:textInput/>
                </w:ffData>
              </w:fldChar>
            </w:r>
            <w:r>
              <w:rPr>
                <w:rFonts w:cs="Arial"/>
                <w:b/>
                <w:sz w:val="22"/>
                <w:szCs w:val="22"/>
              </w:rPr>
              <w:instrText xml:space="preserve"> FORMTEXT </w:instrText>
            </w:r>
            <w:r>
              <w:rPr>
                <w:rFonts w:cs="Arial"/>
                <w:b/>
                <w:sz w:val="22"/>
                <w:szCs w:val="22"/>
              </w:rPr>
              <w:fldChar w:fldCharType="separate"/>
            </w:r>
            <w:r>
              <w:rPr>
                <w:rFonts w:cs="Arial"/>
                <w:b/>
                <w:sz w:val="22"/>
                <w:szCs w:val="22"/>
              </w:rPr>
              <w:t>     </w:t>
            </w:r>
            <w:r>
              <w:rPr>
                <w:rFonts w:cs="Arial"/>
                <w:b/>
                <w:sz w:val="22"/>
                <w:szCs w:val="22"/>
              </w:rPr>
              <w:fldChar w:fldCharType="end"/>
            </w:r>
          </w:p>
        </w:tc>
        <w:tc>
          <w:tcPr>
            <w:tcW w:w="2268" w:type="dxa"/>
            <w:shd w:val="clear" w:color="auto" w:fill="D8D8D8" w:themeFill="background1" w:themeFillShade="D9"/>
          </w:tcPr>
          <w:p>
            <w:pPr>
              <w:spacing w:before="120" w:after="120" w:line="240" w:lineRule="auto"/>
              <w:jc w:val="both"/>
              <w:rPr>
                <w:rFonts w:cs="Arial"/>
                <w:b/>
                <w:sz w:val="22"/>
                <w:szCs w:val="22"/>
              </w:rPr>
            </w:pPr>
            <w:r>
              <w:rPr>
                <w:rFonts w:cs="Arial"/>
                <w:b/>
                <w:sz w:val="22"/>
                <w:szCs w:val="22"/>
              </w:rPr>
              <w:t>Student ID number:</w:t>
            </w:r>
          </w:p>
        </w:tc>
        <w:tc>
          <w:tcPr>
            <w:tcW w:w="2268" w:type="dxa"/>
            <w:shd w:val="clear" w:color="auto" w:fill="auto"/>
          </w:tcPr>
          <w:p>
            <w:pPr>
              <w:spacing w:before="120" w:after="120" w:line="240" w:lineRule="auto"/>
              <w:jc w:val="both"/>
              <w:rPr>
                <w:rFonts w:hint="eastAsia" w:cs="Arial"/>
                <w:b/>
                <w:sz w:val="22"/>
                <w:szCs w:val="22"/>
                <w:lang w:eastAsia="zh-CN"/>
              </w:rPr>
            </w:pPr>
            <w:r>
              <w:rPr>
                <w:rFonts w:hint="eastAsia" w:cs="Arial"/>
                <w:b/>
                <w:sz w:val="22"/>
                <w:szCs w:val="22"/>
                <w:lang w:eastAsia="zh-CN"/>
              </w:rPr>
              <w:t>2</w:t>
            </w:r>
            <w:r>
              <w:rPr>
                <w:rFonts w:cs="Arial"/>
                <w:b/>
                <w:sz w:val="22"/>
                <w:szCs w:val="22"/>
                <w:lang w:eastAsia="zh-CN"/>
              </w:rPr>
              <w:t>227825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2093" w:type="dxa"/>
            <w:shd w:val="clear" w:color="auto" w:fill="auto"/>
          </w:tcPr>
          <w:p>
            <w:pPr>
              <w:spacing w:before="120" w:after="120" w:line="240" w:lineRule="auto"/>
              <w:jc w:val="both"/>
              <w:rPr>
                <w:rFonts w:cs="Arial"/>
                <w:b/>
                <w:sz w:val="22"/>
                <w:szCs w:val="22"/>
              </w:rPr>
            </w:pPr>
            <w:r>
              <w:rPr>
                <w:rFonts w:cs="Arial"/>
                <w:b/>
                <w:sz w:val="22"/>
                <w:szCs w:val="22"/>
              </w:rPr>
              <w:t>Programme:</w:t>
            </w:r>
          </w:p>
        </w:tc>
        <w:tc>
          <w:tcPr>
            <w:tcW w:w="7829" w:type="dxa"/>
            <w:gridSpan w:val="3"/>
            <w:shd w:val="clear" w:color="auto" w:fill="auto"/>
          </w:tcPr>
          <w:p>
            <w:pPr>
              <w:spacing w:before="120" w:after="120" w:line="240" w:lineRule="auto"/>
              <w:jc w:val="both"/>
              <w:rPr>
                <w:rFonts w:cs="Arial"/>
                <w:b/>
                <w:sz w:val="22"/>
                <w:szCs w:val="22"/>
              </w:rPr>
            </w:pPr>
            <w:r>
              <w:rPr>
                <w:rFonts w:cs="Arial"/>
                <w:b/>
                <w:sz w:val="22"/>
                <w:szCs w:val="22"/>
              </w:rPr>
              <w:t>Campus MBA (FT/PT)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2093" w:type="dxa"/>
            <w:shd w:val="clear" w:color="auto" w:fill="auto"/>
          </w:tcPr>
          <w:p>
            <w:pPr>
              <w:spacing w:before="120" w:after="120" w:line="240" w:lineRule="auto"/>
              <w:jc w:val="both"/>
              <w:rPr>
                <w:rFonts w:cs="Arial"/>
                <w:b/>
                <w:sz w:val="22"/>
                <w:szCs w:val="22"/>
              </w:rPr>
            </w:pPr>
            <w:r>
              <w:rPr>
                <w:rFonts w:cs="Arial"/>
                <w:b/>
                <w:sz w:val="22"/>
                <w:szCs w:val="22"/>
              </w:rPr>
              <w:t>Module:</w:t>
            </w:r>
          </w:p>
        </w:tc>
        <w:tc>
          <w:tcPr>
            <w:tcW w:w="7829" w:type="dxa"/>
            <w:gridSpan w:val="3"/>
            <w:shd w:val="clear" w:color="auto" w:fill="auto"/>
          </w:tcPr>
          <w:p>
            <w:pPr>
              <w:spacing w:before="120" w:after="120" w:line="240" w:lineRule="auto"/>
              <w:jc w:val="both"/>
              <w:rPr>
                <w:rFonts w:cs="Arial"/>
                <w:b/>
                <w:sz w:val="22"/>
                <w:szCs w:val="22"/>
              </w:rPr>
            </w:pPr>
            <w:r>
              <w:rPr>
                <w:rFonts w:cs="Arial"/>
                <w:b/>
                <w:sz w:val="22"/>
                <w:szCs w:val="22"/>
              </w:rPr>
              <w:t>Human Resource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2093" w:type="dxa"/>
            <w:shd w:val="clear" w:color="auto" w:fill="auto"/>
          </w:tcPr>
          <w:p>
            <w:pPr>
              <w:spacing w:before="120" w:after="120" w:line="240" w:lineRule="auto"/>
              <w:jc w:val="both"/>
              <w:rPr>
                <w:rFonts w:cs="Arial"/>
                <w:b/>
                <w:sz w:val="22"/>
                <w:szCs w:val="22"/>
              </w:rPr>
            </w:pPr>
            <w:r>
              <w:rPr>
                <w:rFonts w:cs="Arial"/>
                <w:b/>
                <w:sz w:val="22"/>
                <w:szCs w:val="22"/>
              </w:rPr>
              <w:t>Module code:</w:t>
            </w:r>
          </w:p>
        </w:tc>
        <w:tc>
          <w:tcPr>
            <w:tcW w:w="3293" w:type="dxa"/>
            <w:shd w:val="clear" w:color="auto" w:fill="auto"/>
          </w:tcPr>
          <w:p>
            <w:pPr>
              <w:spacing w:before="120" w:after="120" w:line="240" w:lineRule="auto"/>
              <w:jc w:val="both"/>
              <w:rPr>
                <w:rFonts w:cs="Arial"/>
                <w:b/>
                <w:color w:val="FF0000"/>
                <w:sz w:val="22"/>
                <w:szCs w:val="22"/>
              </w:rPr>
            </w:pPr>
            <w:r>
              <w:rPr>
                <w:rFonts w:cs="Arial"/>
                <w:b/>
                <w:sz w:val="22"/>
                <w:szCs w:val="22"/>
              </w:rPr>
              <w:t>BMMB7007</w:t>
            </w:r>
          </w:p>
        </w:tc>
        <w:tc>
          <w:tcPr>
            <w:tcW w:w="2268" w:type="dxa"/>
            <w:shd w:val="clear" w:color="auto" w:fill="D8D8D8" w:themeFill="background1" w:themeFillShade="D9"/>
          </w:tcPr>
          <w:p>
            <w:pPr>
              <w:pStyle w:val="3"/>
              <w:spacing w:line="240" w:lineRule="auto"/>
              <w:rPr>
                <w:rFonts w:cs="Arial"/>
                <w:sz w:val="22"/>
                <w:szCs w:val="22"/>
              </w:rPr>
            </w:pPr>
            <w:bookmarkStart w:id="2" w:name="_Toc69760685"/>
            <w:bookmarkStart w:id="3" w:name="_Toc69761603"/>
            <w:r>
              <w:rPr>
                <w:rFonts w:cs="Arial"/>
                <w:sz w:val="22"/>
                <w:szCs w:val="22"/>
              </w:rPr>
              <w:t>Contribution to Overall Module Assessment (%):</w:t>
            </w:r>
            <w:bookmarkEnd w:id="2"/>
            <w:bookmarkEnd w:id="3"/>
          </w:p>
        </w:tc>
        <w:tc>
          <w:tcPr>
            <w:tcW w:w="2268" w:type="dxa"/>
            <w:shd w:val="clear" w:color="auto" w:fill="auto"/>
          </w:tcPr>
          <w:p>
            <w:pPr>
              <w:spacing w:before="120" w:after="120" w:line="240" w:lineRule="auto"/>
              <w:jc w:val="both"/>
              <w:rPr>
                <w:rFonts w:cs="Arial"/>
                <w:b/>
                <w:sz w:val="22"/>
                <w:szCs w:val="22"/>
              </w:rPr>
            </w:pPr>
            <w:r>
              <w:rPr>
                <w:rFonts w:cs="Arial"/>
                <w:b/>
                <w:sz w:val="22"/>
                <w:szCs w:val="22"/>
              </w:rPr>
              <w:t>50%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2093" w:type="dxa"/>
            <w:shd w:val="clear" w:color="auto" w:fill="auto"/>
          </w:tcPr>
          <w:p>
            <w:pPr>
              <w:spacing w:before="120" w:after="120" w:line="240" w:lineRule="auto"/>
              <w:jc w:val="both"/>
              <w:rPr>
                <w:rFonts w:cs="Arial"/>
                <w:b/>
                <w:sz w:val="22"/>
                <w:szCs w:val="22"/>
              </w:rPr>
            </w:pPr>
            <w:r>
              <w:rPr>
                <w:rFonts w:cs="Arial"/>
                <w:b/>
                <w:sz w:val="22"/>
                <w:szCs w:val="22"/>
              </w:rPr>
              <w:t>Lecturer:</w:t>
            </w:r>
          </w:p>
        </w:tc>
        <w:tc>
          <w:tcPr>
            <w:tcW w:w="3293" w:type="dxa"/>
            <w:shd w:val="clear" w:color="auto" w:fill="auto"/>
          </w:tcPr>
          <w:p>
            <w:pPr>
              <w:spacing w:before="120" w:after="120" w:line="240" w:lineRule="auto"/>
              <w:jc w:val="both"/>
              <w:rPr>
                <w:rFonts w:cs="Arial"/>
                <w:b/>
                <w:sz w:val="22"/>
                <w:szCs w:val="22"/>
              </w:rPr>
            </w:pPr>
            <w:r>
              <w:rPr>
                <w:rFonts w:cs="Arial"/>
                <w:b/>
                <w:sz w:val="22"/>
                <w:szCs w:val="22"/>
              </w:rPr>
              <w:t>James Moore</w:t>
            </w:r>
          </w:p>
        </w:tc>
        <w:tc>
          <w:tcPr>
            <w:tcW w:w="2268" w:type="dxa"/>
            <w:shd w:val="clear" w:color="auto" w:fill="D8D8D8" w:themeFill="background1" w:themeFillShade="D9"/>
          </w:tcPr>
          <w:p>
            <w:pPr>
              <w:spacing w:before="120" w:after="120" w:line="240" w:lineRule="auto"/>
              <w:jc w:val="both"/>
              <w:rPr>
                <w:rFonts w:cs="Arial"/>
                <w:b/>
                <w:sz w:val="22"/>
                <w:szCs w:val="22"/>
              </w:rPr>
            </w:pPr>
            <w:r>
              <w:rPr>
                <w:rFonts w:cs="Arial"/>
                <w:b/>
                <w:sz w:val="22"/>
                <w:szCs w:val="22"/>
              </w:rPr>
              <w:t>Internal Verifier:</w:t>
            </w:r>
          </w:p>
        </w:tc>
        <w:tc>
          <w:tcPr>
            <w:tcW w:w="2268" w:type="dxa"/>
            <w:shd w:val="clear" w:color="auto" w:fill="auto"/>
          </w:tcPr>
          <w:p>
            <w:pPr>
              <w:spacing w:before="120" w:after="120" w:line="240" w:lineRule="auto"/>
              <w:jc w:val="both"/>
              <w:rPr>
                <w:rFonts w:cs="Arial"/>
                <w:b/>
                <w:sz w:val="22"/>
                <w:szCs w:val="22"/>
              </w:rPr>
            </w:pPr>
            <w:r>
              <w:rPr>
                <w:rFonts w:cs="Arial"/>
                <w:b/>
                <w:bCs/>
                <w:sz w:val="22"/>
                <w:szCs w:val="22"/>
              </w:rPr>
              <w:t>TBC Natasha Davies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2093" w:type="dxa"/>
            <w:shd w:val="clear" w:color="auto" w:fill="auto"/>
          </w:tcPr>
          <w:p>
            <w:pPr>
              <w:spacing w:before="120" w:after="120" w:line="240" w:lineRule="auto"/>
              <w:jc w:val="both"/>
              <w:rPr>
                <w:rFonts w:cs="Arial"/>
                <w:b/>
                <w:sz w:val="22"/>
                <w:szCs w:val="22"/>
              </w:rPr>
            </w:pPr>
            <w:r>
              <w:rPr>
                <w:rFonts w:cs="Arial"/>
                <w:b/>
                <w:sz w:val="22"/>
                <w:szCs w:val="22"/>
              </w:rPr>
              <w:t>Assignment Title:</w:t>
            </w:r>
          </w:p>
        </w:tc>
        <w:tc>
          <w:tcPr>
            <w:tcW w:w="3293" w:type="dxa"/>
            <w:shd w:val="clear" w:color="auto" w:fill="auto"/>
          </w:tcPr>
          <w:p>
            <w:pPr>
              <w:spacing w:before="120" w:after="120" w:line="240" w:lineRule="auto"/>
              <w:jc w:val="both"/>
              <w:rPr>
                <w:rFonts w:cs="Arial"/>
                <w:b/>
                <w:sz w:val="22"/>
                <w:szCs w:val="22"/>
              </w:rPr>
            </w:pPr>
            <w:r>
              <w:rPr>
                <w:rFonts w:cs="Arial"/>
                <w:b/>
                <w:sz w:val="22"/>
                <w:szCs w:val="22"/>
              </w:rPr>
              <w:t>HR Skills Development</w:t>
            </w:r>
          </w:p>
        </w:tc>
        <w:tc>
          <w:tcPr>
            <w:tcW w:w="2268" w:type="dxa"/>
            <w:shd w:val="clear" w:color="auto" w:fill="auto"/>
          </w:tcPr>
          <w:p>
            <w:pPr>
              <w:spacing w:before="120" w:after="120" w:line="240" w:lineRule="auto"/>
              <w:jc w:val="both"/>
              <w:rPr>
                <w:rFonts w:cs="Arial"/>
                <w:b/>
                <w:sz w:val="22"/>
                <w:szCs w:val="22"/>
              </w:rPr>
            </w:pPr>
            <w:r>
              <w:rPr>
                <w:rFonts w:cs="Arial"/>
                <w:b/>
                <w:sz w:val="22"/>
                <w:szCs w:val="22"/>
              </w:rPr>
              <w:t>Word count (or equivalent):</w:t>
            </w:r>
          </w:p>
        </w:tc>
        <w:tc>
          <w:tcPr>
            <w:tcW w:w="2268" w:type="dxa"/>
            <w:shd w:val="clear" w:color="auto" w:fill="auto"/>
          </w:tcPr>
          <w:p>
            <w:pPr>
              <w:spacing w:before="120" w:after="120" w:line="240" w:lineRule="auto"/>
              <w:jc w:val="both"/>
              <w:rPr>
                <w:rFonts w:cs="Arial"/>
                <w:b/>
                <w:sz w:val="22"/>
                <w:szCs w:val="22"/>
              </w:rPr>
            </w:pPr>
            <w:r>
              <w:rPr>
                <w:rFonts w:cs="Arial"/>
                <w:b/>
                <w:sz w:val="22"/>
                <w:szCs w:val="22"/>
              </w:rPr>
              <w:t>15-minute video presentation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2093" w:type="dxa"/>
            <w:shd w:val="clear" w:color="auto" w:fill="auto"/>
          </w:tcPr>
          <w:p>
            <w:pPr>
              <w:spacing w:before="120" w:after="120" w:line="240" w:lineRule="auto"/>
              <w:jc w:val="both"/>
              <w:rPr>
                <w:rFonts w:cs="Arial"/>
                <w:b/>
                <w:sz w:val="22"/>
                <w:szCs w:val="22"/>
              </w:rPr>
            </w:pPr>
            <w:r>
              <w:rPr>
                <w:rFonts w:cs="Arial"/>
                <w:b/>
                <w:sz w:val="22"/>
                <w:szCs w:val="22"/>
              </w:rPr>
              <w:t>Submission deadline:</w:t>
            </w:r>
          </w:p>
        </w:tc>
        <w:tc>
          <w:tcPr>
            <w:tcW w:w="3293" w:type="dxa"/>
            <w:shd w:val="clear" w:color="auto" w:fill="auto"/>
          </w:tcPr>
          <w:p>
            <w:pPr>
              <w:spacing w:line="240" w:lineRule="auto"/>
              <w:rPr>
                <w:rFonts w:cs="Arial"/>
                <w:b/>
                <w:sz w:val="22"/>
                <w:szCs w:val="22"/>
              </w:rPr>
            </w:pPr>
            <w:r>
              <w:rPr>
                <w:rFonts w:cs="Arial"/>
                <w:b/>
                <w:sz w:val="22"/>
                <w:szCs w:val="22"/>
              </w:rPr>
              <w:t xml:space="preserve">23:59 (UK Time), </w:t>
            </w:r>
          </w:p>
          <w:p>
            <w:pPr>
              <w:spacing w:line="240" w:lineRule="auto"/>
              <w:rPr>
                <w:rFonts w:cs="Arial"/>
                <w:b/>
                <w:sz w:val="22"/>
                <w:szCs w:val="22"/>
              </w:rPr>
            </w:pPr>
            <w:r>
              <w:rPr>
                <w:rFonts w:cs="Arial"/>
                <w:b/>
                <w:sz w:val="22"/>
                <w:szCs w:val="22"/>
              </w:rPr>
              <w:t>Friday 28</w:t>
            </w:r>
            <w:r>
              <w:rPr>
                <w:rFonts w:cs="Arial"/>
                <w:b/>
                <w:sz w:val="22"/>
                <w:szCs w:val="22"/>
                <w:vertAlign w:val="superscript"/>
              </w:rPr>
              <w:t>th</w:t>
            </w:r>
            <w:r>
              <w:rPr>
                <w:rFonts w:cs="Arial"/>
                <w:b/>
                <w:sz w:val="22"/>
                <w:szCs w:val="22"/>
              </w:rPr>
              <w:t xml:space="preserve"> April</w:t>
            </w:r>
          </w:p>
        </w:tc>
        <w:tc>
          <w:tcPr>
            <w:tcW w:w="2268" w:type="dxa"/>
            <w:shd w:val="clear" w:color="auto" w:fill="auto"/>
          </w:tcPr>
          <w:p>
            <w:pPr>
              <w:spacing w:before="120" w:after="120" w:line="240" w:lineRule="auto"/>
              <w:jc w:val="both"/>
              <w:rPr>
                <w:rFonts w:cs="Arial"/>
                <w:b/>
                <w:sz w:val="22"/>
                <w:szCs w:val="22"/>
              </w:rPr>
            </w:pPr>
            <w:r>
              <w:rPr>
                <w:rFonts w:cs="Arial"/>
                <w:b/>
                <w:sz w:val="22"/>
                <w:szCs w:val="22"/>
              </w:rPr>
              <w:t>Return date of provisional marks &amp; written feedback:</w:t>
            </w:r>
          </w:p>
        </w:tc>
        <w:tc>
          <w:tcPr>
            <w:tcW w:w="2268" w:type="dxa"/>
            <w:shd w:val="clear" w:color="auto" w:fill="auto"/>
          </w:tcPr>
          <w:p>
            <w:pPr>
              <w:spacing w:line="240" w:lineRule="auto"/>
              <w:rPr>
                <w:rFonts w:cs="Arial"/>
                <w:b/>
                <w:sz w:val="22"/>
                <w:szCs w:val="22"/>
              </w:rPr>
            </w:pPr>
            <w:r>
              <w:rPr>
                <w:rFonts w:cs="Arial"/>
                <w:b/>
                <w:bCs/>
                <w:sz w:val="22"/>
                <w:szCs w:val="22"/>
              </w:rPr>
              <w:t>Tuesday 30</w:t>
            </w:r>
            <w:r>
              <w:rPr>
                <w:rFonts w:cs="Arial"/>
                <w:b/>
                <w:bCs/>
                <w:sz w:val="22"/>
                <w:szCs w:val="22"/>
                <w:vertAlign w:val="superscript"/>
              </w:rPr>
              <w:t>th</w:t>
            </w:r>
            <w:r>
              <w:rPr>
                <w:rFonts w:cs="Arial"/>
                <w:b/>
                <w:sz w:val="22"/>
                <w:szCs w:val="22"/>
              </w:rPr>
              <w:t xml:space="preserve"> May 2023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2093" w:type="dxa"/>
            <w:shd w:val="clear" w:color="auto" w:fill="auto"/>
          </w:tcPr>
          <w:p>
            <w:pPr>
              <w:spacing w:before="120" w:after="120" w:line="240" w:lineRule="auto"/>
              <w:jc w:val="both"/>
              <w:rPr>
                <w:rFonts w:cs="Arial"/>
                <w:b/>
                <w:sz w:val="22"/>
                <w:szCs w:val="22"/>
              </w:rPr>
            </w:pPr>
            <w:r>
              <w:rPr>
                <w:rFonts w:cs="Arial"/>
                <w:b/>
                <w:sz w:val="22"/>
                <w:szCs w:val="22"/>
              </w:rPr>
              <w:t>Submission method:</w:t>
            </w:r>
          </w:p>
        </w:tc>
        <w:tc>
          <w:tcPr>
            <w:tcW w:w="7829" w:type="dxa"/>
            <w:gridSpan w:val="3"/>
            <w:shd w:val="clear" w:color="auto" w:fill="auto"/>
          </w:tcPr>
          <w:p>
            <w:pPr>
              <w:spacing w:line="240" w:lineRule="auto"/>
              <w:rPr>
                <w:rFonts w:cs="Arial"/>
                <w:sz w:val="22"/>
                <w:szCs w:val="22"/>
              </w:rPr>
            </w:pPr>
            <w:r>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pPr>
              <w:spacing w:before="120" w:after="120" w:line="240" w:lineRule="auto"/>
              <w:jc w:val="both"/>
              <w:rPr>
                <w:rFonts w:cs="Arial"/>
                <w:b/>
                <w:sz w:val="22"/>
                <w:szCs w:val="22"/>
              </w:rPr>
            </w:pPr>
            <w:r>
              <w:rPr>
                <w:rFonts w:cs="Arial"/>
                <w:b/>
                <w:sz w:val="22"/>
                <w:szCs w:val="22"/>
              </w:rPr>
              <w:t xml:space="preserve">Late submission of the assessment will result in a late penalty mark.  </w:t>
            </w:r>
            <w:r>
              <w:rPr>
                <w:rFonts w:cs="Arial"/>
                <w:sz w:val="22"/>
                <w:szCs w:val="22"/>
              </w:rPr>
              <w:t>Penalties for late submission: Up to one week late, maximum mark of 50%.  Over one week late, 0%.  Only the Extenuating Circumstances Panel may approve a change to submission dates.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2093" w:type="dxa"/>
            <w:shd w:val="clear" w:color="auto" w:fill="auto"/>
          </w:tcPr>
          <w:p>
            <w:pPr>
              <w:spacing w:before="120" w:after="120" w:line="240" w:lineRule="auto"/>
              <w:rPr>
                <w:rFonts w:cs="Arial"/>
                <w:b/>
                <w:sz w:val="22"/>
                <w:szCs w:val="22"/>
              </w:rPr>
            </w:pPr>
            <w:r>
              <w:rPr>
                <w:rFonts w:cs="Arial"/>
                <w:b/>
                <w:sz w:val="22"/>
                <w:szCs w:val="22"/>
              </w:rPr>
              <w:t>Academic honesty / referencing:</w:t>
            </w:r>
          </w:p>
        </w:tc>
        <w:tc>
          <w:tcPr>
            <w:tcW w:w="7829" w:type="dxa"/>
            <w:gridSpan w:val="3"/>
            <w:shd w:val="clear" w:color="auto" w:fill="auto"/>
          </w:tcPr>
          <w:p>
            <w:pPr>
              <w:spacing w:before="120" w:after="120" w:line="240" w:lineRule="auto"/>
              <w:jc w:val="both"/>
              <w:rPr>
                <w:rFonts w:cs="Arial"/>
                <w:sz w:val="22"/>
                <w:szCs w:val="22"/>
              </w:rPr>
            </w:pPr>
            <w:r>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9922" w:type="dxa"/>
            <w:gridSpan w:val="4"/>
            <w:shd w:val="clear" w:color="auto" w:fill="auto"/>
          </w:tcPr>
          <w:p>
            <w:pPr>
              <w:spacing w:line="240" w:lineRule="auto"/>
              <w:rPr>
                <w:rFonts w:cs="Arial"/>
                <w:b/>
                <w:sz w:val="22"/>
                <w:szCs w:val="22"/>
              </w:rPr>
            </w:pPr>
            <w:r>
              <w:rPr>
                <w:rFonts w:cs="Arial"/>
                <w:b/>
                <w:sz w:val="22"/>
                <w:szCs w:val="22"/>
              </w:rPr>
              <w:t xml:space="preserve">Module Learning Outcomes </w:t>
            </w:r>
          </w:p>
          <w:p>
            <w:pPr>
              <w:spacing w:line="240" w:lineRule="auto"/>
              <w:rPr>
                <w:rFonts w:cs="Arial"/>
                <w:sz w:val="22"/>
                <w:szCs w:val="22"/>
              </w:rPr>
            </w:pPr>
            <w:r>
              <w:rPr>
                <w:rFonts w:cs="Arial"/>
                <w:b/>
                <w:sz w:val="22"/>
                <w:szCs w:val="22"/>
              </w:rPr>
              <w:t>(from module syllabus)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9922" w:type="dxa"/>
            <w:gridSpan w:val="4"/>
            <w:shd w:val="clear" w:color="auto" w:fill="auto"/>
          </w:tcPr>
          <w:p>
            <w:pPr>
              <w:numPr>
                <w:ilvl w:val="0"/>
                <w:numId w:val="2"/>
              </w:numPr>
              <w:spacing w:line="276" w:lineRule="auto"/>
              <w:jc w:val="both"/>
              <w:rPr>
                <w:rFonts w:cs="Arial"/>
                <w:sz w:val="22"/>
                <w:szCs w:val="22"/>
              </w:rPr>
            </w:pPr>
            <w:r>
              <w:rPr>
                <w:rFonts w:cs="Arial"/>
                <w:sz w:val="22"/>
                <w:szCs w:val="22"/>
              </w:rPr>
              <w:t>Critically review and appraise current HRM research and advanced scholarship.</w:t>
            </w:r>
          </w:p>
          <w:p>
            <w:pPr>
              <w:numPr>
                <w:ilvl w:val="0"/>
                <w:numId w:val="2"/>
              </w:numPr>
              <w:spacing w:line="276" w:lineRule="auto"/>
              <w:jc w:val="both"/>
              <w:rPr>
                <w:rFonts w:cs="Arial"/>
                <w:sz w:val="22"/>
                <w:szCs w:val="22"/>
              </w:rPr>
            </w:pPr>
            <w:r>
              <w:rPr>
                <w:rFonts w:cs="Arial"/>
                <w:sz w:val="22"/>
                <w:szCs w:val="22"/>
              </w:rPr>
              <w:t>Critically evaluate business environments and analyse how resourcing an organisation is affected and informed by internal and external factors that in turn serve to influence the policies, procedures and processes adopted by the organisation.</w:t>
            </w:r>
          </w:p>
          <w:p>
            <w:pPr>
              <w:numPr>
                <w:ilvl w:val="0"/>
                <w:numId w:val="2"/>
              </w:numPr>
              <w:spacing w:line="276" w:lineRule="auto"/>
              <w:jc w:val="both"/>
              <w:rPr>
                <w:rFonts w:cs="Arial"/>
                <w:sz w:val="22"/>
                <w:szCs w:val="22"/>
              </w:rPr>
            </w:pPr>
            <w:r>
              <w:rPr>
                <w:rFonts w:cs="Arial"/>
                <w:sz w:val="22"/>
                <w:szCs w:val="22"/>
              </w:rPr>
              <w:t>Demonstrate a systematic, extensive and comparative knowledge and understanding of a number of advanced and emerging issues in HRM and IHRM within a variety of organisations and how these can influence fulfilment of the strategic aims of the organisation and affect competitive edge.</w:t>
            </w:r>
          </w:p>
          <w:p>
            <w:pPr>
              <w:pStyle w:val="28"/>
              <w:spacing w:line="240" w:lineRule="auto"/>
              <w:ind w:left="0"/>
              <w:rPr>
                <w:rFonts w:cs="Arial"/>
                <w:sz w:val="22"/>
                <w:szCs w:val="22"/>
              </w:rPr>
            </w:pPr>
          </w:p>
        </w:tc>
      </w:tr>
    </w:tbl>
    <w:p>
      <w:pPr>
        <w:spacing w:line="276" w:lineRule="auto"/>
        <w:rPr>
          <w:rFonts w:cs="Arial"/>
          <w:b/>
          <w:sz w:val="22"/>
          <w:szCs w:val="22"/>
        </w:rPr>
      </w:pPr>
    </w:p>
    <w:p>
      <w:pPr>
        <w:spacing w:line="276" w:lineRule="auto"/>
        <w:rPr>
          <w:rFonts w:cs="Arial"/>
          <w:b/>
          <w:sz w:val="22"/>
          <w:szCs w:val="22"/>
        </w:rPr>
      </w:pPr>
    </w:p>
    <w:p>
      <w:pPr>
        <w:spacing w:line="276" w:lineRule="auto"/>
        <w:rPr>
          <w:rFonts w:cs="Arial"/>
          <w:b/>
          <w:sz w:val="22"/>
          <w:szCs w:val="22"/>
        </w:rPr>
      </w:pPr>
    </w:p>
    <w:p>
      <w:pPr>
        <w:spacing w:line="276" w:lineRule="auto"/>
        <w:rPr>
          <w:rFonts w:cs="Arial"/>
          <w:b/>
          <w:sz w:val="22"/>
          <w:szCs w:val="22"/>
        </w:rPr>
      </w:pPr>
    </w:p>
    <w:p>
      <w:pPr>
        <w:spacing w:line="276" w:lineRule="auto"/>
        <w:rPr>
          <w:rFonts w:cs="Arial"/>
          <w:b/>
          <w:sz w:val="22"/>
          <w:szCs w:val="22"/>
        </w:rPr>
      </w:pPr>
      <w:r>
        <w:rPr>
          <w:rFonts w:cs="Arial"/>
          <w:b/>
          <w:sz w:val="22"/>
          <w:szCs w:val="22"/>
        </w:rPr>
        <w:t>Link to your video on Microsoft Stream:</w:t>
      </w:r>
      <w:r>
        <w:rPr>
          <w:rFonts w:cs="Arial"/>
          <w:b/>
          <w:sz w:val="22"/>
          <w:szCs w:val="22"/>
        </w:rPr>
        <w:br w:type="textWrapping"/>
      </w:r>
      <w:r>
        <w:rPr>
          <w:rFonts w:cs="Arial"/>
          <w:b/>
          <w:sz w:val="22"/>
          <w:szCs w:val="22"/>
        </w:rPr>
        <w:br w:type="textWrapping"/>
      </w:r>
      <w:r>
        <w:rPr>
          <w:rFonts w:hint="eastAsia" w:cs="Arial"/>
          <w:b/>
          <w:sz w:val="22"/>
          <w:szCs w:val="22"/>
        </w:rPr>
        <w:fldChar w:fldCharType="begin"/>
      </w:r>
      <w:r>
        <w:rPr>
          <w:rFonts w:hint="eastAsia" w:cs="Arial"/>
          <w:b/>
          <w:sz w:val="22"/>
          <w:szCs w:val="22"/>
        </w:rPr>
        <w:instrText xml:space="preserve"> HYPERLINK "https://uowtsd-my.sharepoint.com/:v:/r/personal/2227825_student_uwtsd_ac_uk/Documents/7007.mp4?csf=1&amp;web=1&amp;e=Uli8zI" </w:instrText>
      </w:r>
      <w:r>
        <w:rPr>
          <w:rFonts w:hint="eastAsia" w:cs="Arial"/>
          <w:b/>
          <w:sz w:val="22"/>
          <w:szCs w:val="22"/>
        </w:rPr>
        <w:fldChar w:fldCharType="separate"/>
      </w:r>
      <w:r>
        <w:rPr>
          <w:rStyle w:val="21"/>
          <w:rFonts w:hint="eastAsia" w:cs="Arial"/>
          <w:b/>
          <w:sz w:val="22"/>
          <w:szCs w:val="22"/>
        </w:rPr>
        <w:t>https://uowtsd</w:t>
      </w:r>
      <w:r>
        <w:rPr>
          <w:rStyle w:val="21"/>
          <w:rFonts w:hint="eastAsia" w:cs="Arial"/>
          <w:b/>
          <w:sz w:val="22"/>
          <w:szCs w:val="22"/>
          <w:lang w:val="en-US" w:eastAsia="zh-CN"/>
        </w:rPr>
        <w:t>-</w:t>
      </w:r>
      <w:r>
        <w:rPr>
          <w:rStyle w:val="21"/>
          <w:rFonts w:hint="eastAsia" w:cs="Arial"/>
          <w:b/>
          <w:sz w:val="22"/>
          <w:szCs w:val="22"/>
        </w:rPr>
        <w:t>my.share</w:t>
      </w:r>
      <w:bookmarkStart w:id="4" w:name="_GoBack"/>
      <w:bookmarkEnd w:id="4"/>
      <w:r>
        <w:rPr>
          <w:rStyle w:val="21"/>
          <w:rFonts w:hint="eastAsia" w:cs="Arial"/>
          <w:b/>
          <w:sz w:val="22"/>
          <w:szCs w:val="22"/>
        </w:rPr>
        <w:t>point.com/:v:/r/personal/2227825_student_uwtsd_ac_uk/Documents/7007.mp4?csf=1&amp;web=1&amp;e=Uli8zI</w:t>
      </w:r>
      <w:r>
        <w:rPr>
          <w:rFonts w:hint="eastAsia" w:cs="Arial"/>
          <w:b/>
          <w:sz w:val="22"/>
          <w:szCs w:val="22"/>
        </w:rPr>
        <w:fldChar w:fldCharType="end"/>
      </w:r>
    </w:p>
    <w:p>
      <w:pPr>
        <w:spacing w:line="276" w:lineRule="auto"/>
        <w:rPr>
          <w:rFonts w:cs="Arial"/>
          <w:b/>
          <w:sz w:val="22"/>
          <w:szCs w:val="22"/>
        </w:rPr>
      </w:pPr>
    </w:p>
    <w:p>
      <w:pPr>
        <w:spacing w:line="276" w:lineRule="auto"/>
        <w:rPr>
          <w:rFonts w:cs="Arial"/>
          <w:b/>
          <w:sz w:val="22"/>
          <w:szCs w:val="22"/>
        </w:rPr>
      </w:pPr>
    </w:p>
    <w:p>
      <w:pPr>
        <w:spacing w:line="276" w:lineRule="auto"/>
        <w:rPr>
          <w:rFonts w:cs="Arial"/>
          <w:b/>
          <w:sz w:val="22"/>
          <w:szCs w:val="22"/>
        </w:rPr>
      </w:pPr>
    </w:p>
    <w:p>
      <w:pPr>
        <w:spacing w:line="276" w:lineRule="auto"/>
        <w:rPr>
          <w:rFonts w:cs="Arial"/>
          <w:b/>
          <w:sz w:val="22"/>
          <w:szCs w:val="22"/>
        </w:rPr>
      </w:pPr>
    </w:p>
    <w:p>
      <w:pPr>
        <w:spacing w:line="276" w:lineRule="auto"/>
        <w:rPr>
          <w:rFonts w:cs="Arial"/>
          <w:b/>
          <w:sz w:val="22"/>
          <w:szCs w:val="22"/>
        </w:rPr>
      </w:pPr>
    </w:p>
    <w:p>
      <w:pPr>
        <w:spacing w:line="276" w:lineRule="auto"/>
        <w:rPr>
          <w:rFonts w:cs="Arial"/>
          <w:b/>
          <w:sz w:val="22"/>
          <w:szCs w:val="22"/>
        </w:rPr>
      </w:pPr>
    </w:p>
    <w:p>
      <w:pPr>
        <w:spacing w:line="276" w:lineRule="auto"/>
        <w:rPr>
          <w:rFonts w:cs="Arial"/>
          <w:b/>
          <w:sz w:val="22"/>
          <w:szCs w:val="22"/>
        </w:rPr>
      </w:pPr>
    </w:p>
    <w:p>
      <w:pPr>
        <w:spacing w:line="276" w:lineRule="auto"/>
        <w:rPr>
          <w:rFonts w:cs="Arial"/>
          <w:b/>
          <w:sz w:val="22"/>
          <w:szCs w:val="22"/>
        </w:rPr>
      </w:pPr>
    </w:p>
    <w:p>
      <w:pPr>
        <w:spacing w:line="276" w:lineRule="auto"/>
        <w:rPr>
          <w:rFonts w:cs="Arial"/>
          <w:b/>
          <w:sz w:val="22"/>
          <w:szCs w:val="22"/>
        </w:rPr>
      </w:pPr>
    </w:p>
    <w:p>
      <w:pPr>
        <w:spacing w:line="276" w:lineRule="auto"/>
        <w:rPr>
          <w:rFonts w:cs="Arial"/>
          <w:b/>
          <w:sz w:val="22"/>
          <w:szCs w:val="22"/>
        </w:rPr>
      </w:pPr>
    </w:p>
    <w:p>
      <w:pPr>
        <w:spacing w:line="276" w:lineRule="auto"/>
        <w:rPr>
          <w:rFonts w:cs="Arial"/>
          <w:b/>
          <w:sz w:val="22"/>
          <w:szCs w:val="22"/>
        </w:rPr>
      </w:pPr>
    </w:p>
    <w:p>
      <w:pPr>
        <w:spacing w:line="276" w:lineRule="auto"/>
        <w:rPr>
          <w:rFonts w:cs="Arial"/>
          <w:b/>
          <w:sz w:val="22"/>
          <w:szCs w:val="22"/>
        </w:rPr>
      </w:pPr>
      <w:r>
        <w:rPr>
          <w:rFonts w:cs="Arial"/>
          <w:b/>
          <w:sz w:val="22"/>
          <w:szCs w:val="22"/>
        </w:rPr>
        <w:t>Reference list:</w:t>
      </w:r>
    </w:p>
    <w:p>
      <w:pPr>
        <w:spacing w:line="276" w:lineRule="auto"/>
        <w:rPr>
          <w:rFonts w:cs="Arial"/>
          <w:b/>
          <w:sz w:val="22"/>
          <w:szCs w:val="22"/>
        </w:rPr>
      </w:pPr>
    </w:p>
    <w:p>
      <w:pPr>
        <w:spacing w:line="276" w:lineRule="auto"/>
        <w:rPr>
          <w:rFonts w:cs="Arial"/>
          <w:bCs/>
          <w:sz w:val="22"/>
          <w:szCs w:val="22"/>
          <w:lang w:val="en-US"/>
        </w:rPr>
      </w:pPr>
      <w:r>
        <w:rPr>
          <w:rFonts w:cs="Arial"/>
          <w:bCs/>
          <w:sz w:val="22"/>
          <w:szCs w:val="22"/>
          <w:lang w:val="en-US"/>
        </w:rPr>
        <w:t>Gomulia, C. (2021) Accountability – Punishment or Performance Booster? – MzNInternational [online] available from &lt;https://mzninternational.com/2021/09/15/accountability-punishment-or-performance-booster/&gt;</w:t>
      </w:r>
    </w:p>
    <w:p>
      <w:pPr>
        <w:spacing w:line="276" w:lineRule="auto"/>
        <w:rPr>
          <w:rFonts w:cs="Arial"/>
          <w:bCs/>
          <w:sz w:val="22"/>
          <w:szCs w:val="22"/>
          <w:lang w:val="en-US"/>
        </w:rPr>
      </w:pPr>
    </w:p>
    <w:p>
      <w:pPr>
        <w:spacing w:line="276" w:lineRule="auto"/>
        <w:rPr>
          <w:rFonts w:cs="Arial"/>
          <w:bCs/>
          <w:sz w:val="22"/>
          <w:szCs w:val="22"/>
          <w:lang w:val="en-US"/>
        </w:rPr>
      </w:pPr>
      <w:r>
        <w:rPr>
          <w:rFonts w:cs="Arial"/>
          <w:bCs/>
          <w:sz w:val="22"/>
          <w:szCs w:val="22"/>
          <w:lang w:val="en-US"/>
        </w:rPr>
        <w:t>Wilkinson, A., Marchington, M., Goodman, J., and Ackers, P. (1992) “TOTAL QUALITY MANAGEMENT AND EMPLOYEE INVOLVEMENT”. Human Resource Management Journal [online] 2 (4), 1–20. available from &lt;http://dx.doi.org/10.1111/j.1748-8583.1992.tb00263.x&gt;</w:t>
      </w:r>
    </w:p>
    <w:p>
      <w:pPr>
        <w:spacing w:line="276" w:lineRule="auto"/>
        <w:rPr>
          <w:rFonts w:cs="Arial"/>
          <w:bCs/>
          <w:sz w:val="22"/>
          <w:szCs w:val="22"/>
          <w:lang w:val="en-US"/>
        </w:rPr>
      </w:pPr>
    </w:p>
    <w:p>
      <w:pPr>
        <w:spacing w:line="276" w:lineRule="auto"/>
        <w:rPr>
          <w:rFonts w:cs="Arial"/>
          <w:bCs/>
          <w:sz w:val="22"/>
          <w:szCs w:val="22"/>
          <w:lang w:val="en-US"/>
        </w:rPr>
      </w:pPr>
      <w:r>
        <w:rPr>
          <w:rFonts w:cs="Arial"/>
          <w:bCs/>
          <w:sz w:val="22"/>
          <w:szCs w:val="22"/>
          <w:lang w:val="en-US"/>
        </w:rPr>
        <w:t>Brun, A., Karaosman, H., and Barresi, T. (2020) “Supply Chain Collaboration for Transparency”. Sustainability [online] 12 (11), 4429. available from &lt;http://dx.doi.org/10.3390/su12114429&gt;</w:t>
      </w:r>
    </w:p>
    <w:p>
      <w:pPr>
        <w:spacing w:line="276" w:lineRule="auto"/>
        <w:rPr>
          <w:rFonts w:cs="Arial"/>
          <w:bCs/>
          <w:sz w:val="22"/>
          <w:szCs w:val="22"/>
          <w:lang w:val="en-US"/>
        </w:rPr>
      </w:pPr>
      <w:r>
        <w:rPr>
          <w:rFonts w:cs="Arial"/>
          <w:bCs/>
          <w:sz w:val="22"/>
          <w:szCs w:val="22"/>
          <w:lang w:val="en-US"/>
        </w:rPr>
        <w:t>de Gama, N., McKenna, S., and Peticca-Harris, A. (2012) “Ethics and HRM: Theoretical and Conceptual Analysis”. Journal of Business Ethics [online] 111 (1), 97–108. available from &lt;http://dx.doi.org/10.1007/s10551-012-1479-z&gt;</w:t>
      </w:r>
    </w:p>
    <w:p>
      <w:pPr>
        <w:spacing w:line="276" w:lineRule="auto"/>
        <w:rPr>
          <w:rFonts w:cs="Arial"/>
          <w:bCs/>
          <w:sz w:val="22"/>
          <w:szCs w:val="22"/>
          <w:lang w:val="en-US"/>
        </w:rPr>
      </w:pPr>
    </w:p>
    <w:p>
      <w:pPr>
        <w:spacing w:line="276" w:lineRule="auto"/>
        <w:rPr>
          <w:rFonts w:cs="Arial"/>
          <w:bCs/>
          <w:sz w:val="22"/>
          <w:szCs w:val="22"/>
          <w:lang w:val="en-US"/>
        </w:rPr>
      </w:pPr>
      <w:r>
        <w:rPr>
          <w:rFonts w:cs="Arial"/>
          <w:bCs/>
          <w:sz w:val="22"/>
          <w:szCs w:val="22"/>
          <w:lang w:val="en-US"/>
        </w:rPr>
        <w:t>Verge, T. (2020) “Too Few, Too Little: Parliaments’ Response to Sexism and Sexual Harassment”. Parliamentary Affairs [online] 75 (1), 94–112. available from &lt;http://dx.doi.org/10.1093/pa/gsaa052&gt;</w:t>
      </w:r>
    </w:p>
    <w:p>
      <w:pPr>
        <w:spacing w:line="276" w:lineRule="auto"/>
        <w:rPr>
          <w:rFonts w:cs="Arial"/>
          <w:bCs/>
          <w:sz w:val="22"/>
          <w:szCs w:val="22"/>
          <w:lang w:val="en-US"/>
        </w:rPr>
      </w:pPr>
      <w:r>
        <w:rPr>
          <w:rFonts w:cs="Arial"/>
          <w:bCs/>
          <w:sz w:val="22"/>
          <w:szCs w:val="22"/>
          <w:lang w:val="en-US"/>
        </w:rPr>
        <w:t>Onik, M.H., Miraz, M.H., and Chul-Soo Kim (2018) “A Recruitment and Human Resource Management Technique Using Blockchain Technology for Industry 4.0”. Smart Cities Symposium 2018 [online] available from &lt;http://dx.doi.org/10.1049/cp.2018.1371&gt;</w:t>
      </w:r>
    </w:p>
    <w:p>
      <w:pPr>
        <w:spacing w:line="276" w:lineRule="auto"/>
        <w:rPr>
          <w:rFonts w:cs="Arial"/>
          <w:bCs/>
          <w:sz w:val="22"/>
          <w:szCs w:val="22"/>
          <w:lang w:val="en-US"/>
        </w:rPr>
      </w:pPr>
    </w:p>
    <w:p>
      <w:pPr>
        <w:spacing w:line="276" w:lineRule="auto"/>
        <w:rPr>
          <w:rFonts w:cs="Arial"/>
          <w:bCs/>
          <w:sz w:val="22"/>
          <w:szCs w:val="22"/>
          <w:lang w:val="en-US"/>
        </w:rPr>
      </w:pPr>
      <w:r>
        <w:rPr>
          <w:rFonts w:cs="Arial"/>
          <w:bCs/>
          <w:sz w:val="22"/>
          <w:szCs w:val="22"/>
          <w:lang w:val="en-US"/>
        </w:rPr>
        <w:t>Coleman, C.H. and Bouësseau, M.-C. (2008) “How Do We Know That Research Ethics Committees Are Really Working? The Neglected Role of Outcomes Assessment in Research Ethics Review”. BMC Medical Ethics [online] 9 (1). available from &lt;http://dx.doi.org/10.1186/1472-6939-9-6&gt;</w:t>
      </w:r>
    </w:p>
    <w:p>
      <w:pPr>
        <w:spacing w:line="276" w:lineRule="auto"/>
        <w:rPr>
          <w:rFonts w:cs="Arial"/>
          <w:bCs/>
          <w:sz w:val="22"/>
          <w:szCs w:val="22"/>
          <w:lang w:val="en-US"/>
        </w:rPr>
      </w:pPr>
    </w:p>
    <w:p>
      <w:pPr>
        <w:spacing w:line="276" w:lineRule="auto"/>
        <w:rPr>
          <w:rFonts w:cs="Arial"/>
          <w:bCs/>
          <w:sz w:val="22"/>
          <w:szCs w:val="22"/>
          <w:lang w:val="en-US"/>
        </w:rPr>
      </w:pPr>
      <w:r>
        <w:rPr>
          <w:rFonts w:cs="Arial"/>
          <w:bCs/>
          <w:sz w:val="22"/>
          <w:szCs w:val="22"/>
          <w:lang w:val="en-US"/>
        </w:rPr>
        <w:t>Bear, S., Rahman, N., and Post, C. (2010) “The Impact of Board Diversity and Gender Composition on Corporate Social Responsibility and Firm Reputation”. Journal of Business Ethics [online] 97 (2), 207–221. available from &lt;http://dx.doi.org/10.1007/s10551-010-0505-2&gt;</w:t>
      </w:r>
    </w:p>
    <w:p>
      <w:pPr>
        <w:spacing w:line="276" w:lineRule="auto"/>
        <w:rPr>
          <w:rFonts w:cs="Arial"/>
          <w:bCs/>
          <w:sz w:val="22"/>
          <w:szCs w:val="22"/>
          <w:lang w:val="en-US"/>
        </w:rPr>
      </w:pPr>
    </w:p>
    <w:p>
      <w:pPr>
        <w:spacing w:line="276" w:lineRule="auto"/>
        <w:rPr>
          <w:rFonts w:cs="Arial"/>
          <w:bCs/>
          <w:sz w:val="22"/>
          <w:szCs w:val="22"/>
          <w:lang w:val="en-US"/>
        </w:rPr>
      </w:pPr>
      <w:r>
        <w:rPr>
          <w:rFonts w:cs="Arial"/>
          <w:bCs/>
          <w:sz w:val="22"/>
          <w:szCs w:val="22"/>
          <w:lang w:val="en-US"/>
        </w:rPr>
        <w:t>Geng, X. (2022) “Research on Gender Discrimination in Chinese Workplace Based on Social Gender Theory”. SHS Web of Conferences [online] 148, 03012. available from &lt;http://dx.doi.org/10.1051/shsconf/202214803012&gt;</w:t>
      </w:r>
    </w:p>
    <w:p>
      <w:pPr>
        <w:spacing w:line="276" w:lineRule="auto"/>
        <w:rPr>
          <w:rFonts w:cs="Arial"/>
          <w:bCs/>
          <w:sz w:val="22"/>
          <w:szCs w:val="22"/>
          <w:lang w:val="en-US"/>
        </w:rPr>
      </w:pPr>
    </w:p>
    <w:p>
      <w:pPr>
        <w:spacing w:line="276" w:lineRule="auto"/>
        <w:rPr>
          <w:rFonts w:cs="Arial"/>
          <w:bCs/>
          <w:sz w:val="22"/>
          <w:szCs w:val="22"/>
          <w:lang w:val="en-US"/>
        </w:rPr>
      </w:pPr>
      <w:r>
        <w:rPr>
          <w:rFonts w:cs="Arial"/>
          <w:bCs/>
          <w:sz w:val="22"/>
          <w:szCs w:val="22"/>
          <w:lang w:val="en-US"/>
        </w:rPr>
        <w:t>Triana, M. del C., Gu, P., Chapa, O., Richard, O., and Colella, A. (2021) “Sixty Years of Discrimination and Diversity Research in Human Resource Management: A Review with Suggestions for Future Research Directions”. Human Resource Management [online] 60 (1), 145–204. available from &lt;http://dx.doi.org/10.1002/hrm.22052&gt;</w:t>
      </w:r>
    </w:p>
    <w:p>
      <w:pPr>
        <w:spacing w:line="276" w:lineRule="auto"/>
        <w:rPr>
          <w:rFonts w:cs="Arial"/>
          <w:bCs/>
          <w:sz w:val="22"/>
          <w:szCs w:val="22"/>
          <w:lang w:val="en-US"/>
        </w:rPr>
      </w:pPr>
    </w:p>
    <w:p>
      <w:pPr>
        <w:spacing w:line="276" w:lineRule="auto"/>
        <w:rPr>
          <w:rFonts w:cs="Arial"/>
          <w:bCs/>
          <w:sz w:val="22"/>
          <w:szCs w:val="22"/>
          <w:lang w:val="en-US"/>
        </w:rPr>
      </w:pPr>
      <w:r>
        <w:rPr>
          <w:rFonts w:cs="Arial"/>
          <w:bCs/>
          <w:sz w:val="22"/>
          <w:szCs w:val="22"/>
          <w:lang w:val="en-US"/>
        </w:rPr>
        <w:t>Cohen, S.G. and Bailey, D.E. (1997) “What Makes Teams Work: Group Effectiveness Research from the Shop Floor to the Executive Suite”. Journal of Management [online] 23 (3), 239–290. available from &lt;http://dx.doi.org/10.1177/014920639702300303&gt;</w:t>
      </w:r>
    </w:p>
    <w:p>
      <w:pPr>
        <w:spacing w:line="276" w:lineRule="auto"/>
        <w:rPr>
          <w:rFonts w:cs="Arial"/>
          <w:bCs/>
          <w:sz w:val="22"/>
          <w:szCs w:val="22"/>
          <w:lang w:val="en-US"/>
        </w:rPr>
      </w:pPr>
    </w:p>
    <w:p>
      <w:pPr>
        <w:spacing w:line="276" w:lineRule="auto"/>
        <w:rPr>
          <w:rFonts w:cs="Arial"/>
          <w:bCs/>
          <w:sz w:val="22"/>
          <w:szCs w:val="22"/>
          <w:lang w:val="en-US"/>
        </w:rPr>
      </w:pPr>
      <w:r>
        <w:rPr>
          <w:rFonts w:cs="Arial"/>
          <w:bCs/>
          <w:sz w:val="22"/>
          <w:szCs w:val="22"/>
          <w:lang w:val="en-US"/>
        </w:rPr>
        <w:t>Puhakainen and Siponen (2010) “Improving Employees’ Compliance Through Information Systems Security Training: An Action Research Study”. MIS Quarterly [online] 34 (4), 757. available from &lt;http://dx.doi.org/10.2307/25750704&gt;</w:t>
      </w:r>
    </w:p>
    <w:p>
      <w:pPr>
        <w:spacing w:line="276" w:lineRule="auto"/>
        <w:rPr>
          <w:rFonts w:cs="Arial"/>
          <w:bCs/>
          <w:sz w:val="22"/>
          <w:szCs w:val="22"/>
          <w:lang w:val="en-US"/>
        </w:rPr>
      </w:pPr>
    </w:p>
    <w:p>
      <w:pPr>
        <w:spacing w:line="276" w:lineRule="auto"/>
        <w:rPr>
          <w:rFonts w:cs="Arial"/>
          <w:bCs/>
          <w:sz w:val="22"/>
          <w:szCs w:val="22"/>
          <w:lang w:val="en-US"/>
        </w:rPr>
      </w:pPr>
      <w:r>
        <w:rPr>
          <w:rFonts w:cs="Arial"/>
          <w:bCs/>
          <w:sz w:val="22"/>
          <w:szCs w:val="22"/>
          <w:lang w:val="en-US"/>
        </w:rPr>
        <w:t>Mayer, D.M., Kuenzi, M., and Greenbaum, R.L. (2010) “Examining the Link Between Ethical Leadership and Employee Misconduct: The Mediating Role of Ethical Climate”. Journal of Business Ethics [online] 95 (S1), 7–16. available from &lt;http://dx.doi.org/10.1007/s10551-011-0794-0&gt;</w:t>
      </w:r>
    </w:p>
    <w:p>
      <w:pPr>
        <w:spacing w:line="276" w:lineRule="auto"/>
        <w:rPr>
          <w:rFonts w:cs="Arial"/>
          <w:bCs/>
          <w:sz w:val="22"/>
          <w:szCs w:val="22"/>
          <w:lang w:val="en-US"/>
        </w:rPr>
      </w:pPr>
    </w:p>
    <w:p>
      <w:pPr>
        <w:spacing w:line="276" w:lineRule="auto"/>
        <w:rPr>
          <w:rFonts w:cs="Arial"/>
          <w:bCs/>
          <w:sz w:val="22"/>
          <w:szCs w:val="22"/>
          <w:lang w:val="en-US"/>
        </w:rPr>
      </w:pPr>
      <w:r>
        <w:rPr>
          <w:rFonts w:cs="Arial"/>
          <w:bCs/>
          <w:sz w:val="22"/>
          <w:szCs w:val="22"/>
          <w:lang w:val="en-US"/>
        </w:rPr>
        <w:t>Shen, J., Chanda, A., D’Netto, B., and Monga, M. (2009) “Managing Diversity through Human Resource Management: An International Perspective and Conceptual Framework”. The International Journal of Human Resource Management [online] 20 (2), 235–251. available from &lt;http://dx.doi.org/10.1080/09585190802670516&gt;</w:t>
      </w:r>
    </w:p>
    <w:p>
      <w:pPr>
        <w:spacing w:line="276" w:lineRule="auto"/>
        <w:rPr>
          <w:rFonts w:cs="Arial"/>
          <w:bCs/>
          <w:sz w:val="22"/>
          <w:szCs w:val="22"/>
          <w:lang w:val="en-US"/>
        </w:rPr>
      </w:pPr>
    </w:p>
    <w:p>
      <w:pPr>
        <w:spacing w:line="276" w:lineRule="auto"/>
        <w:rPr>
          <w:rFonts w:cs="Arial"/>
          <w:bCs/>
          <w:sz w:val="22"/>
          <w:szCs w:val="22"/>
          <w:lang w:val="en-US"/>
        </w:rPr>
      </w:pPr>
      <w:r>
        <w:rPr>
          <w:rFonts w:cs="Arial"/>
          <w:bCs/>
          <w:sz w:val="22"/>
          <w:szCs w:val="22"/>
          <w:lang w:val="en-US"/>
        </w:rPr>
        <w:t>Mary (2022) What Is Change Management? - Definition from TechTarget.Com [online] available from &lt;https://www.techtarget.com/searchcio/definition/change-management&gt; [28 April 2023]</w:t>
      </w:r>
    </w:p>
    <w:p>
      <w:pPr>
        <w:spacing w:line="276" w:lineRule="auto"/>
        <w:rPr>
          <w:rFonts w:cs="Arial"/>
          <w:bCs/>
          <w:sz w:val="22"/>
          <w:szCs w:val="22"/>
          <w:lang w:val="en-US"/>
        </w:rPr>
      </w:pPr>
      <w:r>
        <w:rPr>
          <w:rFonts w:cs="Arial"/>
          <w:bCs/>
          <w:sz w:val="22"/>
          <w:szCs w:val="22"/>
          <w:lang w:val="en-US"/>
        </w:rPr>
        <w:t>Morais Maceira, H. (2017) “Economic Benefits of Gender Equality in the EU”. Intereconomics [online] 52 (3), 178–183. available from &lt;http://dx.doi.org/10.1007/s10272-017-0669-4&gt;</w:t>
      </w:r>
    </w:p>
    <w:p>
      <w:pPr>
        <w:spacing w:line="276" w:lineRule="auto"/>
        <w:rPr>
          <w:rFonts w:cs="Arial"/>
          <w:bCs/>
          <w:sz w:val="22"/>
          <w:szCs w:val="22"/>
          <w:lang w:val="en-US"/>
        </w:rPr>
      </w:pPr>
    </w:p>
    <w:p>
      <w:pPr>
        <w:spacing w:line="276" w:lineRule="auto"/>
        <w:rPr>
          <w:rFonts w:cs="Arial"/>
          <w:bCs/>
          <w:sz w:val="22"/>
          <w:szCs w:val="22"/>
          <w:lang w:val="en-US"/>
        </w:rPr>
      </w:pPr>
      <w:r>
        <w:rPr>
          <w:rFonts w:cs="Arial"/>
          <w:bCs/>
          <w:sz w:val="22"/>
          <w:szCs w:val="22"/>
          <w:lang w:val="en-US"/>
        </w:rPr>
        <w:t>Pološki Vokić, N., Obadić, A., and Sinčić Ćorić, D. (2019) “Gender Equality Initiatives and Their Benefits”. Gender Equality in the Workplace [online] 75–104. available from &lt;http://dx.doi.org/10.1007/978-3-030-18861-0_5&gt;</w:t>
      </w:r>
    </w:p>
    <w:p>
      <w:pPr>
        <w:spacing w:line="276" w:lineRule="auto"/>
        <w:rPr>
          <w:rFonts w:cs="Arial"/>
          <w:bCs/>
          <w:sz w:val="22"/>
          <w:szCs w:val="22"/>
          <w:lang w:val="en-US"/>
        </w:rPr>
      </w:pPr>
    </w:p>
    <w:sectPr>
      <w:footerReference r:id="rId5" w:type="default"/>
      <w:type w:val="continuous"/>
      <w:pgSz w:w="11894" w:h="16834"/>
      <w:pgMar w:top="720" w:right="720" w:bottom="720" w:left="720" w:header="706" w:footer="454" w:gutter="0"/>
      <w:paperSrc w:first="1" w:other="1"/>
      <w:cols w:space="720" w:num="1"/>
      <w:docGrid w:linePitch="27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Cambria">
    <w:panose1 w:val="02040503050406030204"/>
    <w:charset w:val="00"/>
    <w:family w:val="roman"/>
    <w:pitch w:val="default"/>
    <w:sig w:usb0="E00006FF" w:usb1="420024FF" w:usb2="02000000" w:usb3="00000000" w:csb0="2000019F" w:csb1="00000000"/>
  </w:font>
  <w:font w:name="CG Times (WN)">
    <w:altName w:val="Cambria"/>
    <w:panose1 w:val="00000000000000000000"/>
    <w:charset w:val="00"/>
    <w:family w:val="roman"/>
    <w:pitch w:val="default"/>
    <w:sig w:usb0="00000000" w:usb1="00000000" w:usb2="00000000" w:usb3="00000000" w:csb0="00000001" w:csb1="00000000"/>
  </w:font>
  <w:font w:name="Tahoma">
    <w:panose1 w:val="020B0604030504040204"/>
    <w:charset w:val="00"/>
    <w:family w:val="swiss"/>
    <w:pitch w:val="default"/>
    <w:sig w:usb0="E1002EFF" w:usb1="C000605B" w:usb2="00000029" w:usb3="00000000" w:csb0="200101FF" w:csb1="20280000"/>
  </w:font>
  <w:font w:name="Courier New">
    <w:panose1 w:val="02070309020205020404"/>
    <w:charset w:val="00"/>
    <w:family w:val="modern"/>
    <w:pitch w:val="default"/>
    <w:sig w:usb0="E0002EFF" w:usb1="C0007843" w:usb2="00000009" w:usb3="00000000" w:csb0="400001FF" w:csb1="FFFF0000"/>
  </w:font>
  <w:font w:name="Verdana">
    <w:panose1 w:val="020B0604030504040204"/>
    <w:charset w:val="00"/>
    <w:family w:val="swiss"/>
    <w:pitch w:val="default"/>
    <w:sig w:usb0="A00006FF" w:usb1="4000205B" w:usb2="00000010" w:usb3="00000000" w:csb0="2000019F" w:csb1="00000000"/>
  </w:font>
  <w:font w:name="Arial Unicode MS">
    <w:altName w:val="Arial"/>
    <w:panose1 w:val="020B0604020202020204"/>
    <w:charset w:val="00"/>
    <w:family w:val="roman"/>
    <w:pitch w:val="default"/>
    <w:sig w:usb0="00000000" w:usb1="00000000" w:usb2="00000000" w:usb3="00000000" w:csb0="00000001" w:csb1="00000000"/>
  </w:font>
  <w:font w:name="Calibri Light">
    <w:panose1 w:val="020F03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1"/>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11A72B5"/>
    <w:multiLevelType w:val="multilevel"/>
    <w:tmpl w:val="311A72B5"/>
    <w:lvl w:ilvl="0" w:tentative="0">
      <w:start w:val="1"/>
      <w:numFmt w:val="bullet"/>
      <w:pStyle w:val="26"/>
      <w:lvlText w:val=""/>
      <w:lvlJc w:val="left"/>
      <w:pPr>
        <w:tabs>
          <w:tab w:val="left" w:pos="288"/>
        </w:tabs>
        <w:ind w:left="432" w:hanging="288"/>
      </w:pPr>
      <w:rPr>
        <w:rFonts w:hint="default" w:ascii="Symbol" w:hAnsi="Symbol"/>
        <w:sz w:val="16"/>
        <w:szCs w:val="16"/>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rPr>
    </w:lvl>
    <w:lvl w:ilvl="3" w:tentative="0">
      <w:start w:val="1"/>
      <w:numFmt w:val="bullet"/>
      <w:lvlText w:val=""/>
      <w:lvlJc w:val="left"/>
      <w:pPr>
        <w:tabs>
          <w:tab w:val="left" w:pos="2880"/>
        </w:tabs>
        <w:ind w:left="2880" w:hanging="360"/>
      </w:pPr>
      <w:rPr>
        <w:rFonts w:hint="default" w:ascii="Symbol" w:hAnsi="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rPr>
    </w:lvl>
    <w:lvl w:ilvl="6" w:tentative="0">
      <w:start w:val="1"/>
      <w:numFmt w:val="bullet"/>
      <w:lvlText w:val=""/>
      <w:lvlJc w:val="left"/>
      <w:pPr>
        <w:tabs>
          <w:tab w:val="left" w:pos="5040"/>
        </w:tabs>
        <w:ind w:left="5040" w:hanging="360"/>
      </w:pPr>
      <w:rPr>
        <w:rFonts w:hint="default" w:ascii="Symbol" w:hAnsi="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rPr>
    </w:lvl>
  </w:abstractNum>
  <w:abstractNum w:abstractNumId="1">
    <w:nsid w:val="39704D7C"/>
    <w:multiLevelType w:val="multilevel"/>
    <w:tmpl w:val="39704D7C"/>
    <w:lvl w:ilvl="0" w:tentative="0">
      <w:start w:val="1"/>
      <w:numFmt w:val="bullet"/>
      <w:lvlText w:val=""/>
      <w:lvlJc w:val="left"/>
      <w:pPr>
        <w:ind w:left="360" w:hanging="360"/>
      </w:pPr>
      <w:rPr>
        <w:rFonts w:hint="default" w:ascii="Symbol" w:hAnsi="Symbol"/>
        <w:color w:val="auto"/>
      </w:r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1"/>
  <w:bordersDoNotSurroundFooter w:val="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attachedTemplate r:id="rId1"/>
  <w:documentProtection w:enforcement="0"/>
  <w:defaultTabStop w:val="720"/>
  <w:drawingGridHorizontalSpacing w:val="100"/>
  <w:displayHorizontalDrawingGridEvery w:val="0"/>
  <w:displayVerticalDrawingGridEvery w:val="0"/>
  <w:doNotShadeFormData w:val="1"/>
  <w:noPunctuationKerning w:val="1"/>
  <w:characterSpacingControl w:val="doNotCompress"/>
  <w:footnotePr>
    <w:footnote w:id="0"/>
    <w:footnote w:id="1"/>
  </w:footnotePr>
  <w:endnotePr>
    <w:endnote w:id="0"/>
    <w:endnote w:id="1"/>
  </w:endnotePr>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WZiMDhhNTlhNjYxODQ0ODExOWQ2YWFjM2E3NDZhMTUifQ=="/>
  </w:docVars>
  <w:rsids>
    <w:rsidRoot w:val="00FB4521"/>
    <w:rsid w:val="000278C6"/>
    <w:rsid w:val="0002796E"/>
    <w:rsid w:val="00034D54"/>
    <w:rsid w:val="00041E01"/>
    <w:rsid w:val="00045CF7"/>
    <w:rsid w:val="00081D66"/>
    <w:rsid w:val="00082952"/>
    <w:rsid w:val="00083F67"/>
    <w:rsid w:val="000849BC"/>
    <w:rsid w:val="000971FC"/>
    <w:rsid w:val="0009732B"/>
    <w:rsid w:val="000A0F01"/>
    <w:rsid w:val="000A2A3A"/>
    <w:rsid w:val="000A492A"/>
    <w:rsid w:val="000B43DE"/>
    <w:rsid w:val="000C30A9"/>
    <w:rsid w:val="000D2621"/>
    <w:rsid w:val="000D26A4"/>
    <w:rsid w:val="000D7BA1"/>
    <w:rsid w:val="000E2CB6"/>
    <w:rsid w:val="000E413A"/>
    <w:rsid w:val="000E754C"/>
    <w:rsid w:val="000F29C4"/>
    <w:rsid w:val="000F4CAE"/>
    <w:rsid w:val="000F5AA3"/>
    <w:rsid w:val="00100396"/>
    <w:rsid w:val="00100B5C"/>
    <w:rsid w:val="001106E9"/>
    <w:rsid w:val="0011376A"/>
    <w:rsid w:val="00120405"/>
    <w:rsid w:val="00120518"/>
    <w:rsid w:val="00134F77"/>
    <w:rsid w:val="00151BBF"/>
    <w:rsid w:val="00154487"/>
    <w:rsid w:val="00156763"/>
    <w:rsid w:val="0016321A"/>
    <w:rsid w:val="001661D6"/>
    <w:rsid w:val="001665FC"/>
    <w:rsid w:val="0017433E"/>
    <w:rsid w:val="00176600"/>
    <w:rsid w:val="00177717"/>
    <w:rsid w:val="00180B53"/>
    <w:rsid w:val="00185F2E"/>
    <w:rsid w:val="001874DF"/>
    <w:rsid w:val="0019135E"/>
    <w:rsid w:val="001956B9"/>
    <w:rsid w:val="001A1AE7"/>
    <w:rsid w:val="001A6525"/>
    <w:rsid w:val="001A6E3C"/>
    <w:rsid w:val="001B3C2C"/>
    <w:rsid w:val="001B3F78"/>
    <w:rsid w:val="001B4101"/>
    <w:rsid w:val="001B5F45"/>
    <w:rsid w:val="001C16C8"/>
    <w:rsid w:val="001C3619"/>
    <w:rsid w:val="001D486F"/>
    <w:rsid w:val="001D57EC"/>
    <w:rsid w:val="001E059B"/>
    <w:rsid w:val="001E09F7"/>
    <w:rsid w:val="001E1050"/>
    <w:rsid w:val="001E1E1F"/>
    <w:rsid w:val="001E2007"/>
    <w:rsid w:val="001E57C1"/>
    <w:rsid w:val="001F07EF"/>
    <w:rsid w:val="001F6D7A"/>
    <w:rsid w:val="0020084A"/>
    <w:rsid w:val="00201D8F"/>
    <w:rsid w:val="0022186A"/>
    <w:rsid w:val="00235F71"/>
    <w:rsid w:val="00241C14"/>
    <w:rsid w:val="002444CA"/>
    <w:rsid w:val="00244F10"/>
    <w:rsid w:val="00245E81"/>
    <w:rsid w:val="0025577E"/>
    <w:rsid w:val="00260DE6"/>
    <w:rsid w:val="00261F13"/>
    <w:rsid w:val="002732DB"/>
    <w:rsid w:val="00273FEE"/>
    <w:rsid w:val="002749E9"/>
    <w:rsid w:val="00276077"/>
    <w:rsid w:val="0028204E"/>
    <w:rsid w:val="002856B4"/>
    <w:rsid w:val="0028591B"/>
    <w:rsid w:val="002870DB"/>
    <w:rsid w:val="00287808"/>
    <w:rsid w:val="00291841"/>
    <w:rsid w:val="002930A4"/>
    <w:rsid w:val="0029347E"/>
    <w:rsid w:val="00295ADB"/>
    <w:rsid w:val="002972F0"/>
    <w:rsid w:val="002A1901"/>
    <w:rsid w:val="002A40A3"/>
    <w:rsid w:val="002A7F63"/>
    <w:rsid w:val="002C449B"/>
    <w:rsid w:val="002C5106"/>
    <w:rsid w:val="002C6040"/>
    <w:rsid w:val="002C687B"/>
    <w:rsid w:val="002D5B3F"/>
    <w:rsid w:val="002E272E"/>
    <w:rsid w:val="002E7EBD"/>
    <w:rsid w:val="002F17AE"/>
    <w:rsid w:val="002F3E25"/>
    <w:rsid w:val="002F4BB3"/>
    <w:rsid w:val="002F5778"/>
    <w:rsid w:val="00303012"/>
    <w:rsid w:val="0030368B"/>
    <w:rsid w:val="00311FC2"/>
    <w:rsid w:val="0031688B"/>
    <w:rsid w:val="003203AB"/>
    <w:rsid w:val="00320996"/>
    <w:rsid w:val="003223E0"/>
    <w:rsid w:val="00322A4D"/>
    <w:rsid w:val="003231E1"/>
    <w:rsid w:val="00326C23"/>
    <w:rsid w:val="00352353"/>
    <w:rsid w:val="00352C4A"/>
    <w:rsid w:val="0035553D"/>
    <w:rsid w:val="00356A5D"/>
    <w:rsid w:val="00356A86"/>
    <w:rsid w:val="00362560"/>
    <w:rsid w:val="00371ABD"/>
    <w:rsid w:val="0037228E"/>
    <w:rsid w:val="003732FD"/>
    <w:rsid w:val="00373969"/>
    <w:rsid w:val="003753B2"/>
    <w:rsid w:val="00375E92"/>
    <w:rsid w:val="00376559"/>
    <w:rsid w:val="00377854"/>
    <w:rsid w:val="0038049E"/>
    <w:rsid w:val="00384D73"/>
    <w:rsid w:val="00387AC9"/>
    <w:rsid w:val="00393EB6"/>
    <w:rsid w:val="003A2B66"/>
    <w:rsid w:val="003A35EF"/>
    <w:rsid w:val="003A3CE5"/>
    <w:rsid w:val="003A4D85"/>
    <w:rsid w:val="003A4EDE"/>
    <w:rsid w:val="003A59F3"/>
    <w:rsid w:val="003B366F"/>
    <w:rsid w:val="003B3F9D"/>
    <w:rsid w:val="003C4011"/>
    <w:rsid w:val="003C6F13"/>
    <w:rsid w:val="003C7209"/>
    <w:rsid w:val="003D4D92"/>
    <w:rsid w:val="003D70F0"/>
    <w:rsid w:val="003E5751"/>
    <w:rsid w:val="003E6186"/>
    <w:rsid w:val="003F3B14"/>
    <w:rsid w:val="003F404C"/>
    <w:rsid w:val="003F47DF"/>
    <w:rsid w:val="003F5FD7"/>
    <w:rsid w:val="00404B3B"/>
    <w:rsid w:val="00404C50"/>
    <w:rsid w:val="004053BC"/>
    <w:rsid w:val="0040756E"/>
    <w:rsid w:val="00413139"/>
    <w:rsid w:val="00423934"/>
    <w:rsid w:val="00426244"/>
    <w:rsid w:val="00430998"/>
    <w:rsid w:val="00434D29"/>
    <w:rsid w:val="00450E57"/>
    <w:rsid w:val="00453FC1"/>
    <w:rsid w:val="0046003B"/>
    <w:rsid w:val="0048317F"/>
    <w:rsid w:val="00483A74"/>
    <w:rsid w:val="00485DBB"/>
    <w:rsid w:val="004874DE"/>
    <w:rsid w:val="00495BA0"/>
    <w:rsid w:val="004A1A69"/>
    <w:rsid w:val="004B32BF"/>
    <w:rsid w:val="004B5334"/>
    <w:rsid w:val="004B6A47"/>
    <w:rsid w:val="004B6C14"/>
    <w:rsid w:val="004C3829"/>
    <w:rsid w:val="004C5645"/>
    <w:rsid w:val="004D3BE8"/>
    <w:rsid w:val="004E1739"/>
    <w:rsid w:val="004E5EBB"/>
    <w:rsid w:val="00500094"/>
    <w:rsid w:val="00502091"/>
    <w:rsid w:val="0050249F"/>
    <w:rsid w:val="00503A1D"/>
    <w:rsid w:val="00506AA2"/>
    <w:rsid w:val="00507815"/>
    <w:rsid w:val="0051043F"/>
    <w:rsid w:val="00512D6C"/>
    <w:rsid w:val="00520275"/>
    <w:rsid w:val="00521107"/>
    <w:rsid w:val="00524566"/>
    <w:rsid w:val="005251A0"/>
    <w:rsid w:val="00526A2B"/>
    <w:rsid w:val="00530BE9"/>
    <w:rsid w:val="00530BEF"/>
    <w:rsid w:val="0053263B"/>
    <w:rsid w:val="00535B6E"/>
    <w:rsid w:val="00540D65"/>
    <w:rsid w:val="00541879"/>
    <w:rsid w:val="005440BF"/>
    <w:rsid w:val="005452CA"/>
    <w:rsid w:val="00545E71"/>
    <w:rsid w:val="00552770"/>
    <w:rsid w:val="00556219"/>
    <w:rsid w:val="00561F00"/>
    <w:rsid w:val="00562DEC"/>
    <w:rsid w:val="00567735"/>
    <w:rsid w:val="00576AB4"/>
    <w:rsid w:val="00577917"/>
    <w:rsid w:val="00577F69"/>
    <w:rsid w:val="00581FCC"/>
    <w:rsid w:val="00590667"/>
    <w:rsid w:val="00592311"/>
    <w:rsid w:val="005969E2"/>
    <w:rsid w:val="005A0ED6"/>
    <w:rsid w:val="005A1689"/>
    <w:rsid w:val="005B0CD5"/>
    <w:rsid w:val="005B5291"/>
    <w:rsid w:val="005B586C"/>
    <w:rsid w:val="005B61CD"/>
    <w:rsid w:val="005B7CD5"/>
    <w:rsid w:val="005C2B76"/>
    <w:rsid w:val="005C4D7F"/>
    <w:rsid w:val="005D1D58"/>
    <w:rsid w:val="005D432C"/>
    <w:rsid w:val="005D786C"/>
    <w:rsid w:val="005E285E"/>
    <w:rsid w:val="005E72F8"/>
    <w:rsid w:val="0060475A"/>
    <w:rsid w:val="00610700"/>
    <w:rsid w:val="00610E08"/>
    <w:rsid w:val="006137EF"/>
    <w:rsid w:val="006140BF"/>
    <w:rsid w:val="006171CC"/>
    <w:rsid w:val="00620787"/>
    <w:rsid w:val="006224A9"/>
    <w:rsid w:val="0062632B"/>
    <w:rsid w:val="00631E61"/>
    <w:rsid w:val="00632434"/>
    <w:rsid w:val="00637B6E"/>
    <w:rsid w:val="00644256"/>
    <w:rsid w:val="00650876"/>
    <w:rsid w:val="00656C7D"/>
    <w:rsid w:val="0066053F"/>
    <w:rsid w:val="00661D6F"/>
    <w:rsid w:val="0066490C"/>
    <w:rsid w:val="0066725E"/>
    <w:rsid w:val="006716C7"/>
    <w:rsid w:val="006749F0"/>
    <w:rsid w:val="00681208"/>
    <w:rsid w:val="00687D53"/>
    <w:rsid w:val="0069050A"/>
    <w:rsid w:val="006934D4"/>
    <w:rsid w:val="006A00B8"/>
    <w:rsid w:val="006A0F21"/>
    <w:rsid w:val="006A4F2A"/>
    <w:rsid w:val="006A6DC3"/>
    <w:rsid w:val="006B23F6"/>
    <w:rsid w:val="006C0278"/>
    <w:rsid w:val="006C45F4"/>
    <w:rsid w:val="006C4727"/>
    <w:rsid w:val="006D1B39"/>
    <w:rsid w:val="006D49ED"/>
    <w:rsid w:val="006D55CE"/>
    <w:rsid w:val="006D637A"/>
    <w:rsid w:val="006E2958"/>
    <w:rsid w:val="006E317D"/>
    <w:rsid w:val="006E62DF"/>
    <w:rsid w:val="006F184F"/>
    <w:rsid w:val="006F1D88"/>
    <w:rsid w:val="006F45BF"/>
    <w:rsid w:val="006F60E0"/>
    <w:rsid w:val="00701FAC"/>
    <w:rsid w:val="00702F71"/>
    <w:rsid w:val="007078D6"/>
    <w:rsid w:val="00717369"/>
    <w:rsid w:val="00722A55"/>
    <w:rsid w:val="007323EC"/>
    <w:rsid w:val="00732926"/>
    <w:rsid w:val="00732A5F"/>
    <w:rsid w:val="00733F7C"/>
    <w:rsid w:val="00735D73"/>
    <w:rsid w:val="007366DF"/>
    <w:rsid w:val="00746C50"/>
    <w:rsid w:val="00750FF1"/>
    <w:rsid w:val="0075332C"/>
    <w:rsid w:val="0075471A"/>
    <w:rsid w:val="00757839"/>
    <w:rsid w:val="00770C81"/>
    <w:rsid w:val="007711C0"/>
    <w:rsid w:val="007726C4"/>
    <w:rsid w:val="00772ED6"/>
    <w:rsid w:val="00775F8D"/>
    <w:rsid w:val="00776163"/>
    <w:rsid w:val="00784868"/>
    <w:rsid w:val="007B0BEE"/>
    <w:rsid w:val="007B0D13"/>
    <w:rsid w:val="007B6658"/>
    <w:rsid w:val="007C0AC7"/>
    <w:rsid w:val="007C0F26"/>
    <w:rsid w:val="007C2307"/>
    <w:rsid w:val="007C682C"/>
    <w:rsid w:val="007D0C89"/>
    <w:rsid w:val="007D2385"/>
    <w:rsid w:val="007D6FCB"/>
    <w:rsid w:val="007D7580"/>
    <w:rsid w:val="007E28AD"/>
    <w:rsid w:val="007F2281"/>
    <w:rsid w:val="007F2D78"/>
    <w:rsid w:val="007F3C51"/>
    <w:rsid w:val="00800069"/>
    <w:rsid w:val="008000AF"/>
    <w:rsid w:val="008051B4"/>
    <w:rsid w:val="008079C7"/>
    <w:rsid w:val="00812840"/>
    <w:rsid w:val="00813ECE"/>
    <w:rsid w:val="00817047"/>
    <w:rsid w:val="008310A0"/>
    <w:rsid w:val="00842E7F"/>
    <w:rsid w:val="00843C41"/>
    <w:rsid w:val="0084702E"/>
    <w:rsid w:val="00852933"/>
    <w:rsid w:val="008606AB"/>
    <w:rsid w:val="00865B46"/>
    <w:rsid w:val="00867069"/>
    <w:rsid w:val="00883E5A"/>
    <w:rsid w:val="0088551A"/>
    <w:rsid w:val="00895E91"/>
    <w:rsid w:val="00896134"/>
    <w:rsid w:val="008975A7"/>
    <w:rsid w:val="008A2D55"/>
    <w:rsid w:val="008A4B0A"/>
    <w:rsid w:val="008A62BC"/>
    <w:rsid w:val="008B0652"/>
    <w:rsid w:val="008B43E7"/>
    <w:rsid w:val="008C3BFE"/>
    <w:rsid w:val="008C63B4"/>
    <w:rsid w:val="008D0EF8"/>
    <w:rsid w:val="008D2883"/>
    <w:rsid w:val="008D3090"/>
    <w:rsid w:val="008D763F"/>
    <w:rsid w:val="008E3A79"/>
    <w:rsid w:val="008E4EBE"/>
    <w:rsid w:val="008E50B7"/>
    <w:rsid w:val="008F036F"/>
    <w:rsid w:val="008F3BA6"/>
    <w:rsid w:val="008F78C2"/>
    <w:rsid w:val="00902097"/>
    <w:rsid w:val="00902DB0"/>
    <w:rsid w:val="009107C3"/>
    <w:rsid w:val="00911394"/>
    <w:rsid w:val="0091379E"/>
    <w:rsid w:val="00922717"/>
    <w:rsid w:val="00923EF2"/>
    <w:rsid w:val="00926D25"/>
    <w:rsid w:val="00926E9D"/>
    <w:rsid w:val="009279A6"/>
    <w:rsid w:val="0093149A"/>
    <w:rsid w:val="00932C6E"/>
    <w:rsid w:val="00933F10"/>
    <w:rsid w:val="00934D2A"/>
    <w:rsid w:val="009429BB"/>
    <w:rsid w:val="009433C5"/>
    <w:rsid w:val="00945A76"/>
    <w:rsid w:val="009473F4"/>
    <w:rsid w:val="0095186E"/>
    <w:rsid w:val="0096017E"/>
    <w:rsid w:val="00965881"/>
    <w:rsid w:val="00965B2B"/>
    <w:rsid w:val="009668F1"/>
    <w:rsid w:val="0098022E"/>
    <w:rsid w:val="009871FF"/>
    <w:rsid w:val="009926A0"/>
    <w:rsid w:val="00993494"/>
    <w:rsid w:val="009A50DF"/>
    <w:rsid w:val="009A5C52"/>
    <w:rsid w:val="009B0B59"/>
    <w:rsid w:val="009B4900"/>
    <w:rsid w:val="009B7A8B"/>
    <w:rsid w:val="009C126D"/>
    <w:rsid w:val="009C24C9"/>
    <w:rsid w:val="009C59CB"/>
    <w:rsid w:val="009C59ED"/>
    <w:rsid w:val="009D3EA4"/>
    <w:rsid w:val="009D5FD1"/>
    <w:rsid w:val="009D7543"/>
    <w:rsid w:val="009E0ECF"/>
    <w:rsid w:val="009E2D65"/>
    <w:rsid w:val="009E4BC1"/>
    <w:rsid w:val="009F06F0"/>
    <w:rsid w:val="009F47C8"/>
    <w:rsid w:val="009F6F1F"/>
    <w:rsid w:val="00A013D2"/>
    <w:rsid w:val="00A03BB8"/>
    <w:rsid w:val="00A15581"/>
    <w:rsid w:val="00A15607"/>
    <w:rsid w:val="00A270C8"/>
    <w:rsid w:val="00A30058"/>
    <w:rsid w:val="00A4036F"/>
    <w:rsid w:val="00A418E2"/>
    <w:rsid w:val="00A4641C"/>
    <w:rsid w:val="00A479DC"/>
    <w:rsid w:val="00A50D47"/>
    <w:rsid w:val="00A557E6"/>
    <w:rsid w:val="00A55876"/>
    <w:rsid w:val="00A6580F"/>
    <w:rsid w:val="00A660B8"/>
    <w:rsid w:val="00A83A40"/>
    <w:rsid w:val="00AA2CA3"/>
    <w:rsid w:val="00AB32E8"/>
    <w:rsid w:val="00AB6FE7"/>
    <w:rsid w:val="00AB7AD7"/>
    <w:rsid w:val="00AC4C0E"/>
    <w:rsid w:val="00AD2430"/>
    <w:rsid w:val="00AD391A"/>
    <w:rsid w:val="00AD3CB3"/>
    <w:rsid w:val="00AE0A9E"/>
    <w:rsid w:val="00AE61AF"/>
    <w:rsid w:val="00AF0E34"/>
    <w:rsid w:val="00AF177D"/>
    <w:rsid w:val="00AF271D"/>
    <w:rsid w:val="00AF4BC7"/>
    <w:rsid w:val="00AF56C2"/>
    <w:rsid w:val="00B004E6"/>
    <w:rsid w:val="00B071D4"/>
    <w:rsid w:val="00B0744D"/>
    <w:rsid w:val="00B15075"/>
    <w:rsid w:val="00B17280"/>
    <w:rsid w:val="00B27427"/>
    <w:rsid w:val="00B34DCB"/>
    <w:rsid w:val="00B37E84"/>
    <w:rsid w:val="00B404BC"/>
    <w:rsid w:val="00B423C8"/>
    <w:rsid w:val="00B43F64"/>
    <w:rsid w:val="00B46097"/>
    <w:rsid w:val="00B61AA2"/>
    <w:rsid w:val="00B63994"/>
    <w:rsid w:val="00B71FF0"/>
    <w:rsid w:val="00B7316B"/>
    <w:rsid w:val="00B7616C"/>
    <w:rsid w:val="00B81AD3"/>
    <w:rsid w:val="00B829D8"/>
    <w:rsid w:val="00B84B5B"/>
    <w:rsid w:val="00B90EAE"/>
    <w:rsid w:val="00B9195E"/>
    <w:rsid w:val="00BA1176"/>
    <w:rsid w:val="00BB6F76"/>
    <w:rsid w:val="00BD52F6"/>
    <w:rsid w:val="00BD6E23"/>
    <w:rsid w:val="00BE0B01"/>
    <w:rsid w:val="00BE79C7"/>
    <w:rsid w:val="00BF2C8E"/>
    <w:rsid w:val="00BF31C3"/>
    <w:rsid w:val="00BF3CB5"/>
    <w:rsid w:val="00BF67B9"/>
    <w:rsid w:val="00BF6EAD"/>
    <w:rsid w:val="00C1285B"/>
    <w:rsid w:val="00C1361B"/>
    <w:rsid w:val="00C13649"/>
    <w:rsid w:val="00C21628"/>
    <w:rsid w:val="00C32109"/>
    <w:rsid w:val="00C349CD"/>
    <w:rsid w:val="00C351EE"/>
    <w:rsid w:val="00C36D9A"/>
    <w:rsid w:val="00C36DF3"/>
    <w:rsid w:val="00C41DEA"/>
    <w:rsid w:val="00C41F72"/>
    <w:rsid w:val="00C44A72"/>
    <w:rsid w:val="00C466E3"/>
    <w:rsid w:val="00C55097"/>
    <w:rsid w:val="00C55E9D"/>
    <w:rsid w:val="00C6060A"/>
    <w:rsid w:val="00C606A2"/>
    <w:rsid w:val="00C63DFE"/>
    <w:rsid w:val="00C64475"/>
    <w:rsid w:val="00C6457D"/>
    <w:rsid w:val="00C67DAB"/>
    <w:rsid w:val="00C705F9"/>
    <w:rsid w:val="00C70C54"/>
    <w:rsid w:val="00C75F0C"/>
    <w:rsid w:val="00C80EBA"/>
    <w:rsid w:val="00C80F0F"/>
    <w:rsid w:val="00C82887"/>
    <w:rsid w:val="00C83800"/>
    <w:rsid w:val="00C85734"/>
    <w:rsid w:val="00C87E9F"/>
    <w:rsid w:val="00C91F86"/>
    <w:rsid w:val="00C93BCB"/>
    <w:rsid w:val="00CA13E6"/>
    <w:rsid w:val="00CB099C"/>
    <w:rsid w:val="00CC241A"/>
    <w:rsid w:val="00CC5039"/>
    <w:rsid w:val="00CD0A71"/>
    <w:rsid w:val="00CE5390"/>
    <w:rsid w:val="00CE65AB"/>
    <w:rsid w:val="00CF4266"/>
    <w:rsid w:val="00CF66EB"/>
    <w:rsid w:val="00CF7C43"/>
    <w:rsid w:val="00D010E4"/>
    <w:rsid w:val="00D01E80"/>
    <w:rsid w:val="00D05D18"/>
    <w:rsid w:val="00D22FE2"/>
    <w:rsid w:val="00D231E3"/>
    <w:rsid w:val="00D241F1"/>
    <w:rsid w:val="00D275CB"/>
    <w:rsid w:val="00D27719"/>
    <w:rsid w:val="00D353FF"/>
    <w:rsid w:val="00D5097C"/>
    <w:rsid w:val="00D54764"/>
    <w:rsid w:val="00D562DE"/>
    <w:rsid w:val="00D62249"/>
    <w:rsid w:val="00D6609C"/>
    <w:rsid w:val="00D72A88"/>
    <w:rsid w:val="00D82902"/>
    <w:rsid w:val="00DB116D"/>
    <w:rsid w:val="00DB2E86"/>
    <w:rsid w:val="00DB559F"/>
    <w:rsid w:val="00DB6F5C"/>
    <w:rsid w:val="00DC678E"/>
    <w:rsid w:val="00DD17CC"/>
    <w:rsid w:val="00DD1B59"/>
    <w:rsid w:val="00DD23CB"/>
    <w:rsid w:val="00DE1E6F"/>
    <w:rsid w:val="00DE2464"/>
    <w:rsid w:val="00E022D1"/>
    <w:rsid w:val="00E03844"/>
    <w:rsid w:val="00E0763D"/>
    <w:rsid w:val="00E100D1"/>
    <w:rsid w:val="00E12594"/>
    <w:rsid w:val="00E158A5"/>
    <w:rsid w:val="00E230E0"/>
    <w:rsid w:val="00E236EB"/>
    <w:rsid w:val="00E470FD"/>
    <w:rsid w:val="00E51AAC"/>
    <w:rsid w:val="00E66CC0"/>
    <w:rsid w:val="00E66D07"/>
    <w:rsid w:val="00E715AA"/>
    <w:rsid w:val="00E71DF2"/>
    <w:rsid w:val="00E728A9"/>
    <w:rsid w:val="00E73D6D"/>
    <w:rsid w:val="00E740AD"/>
    <w:rsid w:val="00E862BB"/>
    <w:rsid w:val="00E9564B"/>
    <w:rsid w:val="00E957CD"/>
    <w:rsid w:val="00EA0F4E"/>
    <w:rsid w:val="00EA295B"/>
    <w:rsid w:val="00EB3EC7"/>
    <w:rsid w:val="00EB48D5"/>
    <w:rsid w:val="00EB4F96"/>
    <w:rsid w:val="00EC1570"/>
    <w:rsid w:val="00ED0415"/>
    <w:rsid w:val="00ED1552"/>
    <w:rsid w:val="00EE0E6D"/>
    <w:rsid w:val="00EE3132"/>
    <w:rsid w:val="00EE3D9D"/>
    <w:rsid w:val="00EE6F25"/>
    <w:rsid w:val="00EF3C47"/>
    <w:rsid w:val="00F02126"/>
    <w:rsid w:val="00F03D85"/>
    <w:rsid w:val="00F04C7C"/>
    <w:rsid w:val="00F05485"/>
    <w:rsid w:val="00F05E77"/>
    <w:rsid w:val="00F061D3"/>
    <w:rsid w:val="00F06256"/>
    <w:rsid w:val="00F1014E"/>
    <w:rsid w:val="00F11C1C"/>
    <w:rsid w:val="00F126E2"/>
    <w:rsid w:val="00F1361B"/>
    <w:rsid w:val="00F2240E"/>
    <w:rsid w:val="00F249F1"/>
    <w:rsid w:val="00F24B10"/>
    <w:rsid w:val="00F25B9D"/>
    <w:rsid w:val="00F2664E"/>
    <w:rsid w:val="00F306AB"/>
    <w:rsid w:val="00F31163"/>
    <w:rsid w:val="00F31A83"/>
    <w:rsid w:val="00F31C04"/>
    <w:rsid w:val="00F320A5"/>
    <w:rsid w:val="00F33018"/>
    <w:rsid w:val="00F351C6"/>
    <w:rsid w:val="00F420D3"/>
    <w:rsid w:val="00F53466"/>
    <w:rsid w:val="00F53C4F"/>
    <w:rsid w:val="00F53C8F"/>
    <w:rsid w:val="00F61A20"/>
    <w:rsid w:val="00F63AFC"/>
    <w:rsid w:val="00F65B4F"/>
    <w:rsid w:val="00F715DA"/>
    <w:rsid w:val="00F73F12"/>
    <w:rsid w:val="00F83547"/>
    <w:rsid w:val="00F8381F"/>
    <w:rsid w:val="00F97E2B"/>
    <w:rsid w:val="00FA04CD"/>
    <w:rsid w:val="00FA68F8"/>
    <w:rsid w:val="00FB1DC0"/>
    <w:rsid w:val="00FB341D"/>
    <w:rsid w:val="00FB4521"/>
    <w:rsid w:val="00FB4F84"/>
    <w:rsid w:val="00FB5CF8"/>
    <w:rsid w:val="00FC641D"/>
    <w:rsid w:val="00FD1E03"/>
    <w:rsid w:val="00FD78B1"/>
    <w:rsid w:val="00FF2A94"/>
    <w:rsid w:val="00FF3BE9"/>
    <w:rsid w:val="00FF7881"/>
    <w:rsid w:val="0E5ADEB9"/>
    <w:rsid w:val="1F070CF5"/>
    <w:rsid w:val="22C276EF"/>
    <w:rsid w:val="2486D8CE"/>
    <w:rsid w:val="338B9696"/>
    <w:rsid w:val="3CE800AA"/>
    <w:rsid w:val="4DA62084"/>
    <w:rsid w:val="5EBB620F"/>
    <w:rsid w:val="5FFF8F5A"/>
    <w:rsid w:val="638E5668"/>
    <w:rsid w:val="66C8BE27"/>
    <w:rsid w:val="69071801"/>
    <w:rsid w:val="6B06A337"/>
    <w:rsid w:val="6B476A4D"/>
    <w:rsid w:val="6B739669"/>
    <w:rsid w:val="72219A5C"/>
    <w:rsid w:val="733953D5"/>
    <w:rsid w:val="757903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EastAsia"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iPriority="0" w:name="heading 5"/>
    <w:lsdException w:qFormat="1" w:unhideWhenUsed="0" w:uiPriority="0" w:semiHidden="0" w:name="heading 6"/>
    <w:lsdException w:qFormat="1" w:uiPriority="0" w:name="heading 7"/>
    <w:lsdException w:qFormat="1" w:uiPriority="0" w:name="heading 8"/>
    <w:lsdException w:qFormat="1" w:uiPriority="9"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semiHidden="0" w:name="Default Paragraph Font"/>
    <w:lsdException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39" w:semiHidden="0" w:name="Table Grid"/>
    <w:lsdException w:uiPriority="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480" w:lineRule="auto"/>
    </w:pPr>
    <w:rPr>
      <w:rFonts w:ascii="Arial" w:hAnsi="Arial" w:cs="Times New Roman" w:eastAsiaTheme="minorEastAsia"/>
      <w:sz w:val="24"/>
      <w:lang w:val="en-GB" w:eastAsia="en-GB" w:bidi="ar-SA"/>
    </w:rPr>
  </w:style>
  <w:style w:type="paragraph" w:styleId="2">
    <w:name w:val="heading 1"/>
    <w:basedOn w:val="1"/>
    <w:next w:val="1"/>
    <w:qFormat/>
    <w:uiPriority w:val="0"/>
    <w:pPr>
      <w:keepNext/>
      <w:pBdr>
        <w:top w:val="single" w:color="auto" w:sz="12" w:space="1"/>
        <w:left w:val="single" w:color="auto" w:sz="12" w:space="1"/>
        <w:bottom w:val="single" w:color="auto" w:sz="12" w:space="1"/>
        <w:right w:val="single" w:color="auto" w:sz="12" w:space="1"/>
      </w:pBdr>
      <w:shd w:val="pct10" w:color="auto" w:fill="auto"/>
      <w:jc w:val="center"/>
      <w:outlineLvl w:val="0"/>
    </w:pPr>
    <w:rPr>
      <w:b/>
      <w:sz w:val="36"/>
    </w:rPr>
  </w:style>
  <w:style w:type="paragraph" w:styleId="3">
    <w:name w:val="heading 2"/>
    <w:basedOn w:val="1"/>
    <w:next w:val="1"/>
    <w:link w:val="29"/>
    <w:qFormat/>
    <w:uiPriority w:val="0"/>
    <w:pPr>
      <w:keepNext/>
      <w:jc w:val="both"/>
      <w:outlineLvl w:val="1"/>
    </w:pPr>
    <w:rPr>
      <w:b/>
    </w:rPr>
  </w:style>
  <w:style w:type="paragraph" w:styleId="4">
    <w:name w:val="heading 3"/>
    <w:basedOn w:val="1"/>
    <w:next w:val="1"/>
    <w:link w:val="42"/>
    <w:qFormat/>
    <w:uiPriority w:val="0"/>
    <w:pPr>
      <w:keepNext/>
      <w:jc w:val="center"/>
      <w:outlineLvl w:val="2"/>
    </w:pPr>
    <w:rPr>
      <w:b/>
    </w:rPr>
  </w:style>
  <w:style w:type="paragraph" w:styleId="5">
    <w:name w:val="heading 4"/>
    <w:basedOn w:val="1"/>
    <w:next w:val="1"/>
    <w:link w:val="43"/>
    <w:qFormat/>
    <w:uiPriority w:val="0"/>
    <w:pPr>
      <w:keepNext/>
      <w:spacing w:before="120" w:after="120"/>
      <w:jc w:val="center"/>
      <w:outlineLvl w:val="3"/>
    </w:pPr>
    <w:rPr>
      <w:sz w:val="40"/>
    </w:rPr>
  </w:style>
  <w:style w:type="paragraph" w:styleId="6">
    <w:name w:val="heading 6"/>
    <w:basedOn w:val="1"/>
    <w:next w:val="1"/>
    <w:link w:val="25"/>
    <w:qFormat/>
    <w:uiPriority w:val="0"/>
    <w:pPr>
      <w:keepNext/>
      <w:pBdr>
        <w:top w:val="single" w:color="auto" w:sz="18" w:space="1"/>
        <w:left w:val="single" w:color="auto" w:sz="18" w:space="4"/>
        <w:bottom w:val="single" w:color="auto" w:sz="18" w:space="1"/>
        <w:right w:val="single" w:color="auto" w:sz="18" w:space="4"/>
      </w:pBdr>
      <w:outlineLvl w:val="5"/>
    </w:pPr>
    <w:rPr>
      <w:rFonts w:cs="Arial"/>
      <w:b/>
      <w:bCs/>
      <w:lang w:eastAsia="en-US"/>
    </w:rPr>
  </w:style>
  <w:style w:type="paragraph" w:styleId="7">
    <w:name w:val="heading 8"/>
    <w:basedOn w:val="1"/>
    <w:next w:val="1"/>
    <w:link w:val="39"/>
    <w:semiHidden/>
    <w:unhideWhenUsed/>
    <w:qFormat/>
    <w:uiPriority w:val="0"/>
    <w:pPr>
      <w:spacing w:before="240" w:after="60"/>
      <w:outlineLvl w:val="7"/>
    </w:pPr>
    <w:rPr>
      <w:rFonts w:ascii="Calibri" w:hAnsi="Calibri"/>
      <w:i/>
      <w:iCs/>
      <w:szCs w:val="24"/>
    </w:rPr>
  </w:style>
  <w:style w:type="paragraph" w:styleId="8">
    <w:name w:val="heading 9"/>
    <w:basedOn w:val="1"/>
    <w:next w:val="1"/>
    <w:link w:val="40"/>
    <w:semiHidden/>
    <w:unhideWhenUsed/>
    <w:qFormat/>
    <w:uiPriority w:val="9"/>
    <w:pPr>
      <w:keepNext/>
      <w:keepLines/>
      <w:spacing w:before="200"/>
      <w:outlineLvl w:val="8"/>
    </w:pPr>
    <w:rPr>
      <w:rFonts w:ascii="Cambria" w:hAnsi="Cambria"/>
      <w:i/>
      <w:iCs/>
      <w:color w:val="404040"/>
    </w:rPr>
  </w:style>
  <w:style w:type="character" w:default="1" w:styleId="18">
    <w:name w:val="Default Paragraph Font"/>
    <w:unhideWhenUsed/>
    <w:uiPriority w:val="1"/>
  </w:style>
  <w:style w:type="table" w:default="1" w:styleId="16">
    <w:name w:val="Normal Table"/>
    <w:semiHidden/>
    <w:unhideWhenUsed/>
    <w:uiPriority w:val="99"/>
    <w:tblPr>
      <w:tblCellMar>
        <w:top w:w="0" w:type="dxa"/>
        <w:left w:w="108" w:type="dxa"/>
        <w:bottom w:w="0" w:type="dxa"/>
        <w:right w:w="108" w:type="dxa"/>
      </w:tblCellMar>
    </w:tblPr>
  </w:style>
  <w:style w:type="paragraph" w:styleId="9">
    <w:name w:val="Body Text"/>
    <w:basedOn w:val="1"/>
    <w:link w:val="32"/>
    <w:unhideWhenUsed/>
    <w:uiPriority w:val="0"/>
    <w:pPr>
      <w:spacing w:after="120"/>
    </w:pPr>
    <w:rPr>
      <w:lang w:val="en-US"/>
    </w:rPr>
  </w:style>
  <w:style w:type="paragraph" w:styleId="10">
    <w:name w:val="Balloon Text"/>
    <w:basedOn w:val="1"/>
    <w:link w:val="23"/>
    <w:uiPriority w:val="0"/>
    <w:rPr>
      <w:rFonts w:ascii="Tahoma" w:hAnsi="Tahoma" w:cs="Tahoma"/>
      <w:sz w:val="16"/>
      <w:szCs w:val="16"/>
    </w:rPr>
  </w:style>
  <w:style w:type="paragraph" w:styleId="11">
    <w:name w:val="footer"/>
    <w:basedOn w:val="1"/>
    <w:link w:val="24"/>
    <w:uiPriority w:val="99"/>
    <w:pPr>
      <w:tabs>
        <w:tab w:val="center" w:pos="4153"/>
        <w:tab w:val="right" w:pos="8306"/>
      </w:tabs>
    </w:pPr>
  </w:style>
  <w:style w:type="paragraph" w:styleId="12">
    <w:name w:val="header"/>
    <w:basedOn w:val="1"/>
    <w:link w:val="27"/>
    <w:uiPriority w:val="0"/>
    <w:pPr>
      <w:tabs>
        <w:tab w:val="center" w:pos="4153"/>
        <w:tab w:val="right" w:pos="8306"/>
      </w:tabs>
    </w:pPr>
  </w:style>
  <w:style w:type="paragraph" w:styleId="13">
    <w:name w:val="toc 2"/>
    <w:basedOn w:val="1"/>
    <w:next w:val="1"/>
    <w:uiPriority w:val="39"/>
    <w:pPr>
      <w:ind w:left="200"/>
    </w:pPr>
  </w:style>
  <w:style w:type="paragraph" w:styleId="14">
    <w:name w:val="Body Text 2"/>
    <w:basedOn w:val="1"/>
    <w:link w:val="44"/>
    <w:uiPriority w:val="0"/>
    <w:rPr>
      <w:sz w:val="16"/>
      <w:lang w:eastAsia="en-US"/>
    </w:rPr>
  </w:style>
  <w:style w:type="paragraph" w:styleId="15">
    <w:name w:val="Normal (Web)"/>
    <w:basedOn w:val="1"/>
    <w:uiPriority w:val="99"/>
    <w:pPr>
      <w:spacing w:before="100" w:after="100"/>
    </w:pPr>
    <w:rPr>
      <w:lang w:eastAsia="en-US"/>
    </w:rPr>
  </w:style>
  <w:style w:type="table" w:styleId="17">
    <w:name w:val="Table Grid"/>
    <w:basedOn w:val="16"/>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9">
    <w:name w:val="Strong"/>
    <w:qFormat/>
    <w:uiPriority w:val="0"/>
    <w:rPr>
      <w:b/>
      <w:bCs/>
    </w:rPr>
  </w:style>
  <w:style w:type="character" w:styleId="20">
    <w:name w:val="FollowedHyperlink"/>
    <w:uiPriority w:val="0"/>
    <w:rPr>
      <w:color w:val="954F72"/>
      <w:u w:val="single"/>
    </w:rPr>
  </w:style>
  <w:style w:type="character" w:styleId="21">
    <w:name w:val="Hyperlink"/>
    <w:unhideWhenUsed/>
    <w:uiPriority w:val="99"/>
    <w:rPr>
      <w:color w:val="0000FF"/>
      <w:u w:val="single"/>
    </w:rPr>
  </w:style>
  <w:style w:type="paragraph" w:customStyle="1" w:styleId="22">
    <w:name w:val="Body Text1"/>
    <w:basedOn w:val="1"/>
    <w:uiPriority w:val="99"/>
    <w:pPr>
      <w:tabs>
        <w:tab w:val="left" w:pos="720"/>
        <w:tab w:val="left" w:pos="1440"/>
      </w:tabs>
    </w:pPr>
    <w:rPr>
      <w:rFonts w:ascii="CG Times (WN)" w:hAnsi="CG Times (WN)"/>
      <w:lang w:eastAsia="en-US"/>
    </w:rPr>
  </w:style>
  <w:style w:type="character" w:customStyle="1" w:styleId="23">
    <w:name w:val="批注框文本 字符"/>
    <w:link w:val="10"/>
    <w:uiPriority w:val="0"/>
    <w:rPr>
      <w:rFonts w:ascii="Tahoma" w:hAnsi="Tahoma" w:cs="Tahoma"/>
      <w:sz w:val="16"/>
      <w:szCs w:val="16"/>
    </w:rPr>
  </w:style>
  <w:style w:type="character" w:customStyle="1" w:styleId="24">
    <w:name w:val="页脚 字符"/>
    <w:basedOn w:val="18"/>
    <w:link w:val="11"/>
    <w:uiPriority w:val="99"/>
  </w:style>
  <w:style w:type="character" w:customStyle="1" w:styleId="25">
    <w:name w:val="标题 6 字符"/>
    <w:link w:val="6"/>
    <w:uiPriority w:val="0"/>
    <w:rPr>
      <w:rFonts w:ascii="Arial" w:hAnsi="Arial" w:cs="Arial"/>
      <w:b/>
      <w:bCs/>
      <w:sz w:val="24"/>
      <w:lang w:val="en-GB"/>
    </w:rPr>
  </w:style>
  <w:style w:type="paragraph" w:customStyle="1" w:styleId="26">
    <w:name w:val="Bulleted List"/>
    <w:basedOn w:val="1"/>
    <w:uiPriority w:val="99"/>
    <w:pPr>
      <w:numPr>
        <w:ilvl w:val="0"/>
        <w:numId w:val="1"/>
      </w:numPr>
      <w:spacing w:before="120" w:after="240"/>
    </w:pPr>
    <w:rPr>
      <w:rFonts w:ascii="Verdana" w:hAnsi="Verdana"/>
      <w:sz w:val="16"/>
      <w:szCs w:val="24"/>
      <w:lang w:val="en-US" w:eastAsia="en-US"/>
    </w:rPr>
  </w:style>
  <w:style w:type="character" w:customStyle="1" w:styleId="27">
    <w:name w:val="页眉 字符"/>
    <w:basedOn w:val="18"/>
    <w:link w:val="12"/>
    <w:uiPriority w:val="0"/>
  </w:style>
  <w:style w:type="paragraph" w:styleId="28">
    <w:name w:val="List Paragraph"/>
    <w:basedOn w:val="1"/>
    <w:link w:val="50"/>
    <w:qFormat/>
    <w:uiPriority w:val="34"/>
    <w:pPr>
      <w:ind w:left="720"/>
      <w:contextualSpacing/>
    </w:pPr>
  </w:style>
  <w:style w:type="character" w:customStyle="1" w:styleId="29">
    <w:name w:val="标题 2 字符"/>
    <w:link w:val="3"/>
    <w:uiPriority w:val="0"/>
    <w:rPr>
      <w:rFonts w:ascii="Arial" w:hAnsi="Arial"/>
      <w:b/>
      <w:sz w:val="24"/>
    </w:rPr>
  </w:style>
  <w:style w:type="paragraph" w:customStyle="1" w:styleId="30">
    <w:name w:val="bullet"/>
    <w:link w:val="31"/>
    <w:uiPriority w:val="0"/>
    <w:pPr>
      <w:overflowPunct w:val="0"/>
      <w:autoSpaceDE w:val="0"/>
      <w:autoSpaceDN w:val="0"/>
      <w:adjustRightInd w:val="0"/>
      <w:spacing w:before="120"/>
      <w:ind w:left="1004" w:hanging="284"/>
      <w:jc w:val="both"/>
      <w:textAlignment w:val="baseline"/>
    </w:pPr>
    <w:rPr>
      <w:rFonts w:ascii="Times New Roman" w:hAnsi="Times New Roman" w:cs="Times New Roman" w:eastAsiaTheme="minorEastAsia"/>
      <w:sz w:val="24"/>
      <w:lang w:val="en-GB" w:eastAsia="en-GB" w:bidi="ar-SA"/>
    </w:rPr>
  </w:style>
  <w:style w:type="character" w:customStyle="1" w:styleId="31">
    <w:name w:val="bullet Char"/>
    <w:link w:val="30"/>
    <w:uiPriority w:val="0"/>
    <w:rPr>
      <w:sz w:val="24"/>
    </w:rPr>
  </w:style>
  <w:style w:type="character" w:customStyle="1" w:styleId="32">
    <w:name w:val="正文文本 字符"/>
    <w:link w:val="9"/>
    <w:uiPriority w:val="0"/>
    <w:rPr>
      <w:lang w:val="en-US"/>
    </w:rPr>
  </w:style>
  <w:style w:type="paragraph" w:customStyle="1" w:styleId="33">
    <w:name w:val="Body Text10"/>
    <w:basedOn w:val="1"/>
    <w:uiPriority w:val="99"/>
    <w:pPr>
      <w:tabs>
        <w:tab w:val="left" w:pos="720"/>
        <w:tab w:val="left" w:pos="1440"/>
      </w:tabs>
    </w:pPr>
    <w:rPr>
      <w:rFonts w:ascii="CG Times (WN)" w:hAnsi="CG Times (WN)"/>
      <w:lang w:eastAsia="en-US"/>
    </w:rPr>
  </w:style>
  <w:style w:type="paragraph" w:customStyle="1" w:styleId="34">
    <w:name w:val="heading"/>
    <w:basedOn w:val="35"/>
    <w:link w:val="37"/>
    <w:uiPriority w:val="0"/>
    <w:pPr>
      <w:tabs>
        <w:tab w:val="left" w:pos="720"/>
        <w:tab w:val="left" w:pos="1440"/>
        <w:tab w:val="left" w:pos="2160"/>
        <w:tab w:val="left" w:pos="2880"/>
      </w:tabs>
      <w:spacing w:before="240" w:after="120"/>
    </w:pPr>
  </w:style>
  <w:style w:type="paragraph" w:customStyle="1" w:styleId="35">
    <w:name w:val="fixed"/>
    <w:link w:val="36"/>
    <w:uiPriority w:val="0"/>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hAnsi="Times New Roman" w:cs="Times New Roman" w:eastAsiaTheme="minorEastAsia"/>
      <w:b/>
      <w:sz w:val="24"/>
      <w:lang w:val="en-GB" w:eastAsia="en-GB" w:bidi="ar-SA"/>
    </w:rPr>
  </w:style>
  <w:style w:type="character" w:customStyle="1" w:styleId="36">
    <w:name w:val="fixed Char"/>
    <w:link w:val="35"/>
    <w:uiPriority w:val="0"/>
    <w:rPr>
      <w:b/>
      <w:sz w:val="24"/>
    </w:rPr>
  </w:style>
  <w:style w:type="character" w:customStyle="1" w:styleId="37">
    <w:name w:val="heading Char"/>
    <w:link w:val="34"/>
    <w:uiPriority w:val="0"/>
    <w:rPr>
      <w:b/>
      <w:sz w:val="24"/>
    </w:rPr>
  </w:style>
  <w:style w:type="paragraph" w:customStyle="1" w:styleId="38">
    <w:name w:val="SMU NORMAL ARIAL"/>
    <w:basedOn w:val="1"/>
    <w:uiPriority w:val="0"/>
    <w:rPr>
      <w:sz w:val="22"/>
      <w:szCs w:val="24"/>
    </w:rPr>
  </w:style>
  <w:style w:type="character" w:customStyle="1" w:styleId="39">
    <w:name w:val="标题 8 字符"/>
    <w:link w:val="7"/>
    <w:semiHidden/>
    <w:uiPriority w:val="0"/>
    <w:rPr>
      <w:rFonts w:ascii="Calibri" w:hAnsi="Calibri" w:eastAsia="Times New Roman" w:cs="Times New Roman"/>
      <w:i/>
      <w:iCs/>
      <w:sz w:val="24"/>
      <w:szCs w:val="24"/>
    </w:rPr>
  </w:style>
  <w:style w:type="character" w:customStyle="1" w:styleId="40">
    <w:name w:val="标题 9 字符"/>
    <w:link w:val="8"/>
    <w:semiHidden/>
    <w:uiPriority w:val="9"/>
    <w:rPr>
      <w:rFonts w:ascii="Cambria" w:hAnsi="Cambria"/>
      <w:i/>
      <w:iCs/>
      <w:color w:val="404040"/>
    </w:rPr>
  </w:style>
  <w:style w:type="paragraph" w:customStyle="1" w:styleId="41">
    <w:name w:val="Style1"/>
    <w:basedOn w:val="1"/>
    <w:uiPriority w:val="0"/>
    <w:pPr>
      <w:overflowPunct w:val="0"/>
      <w:autoSpaceDE w:val="0"/>
      <w:autoSpaceDN w:val="0"/>
      <w:adjustRightInd w:val="0"/>
      <w:textAlignment w:val="baseline"/>
    </w:pPr>
  </w:style>
  <w:style w:type="character" w:customStyle="1" w:styleId="42">
    <w:name w:val="标题 3 字符"/>
    <w:link w:val="4"/>
    <w:uiPriority w:val="0"/>
    <w:rPr>
      <w:b/>
      <w:sz w:val="24"/>
    </w:rPr>
  </w:style>
  <w:style w:type="character" w:customStyle="1" w:styleId="43">
    <w:name w:val="标题 4 字符"/>
    <w:link w:val="5"/>
    <w:uiPriority w:val="0"/>
    <w:rPr>
      <w:sz w:val="40"/>
    </w:rPr>
  </w:style>
  <w:style w:type="character" w:customStyle="1" w:styleId="44">
    <w:name w:val="正文文本 2 字符"/>
    <w:link w:val="14"/>
    <w:uiPriority w:val="0"/>
    <w:rPr>
      <w:sz w:val="16"/>
      <w:lang w:eastAsia="en-US"/>
    </w:rPr>
  </w:style>
  <w:style w:type="table" w:customStyle="1" w:styleId="45">
    <w:name w:val="Table Grid1"/>
    <w:basedOn w:val="16"/>
    <w:uiPriority w:val="59"/>
    <w:rPr>
      <w:rFonts w:ascii="Calibri" w:hAnsi="Calibri" w:eastAsia="Calibri"/>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customStyle="1" w:styleId="46">
    <w:name w:val="Table Grid6"/>
    <w:basedOn w:val="16"/>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47">
    <w:name w:val="Body A"/>
    <w:uiPriority w:val="0"/>
    <w:pPr>
      <w:pBdr>
        <w:top w:val="none" w:color="auto" w:sz="0" w:space="0"/>
        <w:left w:val="none" w:color="auto" w:sz="0" w:space="0"/>
        <w:bottom w:val="none" w:color="auto" w:sz="0" w:space="0"/>
        <w:right w:val="none" w:color="auto" w:sz="0" w:space="0"/>
        <w:between w:val="none" w:color="auto" w:sz="0" w:space="0"/>
      </w:pBdr>
      <w:spacing w:after="200" w:line="276" w:lineRule="auto"/>
    </w:pPr>
    <w:rPr>
      <w:rFonts w:ascii="Calibri" w:hAnsi="Calibri" w:eastAsia="Calibri" w:cs="Calibri"/>
      <w:color w:val="000000"/>
      <w:sz w:val="22"/>
      <w:szCs w:val="22"/>
      <w:u w:color="000000"/>
      <w:lang w:val="en-US" w:eastAsia="en-GB" w:bidi="ar-SA"/>
    </w:rPr>
  </w:style>
  <w:style w:type="paragraph" w:customStyle="1" w:styleId="48">
    <w:name w:val="Body"/>
    <w:uiPriority w:val="0"/>
    <w:pPr>
      <w:pBdr>
        <w:top w:val="none" w:color="auto" w:sz="0" w:space="0"/>
        <w:left w:val="none" w:color="auto" w:sz="0" w:space="0"/>
        <w:bottom w:val="none" w:color="auto" w:sz="0" w:space="0"/>
        <w:right w:val="none" w:color="auto" w:sz="0" w:space="0"/>
        <w:between w:val="none" w:color="auto" w:sz="0" w:space="0"/>
      </w:pBdr>
    </w:pPr>
    <w:rPr>
      <w:rFonts w:ascii="Times New Roman" w:hAnsi="Times New Roman" w:eastAsia="Arial Unicode MS" w:cs="Arial Unicode MS"/>
      <w:color w:val="000000"/>
      <w:sz w:val="24"/>
      <w:szCs w:val="24"/>
      <w:u w:color="000000"/>
      <w:lang w:val="en-US" w:eastAsia="en-GB" w:bidi="ar-SA"/>
    </w:rPr>
  </w:style>
  <w:style w:type="paragraph" w:customStyle="1" w:styleId="49">
    <w:name w:val="Default"/>
    <w:uiPriority w:val="0"/>
    <w:pPr>
      <w:pBdr>
        <w:top w:val="none" w:color="auto" w:sz="0" w:space="0"/>
        <w:left w:val="none" w:color="auto" w:sz="0" w:space="0"/>
        <w:bottom w:val="none" w:color="auto" w:sz="0" w:space="0"/>
        <w:right w:val="none" w:color="auto" w:sz="0" w:space="0"/>
        <w:between w:val="none" w:color="auto" w:sz="0" w:space="0"/>
      </w:pBdr>
      <w:spacing w:after="200" w:line="276" w:lineRule="auto"/>
    </w:pPr>
    <w:rPr>
      <w:rFonts w:ascii="Arial" w:hAnsi="Arial" w:eastAsia="Arial Unicode MS" w:cs="Arial Unicode MS"/>
      <w:color w:val="000000"/>
      <w:sz w:val="24"/>
      <w:szCs w:val="24"/>
      <w:u w:color="000000"/>
      <w:lang w:val="en-US" w:eastAsia="en-GB" w:bidi="ar-SA"/>
    </w:rPr>
  </w:style>
  <w:style w:type="character" w:customStyle="1" w:styleId="50">
    <w:name w:val="列表段落 字符"/>
    <w:link w:val="28"/>
    <w:locked/>
    <w:uiPriority w:val="34"/>
  </w:style>
  <w:style w:type="paragraph" w:customStyle="1" w:styleId="51">
    <w:name w:val="TOC Heading"/>
    <w:basedOn w:val="2"/>
    <w:next w:val="1"/>
    <w:unhideWhenUsed/>
    <w:qFormat/>
    <w:uiPriority w:val="39"/>
    <w:pPr>
      <w:keepLines/>
      <w:pBdr>
        <w:top w:val="none" w:color="auto" w:sz="0" w:space="0"/>
        <w:left w:val="none" w:color="auto" w:sz="0" w:space="0"/>
        <w:bottom w:val="none" w:color="auto" w:sz="0" w:space="0"/>
        <w:right w:val="none" w:color="auto" w:sz="0" w:space="0"/>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52">
    <w:name w:val="No Spacing"/>
    <w:qFormat/>
    <w:uiPriority w:val="1"/>
    <w:rPr>
      <w:rFonts w:ascii="Arial" w:hAnsi="Arial" w:cs="Times New Roman" w:eastAsiaTheme="minorEastAsia"/>
      <w:sz w:val="24"/>
      <w:lang w:val="en-GB" w:eastAsia="en-GB" w:bidi="ar-SA"/>
    </w:rPr>
  </w:style>
  <w:style w:type="character" w:customStyle="1" w:styleId="53">
    <w:name w:val="Unresolved Mention"/>
    <w:semiHidden/>
    <w:unhideWhenUsed/>
    <w:uiPriority w:val="99"/>
    <w:rPr>
      <w:color w:val="605E5C"/>
      <w:shd w:val="clear" w:color="auto" w:fill="E1DFDD"/>
    </w:rPr>
  </w:style>
  <w:style w:type="paragraph" w:customStyle="1" w:styleId="54">
    <w:name w:val="Body Text100"/>
    <w:basedOn w:val="1"/>
    <w:uiPriority w:val="0"/>
    <w:pPr>
      <w:tabs>
        <w:tab w:val="left" w:pos="720"/>
        <w:tab w:val="left" w:pos="1440"/>
      </w:tabs>
    </w:pPr>
    <w:rPr>
      <w:rFonts w:ascii="CG Times (WN)" w:hAnsi="CG Times (WN)"/>
      <w:lang w:eastAsia="en-US"/>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cid:image001.png@01D0EA4A.2BD679A0" TargetMode="Externa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4.xml"/><Relationship Id="rId12" Type="http://schemas.openxmlformats.org/officeDocument/2006/relationships/customXml" Target="../customXml/item3.xml"/><Relationship Id="rId11" Type="http://schemas.openxmlformats.org/officeDocument/2006/relationships/customXml" Target="../customXml/item2.xml"/><Relationship Id="rId10" Type="http://schemas.openxmlformats.org/officeDocument/2006/relationships/customXml" Target="../customXml/item1.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 StyleName=""/>
</file>

<file path=customXml/item3.xml><?xml version="1.0" encoding="utf-8"?>
<ct:contentTypeSchema xmlns:ct="http://schemas.microsoft.com/office/2006/metadata/contentType" xmlns:ma="http://schemas.microsoft.com/office/2006/metadata/properties/metaAttributes" ct:_="" ma:_="" ma:contentTypeName="Document" ma:contentTypeID="0x010100808C3E3916ACD4428D115EF25F9436EF" ma:contentTypeVersion="14" ma:contentTypeDescription="Create a new document." ma:contentTypeScope="" ma:versionID="898bad42ce835aa81331a924f14663f2">
  <xsd:schema xmlns:xsd="http://www.w3.org/2001/XMLSchema" xmlns:xs="http://www.w3.org/2001/XMLSchema" xmlns:p="http://schemas.microsoft.com/office/2006/metadata/properties" xmlns:ns3="6220dcee-1f5a-4433-9141-0194a3262338" xmlns:ns4="14513967-dce1-4407-ac4e-44573e522717" targetNamespace="http://schemas.microsoft.com/office/2006/metadata/properties" ma:root="true" ma:fieldsID="65661469405d72d8e1dee6bc00349647" ns3:_="" ns4:_="">
    <xsd:import namespace="6220dcee-1f5a-4433-9141-0194a3262338"/>
    <xsd:import namespace="14513967-dce1-4407-ac4e-44573e52271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20dcee-1f5a-4433-9141-0194a326233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4513967-dce1-4407-ac4e-44573e52271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8E9D283-3DA9-4D0A-88C0-3C58B2FBAC85}">
  <ds:schemaRefs/>
</ds:datastoreItem>
</file>

<file path=customXml/itemProps2.xml><?xml version="1.0" encoding="utf-8"?>
<ds:datastoreItem xmlns:ds="http://schemas.openxmlformats.org/officeDocument/2006/customXml" ds:itemID="{338B350A-B3A3-4C06-981C-51917BBED5F8}">
  <ds:schemaRefs/>
</ds:datastoreItem>
</file>

<file path=customXml/itemProps3.xml><?xml version="1.0" encoding="utf-8"?>
<ds:datastoreItem xmlns:ds="http://schemas.openxmlformats.org/officeDocument/2006/customXml" ds:itemID="{CF5EFB22-BE5F-4B55-A306-198672121CA6}">
  <ds:schemaRefs/>
</ds:datastoreItem>
</file>

<file path=customXml/itemProps4.xml><?xml version="1.0" encoding="utf-8"?>
<ds:datastoreItem xmlns:ds="http://schemas.openxmlformats.org/officeDocument/2006/customXml" ds:itemID="{C6493BD1-CA14-4D21-9632-D035D033ADF2}">
  <ds:schemaRefs/>
</ds:datastoreItem>
</file>

<file path=docProps/app.xml><?xml version="1.0" encoding="utf-8"?>
<Properties xmlns="http://schemas.openxmlformats.org/officeDocument/2006/extended-properties" xmlns:vt="http://schemas.openxmlformats.org/officeDocument/2006/docPropsVTypes">
  <Template>AssignFrm.dot</Template>
  <Company>S.I.H.E.</Company>
  <Pages>3</Pages>
  <Words>788</Words>
  <Characters>5344</Characters>
  <Lines>43</Lines>
  <Paragraphs>12</Paragraphs>
  <TotalTime>7</TotalTime>
  <ScaleCrop>false</ScaleCrop>
  <LinksUpToDate>false</LinksUpToDate>
  <CharactersWithSpaces>6076</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2023-04-28T07:03:00Z</dcterms:created>
  <dc:creator>fad-lc</dc:creator>
  <cp:lastModifiedBy>415147438qqcom</cp:lastModifiedBy>
  <cp:lastPrinted>2021-04-21T10:23:00Z</cp:lastPrinted>
  <dcterms:modified xsi:type="dcterms:W3CDTF">2023-04-30T06:53:12Z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0x010100808C3E3916ACD4428D115EF25F9436EF</vt:lpwstr>
  </property>
  <property fmtid="{D5CDD505-2E9C-101B-9397-08002B2CF9AE}" pid="6" name="KSOProductBuildVer">
    <vt:lpwstr>2052-11.1.0.14036</vt:lpwstr>
  </property>
  <property fmtid="{D5CDD505-2E9C-101B-9397-08002B2CF9AE}" pid="7" name="ICV">
    <vt:lpwstr>9465B16A6ECC47198CA37C5E8577A4D5_12</vt:lpwstr>
  </property>
</Properties>
</file>