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C2BFDA" w14:textId="77777777" w:rsidR="00370DEB" w:rsidRDefault="00370DEB">
      <w:pPr>
        <w:spacing w:line="360" w:lineRule="auto"/>
        <w:jc w:val="center"/>
        <w:rPr>
          <w:rFonts w:ascii="Times New Roman" w:eastAsia="Times New Roman" w:hAnsi="Times New Roman" w:cs="Times New Roman"/>
          <w:b/>
          <w:sz w:val="32"/>
          <w:szCs w:val="32"/>
        </w:rPr>
      </w:pPr>
    </w:p>
    <w:p w14:paraId="5B46E5B6" w14:textId="77777777" w:rsidR="00370DEB" w:rsidRDefault="00370DEB">
      <w:pPr>
        <w:spacing w:line="360" w:lineRule="auto"/>
        <w:jc w:val="center"/>
        <w:rPr>
          <w:rFonts w:ascii="Times New Roman" w:eastAsia="Times New Roman" w:hAnsi="Times New Roman" w:cs="Times New Roman"/>
          <w:b/>
          <w:sz w:val="32"/>
          <w:szCs w:val="32"/>
        </w:rPr>
      </w:pPr>
    </w:p>
    <w:p w14:paraId="49E756F3" w14:textId="77777777" w:rsidR="00370DEB" w:rsidRDefault="00370DEB">
      <w:pPr>
        <w:spacing w:line="360" w:lineRule="auto"/>
        <w:jc w:val="center"/>
        <w:rPr>
          <w:rFonts w:ascii="Times New Roman" w:eastAsia="Times New Roman" w:hAnsi="Times New Roman" w:cs="Times New Roman"/>
          <w:b/>
          <w:sz w:val="32"/>
          <w:szCs w:val="32"/>
        </w:rPr>
      </w:pPr>
    </w:p>
    <w:p w14:paraId="4AFF8E54" w14:textId="77777777" w:rsidR="00370DEB" w:rsidRDefault="00370DEB">
      <w:pPr>
        <w:spacing w:line="360" w:lineRule="auto"/>
        <w:jc w:val="center"/>
        <w:rPr>
          <w:rFonts w:ascii="Times New Roman" w:eastAsia="Times New Roman" w:hAnsi="Times New Roman" w:cs="Times New Roman"/>
          <w:b/>
          <w:sz w:val="32"/>
          <w:szCs w:val="32"/>
        </w:rPr>
      </w:pPr>
    </w:p>
    <w:p w14:paraId="4904157D" w14:textId="77777777" w:rsidR="00370DEB" w:rsidRDefault="00370DEB">
      <w:pPr>
        <w:spacing w:line="360" w:lineRule="auto"/>
        <w:jc w:val="center"/>
        <w:rPr>
          <w:rFonts w:ascii="Times New Roman" w:eastAsia="Times New Roman" w:hAnsi="Times New Roman" w:cs="Times New Roman"/>
          <w:b/>
          <w:sz w:val="32"/>
          <w:szCs w:val="32"/>
        </w:rPr>
      </w:pPr>
    </w:p>
    <w:p w14:paraId="3CB9489B" w14:textId="77777777" w:rsidR="00370DEB" w:rsidRDefault="00370DEB">
      <w:pPr>
        <w:spacing w:line="360" w:lineRule="auto"/>
        <w:jc w:val="center"/>
        <w:rPr>
          <w:rFonts w:ascii="Times New Roman" w:eastAsia="Times New Roman" w:hAnsi="Times New Roman" w:cs="Times New Roman"/>
          <w:b/>
          <w:sz w:val="32"/>
          <w:szCs w:val="32"/>
        </w:rPr>
      </w:pPr>
    </w:p>
    <w:p w14:paraId="2B23473D" w14:textId="77777777" w:rsidR="00370DEB" w:rsidRDefault="00370DEB">
      <w:pPr>
        <w:spacing w:line="360" w:lineRule="auto"/>
        <w:jc w:val="center"/>
        <w:rPr>
          <w:rFonts w:ascii="Times New Roman" w:eastAsia="Times New Roman" w:hAnsi="Times New Roman" w:cs="Times New Roman"/>
          <w:b/>
          <w:sz w:val="32"/>
          <w:szCs w:val="32"/>
        </w:rPr>
      </w:pPr>
    </w:p>
    <w:p w14:paraId="0370BC57" w14:textId="77777777" w:rsidR="00370DEB" w:rsidRDefault="00370DEB">
      <w:pPr>
        <w:spacing w:line="360" w:lineRule="auto"/>
        <w:jc w:val="center"/>
        <w:rPr>
          <w:rFonts w:ascii="Times New Roman" w:eastAsia="Times New Roman" w:hAnsi="Times New Roman" w:cs="Times New Roman"/>
          <w:b/>
          <w:sz w:val="32"/>
          <w:szCs w:val="32"/>
        </w:rPr>
      </w:pPr>
    </w:p>
    <w:p w14:paraId="16F60C88" w14:textId="77777777" w:rsidR="00370DEB" w:rsidRDefault="005D2C2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STRATEGIC MANAGEMENT &amp; SUSTAINABILITY</w:t>
      </w:r>
    </w:p>
    <w:p w14:paraId="0A263051" w14:textId="77777777" w:rsidR="00122334" w:rsidRDefault="005D2C2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LCBB6004</w:t>
      </w:r>
    </w:p>
    <w:p w14:paraId="1C5F1DDA" w14:textId="77777777" w:rsidR="00122334" w:rsidRDefault="00122334">
      <w:pPr>
        <w:spacing w:line="360" w:lineRule="auto"/>
        <w:jc w:val="center"/>
        <w:rPr>
          <w:rFonts w:ascii="Times New Roman" w:eastAsia="Times New Roman" w:hAnsi="Times New Roman" w:cs="Times New Roman"/>
          <w:b/>
          <w:sz w:val="32"/>
          <w:szCs w:val="32"/>
        </w:rPr>
      </w:pPr>
    </w:p>
    <w:p w14:paraId="429F5CC3" w14:textId="77777777" w:rsidR="00122334" w:rsidRPr="00122334" w:rsidRDefault="00122334" w:rsidP="00122334">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NAME: </w:t>
      </w:r>
      <w:proofErr w:type="spellStart"/>
      <w:r w:rsidRPr="00122334">
        <w:rPr>
          <w:rFonts w:ascii="Times New Roman" w:eastAsia="Times New Roman" w:hAnsi="Times New Roman" w:cs="Times New Roman"/>
          <w:b/>
          <w:sz w:val="32"/>
          <w:szCs w:val="32"/>
        </w:rPr>
        <w:t>Sevila</w:t>
      </w:r>
      <w:proofErr w:type="spellEnd"/>
      <w:r w:rsidRPr="00122334">
        <w:rPr>
          <w:rFonts w:ascii="Times New Roman" w:eastAsia="Times New Roman" w:hAnsi="Times New Roman" w:cs="Times New Roman"/>
          <w:b/>
          <w:sz w:val="32"/>
          <w:szCs w:val="32"/>
        </w:rPr>
        <w:t xml:space="preserve"> </w:t>
      </w:r>
      <w:proofErr w:type="spellStart"/>
      <w:r w:rsidRPr="00122334">
        <w:rPr>
          <w:rFonts w:ascii="Times New Roman" w:eastAsia="Times New Roman" w:hAnsi="Times New Roman" w:cs="Times New Roman"/>
          <w:b/>
          <w:sz w:val="32"/>
          <w:szCs w:val="32"/>
        </w:rPr>
        <w:t>Gorahmedova</w:t>
      </w:r>
      <w:proofErr w:type="spellEnd"/>
      <w:r w:rsidRPr="00122334">
        <w:rPr>
          <w:rFonts w:ascii="Times New Roman" w:eastAsia="Times New Roman" w:hAnsi="Times New Roman" w:cs="Times New Roman"/>
          <w:b/>
          <w:sz w:val="32"/>
          <w:szCs w:val="32"/>
        </w:rPr>
        <w:t xml:space="preserve"> </w:t>
      </w:r>
    </w:p>
    <w:p w14:paraId="784B7659" w14:textId="2419C332" w:rsidR="00370DEB" w:rsidRDefault="00122334" w:rsidP="00122334">
      <w:pPr>
        <w:spacing w:line="360" w:lineRule="auto"/>
        <w:jc w:val="center"/>
        <w:rPr>
          <w:rFonts w:ascii="Times New Roman" w:eastAsia="Times New Roman" w:hAnsi="Times New Roman" w:cs="Times New Roman"/>
          <w:sz w:val="24"/>
          <w:szCs w:val="24"/>
        </w:rPr>
      </w:pPr>
      <w:r w:rsidRPr="00122334">
        <w:rPr>
          <w:rFonts w:ascii="Times New Roman" w:eastAsia="Times New Roman" w:hAnsi="Times New Roman" w:cs="Times New Roman"/>
          <w:b/>
          <w:sz w:val="32"/>
          <w:szCs w:val="32"/>
        </w:rPr>
        <w:t>STUDENT ID</w:t>
      </w:r>
      <w:r w:rsidRPr="00122334">
        <w:rPr>
          <w:rFonts w:ascii="Times New Roman" w:eastAsia="Times New Roman" w:hAnsi="Times New Roman" w:cs="Times New Roman"/>
          <w:b/>
          <w:sz w:val="32"/>
          <w:szCs w:val="32"/>
        </w:rPr>
        <w:t>: 2113595</w:t>
      </w:r>
      <w:r w:rsidR="005D2C20">
        <w:br w:type="page"/>
      </w:r>
    </w:p>
    <w:sdt>
      <w:sdtPr>
        <w:rPr>
          <w:rFonts w:ascii="Arial" w:eastAsia="Arial" w:hAnsi="Arial" w:cs="Arial"/>
          <w:color w:val="auto"/>
          <w:sz w:val="22"/>
          <w:szCs w:val="22"/>
          <w:lang w:val="en-GB" w:eastAsia="en-IN"/>
        </w:rPr>
        <w:id w:val="1443418484"/>
        <w:docPartObj>
          <w:docPartGallery w:val="Table of Contents"/>
          <w:docPartUnique/>
        </w:docPartObj>
      </w:sdtPr>
      <w:sdtEndPr>
        <w:rPr>
          <w:b/>
          <w:bCs/>
          <w:noProof/>
        </w:rPr>
      </w:sdtEndPr>
      <w:sdtContent>
        <w:p w14:paraId="0340BAF2" w14:textId="15C46933" w:rsidR="00A07914" w:rsidRPr="00A07914" w:rsidRDefault="00A07914" w:rsidP="00A07914">
          <w:pPr>
            <w:pStyle w:val="TOCHeading"/>
            <w:jc w:val="center"/>
            <w:rPr>
              <w:rFonts w:ascii="Times New Roman" w:hAnsi="Times New Roman" w:cs="Times New Roman"/>
              <w:b/>
              <w:bCs/>
              <w:color w:val="000000" w:themeColor="text1"/>
              <w:sz w:val="28"/>
              <w:szCs w:val="28"/>
            </w:rPr>
          </w:pPr>
          <w:r w:rsidRPr="00A07914">
            <w:rPr>
              <w:rFonts w:ascii="Times New Roman" w:hAnsi="Times New Roman" w:cs="Times New Roman"/>
              <w:b/>
              <w:bCs/>
              <w:color w:val="000000" w:themeColor="text1"/>
              <w:sz w:val="28"/>
              <w:szCs w:val="28"/>
            </w:rPr>
            <w:t>Table of Contents</w:t>
          </w:r>
        </w:p>
        <w:p w14:paraId="2D56882D" w14:textId="44618140" w:rsidR="00A07914" w:rsidRPr="00A07914" w:rsidRDefault="00A07914" w:rsidP="00A07914">
          <w:pPr>
            <w:pStyle w:val="TOC1"/>
            <w:tabs>
              <w:tab w:val="right" w:leader="dot" w:pos="9019"/>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64862114" w:history="1">
            <w:r w:rsidRPr="00A07914">
              <w:rPr>
                <w:rStyle w:val="Hyperlink"/>
                <w:rFonts w:ascii="Times New Roman" w:hAnsi="Times New Roman" w:cs="Times New Roman"/>
                <w:noProof/>
                <w:sz w:val="24"/>
                <w:szCs w:val="24"/>
              </w:rPr>
              <w:t>Key business and corporate strategies of the company.</w:t>
            </w:r>
            <w:r w:rsidRPr="00A07914">
              <w:rPr>
                <w:rFonts w:ascii="Times New Roman" w:hAnsi="Times New Roman" w:cs="Times New Roman"/>
                <w:noProof/>
                <w:webHidden/>
                <w:sz w:val="24"/>
                <w:szCs w:val="24"/>
              </w:rPr>
              <w:tab/>
            </w:r>
            <w:r w:rsidRPr="00A07914">
              <w:rPr>
                <w:rFonts w:ascii="Times New Roman" w:hAnsi="Times New Roman" w:cs="Times New Roman"/>
                <w:noProof/>
                <w:webHidden/>
                <w:sz w:val="24"/>
                <w:szCs w:val="24"/>
              </w:rPr>
              <w:fldChar w:fldCharType="begin"/>
            </w:r>
            <w:r w:rsidRPr="00A07914">
              <w:rPr>
                <w:rFonts w:ascii="Times New Roman" w:hAnsi="Times New Roman" w:cs="Times New Roman"/>
                <w:noProof/>
                <w:webHidden/>
                <w:sz w:val="24"/>
                <w:szCs w:val="24"/>
              </w:rPr>
              <w:instrText xml:space="preserve"> PAGEREF _Toc164862114 \h </w:instrText>
            </w:r>
            <w:r w:rsidRPr="00A07914">
              <w:rPr>
                <w:rFonts w:ascii="Times New Roman" w:hAnsi="Times New Roman" w:cs="Times New Roman"/>
                <w:noProof/>
                <w:webHidden/>
                <w:sz w:val="24"/>
                <w:szCs w:val="24"/>
              </w:rPr>
            </w:r>
            <w:r w:rsidRPr="00A07914">
              <w:rPr>
                <w:rFonts w:ascii="Times New Roman" w:hAnsi="Times New Roman" w:cs="Times New Roman"/>
                <w:noProof/>
                <w:webHidden/>
                <w:sz w:val="24"/>
                <w:szCs w:val="24"/>
              </w:rPr>
              <w:fldChar w:fldCharType="separate"/>
            </w:r>
            <w:r w:rsidRPr="00A07914">
              <w:rPr>
                <w:rFonts w:ascii="Times New Roman" w:hAnsi="Times New Roman" w:cs="Times New Roman"/>
                <w:noProof/>
                <w:webHidden/>
                <w:sz w:val="24"/>
                <w:szCs w:val="24"/>
              </w:rPr>
              <w:t>3</w:t>
            </w:r>
            <w:r w:rsidRPr="00A07914">
              <w:rPr>
                <w:rFonts w:ascii="Times New Roman" w:hAnsi="Times New Roman" w:cs="Times New Roman"/>
                <w:noProof/>
                <w:webHidden/>
                <w:sz w:val="24"/>
                <w:szCs w:val="24"/>
              </w:rPr>
              <w:fldChar w:fldCharType="end"/>
            </w:r>
          </w:hyperlink>
        </w:p>
        <w:p w14:paraId="6BB2FFD0" w14:textId="29BB1B76" w:rsidR="00A07914" w:rsidRPr="00A07914" w:rsidRDefault="005D2C20" w:rsidP="00A07914">
          <w:pPr>
            <w:pStyle w:val="TOC2"/>
            <w:tabs>
              <w:tab w:val="right" w:leader="dot" w:pos="9019"/>
            </w:tabs>
            <w:spacing w:line="360" w:lineRule="auto"/>
            <w:jc w:val="both"/>
            <w:rPr>
              <w:rFonts w:ascii="Times New Roman" w:hAnsi="Times New Roman" w:cs="Times New Roman"/>
              <w:noProof/>
              <w:sz w:val="24"/>
              <w:szCs w:val="24"/>
            </w:rPr>
          </w:pPr>
          <w:hyperlink w:anchor="_Toc164862115" w:history="1">
            <w:r w:rsidR="00A07914" w:rsidRPr="00A07914">
              <w:rPr>
                <w:rStyle w:val="Hyperlink"/>
                <w:rFonts w:ascii="Times New Roman" w:hAnsi="Times New Roman" w:cs="Times New Roman"/>
                <w:noProof/>
                <w:sz w:val="24"/>
                <w:szCs w:val="24"/>
              </w:rPr>
              <w:t>Ansoff matrix</w:t>
            </w:r>
            <w:r w:rsidR="00A07914" w:rsidRPr="00A07914">
              <w:rPr>
                <w:rFonts w:ascii="Times New Roman" w:hAnsi="Times New Roman" w:cs="Times New Roman"/>
                <w:noProof/>
                <w:webHidden/>
                <w:sz w:val="24"/>
                <w:szCs w:val="24"/>
              </w:rPr>
              <w:tab/>
            </w:r>
            <w:r w:rsidR="00A07914" w:rsidRPr="00A07914">
              <w:rPr>
                <w:rFonts w:ascii="Times New Roman" w:hAnsi="Times New Roman" w:cs="Times New Roman"/>
                <w:noProof/>
                <w:webHidden/>
                <w:sz w:val="24"/>
                <w:szCs w:val="24"/>
              </w:rPr>
              <w:fldChar w:fldCharType="begin"/>
            </w:r>
            <w:r w:rsidR="00A07914" w:rsidRPr="00A07914">
              <w:rPr>
                <w:rFonts w:ascii="Times New Roman" w:hAnsi="Times New Roman" w:cs="Times New Roman"/>
                <w:noProof/>
                <w:webHidden/>
                <w:sz w:val="24"/>
                <w:szCs w:val="24"/>
              </w:rPr>
              <w:instrText xml:space="preserve"> PAGEREF _Toc164862115 \h </w:instrText>
            </w:r>
            <w:r w:rsidR="00A07914" w:rsidRPr="00A07914">
              <w:rPr>
                <w:rFonts w:ascii="Times New Roman" w:hAnsi="Times New Roman" w:cs="Times New Roman"/>
                <w:noProof/>
                <w:webHidden/>
                <w:sz w:val="24"/>
                <w:szCs w:val="24"/>
              </w:rPr>
            </w:r>
            <w:r w:rsidR="00A07914" w:rsidRPr="00A07914">
              <w:rPr>
                <w:rFonts w:ascii="Times New Roman" w:hAnsi="Times New Roman" w:cs="Times New Roman"/>
                <w:noProof/>
                <w:webHidden/>
                <w:sz w:val="24"/>
                <w:szCs w:val="24"/>
              </w:rPr>
              <w:fldChar w:fldCharType="separate"/>
            </w:r>
            <w:r w:rsidR="00A07914" w:rsidRPr="00A07914">
              <w:rPr>
                <w:rFonts w:ascii="Times New Roman" w:hAnsi="Times New Roman" w:cs="Times New Roman"/>
                <w:noProof/>
                <w:webHidden/>
                <w:sz w:val="24"/>
                <w:szCs w:val="24"/>
              </w:rPr>
              <w:t>3</w:t>
            </w:r>
            <w:r w:rsidR="00A07914" w:rsidRPr="00A07914">
              <w:rPr>
                <w:rFonts w:ascii="Times New Roman" w:hAnsi="Times New Roman" w:cs="Times New Roman"/>
                <w:noProof/>
                <w:webHidden/>
                <w:sz w:val="24"/>
                <w:szCs w:val="24"/>
              </w:rPr>
              <w:fldChar w:fldCharType="end"/>
            </w:r>
          </w:hyperlink>
        </w:p>
        <w:p w14:paraId="4D0CAF42" w14:textId="636E0795" w:rsidR="00A07914" w:rsidRPr="00A07914" w:rsidRDefault="005D2C20" w:rsidP="00A07914">
          <w:pPr>
            <w:pStyle w:val="TOC2"/>
            <w:tabs>
              <w:tab w:val="right" w:leader="dot" w:pos="9019"/>
            </w:tabs>
            <w:spacing w:line="360" w:lineRule="auto"/>
            <w:jc w:val="both"/>
            <w:rPr>
              <w:rFonts w:ascii="Times New Roman" w:hAnsi="Times New Roman" w:cs="Times New Roman"/>
              <w:noProof/>
              <w:sz w:val="24"/>
              <w:szCs w:val="24"/>
            </w:rPr>
          </w:pPr>
          <w:hyperlink w:anchor="_Toc164862116" w:history="1">
            <w:r w:rsidR="00A07914" w:rsidRPr="00A07914">
              <w:rPr>
                <w:rStyle w:val="Hyperlink"/>
                <w:rFonts w:ascii="Times New Roman" w:hAnsi="Times New Roman" w:cs="Times New Roman"/>
                <w:noProof/>
                <w:sz w:val="24"/>
                <w:szCs w:val="24"/>
              </w:rPr>
              <w:t>Porter’s generic strategies</w:t>
            </w:r>
            <w:r w:rsidR="00A07914" w:rsidRPr="00A07914">
              <w:rPr>
                <w:rFonts w:ascii="Times New Roman" w:hAnsi="Times New Roman" w:cs="Times New Roman"/>
                <w:noProof/>
                <w:webHidden/>
                <w:sz w:val="24"/>
                <w:szCs w:val="24"/>
              </w:rPr>
              <w:tab/>
            </w:r>
            <w:r w:rsidR="00A07914" w:rsidRPr="00A07914">
              <w:rPr>
                <w:rFonts w:ascii="Times New Roman" w:hAnsi="Times New Roman" w:cs="Times New Roman"/>
                <w:noProof/>
                <w:webHidden/>
                <w:sz w:val="24"/>
                <w:szCs w:val="24"/>
              </w:rPr>
              <w:fldChar w:fldCharType="begin"/>
            </w:r>
            <w:r w:rsidR="00A07914" w:rsidRPr="00A07914">
              <w:rPr>
                <w:rFonts w:ascii="Times New Roman" w:hAnsi="Times New Roman" w:cs="Times New Roman"/>
                <w:noProof/>
                <w:webHidden/>
                <w:sz w:val="24"/>
                <w:szCs w:val="24"/>
              </w:rPr>
              <w:instrText xml:space="preserve"> PAGEREF _Toc164862116 \h </w:instrText>
            </w:r>
            <w:r w:rsidR="00A07914" w:rsidRPr="00A07914">
              <w:rPr>
                <w:rFonts w:ascii="Times New Roman" w:hAnsi="Times New Roman" w:cs="Times New Roman"/>
                <w:noProof/>
                <w:webHidden/>
                <w:sz w:val="24"/>
                <w:szCs w:val="24"/>
              </w:rPr>
            </w:r>
            <w:r w:rsidR="00A07914" w:rsidRPr="00A07914">
              <w:rPr>
                <w:rFonts w:ascii="Times New Roman" w:hAnsi="Times New Roman" w:cs="Times New Roman"/>
                <w:noProof/>
                <w:webHidden/>
                <w:sz w:val="24"/>
                <w:szCs w:val="24"/>
              </w:rPr>
              <w:fldChar w:fldCharType="separate"/>
            </w:r>
            <w:r w:rsidR="00A07914" w:rsidRPr="00A07914">
              <w:rPr>
                <w:rFonts w:ascii="Times New Roman" w:hAnsi="Times New Roman" w:cs="Times New Roman"/>
                <w:noProof/>
                <w:webHidden/>
                <w:sz w:val="24"/>
                <w:szCs w:val="24"/>
              </w:rPr>
              <w:t>4</w:t>
            </w:r>
            <w:r w:rsidR="00A07914" w:rsidRPr="00A07914">
              <w:rPr>
                <w:rFonts w:ascii="Times New Roman" w:hAnsi="Times New Roman" w:cs="Times New Roman"/>
                <w:noProof/>
                <w:webHidden/>
                <w:sz w:val="24"/>
                <w:szCs w:val="24"/>
              </w:rPr>
              <w:fldChar w:fldCharType="end"/>
            </w:r>
          </w:hyperlink>
        </w:p>
        <w:p w14:paraId="7AAC4D5E" w14:textId="103ED19A" w:rsidR="00A07914" w:rsidRPr="00A07914" w:rsidRDefault="005D2C20" w:rsidP="00A07914">
          <w:pPr>
            <w:pStyle w:val="TOC2"/>
            <w:tabs>
              <w:tab w:val="right" w:leader="dot" w:pos="9019"/>
            </w:tabs>
            <w:spacing w:line="360" w:lineRule="auto"/>
            <w:jc w:val="both"/>
            <w:rPr>
              <w:rFonts w:ascii="Times New Roman" w:hAnsi="Times New Roman" w:cs="Times New Roman"/>
              <w:noProof/>
              <w:sz w:val="24"/>
              <w:szCs w:val="24"/>
            </w:rPr>
          </w:pPr>
          <w:hyperlink w:anchor="_Toc164862117" w:history="1">
            <w:r w:rsidR="00A07914" w:rsidRPr="00A07914">
              <w:rPr>
                <w:rStyle w:val="Hyperlink"/>
                <w:rFonts w:ascii="Times New Roman" w:hAnsi="Times New Roman" w:cs="Times New Roman"/>
                <w:noProof/>
                <w:sz w:val="24"/>
                <w:szCs w:val="24"/>
              </w:rPr>
              <w:t>Corporate Strategies</w:t>
            </w:r>
            <w:r w:rsidR="00A07914" w:rsidRPr="00A07914">
              <w:rPr>
                <w:rFonts w:ascii="Times New Roman" w:hAnsi="Times New Roman" w:cs="Times New Roman"/>
                <w:noProof/>
                <w:webHidden/>
                <w:sz w:val="24"/>
                <w:szCs w:val="24"/>
              </w:rPr>
              <w:tab/>
            </w:r>
            <w:r w:rsidR="00A07914" w:rsidRPr="00A07914">
              <w:rPr>
                <w:rFonts w:ascii="Times New Roman" w:hAnsi="Times New Roman" w:cs="Times New Roman"/>
                <w:noProof/>
                <w:webHidden/>
                <w:sz w:val="24"/>
                <w:szCs w:val="24"/>
              </w:rPr>
              <w:fldChar w:fldCharType="begin"/>
            </w:r>
            <w:r w:rsidR="00A07914" w:rsidRPr="00A07914">
              <w:rPr>
                <w:rFonts w:ascii="Times New Roman" w:hAnsi="Times New Roman" w:cs="Times New Roman"/>
                <w:noProof/>
                <w:webHidden/>
                <w:sz w:val="24"/>
                <w:szCs w:val="24"/>
              </w:rPr>
              <w:instrText xml:space="preserve"> PAGEREF _Toc164862117 \h </w:instrText>
            </w:r>
            <w:r w:rsidR="00A07914" w:rsidRPr="00A07914">
              <w:rPr>
                <w:rFonts w:ascii="Times New Roman" w:hAnsi="Times New Roman" w:cs="Times New Roman"/>
                <w:noProof/>
                <w:webHidden/>
                <w:sz w:val="24"/>
                <w:szCs w:val="24"/>
              </w:rPr>
            </w:r>
            <w:r w:rsidR="00A07914" w:rsidRPr="00A07914">
              <w:rPr>
                <w:rFonts w:ascii="Times New Roman" w:hAnsi="Times New Roman" w:cs="Times New Roman"/>
                <w:noProof/>
                <w:webHidden/>
                <w:sz w:val="24"/>
                <w:szCs w:val="24"/>
              </w:rPr>
              <w:fldChar w:fldCharType="separate"/>
            </w:r>
            <w:r w:rsidR="00A07914" w:rsidRPr="00A07914">
              <w:rPr>
                <w:rFonts w:ascii="Times New Roman" w:hAnsi="Times New Roman" w:cs="Times New Roman"/>
                <w:noProof/>
                <w:webHidden/>
                <w:sz w:val="24"/>
                <w:szCs w:val="24"/>
              </w:rPr>
              <w:t>5</w:t>
            </w:r>
            <w:r w:rsidR="00A07914" w:rsidRPr="00A07914">
              <w:rPr>
                <w:rFonts w:ascii="Times New Roman" w:hAnsi="Times New Roman" w:cs="Times New Roman"/>
                <w:noProof/>
                <w:webHidden/>
                <w:sz w:val="24"/>
                <w:szCs w:val="24"/>
              </w:rPr>
              <w:fldChar w:fldCharType="end"/>
            </w:r>
          </w:hyperlink>
        </w:p>
        <w:p w14:paraId="3F20F98C" w14:textId="7ACFC69F" w:rsidR="00A07914" w:rsidRPr="00A07914" w:rsidRDefault="005D2C20" w:rsidP="00A07914">
          <w:pPr>
            <w:pStyle w:val="TOC1"/>
            <w:tabs>
              <w:tab w:val="right" w:leader="dot" w:pos="9019"/>
            </w:tabs>
            <w:spacing w:line="360" w:lineRule="auto"/>
            <w:jc w:val="both"/>
            <w:rPr>
              <w:rFonts w:ascii="Times New Roman" w:hAnsi="Times New Roman" w:cs="Times New Roman"/>
              <w:noProof/>
              <w:sz w:val="24"/>
              <w:szCs w:val="24"/>
            </w:rPr>
          </w:pPr>
          <w:hyperlink w:anchor="_Toc164862118" w:history="1">
            <w:r w:rsidR="00A07914" w:rsidRPr="00A07914">
              <w:rPr>
                <w:rStyle w:val="Hyperlink"/>
                <w:rFonts w:ascii="Times New Roman" w:hAnsi="Times New Roman" w:cs="Times New Roman"/>
                <w:noProof/>
                <w:sz w:val="24"/>
                <w:szCs w:val="24"/>
              </w:rPr>
              <w:t>Resources and capabilities</w:t>
            </w:r>
            <w:r w:rsidR="00A07914" w:rsidRPr="00A07914">
              <w:rPr>
                <w:rFonts w:ascii="Times New Roman" w:hAnsi="Times New Roman" w:cs="Times New Roman"/>
                <w:noProof/>
                <w:webHidden/>
                <w:sz w:val="24"/>
                <w:szCs w:val="24"/>
              </w:rPr>
              <w:tab/>
            </w:r>
            <w:r w:rsidR="00A07914" w:rsidRPr="00A07914">
              <w:rPr>
                <w:rFonts w:ascii="Times New Roman" w:hAnsi="Times New Roman" w:cs="Times New Roman"/>
                <w:noProof/>
                <w:webHidden/>
                <w:sz w:val="24"/>
                <w:szCs w:val="24"/>
              </w:rPr>
              <w:fldChar w:fldCharType="begin"/>
            </w:r>
            <w:r w:rsidR="00A07914" w:rsidRPr="00A07914">
              <w:rPr>
                <w:rFonts w:ascii="Times New Roman" w:hAnsi="Times New Roman" w:cs="Times New Roman"/>
                <w:noProof/>
                <w:webHidden/>
                <w:sz w:val="24"/>
                <w:szCs w:val="24"/>
              </w:rPr>
              <w:instrText xml:space="preserve"> PAGEREF _Toc164862118 \h </w:instrText>
            </w:r>
            <w:r w:rsidR="00A07914" w:rsidRPr="00A07914">
              <w:rPr>
                <w:rFonts w:ascii="Times New Roman" w:hAnsi="Times New Roman" w:cs="Times New Roman"/>
                <w:noProof/>
                <w:webHidden/>
                <w:sz w:val="24"/>
                <w:szCs w:val="24"/>
              </w:rPr>
            </w:r>
            <w:r w:rsidR="00A07914" w:rsidRPr="00A07914">
              <w:rPr>
                <w:rFonts w:ascii="Times New Roman" w:hAnsi="Times New Roman" w:cs="Times New Roman"/>
                <w:noProof/>
                <w:webHidden/>
                <w:sz w:val="24"/>
                <w:szCs w:val="24"/>
              </w:rPr>
              <w:fldChar w:fldCharType="separate"/>
            </w:r>
            <w:r w:rsidR="00A07914" w:rsidRPr="00A07914">
              <w:rPr>
                <w:rFonts w:ascii="Times New Roman" w:hAnsi="Times New Roman" w:cs="Times New Roman"/>
                <w:noProof/>
                <w:webHidden/>
                <w:sz w:val="24"/>
                <w:szCs w:val="24"/>
              </w:rPr>
              <w:t>6</w:t>
            </w:r>
            <w:r w:rsidR="00A07914" w:rsidRPr="00A07914">
              <w:rPr>
                <w:rFonts w:ascii="Times New Roman" w:hAnsi="Times New Roman" w:cs="Times New Roman"/>
                <w:noProof/>
                <w:webHidden/>
                <w:sz w:val="24"/>
                <w:szCs w:val="24"/>
              </w:rPr>
              <w:fldChar w:fldCharType="end"/>
            </w:r>
          </w:hyperlink>
        </w:p>
        <w:p w14:paraId="6F124700" w14:textId="4D831E63" w:rsidR="00A07914" w:rsidRPr="00A07914" w:rsidRDefault="005D2C20" w:rsidP="00A07914">
          <w:pPr>
            <w:pStyle w:val="TOC1"/>
            <w:tabs>
              <w:tab w:val="right" w:leader="dot" w:pos="9019"/>
            </w:tabs>
            <w:spacing w:line="360" w:lineRule="auto"/>
            <w:jc w:val="both"/>
            <w:rPr>
              <w:rFonts w:ascii="Times New Roman" w:hAnsi="Times New Roman" w:cs="Times New Roman"/>
              <w:noProof/>
              <w:sz w:val="24"/>
              <w:szCs w:val="24"/>
            </w:rPr>
          </w:pPr>
          <w:hyperlink w:anchor="_Toc164862119" w:history="1">
            <w:r w:rsidR="00A07914" w:rsidRPr="00A07914">
              <w:rPr>
                <w:rStyle w:val="Hyperlink"/>
                <w:rFonts w:ascii="Times New Roman" w:hAnsi="Times New Roman" w:cs="Times New Roman"/>
                <w:noProof/>
                <w:sz w:val="24"/>
                <w:szCs w:val="24"/>
              </w:rPr>
              <w:t>Competitive advantages over rivals</w:t>
            </w:r>
            <w:r w:rsidR="00A07914" w:rsidRPr="00A07914">
              <w:rPr>
                <w:rFonts w:ascii="Times New Roman" w:hAnsi="Times New Roman" w:cs="Times New Roman"/>
                <w:noProof/>
                <w:webHidden/>
                <w:sz w:val="24"/>
                <w:szCs w:val="24"/>
              </w:rPr>
              <w:tab/>
            </w:r>
            <w:r w:rsidR="00A07914" w:rsidRPr="00A07914">
              <w:rPr>
                <w:rFonts w:ascii="Times New Roman" w:hAnsi="Times New Roman" w:cs="Times New Roman"/>
                <w:noProof/>
                <w:webHidden/>
                <w:sz w:val="24"/>
                <w:szCs w:val="24"/>
              </w:rPr>
              <w:fldChar w:fldCharType="begin"/>
            </w:r>
            <w:r w:rsidR="00A07914" w:rsidRPr="00A07914">
              <w:rPr>
                <w:rFonts w:ascii="Times New Roman" w:hAnsi="Times New Roman" w:cs="Times New Roman"/>
                <w:noProof/>
                <w:webHidden/>
                <w:sz w:val="24"/>
                <w:szCs w:val="24"/>
              </w:rPr>
              <w:instrText xml:space="preserve"> PAGEREF _Toc164862119 \h </w:instrText>
            </w:r>
            <w:r w:rsidR="00A07914" w:rsidRPr="00A07914">
              <w:rPr>
                <w:rFonts w:ascii="Times New Roman" w:hAnsi="Times New Roman" w:cs="Times New Roman"/>
                <w:noProof/>
                <w:webHidden/>
                <w:sz w:val="24"/>
                <w:szCs w:val="24"/>
              </w:rPr>
            </w:r>
            <w:r w:rsidR="00A07914" w:rsidRPr="00A07914">
              <w:rPr>
                <w:rFonts w:ascii="Times New Roman" w:hAnsi="Times New Roman" w:cs="Times New Roman"/>
                <w:noProof/>
                <w:webHidden/>
                <w:sz w:val="24"/>
                <w:szCs w:val="24"/>
              </w:rPr>
              <w:fldChar w:fldCharType="separate"/>
            </w:r>
            <w:r w:rsidR="00A07914" w:rsidRPr="00A07914">
              <w:rPr>
                <w:rFonts w:ascii="Times New Roman" w:hAnsi="Times New Roman" w:cs="Times New Roman"/>
                <w:noProof/>
                <w:webHidden/>
                <w:sz w:val="24"/>
                <w:szCs w:val="24"/>
              </w:rPr>
              <w:t>8</w:t>
            </w:r>
            <w:r w:rsidR="00A07914" w:rsidRPr="00A07914">
              <w:rPr>
                <w:rFonts w:ascii="Times New Roman" w:hAnsi="Times New Roman" w:cs="Times New Roman"/>
                <w:noProof/>
                <w:webHidden/>
                <w:sz w:val="24"/>
                <w:szCs w:val="24"/>
              </w:rPr>
              <w:fldChar w:fldCharType="end"/>
            </w:r>
          </w:hyperlink>
        </w:p>
        <w:p w14:paraId="2B3AAE5B" w14:textId="02F2F72E" w:rsidR="00A07914" w:rsidRPr="00A07914" w:rsidRDefault="005D2C20" w:rsidP="00A07914">
          <w:pPr>
            <w:pStyle w:val="TOC1"/>
            <w:tabs>
              <w:tab w:val="right" w:leader="dot" w:pos="9019"/>
            </w:tabs>
            <w:spacing w:line="360" w:lineRule="auto"/>
            <w:jc w:val="both"/>
            <w:rPr>
              <w:rFonts w:ascii="Times New Roman" w:hAnsi="Times New Roman" w:cs="Times New Roman"/>
              <w:noProof/>
              <w:sz w:val="24"/>
              <w:szCs w:val="24"/>
            </w:rPr>
          </w:pPr>
          <w:hyperlink w:anchor="_Toc164862120" w:history="1">
            <w:r w:rsidR="00A07914" w:rsidRPr="00A07914">
              <w:rPr>
                <w:rStyle w:val="Hyperlink"/>
                <w:rFonts w:ascii="Times New Roman" w:hAnsi="Times New Roman" w:cs="Times New Roman"/>
                <w:noProof/>
                <w:sz w:val="24"/>
                <w:szCs w:val="24"/>
              </w:rPr>
              <w:t>Sustainability and the Environment</w:t>
            </w:r>
            <w:r w:rsidR="00A07914" w:rsidRPr="00A07914">
              <w:rPr>
                <w:rFonts w:ascii="Times New Roman" w:hAnsi="Times New Roman" w:cs="Times New Roman"/>
                <w:noProof/>
                <w:webHidden/>
                <w:sz w:val="24"/>
                <w:szCs w:val="24"/>
              </w:rPr>
              <w:tab/>
            </w:r>
            <w:r w:rsidR="00A07914" w:rsidRPr="00A07914">
              <w:rPr>
                <w:rFonts w:ascii="Times New Roman" w:hAnsi="Times New Roman" w:cs="Times New Roman"/>
                <w:noProof/>
                <w:webHidden/>
                <w:sz w:val="24"/>
                <w:szCs w:val="24"/>
              </w:rPr>
              <w:fldChar w:fldCharType="begin"/>
            </w:r>
            <w:r w:rsidR="00A07914" w:rsidRPr="00A07914">
              <w:rPr>
                <w:rFonts w:ascii="Times New Roman" w:hAnsi="Times New Roman" w:cs="Times New Roman"/>
                <w:noProof/>
                <w:webHidden/>
                <w:sz w:val="24"/>
                <w:szCs w:val="24"/>
              </w:rPr>
              <w:instrText xml:space="preserve"> PAGEREF _Toc164862120 \h </w:instrText>
            </w:r>
            <w:r w:rsidR="00A07914" w:rsidRPr="00A07914">
              <w:rPr>
                <w:rFonts w:ascii="Times New Roman" w:hAnsi="Times New Roman" w:cs="Times New Roman"/>
                <w:noProof/>
                <w:webHidden/>
                <w:sz w:val="24"/>
                <w:szCs w:val="24"/>
              </w:rPr>
            </w:r>
            <w:r w:rsidR="00A07914" w:rsidRPr="00A07914">
              <w:rPr>
                <w:rFonts w:ascii="Times New Roman" w:hAnsi="Times New Roman" w:cs="Times New Roman"/>
                <w:noProof/>
                <w:webHidden/>
                <w:sz w:val="24"/>
                <w:szCs w:val="24"/>
              </w:rPr>
              <w:fldChar w:fldCharType="separate"/>
            </w:r>
            <w:r w:rsidR="00A07914" w:rsidRPr="00A07914">
              <w:rPr>
                <w:rFonts w:ascii="Times New Roman" w:hAnsi="Times New Roman" w:cs="Times New Roman"/>
                <w:noProof/>
                <w:webHidden/>
                <w:sz w:val="24"/>
                <w:szCs w:val="24"/>
              </w:rPr>
              <w:t>10</w:t>
            </w:r>
            <w:r w:rsidR="00A07914" w:rsidRPr="00A07914">
              <w:rPr>
                <w:rFonts w:ascii="Times New Roman" w:hAnsi="Times New Roman" w:cs="Times New Roman"/>
                <w:noProof/>
                <w:webHidden/>
                <w:sz w:val="24"/>
                <w:szCs w:val="24"/>
              </w:rPr>
              <w:fldChar w:fldCharType="end"/>
            </w:r>
          </w:hyperlink>
        </w:p>
        <w:p w14:paraId="053FAD82" w14:textId="35C29B52" w:rsidR="00A07914" w:rsidRPr="00A07914" w:rsidRDefault="005D2C20" w:rsidP="00A07914">
          <w:pPr>
            <w:pStyle w:val="TOC1"/>
            <w:tabs>
              <w:tab w:val="right" w:leader="dot" w:pos="9019"/>
            </w:tabs>
            <w:spacing w:line="360" w:lineRule="auto"/>
            <w:jc w:val="both"/>
            <w:rPr>
              <w:rFonts w:ascii="Times New Roman" w:hAnsi="Times New Roman" w:cs="Times New Roman"/>
              <w:noProof/>
              <w:sz w:val="24"/>
              <w:szCs w:val="24"/>
            </w:rPr>
          </w:pPr>
          <w:hyperlink w:anchor="_Toc164862121" w:history="1">
            <w:r w:rsidR="00A07914" w:rsidRPr="00A07914">
              <w:rPr>
                <w:rStyle w:val="Hyperlink"/>
                <w:rFonts w:ascii="Times New Roman" w:hAnsi="Times New Roman" w:cs="Times New Roman"/>
                <w:noProof/>
                <w:sz w:val="24"/>
                <w:szCs w:val="24"/>
              </w:rPr>
              <w:t>Evaluation of Strategic Direction</w:t>
            </w:r>
            <w:r w:rsidR="00A07914" w:rsidRPr="00A07914">
              <w:rPr>
                <w:rFonts w:ascii="Times New Roman" w:hAnsi="Times New Roman" w:cs="Times New Roman"/>
                <w:noProof/>
                <w:webHidden/>
                <w:sz w:val="24"/>
                <w:szCs w:val="24"/>
              </w:rPr>
              <w:tab/>
            </w:r>
            <w:r w:rsidR="00A07914" w:rsidRPr="00A07914">
              <w:rPr>
                <w:rFonts w:ascii="Times New Roman" w:hAnsi="Times New Roman" w:cs="Times New Roman"/>
                <w:noProof/>
                <w:webHidden/>
                <w:sz w:val="24"/>
                <w:szCs w:val="24"/>
              </w:rPr>
              <w:fldChar w:fldCharType="begin"/>
            </w:r>
            <w:r w:rsidR="00A07914" w:rsidRPr="00A07914">
              <w:rPr>
                <w:rFonts w:ascii="Times New Roman" w:hAnsi="Times New Roman" w:cs="Times New Roman"/>
                <w:noProof/>
                <w:webHidden/>
                <w:sz w:val="24"/>
                <w:szCs w:val="24"/>
              </w:rPr>
              <w:instrText xml:space="preserve"> PAGEREF _Toc164862121 \h </w:instrText>
            </w:r>
            <w:r w:rsidR="00A07914" w:rsidRPr="00A07914">
              <w:rPr>
                <w:rFonts w:ascii="Times New Roman" w:hAnsi="Times New Roman" w:cs="Times New Roman"/>
                <w:noProof/>
                <w:webHidden/>
                <w:sz w:val="24"/>
                <w:szCs w:val="24"/>
              </w:rPr>
            </w:r>
            <w:r w:rsidR="00A07914" w:rsidRPr="00A07914">
              <w:rPr>
                <w:rFonts w:ascii="Times New Roman" w:hAnsi="Times New Roman" w:cs="Times New Roman"/>
                <w:noProof/>
                <w:webHidden/>
                <w:sz w:val="24"/>
                <w:szCs w:val="24"/>
              </w:rPr>
              <w:fldChar w:fldCharType="separate"/>
            </w:r>
            <w:r w:rsidR="00A07914" w:rsidRPr="00A07914">
              <w:rPr>
                <w:rFonts w:ascii="Times New Roman" w:hAnsi="Times New Roman" w:cs="Times New Roman"/>
                <w:noProof/>
                <w:webHidden/>
                <w:sz w:val="24"/>
                <w:szCs w:val="24"/>
              </w:rPr>
              <w:t>11</w:t>
            </w:r>
            <w:r w:rsidR="00A07914" w:rsidRPr="00A07914">
              <w:rPr>
                <w:rFonts w:ascii="Times New Roman" w:hAnsi="Times New Roman" w:cs="Times New Roman"/>
                <w:noProof/>
                <w:webHidden/>
                <w:sz w:val="24"/>
                <w:szCs w:val="24"/>
              </w:rPr>
              <w:fldChar w:fldCharType="end"/>
            </w:r>
          </w:hyperlink>
        </w:p>
        <w:p w14:paraId="76EFFC89" w14:textId="0BC2AA4D" w:rsidR="00A07914" w:rsidRPr="00A07914" w:rsidRDefault="005D2C20" w:rsidP="00A07914">
          <w:pPr>
            <w:pStyle w:val="TOC1"/>
            <w:tabs>
              <w:tab w:val="right" w:leader="dot" w:pos="9019"/>
            </w:tabs>
            <w:spacing w:line="360" w:lineRule="auto"/>
            <w:jc w:val="both"/>
            <w:rPr>
              <w:rFonts w:ascii="Times New Roman" w:hAnsi="Times New Roman" w:cs="Times New Roman"/>
              <w:noProof/>
              <w:sz w:val="24"/>
              <w:szCs w:val="24"/>
            </w:rPr>
          </w:pPr>
          <w:hyperlink w:anchor="_Toc164862122" w:history="1">
            <w:r w:rsidR="00A07914" w:rsidRPr="00A07914">
              <w:rPr>
                <w:rStyle w:val="Hyperlink"/>
                <w:rFonts w:ascii="Times New Roman" w:hAnsi="Times New Roman" w:cs="Times New Roman"/>
                <w:noProof/>
                <w:sz w:val="24"/>
                <w:szCs w:val="24"/>
              </w:rPr>
              <w:t>Recommendations</w:t>
            </w:r>
            <w:r w:rsidR="00A07914" w:rsidRPr="00A07914">
              <w:rPr>
                <w:rFonts w:ascii="Times New Roman" w:hAnsi="Times New Roman" w:cs="Times New Roman"/>
                <w:noProof/>
                <w:webHidden/>
                <w:sz w:val="24"/>
                <w:szCs w:val="24"/>
              </w:rPr>
              <w:tab/>
            </w:r>
            <w:r w:rsidR="00A07914" w:rsidRPr="00A07914">
              <w:rPr>
                <w:rFonts w:ascii="Times New Roman" w:hAnsi="Times New Roman" w:cs="Times New Roman"/>
                <w:noProof/>
                <w:webHidden/>
                <w:sz w:val="24"/>
                <w:szCs w:val="24"/>
              </w:rPr>
              <w:fldChar w:fldCharType="begin"/>
            </w:r>
            <w:r w:rsidR="00A07914" w:rsidRPr="00A07914">
              <w:rPr>
                <w:rFonts w:ascii="Times New Roman" w:hAnsi="Times New Roman" w:cs="Times New Roman"/>
                <w:noProof/>
                <w:webHidden/>
                <w:sz w:val="24"/>
                <w:szCs w:val="24"/>
              </w:rPr>
              <w:instrText xml:space="preserve"> PAGEREF _Toc164862122 \h </w:instrText>
            </w:r>
            <w:r w:rsidR="00A07914" w:rsidRPr="00A07914">
              <w:rPr>
                <w:rFonts w:ascii="Times New Roman" w:hAnsi="Times New Roman" w:cs="Times New Roman"/>
                <w:noProof/>
                <w:webHidden/>
                <w:sz w:val="24"/>
                <w:szCs w:val="24"/>
              </w:rPr>
            </w:r>
            <w:r w:rsidR="00A07914" w:rsidRPr="00A07914">
              <w:rPr>
                <w:rFonts w:ascii="Times New Roman" w:hAnsi="Times New Roman" w:cs="Times New Roman"/>
                <w:noProof/>
                <w:webHidden/>
                <w:sz w:val="24"/>
                <w:szCs w:val="24"/>
              </w:rPr>
              <w:fldChar w:fldCharType="separate"/>
            </w:r>
            <w:r w:rsidR="00A07914" w:rsidRPr="00A07914">
              <w:rPr>
                <w:rFonts w:ascii="Times New Roman" w:hAnsi="Times New Roman" w:cs="Times New Roman"/>
                <w:noProof/>
                <w:webHidden/>
                <w:sz w:val="24"/>
                <w:szCs w:val="24"/>
              </w:rPr>
              <w:t>12</w:t>
            </w:r>
            <w:r w:rsidR="00A07914" w:rsidRPr="00A07914">
              <w:rPr>
                <w:rFonts w:ascii="Times New Roman" w:hAnsi="Times New Roman" w:cs="Times New Roman"/>
                <w:noProof/>
                <w:webHidden/>
                <w:sz w:val="24"/>
                <w:szCs w:val="24"/>
              </w:rPr>
              <w:fldChar w:fldCharType="end"/>
            </w:r>
          </w:hyperlink>
        </w:p>
        <w:p w14:paraId="6FB80954" w14:textId="5932F033" w:rsidR="00A07914" w:rsidRPr="00A07914" w:rsidRDefault="005D2C20" w:rsidP="00A07914">
          <w:pPr>
            <w:pStyle w:val="TOC1"/>
            <w:tabs>
              <w:tab w:val="right" w:leader="dot" w:pos="9019"/>
            </w:tabs>
            <w:spacing w:line="360" w:lineRule="auto"/>
            <w:jc w:val="both"/>
            <w:rPr>
              <w:rFonts w:ascii="Times New Roman" w:hAnsi="Times New Roman" w:cs="Times New Roman"/>
              <w:noProof/>
              <w:sz w:val="24"/>
              <w:szCs w:val="24"/>
            </w:rPr>
          </w:pPr>
          <w:hyperlink w:anchor="_Toc164862123" w:history="1">
            <w:r w:rsidR="00A07914" w:rsidRPr="00A07914">
              <w:rPr>
                <w:rStyle w:val="Hyperlink"/>
                <w:rFonts w:ascii="Times New Roman" w:hAnsi="Times New Roman" w:cs="Times New Roman"/>
                <w:noProof/>
                <w:sz w:val="24"/>
                <w:szCs w:val="24"/>
              </w:rPr>
              <w:t>References</w:t>
            </w:r>
            <w:r w:rsidR="00A07914" w:rsidRPr="00A07914">
              <w:rPr>
                <w:rFonts w:ascii="Times New Roman" w:hAnsi="Times New Roman" w:cs="Times New Roman"/>
                <w:noProof/>
                <w:webHidden/>
                <w:sz w:val="24"/>
                <w:szCs w:val="24"/>
              </w:rPr>
              <w:tab/>
            </w:r>
            <w:r w:rsidR="00A07914" w:rsidRPr="00A07914">
              <w:rPr>
                <w:rFonts w:ascii="Times New Roman" w:hAnsi="Times New Roman" w:cs="Times New Roman"/>
                <w:noProof/>
                <w:webHidden/>
                <w:sz w:val="24"/>
                <w:szCs w:val="24"/>
              </w:rPr>
              <w:fldChar w:fldCharType="begin"/>
            </w:r>
            <w:r w:rsidR="00A07914" w:rsidRPr="00A07914">
              <w:rPr>
                <w:rFonts w:ascii="Times New Roman" w:hAnsi="Times New Roman" w:cs="Times New Roman"/>
                <w:noProof/>
                <w:webHidden/>
                <w:sz w:val="24"/>
                <w:szCs w:val="24"/>
              </w:rPr>
              <w:instrText xml:space="preserve"> PAGEREF _Toc164862123 \h </w:instrText>
            </w:r>
            <w:r w:rsidR="00A07914" w:rsidRPr="00A07914">
              <w:rPr>
                <w:rFonts w:ascii="Times New Roman" w:hAnsi="Times New Roman" w:cs="Times New Roman"/>
                <w:noProof/>
                <w:webHidden/>
                <w:sz w:val="24"/>
                <w:szCs w:val="24"/>
              </w:rPr>
            </w:r>
            <w:r w:rsidR="00A07914" w:rsidRPr="00A07914">
              <w:rPr>
                <w:rFonts w:ascii="Times New Roman" w:hAnsi="Times New Roman" w:cs="Times New Roman"/>
                <w:noProof/>
                <w:webHidden/>
                <w:sz w:val="24"/>
                <w:szCs w:val="24"/>
              </w:rPr>
              <w:fldChar w:fldCharType="separate"/>
            </w:r>
            <w:r w:rsidR="00A07914" w:rsidRPr="00A07914">
              <w:rPr>
                <w:rFonts w:ascii="Times New Roman" w:hAnsi="Times New Roman" w:cs="Times New Roman"/>
                <w:noProof/>
                <w:webHidden/>
                <w:sz w:val="24"/>
                <w:szCs w:val="24"/>
              </w:rPr>
              <w:t>13</w:t>
            </w:r>
            <w:r w:rsidR="00A07914" w:rsidRPr="00A07914">
              <w:rPr>
                <w:rFonts w:ascii="Times New Roman" w:hAnsi="Times New Roman" w:cs="Times New Roman"/>
                <w:noProof/>
                <w:webHidden/>
                <w:sz w:val="24"/>
                <w:szCs w:val="24"/>
              </w:rPr>
              <w:fldChar w:fldCharType="end"/>
            </w:r>
          </w:hyperlink>
        </w:p>
        <w:p w14:paraId="024ADB92" w14:textId="09FB54CD" w:rsidR="00A07914" w:rsidRPr="00A07914" w:rsidRDefault="005D2C20" w:rsidP="00A07914">
          <w:pPr>
            <w:pStyle w:val="TOC1"/>
            <w:tabs>
              <w:tab w:val="right" w:leader="dot" w:pos="9019"/>
            </w:tabs>
            <w:spacing w:line="360" w:lineRule="auto"/>
            <w:jc w:val="both"/>
            <w:rPr>
              <w:rFonts w:ascii="Times New Roman" w:hAnsi="Times New Roman" w:cs="Times New Roman"/>
              <w:noProof/>
              <w:sz w:val="24"/>
              <w:szCs w:val="24"/>
            </w:rPr>
          </w:pPr>
          <w:hyperlink w:anchor="_Toc164862124" w:history="1">
            <w:r w:rsidR="00A07914" w:rsidRPr="00A07914">
              <w:rPr>
                <w:rStyle w:val="Hyperlink"/>
                <w:rFonts w:ascii="Times New Roman" w:hAnsi="Times New Roman" w:cs="Times New Roman"/>
                <w:noProof/>
                <w:sz w:val="24"/>
                <w:szCs w:val="24"/>
              </w:rPr>
              <w:t>Appendices</w:t>
            </w:r>
            <w:r w:rsidR="00A07914" w:rsidRPr="00A07914">
              <w:rPr>
                <w:rFonts w:ascii="Times New Roman" w:hAnsi="Times New Roman" w:cs="Times New Roman"/>
                <w:noProof/>
                <w:webHidden/>
                <w:sz w:val="24"/>
                <w:szCs w:val="24"/>
              </w:rPr>
              <w:tab/>
            </w:r>
            <w:r w:rsidR="00A07914" w:rsidRPr="00A07914">
              <w:rPr>
                <w:rFonts w:ascii="Times New Roman" w:hAnsi="Times New Roman" w:cs="Times New Roman"/>
                <w:noProof/>
                <w:webHidden/>
                <w:sz w:val="24"/>
                <w:szCs w:val="24"/>
              </w:rPr>
              <w:fldChar w:fldCharType="begin"/>
            </w:r>
            <w:r w:rsidR="00A07914" w:rsidRPr="00A07914">
              <w:rPr>
                <w:rFonts w:ascii="Times New Roman" w:hAnsi="Times New Roman" w:cs="Times New Roman"/>
                <w:noProof/>
                <w:webHidden/>
                <w:sz w:val="24"/>
                <w:szCs w:val="24"/>
              </w:rPr>
              <w:instrText xml:space="preserve"> PAGEREF _Toc164862124 \h </w:instrText>
            </w:r>
            <w:r w:rsidR="00A07914" w:rsidRPr="00A07914">
              <w:rPr>
                <w:rFonts w:ascii="Times New Roman" w:hAnsi="Times New Roman" w:cs="Times New Roman"/>
                <w:noProof/>
                <w:webHidden/>
                <w:sz w:val="24"/>
                <w:szCs w:val="24"/>
              </w:rPr>
            </w:r>
            <w:r w:rsidR="00A07914" w:rsidRPr="00A07914">
              <w:rPr>
                <w:rFonts w:ascii="Times New Roman" w:hAnsi="Times New Roman" w:cs="Times New Roman"/>
                <w:noProof/>
                <w:webHidden/>
                <w:sz w:val="24"/>
                <w:szCs w:val="24"/>
              </w:rPr>
              <w:fldChar w:fldCharType="separate"/>
            </w:r>
            <w:r w:rsidR="00A07914" w:rsidRPr="00A07914">
              <w:rPr>
                <w:rFonts w:ascii="Times New Roman" w:hAnsi="Times New Roman" w:cs="Times New Roman"/>
                <w:noProof/>
                <w:webHidden/>
                <w:sz w:val="24"/>
                <w:szCs w:val="24"/>
              </w:rPr>
              <w:t>16</w:t>
            </w:r>
            <w:r w:rsidR="00A07914" w:rsidRPr="00A07914">
              <w:rPr>
                <w:rFonts w:ascii="Times New Roman" w:hAnsi="Times New Roman" w:cs="Times New Roman"/>
                <w:noProof/>
                <w:webHidden/>
                <w:sz w:val="24"/>
                <w:szCs w:val="24"/>
              </w:rPr>
              <w:fldChar w:fldCharType="end"/>
            </w:r>
          </w:hyperlink>
        </w:p>
        <w:p w14:paraId="0CD633DA" w14:textId="24DC0F2C" w:rsidR="00A07914" w:rsidRPr="00A07914" w:rsidRDefault="005D2C20" w:rsidP="00A07914">
          <w:pPr>
            <w:pStyle w:val="TOC2"/>
            <w:tabs>
              <w:tab w:val="right" w:leader="dot" w:pos="9019"/>
            </w:tabs>
            <w:spacing w:line="360" w:lineRule="auto"/>
            <w:jc w:val="both"/>
            <w:rPr>
              <w:rFonts w:ascii="Times New Roman" w:hAnsi="Times New Roman" w:cs="Times New Roman"/>
              <w:noProof/>
              <w:sz w:val="24"/>
              <w:szCs w:val="24"/>
            </w:rPr>
          </w:pPr>
          <w:hyperlink w:anchor="_Toc164862125" w:history="1">
            <w:r w:rsidR="00A07914" w:rsidRPr="00A07914">
              <w:rPr>
                <w:rStyle w:val="Hyperlink"/>
                <w:rFonts w:ascii="Times New Roman" w:hAnsi="Times New Roman" w:cs="Times New Roman"/>
                <w:noProof/>
                <w:sz w:val="24"/>
                <w:szCs w:val="24"/>
              </w:rPr>
              <w:t>VRIO analysis</w:t>
            </w:r>
            <w:r w:rsidR="00A07914" w:rsidRPr="00A07914">
              <w:rPr>
                <w:rFonts w:ascii="Times New Roman" w:hAnsi="Times New Roman" w:cs="Times New Roman"/>
                <w:noProof/>
                <w:webHidden/>
                <w:sz w:val="24"/>
                <w:szCs w:val="24"/>
              </w:rPr>
              <w:tab/>
            </w:r>
            <w:r w:rsidR="00A07914" w:rsidRPr="00A07914">
              <w:rPr>
                <w:rFonts w:ascii="Times New Roman" w:hAnsi="Times New Roman" w:cs="Times New Roman"/>
                <w:noProof/>
                <w:webHidden/>
                <w:sz w:val="24"/>
                <w:szCs w:val="24"/>
              </w:rPr>
              <w:fldChar w:fldCharType="begin"/>
            </w:r>
            <w:r w:rsidR="00A07914" w:rsidRPr="00A07914">
              <w:rPr>
                <w:rFonts w:ascii="Times New Roman" w:hAnsi="Times New Roman" w:cs="Times New Roman"/>
                <w:noProof/>
                <w:webHidden/>
                <w:sz w:val="24"/>
                <w:szCs w:val="24"/>
              </w:rPr>
              <w:instrText xml:space="preserve"> PAGEREF _Toc164862125 \h </w:instrText>
            </w:r>
            <w:r w:rsidR="00A07914" w:rsidRPr="00A07914">
              <w:rPr>
                <w:rFonts w:ascii="Times New Roman" w:hAnsi="Times New Roman" w:cs="Times New Roman"/>
                <w:noProof/>
                <w:webHidden/>
                <w:sz w:val="24"/>
                <w:szCs w:val="24"/>
              </w:rPr>
            </w:r>
            <w:r w:rsidR="00A07914" w:rsidRPr="00A07914">
              <w:rPr>
                <w:rFonts w:ascii="Times New Roman" w:hAnsi="Times New Roman" w:cs="Times New Roman"/>
                <w:noProof/>
                <w:webHidden/>
                <w:sz w:val="24"/>
                <w:szCs w:val="24"/>
              </w:rPr>
              <w:fldChar w:fldCharType="separate"/>
            </w:r>
            <w:r w:rsidR="00A07914" w:rsidRPr="00A07914">
              <w:rPr>
                <w:rFonts w:ascii="Times New Roman" w:hAnsi="Times New Roman" w:cs="Times New Roman"/>
                <w:noProof/>
                <w:webHidden/>
                <w:sz w:val="24"/>
                <w:szCs w:val="24"/>
              </w:rPr>
              <w:t>16</w:t>
            </w:r>
            <w:r w:rsidR="00A07914" w:rsidRPr="00A07914">
              <w:rPr>
                <w:rFonts w:ascii="Times New Roman" w:hAnsi="Times New Roman" w:cs="Times New Roman"/>
                <w:noProof/>
                <w:webHidden/>
                <w:sz w:val="24"/>
                <w:szCs w:val="24"/>
              </w:rPr>
              <w:fldChar w:fldCharType="end"/>
            </w:r>
          </w:hyperlink>
        </w:p>
        <w:p w14:paraId="108FF470" w14:textId="606A0DE0" w:rsidR="00A07914" w:rsidRPr="00A07914" w:rsidRDefault="005D2C20" w:rsidP="00A07914">
          <w:pPr>
            <w:pStyle w:val="TOC2"/>
            <w:tabs>
              <w:tab w:val="right" w:leader="dot" w:pos="9019"/>
            </w:tabs>
            <w:spacing w:line="360" w:lineRule="auto"/>
            <w:jc w:val="both"/>
            <w:rPr>
              <w:rFonts w:ascii="Times New Roman" w:hAnsi="Times New Roman" w:cs="Times New Roman"/>
              <w:noProof/>
              <w:sz w:val="24"/>
              <w:szCs w:val="24"/>
            </w:rPr>
          </w:pPr>
          <w:hyperlink w:anchor="_Toc164862126" w:history="1">
            <w:r w:rsidR="00A07914" w:rsidRPr="00A07914">
              <w:rPr>
                <w:rStyle w:val="Hyperlink"/>
                <w:rFonts w:ascii="Times New Roman" w:hAnsi="Times New Roman" w:cs="Times New Roman"/>
                <w:noProof/>
                <w:sz w:val="24"/>
                <w:szCs w:val="24"/>
              </w:rPr>
              <w:t>Porter's Five Forces</w:t>
            </w:r>
            <w:r w:rsidR="00A07914" w:rsidRPr="00A07914">
              <w:rPr>
                <w:rFonts w:ascii="Times New Roman" w:hAnsi="Times New Roman" w:cs="Times New Roman"/>
                <w:noProof/>
                <w:webHidden/>
                <w:sz w:val="24"/>
                <w:szCs w:val="24"/>
              </w:rPr>
              <w:tab/>
            </w:r>
            <w:r w:rsidR="00A07914" w:rsidRPr="00A07914">
              <w:rPr>
                <w:rFonts w:ascii="Times New Roman" w:hAnsi="Times New Roman" w:cs="Times New Roman"/>
                <w:noProof/>
                <w:webHidden/>
                <w:sz w:val="24"/>
                <w:szCs w:val="24"/>
              </w:rPr>
              <w:fldChar w:fldCharType="begin"/>
            </w:r>
            <w:r w:rsidR="00A07914" w:rsidRPr="00A07914">
              <w:rPr>
                <w:rFonts w:ascii="Times New Roman" w:hAnsi="Times New Roman" w:cs="Times New Roman"/>
                <w:noProof/>
                <w:webHidden/>
                <w:sz w:val="24"/>
                <w:szCs w:val="24"/>
              </w:rPr>
              <w:instrText xml:space="preserve"> PAGEREF _Toc164862126 \h </w:instrText>
            </w:r>
            <w:r w:rsidR="00A07914" w:rsidRPr="00A07914">
              <w:rPr>
                <w:rFonts w:ascii="Times New Roman" w:hAnsi="Times New Roman" w:cs="Times New Roman"/>
                <w:noProof/>
                <w:webHidden/>
                <w:sz w:val="24"/>
                <w:szCs w:val="24"/>
              </w:rPr>
            </w:r>
            <w:r w:rsidR="00A07914" w:rsidRPr="00A07914">
              <w:rPr>
                <w:rFonts w:ascii="Times New Roman" w:hAnsi="Times New Roman" w:cs="Times New Roman"/>
                <w:noProof/>
                <w:webHidden/>
                <w:sz w:val="24"/>
                <w:szCs w:val="24"/>
              </w:rPr>
              <w:fldChar w:fldCharType="separate"/>
            </w:r>
            <w:r w:rsidR="00A07914" w:rsidRPr="00A07914">
              <w:rPr>
                <w:rFonts w:ascii="Times New Roman" w:hAnsi="Times New Roman" w:cs="Times New Roman"/>
                <w:noProof/>
                <w:webHidden/>
                <w:sz w:val="24"/>
                <w:szCs w:val="24"/>
              </w:rPr>
              <w:t>16</w:t>
            </w:r>
            <w:r w:rsidR="00A07914" w:rsidRPr="00A07914">
              <w:rPr>
                <w:rFonts w:ascii="Times New Roman" w:hAnsi="Times New Roman" w:cs="Times New Roman"/>
                <w:noProof/>
                <w:webHidden/>
                <w:sz w:val="24"/>
                <w:szCs w:val="24"/>
              </w:rPr>
              <w:fldChar w:fldCharType="end"/>
            </w:r>
          </w:hyperlink>
        </w:p>
        <w:p w14:paraId="65508A5D" w14:textId="5FA34614" w:rsidR="00A07914" w:rsidRDefault="00A07914">
          <w:r>
            <w:rPr>
              <w:b/>
              <w:bCs/>
              <w:noProof/>
            </w:rPr>
            <w:fldChar w:fldCharType="end"/>
          </w:r>
        </w:p>
      </w:sdtContent>
    </w:sdt>
    <w:p w14:paraId="1EB74AAF" w14:textId="77777777" w:rsidR="00D54772" w:rsidRDefault="00D54772">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2083656" w14:textId="791E6937" w:rsidR="00370DEB" w:rsidRDefault="005D2C20" w:rsidP="005C68BC">
      <w:pPr>
        <w:pStyle w:val="Heading1"/>
      </w:pPr>
      <w:bookmarkStart w:id="0" w:name="_Toc164862114"/>
      <w:r>
        <w:lastRenderedPageBreak/>
        <w:t>Key business and corporate strategies of the company.</w:t>
      </w:r>
      <w:bookmarkEnd w:id="0"/>
    </w:p>
    <w:p w14:paraId="10193A6A" w14:textId="77777777" w:rsidR="00370DEB" w:rsidRDefault="005D2C20" w:rsidP="005C68BC">
      <w:pPr>
        <w:pStyle w:val="Heading2"/>
      </w:pPr>
      <w:bookmarkStart w:id="1" w:name="_Toc164862115"/>
      <w:r>
        <w:t>Ansoff matrix</w:t>
      </w:r>
      <w:bookmarkEnd w:id="1"/>
      <w:r>
        <w:t xml:space="preserve"> </w:t>
      </w:r>
    </w:p>
    <w:p w14:paraId="672ADD87" w14:textId="0D37A83A" w:rsidR="00D54772" w:rsidRDefault="00D5477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2B3D7CE2" wp14:editId="6C5421CD">
            <wp:extent cx="5486400" cy="3200400"/>
            <wp:effectExtent l="0" t="57150" r="0" b="95250"/>
            <wp:docPr id="47273590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98B6E9F" w14:textId="5DFF8B40" w:rsidR="00D54772" w:rsidRPr="00D54772" w:rsidRDefault="00D54772" w:rsidP="00D54772">
      <w:pPr>
        <w:spacing w:line="360" w:lineRule="auto"/>
        <w:jc w:val="center"/>
        <w:rPr>
          <w:rFonts w:ascii="Times New Roman" w:eastAsia="Times New Roman" w:hAnsi="Times New Roman" w:cs="Times New Roman"/>
          <w:b/>
          <w:bCs/>
          <w:sz w:val="24"/>
          <w:szCs w:val="24"/>
        </w:rPr>
      </w:pPr>
      <w:r w:rsidRPr="00D54772">
        <w:rPr>
          <w:rFonts w:ascii="Times New Roman" w:eastAsia="Times New Roman" w:hAnsi="Times New Roman" w:cs="Times New Roman"/>
          <w:b/>
          <w:bCs/>
          <w:sz w:val="24"/>
          <w:szCs w:val="24"/>
        </w:rPr>
        <w:t>Figure 1: Ansoff matrix</w:t>
      </w:r>
    </w:p>
    <w:p w14:paraId="32E2BEB1"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 Penetration</w:t>
      </w:r>
    </w:p>
    <w:p w14:paraId="3FBA5009"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Markets penetration </w:t>
      </w:r>
      <w:r>
        <w:rPr>
          <w:rFonts w:ascii="Times New Roman" w:eastAsia="Times New Roman" w:hAnsi="Times New Roman" w:cs="Times New Roman"/>
          <w:sz w:val="24"/>
          <w:szCs w:val="24"/>
        </w:rPr>
        <w:t>remains the frequent method Unilever uses to gain more sales for its products that are already existing in present markets (Lieu et al., 2021). By pursuing massive advertisement and promotions campaigns, opening an extensive distribution network as well as</w:t>
      </w:r>
      <w:r>
        <w:rPr>
          <w:rFonts w:ascii="Times New Roman" w:eastAsia="Times New Roman" w:hAnsi="Times New Roman" w:cs="Times New Roman"/>
          <w:sz w:val="24"/>
          <w:szCs w:val="24"/>
        </w:rPr>
        <w:t xml:space="preserve"> pushing products to emerge markets, Unilever targets to get more share of the consumer goods market. Including the company spends a large part of its budget on common add and promotional activity like Dove, Knorr and Lipton to keep and strengthen its repu</w:t>
      </w:r>
      <w:r>
        <w:rPr>
          <w:rFonts w:ascii="Times New Roman" w:eastAsia="Times New Roman" w:hAnsi="Times New Roman" w:cs="Times New Roman"/>
          <w:sz w:val="24"/>
          <w:szCs w:val="24"/>
        </w:rPr>
        <w:t>tation (</w:t>
      </w:r>
      <w:proofErr w:type="spellStart"/>
      <w:r>
        <w:rPr>
          <w:rFonts w:ascii="Times New Roman" w:eastAsia="Times New Roman" w:hAnsi="Times New Roman" w:cs="Times New Roman"/>
          <w:sz w:val="24"/>
          <w:szCs w:val="24"/>
        </w:rPr>
        <w:t>Oluwatayo</w:t>
      </w:r>
      <w:proofErr w:type="spellEnd"/>
      <w:r>
        <w:rPr>
          <w:rFonts w:ascii="Times New Roman" w:eastAsia="Times New Roman" w:hAnsi="Times New Roman" w:cs="Times New Roman"/>
          <w:sz w:val="24"/>
          <w:szCs w:val="24"/>
        </w:rPr>
        <w:t>, 2022).</w:t>
      </w:r>
    </w:p>
    <w:p w14:paraId="699D4AE6"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 Development</w:t>
      </w:r>
    </w:p>
    <w:p w14:paraId="524F4D65"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 by pursuing the market development strategies has its existing product portfolio launched in the new geographic markets (Lieu et al., 2021). In adopting a strategy of identifying fast growing markets wh</w:t>
      </w:r>
      <w:r>
        <w:rPr>
          <w:rFonts w:ascii="Times New Roman" w:eastAsia="Times New Roman" w:hAnsi="Times New Roman" w:cs="Times New Roman"/>
          <w:sz w:val="24"/>
          <w:szCs w:val="24"/>
        </w:rPr>
        <w:t xml:space="preserve">ere products can be suitably adjusted to meet consumers' local needs and preferences, Unilever widens its market and multiple revenue streams </w:t>
      </w:r>
      <w:proofErr w:type="gramStart"/>
      <w:r>
        <w:rPr>
          <w:rFonts w:ascii="Times New Roman" w:eastAsia="Times New Roman" w:hAnsi="Times New Roman" w:cs="Times New Roman"/>
          <w:sz w:val="24"/>
          <w:szCs w:val="24"/>
        </w:rPr>
        <w:t>For</w:t>
      </w:r>
      <w:proofErr w:type="gramEnd"/>
      <w:r>
        <w:rPr>
          <w:rFonts w:ascii="Times New Roman" w:eastAsia="Times New Roman" w:hAnsi="Times New Roman" w:cs="Times New Roman"/>
          <w:sz w:val="24"/>
          <w:szCs w:val="24"/>
        </w:rPr>
        <w:t xml:space="preserve"> example, the company has expanded into markets in Asia Africa, and Latin America specifically through introduc</w:t>
      </w:r>
      <w:r>
        <w:rPr>
          <w:rFonts w:ascii="Times New Roman" w:eastAsia="Times New Roman" w:hAnsi="Times New Roman" w:cs="Times New Roman"/>
          <w:sz w:val="24"/>
          <w:szCs w:val="24"/>
        </w:rPr>
        <w:t>ing products that are adapted to different cultural and demographic groups (Kang, Lee and Choi, 2023).</w:t>
      </w:r>
    </w:p>
    <w:p w14:paraId="12A52D26" w14:textId="77777777" w:rsidR="00D54772" w:rsidRDefault="00D54772" w:rsidP="00D5477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Product Development</w:t>
      </w:r>
    </w:p>
    <w:p w14:paraId="39C2003C"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development of a new product catering to new markets and sometimes variants to existing ones remains familiar with Unilever (Arun</w:t>
      </w:r>
      <w:r>
        <w:rPr>
          <w:rFonts w:ascii="Times New Roman" w:eastAsia="Times New Roman" w:hAnsi="Times New Roman" w:cs="Times New Roman"/>
          <w:sz w:val="24"/>
          <w:szCs w:val="24"/>
        </w:rPr>
        <w:t>achalam et al., 2019). Research and development investment plays a pivotal role in Unilever creations of customer-friendly products while adjusting to the ever-changing consumer market needs. One the of examples is the company introduce continuously new fo</w:t>
      </w:r>
      <w:r>
        <w:rPr>
          <w:rFonts w:ascii="Times New Roman" w:eastAsia="Times New Roman" w:hAnsi="Times New Roman" w:cs="Times New Roman"/>
          <w:sz w:val="24"/>
          <w:szCs w:val="24"/>
        </w:rPr>
        <w:t xml:space="preserve">rmulation, </w:t>
      </w:r>
      <w:proofErr w:type="spellStart"/>
      <w:r>
        <w:rPr>
          <w:rFonts w:ascii="Times New Roman" w:eastAsia="Times New Roman" w:hAnsi="Times New Roman" w:cs="Times New Roman"/>
          <w:sz w:val="24"/>
          <w:szCs w:val="24"/>
        </w:rPr>
        <w:t>flavors</w:t>
      </w:r>
      <w:proofErr w:type="spellEnd"/>
      <w:r>
        <w:rPr>
          <w:rFonts w:ascii="Times New Roman" w:eastAsia="Times New Roman" w:hAnsi="Times New Roman" w:cs="Times New Roman"/>
          <w:sz w:val="24"/>
          <w:szCs w:val="24"/>
        </w:rPr>
        <w:t xml:space="preserve"> and package design of its personal care, food, and home care products to build and maintain consumers’ interests and drive sales growth (Martins and Marto, 2023).</w:t>
      </w:r>
    </w:p>
    <w:p w14:paraId="628FDAEE"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Diversification</w:t>
      </w:r>
    </w:p>
    <w:p w14:paraId="43CED432"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opposed to Unilever which promotes market penetration, </w:t>
      </w:r>
      <w:r>
        <w:rPr>
          <w:rFonts w:ascii="Times New Roman" w:eastAsia="Times New Roman" w:hAnsi="Times New Roman" w:cs="Times New Roman"/>
          <w:sz w:val="24"/>
          <w:szCs w:val="24"/>
        </w:rPr>
        <w:t>market development, and product development strategies, it deliberately chases separate diversification initiatives to get into new products or industries as well. In the same way, Unilever is venturing into the wellness and health sector through the acqui</w:t>
      </w:r>
      <w:r>
        <w:rPr>
          <w:rFonts w:ascii="Times New Roman" w:eastAsia="Times New Roman" w:hAnsi="Times New Roman" w:cs="Times New Roman"/>
          <w:sz w:val="24"/>
          <w:szCs w:val="24"/>
        </w:rPr>
        <w:t>sition of companies such as Dollar Shave Club and Seventh Generation (</w:t>
      </w:r>
      <w:proofErr w:type="spellStart"/>
      <w:r>
        <w:rPr>
          <w:rFonts w:ascii="Times New Roman" w:eastAsia="Times New Roman" w:hAnsi="Times New Roman" w:cs="Times New Roman"/>
          <w:sz w:val="24"/>
          <w:szCs w:val="24"/>
        </w:rPr>
        <w:t>Pijl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Lokitz</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Wijnen</w:t>
      </w:r>
      <w:proofErr w:type="spellEnd"/>
      <w:r>
        <w:rPr>
          <w:rFonts w:ascii="Times New Roman" w:eastAsia="Times New Roman" w:hAnsi="Times New Roman" w:cs="Times New Roman"/>
          <w:sz w:val="24"/>
          <w:szCs w:val="24"/>
        </w:rPr>
        <w:t xml:space="preserve">, 2020). </w:t>
      </w:r>
    </w:p>
    <w:p w14:paraId="70AF660A" w14:textId="77777777" w:rsidR="00370DEB" w:rsidRDefault="005D2C20" w:rsidP="005C68BC">
      <w:pPr>
        <w:pStyle w:val="Heading2"/>
      </w:pPr>
      <w:bookmarkStart w:id="2" w:name="_Toc164862116"/>
      <w:r>
        <w:t>Porter’s generic strategies</w:t>
      </w:r>
      <w:bookmarkEnd w:id="2"/>
      <w:r>
        <w:t xml:space="preserve"> </w:t>
      </w:r>
    </w:p>
    <w:p w14:paraId="13EA92B5"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Cost Leadership</w:t>
      </w:r>
    </w:p>
    <w:p w14:paraId="290AF402"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 has applied cost leadership by investing in its production processes and efficacy of the supply cha</w:t>
      </w:r>
      <w:r>
        <w:rPr>
          <w:rFonts w:ascii="Times New Roman" w:eastAsia="Times New Roman" w:hAnsi="Times New Roman" w:cs="Times New Roman"/>
          <w:sz w:val="24"/>
          <w:szCs w:val="24"/>
        </w:rPr>
        <w:t xml:space="preserve">in at scale using economies of scale (Götz and Jankowska, 2020). Unilever can reach cost savings in such areas as product manufacturing, distribution, and </w:t>
      </w:r>
      <w:proofErr w:type="gramStart"/>
      <w:r>
        <w:rPr>
          <w:rFonts w:ascii="Times New Roman" w:eastAsia="Times New Roman" w:hAnsi="Times New Roman" w:cs="Times New Roman"/>
          <w:sz w:val="24"/>
          <w:szCs w:val="24"/>
        </w:rPr>
        <w:t>procurement,</w:t>
      </w:r>
      <w:proofErr w:type="gramEnd"/>
      <w:r>
        <w:rPr>
          <w:rFonts w:ascii="Times New Roman" w:eastAsia="Times New Roman" w:hAnsi="Times New Roman" w:cs="Times New Roman"/>
          <w:sz w:val="24"/>
          <w:szCs w:val="24"/>
        </w:rPr>
        <w:t xml:space="preserve"> therefore, their consumer goods products will be offered to customers at fairly competit</w:t>
      </w:r>
      <w:r>
        <w:rPr>
          <w:rFonts w:ascii="Times New Roman" w:eastAsia="Times New Roman" w:hAnsi="Times New Roman" w:cs="Times New Roman"/>
          <w:sz w:val="24"/>
          <w:szCs w:val="24"/>
        </w:rPr>
        <w:t>ive prices as it will attract the price-sensitive consumers.</w:t>
      </w:r>
    </w:p>
    <w:p w14:paraId="243FCACB"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Differentiation</w:t>
      </w:r>
    </w:p>
    <w:p w14:paraId="3E538DF6"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Innovation, branding and marketing strategies are the predominant activities that clients or consumers are looking for and this makes Unilever to stand out in the market (Bader Is</w:t>
      </w:r>
      <w:r>
        <w:rPr>
          <w:rFonts w:ascii="Times New Roman" w:eastAsia="Times New Roman" w:hAnsi="Times New Roman" w:cs="Times New Roman"/>
          <w:sz w:val="24"/>
          <w:szCs w:val="24"/>
        </w:rPr>
        <w:t xml:space="preserve">maeel and Wael </w:t>
      </w:r>
      <w:proofErr w:type="spellStart"/>
      <w:r>
        <w:rPr>
          <w:rFonts w:ascii="Times New Roman" w:eastAsia="Times New Roman" w:hAnsi="Times New Roman" w:cs="Times New Roman"/>
          <w:sz w:val="24"/>
          <w:szCs w:val="24"/>
        </w:rPr>
        <w:t>Alsariera</w:t>
      </w:r>
      <w:proofErr w:type="spellEnd"/>
      <w:r>
        <w:rPr>
          <w:rFonts w:ascii="Times New Roman" w:eastAsia="Times New Roman" w:hAnsi="Times New Roman" w:cs="Times New Roman"/>
          <w:sz w:val="24"/>
          <w:szCs w:val="24"/>
        </w:rPr>
        <w:t xml:space="preserve">, 2023). The business makes an emphasis on their research and development to produce entirely new formula, packaging, packaging’s designs and features which sets their products apart from the competitors. </w:t>
      </w:r>
    </w:p>
    <w:p w14:paraId="2679E365"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Focus</w:t>
      </w:r>
    </w:p>
    <w:p w14:paraId="2D15690B"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Unilever mostl</w:t>
      </w:r>
      <w:r>
        <w:rPr>
          <w:rFonts w:ascii="Times New Roman" w:eastAsia="Times New Roman" w:hAnsi="Times New Roman" w:cs="Times New Roman"/>
          <w:sz w:val="24"/>
          <w:szCs w:val="24"/>
        </w:rPr>
        <w:t xml:space="preserve">y target retail group of customers with large shared of goods and product brands, it, however, does adopt specialized strategy for specific market or segments. As instance, Unilever's acquisitions of premium skincare brands as Dermalogica and Murad help </w:t>
      </w:r>
      <w:r>
        <w:rPr>
          <w:rFonts w:ascii="Times New Roman" w:eastAsia="Times New Roman" w:hAnsi="Times New Roman" w:cs="Times New Roman"/>
          <w:sz w:val="24"/>
          <w:szCs w:val="24"/>
        </w:rPr>
        <w:lastRenderedPageBreak/>
        <w:t>it</w:t>
      </w:r>
      <w:r>
        <w:rPr>
          <w:rFonts w:ascii="Times New Roman" w:eastAsia="Times New Roman" w:hAnsi="Times New Roman" w:cs="Times New Roman"/>
          <w:sz w:val="24"/>
          <w:szCs w:val="24"/>
        </w:rPr>
        <w:t xml:space="preserve"> to address the pampering needs at the end of the day of the segment of consumers who look for specialty skincare answers. </w:t>
      </w:r>
    </w:p>
    <w:p w14:paraId="296B8C2F" w14:textId="77777777" w:rsidR="00370DEB" w:rsidRDefault="005D2C20" w:rsidP="005C68BC">
      <w:pPr>
        <w:pStyle w:val="Heading2"/>
      </w:pPr>
      <w:bookmarkStart w:id="3" w:name="_Toc164862117"/>
      <w:r>
        <w:t>Corporate Strategies</w:t>
      </w:r>
      <w:bookmarkEnd w:id="3"/>
    </w:p>
    <w:p w14:paraId="1DEDC1F7"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Sustainable Living Plan</w:t>
      </w:r>
    </w:p>
    <w:p w14:paraId="4536E0DE"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06D1ACD" wp14:editId="04D7B608">
            <wp:extent cx="5731200" cy="3568700"/>
            <wp:effectExtent l="76200" t="76200" r="136525" b="1270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731200" cy="3568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55D9111" w14:textId="27803118" w:rsidR="00370DEB" w:rsidRDefault="005D2C2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w:t>
      </w:r>
      <w:r w:rsidR="005C68BC">
        <w:rPr>
          <w:rFonts w:ascii="Times New Roman" w:eastAsia="Times New Roman" w:hAnsi="Times New Roman" w:cs="Times New Roman"/>
          <w:b/>
          <w:sz w:val="24"/>
          <w:szCs w:val="24"/>
        </w:rPr>
        <w:t>2</w:t>
      </w:r>
      <w:r>
        <w:rPr>
          <w:rFonts w:ascii="Times New Roman" w:eastAsia="Times New Roman" w:hAnsi="Times New Roman" w:cs="Times New Roman"/>
          <w:b/>
          <w:sz w:val="24"/>
          <w:szCs w:val="24"/>
        </w:rPr>
        <w:t xml:space="preserve">: Sustainable Development Goals (SDGs) </w:t>
      </w:r>
    </w:p>
    <w:p w14:paraId="51933302" w14:textId="77777777" w:rsidR="00370DEB" w:rsidRDefault="005D2C2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Shayan et al., 2022)</w:t>
      </w:r>
    </w:p>
    <w:p w14:paraId="1718BAE8"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 made the Sustainable Living Plan as a mainstay of strategic activities and settled it as a comprehensive base (</w:t>
      </w:r>
      <w:proofErr w:type="spellStart"/>
      <w:r>
        <w:rPr>
          <w:rFonts w:ascii="Times New Roman" w:eastAsia="Times New Roman" w:hAnsi="Times New Roman" w:cs="Times New Roman"/>
          <w:sz w:val="24"/>
          <w:szCs w:val="24"/>
        </w:rPr>
        <w:t>Pucik</w:t>
      </w:r>
      <w:proofErr w:type="spellEnd"/>
      <w:r>
        <w:rPr>
          <w:rFonts w:ascii="Times New Roman" w:eastAsia="Times New Roman" w:hAnsi="Times New Roman" w:cs="Times New Roman"/>
          <w:sz w:val="24"/>
          <w:szCs w:val="24"/>
        </w:rPr>
        <w:t xml:space="preserve"> et al., 2023). This plan shows the pathways with daring obje</w:t>
      </w:r>
      <w:r>
        <w:rPr>
          <w:rFonts w:ascii="Times New Roman" w:eastAsia="Times New Roman" w:hAnsi="Times New Roman" w:cs="Times New Roman"/>
          <w:sz w:val="24"/>
          <w:szCs w:val="24"/>
        </w:rPr>
        <w:t>ctives and objectives which are thought to mend the environmental and social problems and contribute to the sustainable economic growth. The Sustainable Living Plan embodies the following core areas: to lessen the environmental impact of Unilever's operati</w:t>
      </w:r>
      <w:r>
        <w:rPr>
          <w:rFonts w:ascii="Times New Roman" w:eastAsia="Times New Roman" w:hAnsi="Times New Roman" w:cs="Times New Roman"/>
          <w:sz w:val="24"/>
          <w:szCs w:val="24"/>
        </w:rPr>
        <w:t xml:space="preserve">ons, to promote the health and </w:t>
      </w:r>
      <w:proofErr w:type="spellStart"/>
      <w:r>
        <w:rPr>
          <w:rFonts w:ascii="Times New Roman" w:eastAsia="Times New Roman" w:hAnsi="Times New Roman" w:cs="Times New Roman"/>
          <w:sz w:val="24"/>
          <w:szCs w:val="24"/>
        </w:rPr>
        <w:t>well being</w:t>
      </w:r>
      <w:proofErr w:type="spellEnd"/>
      <w:r>
        <w:rPr>
          <w:rFonts w:ascii="Times New Roman" w:eastAsia="Times New Roman" w:hAnsi="Times New Roman" w:cs="Times New Roman"/>
          <w:sz w:val="24"/>
          <w:szCs w:val="24"/>
        </w:rPr>
        <w:t xml:space="preserve"> of consumers and to improve the lives of the people across Unilever's value chain (</w:t>
      </w:r>
      <w:proofErr w:type="spellStart"/>
      <w:r>
        <w:rPr>
          <w:rFonts w:ascii="Times New Roman" w:eastAsia="Times New Roman" w:hAnsi="Times New Roman" w:cs="Times New Roman"/>
          <w:sz w:val="24"/>
          <w:szCs w:val="24"/>
        </w:rPr>
        <w:t>Modreanu</w:t>
      </w:r>
      <w:proofErr w:type="spellEnd"/>
      <w:r>
        <w:rPr>
          <w:rFonts w:ascii="Times New Roman" w:eastAsia="Times New Roman" w:hAnsi="Times New Roman" w:cs="Times New Roman"/>
          <w:sz w:val="24"/>
          <w:szCs w:val="24"/>
        </w:rPr>
        <w:t xml:space="preserve"> et al., 2022). </w:t>
      </w:r>
    </w:p>
    <w:p w14:paraId="2AC70E54"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Portfolio Management</w:t>
      </w:r>
    </w:p>
    <w:p w14:paraId="317D8143"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Unilever's brand management program, the company is able to carry out annual check-ups to ensure its strategic emphasis and resources allocation are on track (Gasmi, 2020). By means of acquisitions, divestments, and strategic partnerships, on the o</w:t>
      </w:r>
      <w:r>
        <w:rPr>
          <w:rFonts w:ascii="Times New Roman" w:eastAsia="Times New Roman" w:hAnsi="Times New Roman" w:cs="Times New Roman"/>
          <w:sz w:val="24"/>
          <w:szCs w:val="24"/>
        </w:rPr>
        <w:t xml:space="preserve">ne hand, Unilever </w:t>
      </w:r>
      <w:r>
        <w:rPr>
          <w:rFonts w:ascii="Times New Roman" w:eastAsia="Times New Roman" w:hAnsi="Times New Roman" w:cs="Times New Roman"/>
          <w:sz w:val="24"/>
          <w:szCs w:val="24"/>
        </w:rPr>
        <w:lastRenderedPageBreak/>
        <w:t xml:space="preserve">attempts to optimize its competitive standing in essential marketplaces and product lines, while, on the other hand, it tries to dispose </w:t>
      </w:r>
      <w:proofErr w:type="spellStart"/>
      <w:r>
        <w:rPr>
          <w:rFonts w:ascii="Times New Roman" w:eastAsia="Times New Roman" w:hAnsi="Times New Roman" w:cs="Times New Roman"/>
          <w:sz w:val="24"/>
          <w:szCs w:val="24"/>
        </w:rPr>
        <w:t>off</w:t>
      </w:r>
      <w:proofErr w:type="spellEnd"/>
      <w:r>
        <w:rPr>
          <w:rFonts w:ascii="Times New Roman" w:eastAsia="Times New Roman" w:hAnsi="Times New Roman" w:cs="Times New Roman"/>
          <w:sz w:val="24"/>
          <w:szCs w:val="24"/>
        </w:rPr>
        <w:t xml:space="preserve"> non-core or underperforming assets. </w:t>
      </w:r>
    </w:p>
    <w:p w14:paraId="36D4AB87"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Innovation and Research</w:t>
      </w:r>
    </w:p>
    <w:p w14:paraId="17C518C3"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depicted by Jain et al., (2021) I</w:t>
      </w:r>
      <w:r>
        <w:rPr>
          <w:rFonts w:ascii="Times New Roman" w:eastAsia="Times New Roman" w:hAnsi="Times New Roman" w:cs="Times New Roman"/>
          <w:sz w:val="24"/>
          <w:szCs w:val="24"/>
        </w:rPr>
        <w:t>nnovation is a core tenet of Unilever’s corporate vision designed to stop its competitors and to help it achieve sustainable growth. Unilever is known to bring lion's share in research and manufacturing processes to create new products, improve existing on</w:t>
      </w:r>
      <w:r>
        <w:rPr>
          <w:rFonts w:ascii="Times New Roman" w:eastAsia="Times New Roman" w:hAnsi="Times New Roman" w:cs="Times New Roman"/>
          <w:sz w:val="24"/>
          <w:szCs w:val="24"/>
        </w:rPr>
        <w:t>es and to be anticipatory consumer trends. Unilever has promoted a culture of innovation and helped new technologies, new formulations, and new packaging to be developed which in turn infuse into the numerous product categories of the company (Dionisio and</w:t>
      </w:r>
      <w:r>
        <w:rPr>
          <w:rFonts w:ascii="Times New Roman" w:eastAsia="Times New Roman" w:hAnsi="Times New Roman" w:cs="Times New Roman"/>
          <w:sz w:val="24"/>
          <w:szCs w:val="24"/>
        </w:rPr>
        <w:t xml:space="preserve"> de Vargas, 2019). </w:t>
      </w:r>
    </w:p>
    <w:p w14:paraId="7F53A596"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Global Expansion</w:t>
      </w:r>
    </w:p>
    <w:p w14:paraId="0EEC65B1" w14:textId="53B57F4B"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 seeks a policy of global growth specifically to exploit development markets and business opportunities outside the domestic ones (Lieu et al., 2021). The company covers operation in more than 190 member countri</w:t>
      </w:r>
      <w:r>
        <w:rPr>
          <w:rFonts w:ascii="Times New Roman" w:eastAsia="Times New Roman" w:hAnsi="Times New Roman" w:cs="Times New Roman"/>
          <w:sz w:val="24"/>
          <w:szCs w:val="24"/>
        </w:rPr>
        <w:t>es across the globe, does business in both the major and emerging markets. By applying the existing market penetration and growth-through-acquisition strategies, the company is able to expand its business activities into new markets, grab more shares and c</w:t>
      </w:r>
      <w:r>
        <w:rPr>
          <w:rFonts w:ascii="Times New Roman" w:eastAsia="Times New Roman" w:hAnsi="Times New Roman" w:cs="Times New Roman"/>
          <w:sz w:val="24"/>
          <w:szCs w:val="24"/>
        </w:rPr>
        <w:t xml:space="preserve">reate new revenue streams. </w:t>
      </w:r>
    </w:p>
    <w:p w14:paraId="1E05EC81" w14:textId="77777777" w:rsidR="00370DEB" w:rsidRDefault="005D2C20" w:rsidP="005C68BC">
      <w:pPr>
        <w:pStyle w:val="Heading1"/>
      </w:pPr>
      <w:bookmarkStart w:id="4" w:name="_Toc164862118"/>
      <w:r>
        <w:t>Resources and capabilities</w:t>
      </w:r>
      <w:bookmarkEnd w:id="4"/>
      <w:r>
        <w:t xml:space="preserve"> </w:t>
      </w:r>
    </w:p>
    <w:p w14:paraId="644EC2FD"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Human Resources</w:t>
      </w:r>
    </w:p>
    <w:p w14:paraId="3C9B519B"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Value: Human resource is part of Unilever's strengths which consequently helps it in terms of innovation, brand management, and sustainability efforts (</w:t>
      </w:r>
      <w:proofErr w:type="spellStart"/>
      <w:r>
        <w:rPr>
          <w:rFonts w:ascii="Times New Roman" w:eastAsia="Times New Roman" w:hAnsi="Times New Roman" w:cs="Times New Roman"/>
          <w:sz w:val="24"/>
          <w:szCs w:val="24"/>
        </w:rPr>
        <w:t>Modreanu</w:t>
      </w:r>
      <w:proofErr w:type="spellEnd"/>
      <w:r>
        <w:rPr>
          <w:rFonts w:ascii="Times New Roman" w:eastAsia="Times New Roman" w:hAnsi="Times New Roman" w:cs="Times New Roman"/>
          <w:sz w:val="24"/>
          <w:szCs w:val="24"/>
        </w:rPr>
        <w:t xml:space="preserve"> et al., 2022). The skil</w:t>
      </w:r>
      <w:r>
        <w:rPr>
          <w:rFonts w:ascii="Times New Roman" w:eastAsia="Times New Roman" w:hAnsi="Times New Roman" w:cs="Times New Roman"/>
          <w:sz w:val="24"/>
          <w:szCs w:val="24"/>
        </w:rPr>
        <w:t>ls, knowledge and expertise of the people in the workforce guarantee Unilever in equitable franchise marketing.</w:t>
      </w:r>
    </w:p>
    <w:p w14:paraId="2D967E27"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Rarity: The talent that Unilever values most has an internal character, a certain way of doing business that is reflected in the company's focus</w:t>
      </w:r>
      <w:r>
        <w:rPr>
          <w:rFonts w:ascii="Times New Roman" w:eastAsia="Times New Roman" w:hAnsi="Times New Roman" w:cs="Times New Roman"/>
          <w:sz w:val="24"/>
          <w:szCs w:val="24"/>
        </w:rPr>
        <w:t xml:space="preserve"> on talent development, diversity, and inclusiveness (Martins and Marto, 2023). The distinctively impressive and assorted workforce, which is the result of combined workforce capabilities and cultures, becomes the competitive advantage.</w:t>
      </w:r>
    </w:p>
    <w:p w14:paraId="017265A7"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Imitability: Some e</w:t>
      </w:r>
      <w:r>
        <w:rPr>
          <w:rFonts w:ascii="Times New Roman" w:eastAsia="Times New Roman" w:hAnsi="Times New Roman" w:cs="Times New Roman"/>
          <w:sz w:val="24"/>
          <w:szCs w:val="24"/>
        </w:rPr>
        <w:t>lements of human resources system in Unilever such a training programs can be copied, but culture corporate and staff development which are rare key factors in human resources system of the company, are not easy to be stolen by competitors (</w:t>
      </w:r>
      <w:proofErr w:type="spellStart"/>
      <w:r>
        <w:rPr>
          <w:rFonts w:ascii="Times New Roman" w:eastAsia="Times New Roman" w:hAnsi="Times New Roman" w:cs="Times New Roman"/>
          <w:sz w:val="24"/>
          <w:szCs w:val="24"/>
        </w:rPr>
        <w:t>Pucik</w:t>
      </w:r>
      <w:proofErr w:type="spellEnd"/>
      <w:r>
        <w:rPr>
          <w:rFonts w:ascii="Times New Roman" w:eastAsia="Times New Roman" w:hAnsi="Times New Roman" w:cs="Times New Roman"/>
          <w:sz w:val="24"/>
          <w:szCs w:val="24"/>
        </w:rPr>
        <w:t xml:space="preserve"> et al., 2</w:t>
      </w:r>
      <w:r>
        <w:rPr>
          <w:rFonts w:ascii="Times New Roman" w:eastAsia="Times New Roman" w:hAnsi="Times New Roman" w:cs="Times New Roman"/>
          <w:sz w:val="24"/>
          <w:szCs w:val="24"/>
        </w:rPr>
        <w:t>023).</w:t>
      </w:r>
    </w:p>
    <w:p w14:paraId="1CB27616"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Organization: Unilever captures and plays a major role in this aspect that involves human resources by implementing strategic initiatives and simultaneous integration of the employees into corporate goals through performance management, leadership de</w:t>
      </w:r>
      <w:r>
        <w:rPr>
          <w:rFonts w:ascii="Times New Roman" w:eastAsia="Times New Roman" w:hAnsi="Times New Roman" w:cs="Times New Roman"/>
          <w:sz w:val="24"/>
          <w:szCs w:val="24"/>
        </w:rPr>
        <w:t xml:space="preserve">velopment, and creation of cross functional collaboration (Van </w:t>
      </w:r>
      <w:proofErr w:type="spellStart"/>
      <w:r>
        <w:rPr>
          <w:rFonts w:ascii="Times New Roman" w:eastAsia="Times New Roman" w:hAnsi="Times New Roman" w:cs="Times New Roman"/>
          <w:sz w:val="24"/>
          <w:szCs w:val="24"/>
        </w:rPr>
        <w:t>Tulder</w:t>
      </w:r>
      <w:proofErr w:type="spellEnd"/>
      <w:r>
        <w:rPr>
          <w:rFonts w:ascii="Times New Roman" w:eastAsia="Times New Roman" w:hAnsi="Times New Roman" w:cs="Times New Roman"/>
          <w:sz w:val="24"/>
          <w:szCs w:val="24"/>
        </w:rPr>
        <w:t xml:space="preserve"> et al., 2021).</w:t>
      </w:r>
    </w:p>
    <w:p w14:paraId="0568E93D"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Brand Portfolio</w:t>
      </w:r>
    </w:p>
    <w:p w14:paraId="24C86D77"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Value: Unilever has achieved a brand portfolio that is a very valuable asset created out of global brands that consumers all over the world are familiar wi</w:t>
      </w:r>
      <w:r>
        <w:rPr>
          <w:rFonts w:ascii="Times New Roman" w:eastAsia="Times New Roman" w:hAnsi="Times New Roman" w:cs="Times New Roman"/>
          <w:sz w:val="24"/>
          <w:szCs w:val="24"/>
        </w:rPr>
        <w:t>th and trust. In addition to that, these brands fetched considerable revenue for Unilever and they led to its market supremacy in different categories.</w:t>
      </w:r>
    </w:p>
    <w:p w14:paraId="381C3513"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Rarity: However, individual brands within Unilever Group, as well as, the aggregated strengths and diver</w:t>
      </w:r>
      <w:r>
        <w:rPr>
          <w:rFonts w:ascii="Times New Roman" w:eastAsia="Times New Roman" w:hAnsi="Times New Roman" w:cs="Times New Roman"/>
          <w:sz w:val="24"/>
          <w:szCs w:val="24"/>
        </w:rPr>
        <w:t>sity of a portfolio are equally powerful force that Unilever has on its markets. Unilever probably has none of its competitors providing comparably wide range and depth of brand portfolio (</w:t>
      </w:r>
      <w:proofErr w:type="spellStart"/>
      <w:r>
        <w:rPr>
          <w:rFonts w:ascii="Times New Roman" w:eastAsia="Times New Roman" w:hAnsi="Times New Roman" w:cs="Times New Roman"/>
          <w:sz w:val="24"/>
          <w:szCs w:val="24"/>
        </w:rPr>
        <w:t>Czinkota</w:t>
      </w:r>
      <w:proofErr w:type="spellEnd"/>
      <w:r>
        <w:rPr>
          <w:rFonts w:ascii="Times New Roman" w:eastAsia="Times New Roman" w:hAnsi="Times New Roman" w:cs="Times New Roman"/>
          <w:sz w:val="24"/>
          <w:szCs w:val="24"/>
        </w:rPr>
        <w:t xml:space="preserve"> et al., 2021).</w:t>
      </w:r>
    </w:p>
    <w:p w14:paraId="2D2CFCFF"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Imitability: Replication of Unilever's bran</w:t>
      </w:r>
      <w:r>
        <w:rPr>
          <w:rFonts w:ascii="Times New Roman" w:eastAsia="Times New Roman" w:hAnsi="Times New Roman" w:cs="Times New Roman"/>
          <w:sz w:val="24"/>
          <w:szCs w:val="24"/>
        </w:rPr>
        <w:t>d diversity is very difficult because of factors like brand heritage, consumer faithfulness and big marketing expenditure which is spread across various brands governed. To mimic a vital investment portfolio would take significant time and resources.</w:t>
      </w:r>
    </w:p>
    <w:p w14:paraId="31F291C3"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w:t>
      </w:r>
      <w:r>
        <w:rPr>
          <w:rFonts w:ascii="Times New Roman" w:eastAsia="Times New Roman" w:hAnsi="Times New Roman" w:cs="Times New Roman"/>
          <w:sz w:val="24"/>
          <w:szCs w:val="24"/>
        </w:rPr>
        <w:t>ization: Unilever designs its brand portfolio in a wise manner, ensuring that the company makes a profit from core brands while investment in non-generating brands is stopped to use resources effectively (</w:t>
      </w:r>
      <w:proofErr w:type="spellStart"/>
      <w:r>
        <w:rPr>
          <w:rFonts w:ascii="Times New Roman" w:eastAsia="Times New Roman" w:hAnsi="Times New Roman" w:cs="Times New Roman"/>
          <w:sz w:val="24"/>
          <w:szCs w:val="24"/>
        </w:rPr>
        <w:t>Czinkota</w:t>
      </w:r>
      <w:proofErr w:type="spellEnd"/>
      <w:r>
        <w:rPr>
          <w:rFonts w:ascii="Times New Roman" w:eastAsia="Times New Roman" w:hAnsi="Times New Roman" w:cs="Times New Roman"/>
          <w:sz w:val="24"/>
          <w:szCs w:val="24"/>
        </w:rPr>
        <w:t xml:space="preserve"> et al., 2021). Consequently, the company p</w:t>
      </w:r>
      <w:r>
        <w:rPr>
          <w:rFonts w:ascii="Times New Roman" w:eastAsia="Times New Roman" w:hAnsi="Times New Roman" w:cs="Times New Roman"/>
          <w:sz w:val="24"/>
          <w:szCs w:val="24"/>
        </w:rPr>
        <w:t>ractices strong brand management in that each brand promotes the overall corporate objectives rather than endangering it.</w:t>
      </w:r>
    </w:p>
    <w:p w14:paraId="41CEB87C"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Innovation</w:t>
      </w:r>
    </w:p>
    <w:p w14:paraId="3288544D"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Value: Through managing Unilever's innovation capabilities consumers obtain differentiated products, they can have more mar</w:t>
      </w:r>
      <w:r>
        <w:rPr>
          <w:rFonts w:ascii="Times New Roman" w:eastAsia="Times New Roman" w:hAnsi="Times New Roman" w:cs="Times New Roman"/>
          <w:sz w:val="24"/>
          <w:szCs w:val="24"/>
        </w:rPr>
        <w:t xml:space="preserve">kets and at the same time, natural resources sustainability. As a company, there is considerable investment in research and development which in turn leads to the creation of better products which could meet the demands and still keep customers interested </w:t>
      </w:r>
      <w:r>
        <w:rPr>
          <w:rFonts w:ascii="Times New Roman" w:eastAsia="Times New Roman" w:hAnsi="Times New Roman" w:cs="Times New Roman"/>
          <w:sz w:val="24"/>
          <w:szCs w:val="24"/>
        </w:rPr>
        <w:t>in the product or service (Götz and Jankowska, 2020).</w:t>
      </w:r>
    </w:p>
    <w:p w14:paraId="3316CCFD"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Rarity: Innovation acumen of Unilever is demonstrated by the history of releasing enhanced products and novel technologies for the </w:t>
      </w:r>
      <w:proofErr w:type="spellStart"/>
      <w:r>
        <w:rPr>
          <w:rFonts w:ascii="Times New Roman" w:eastAsia="Times New Roman" w:hAnsi="Times New Roman" w:cs="Times New Roman"/>
          <w:sz w:val="24"/>
          <w:szCs w:val="24"/>
        </w:rPr>
        <w:t>consumers'empathy</w:t>
      </w:r>
      <w:proofErr w:type="spellEnd"/>
      <w:r>
        <w:rPr>
          <w:rFonts w:ascii="Times New Roman" w:eastAsia="Times New Roman" w:hAnsi="Times New Roman" w:cs="Times New Roman"/>
          <w:sz w:val="24"/>
          <w:szCs w:val="24"/>
        </w:rPr>
        <w:t>. The firm has unique innovation and collective work c</w:t>
      </w:r>
      <w:r>
        <w:rPr>
          <w:rFonts w:ascii="Times New Roman" w:eastAsia="Times New Roman" w:hAnsi="Times New Roman" w:cs="Times New Roman"/>
          <w:sz w:val="24"/>
          <w:szCs w:val="24"/>
        </w:rPr>
        <w:t xml:space="preserve">ulture that marks it different from other competitors (Bader Ismaeel and Wael </w:t>
      </w:r>
      <w:proofErr w:type="spellStart"/>
      <w:r>
        <w:rPr>
          <w:rFonts w:ascii="Times New Roman" w:eastAsia="Times New Roman" w:hAnsi="Times New Roman" w:cs="Times New Roman"/>
          <w:sz w:val="24"/>
          <w:szCs w:val="24"/>
        </w:rPr>
        <w:t>Alsariera</w:t>
      </w:r>
      <w:proofErr w:type="spellEnd"/>
      <w:r>
        <w:rPr>
          <w:rFonts w:ascii="Times New Roman" w:eastAsia="Times New Roman" w:hAnsi="Times New Roman" w:cs="Times New Roman"/>
          <w:sz w:val="24"/>
          <w:szCs w:val="24"/>
        </w:rPr>
        <w:t>, 2023).</w:t>
      </w:r>
    </w:p>
    <w:p w14:paraId="0CC2D689"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Imitability: While the opponents try to copy Unilever on exploration and development, it is difficult to imitate its innovative culture and capabilities. The fi</w:t>
      </w:r>
      <w:r>
        <w:rPr>
          <w:rFonts w:ascii="Times New Roman" w:eastAsia="Times New Roman" w:hAnsi="Times New Roman" w:cs="Times New Roman"/>
          <w:sz w:val="24"/>
          <w:szCs w:val="24"/>
        </w:rPr>
        <w:t xml:space="preserve">rm's culture, built with </w:t>
      </w:r>
      <w:r>
        <w:rPr>
          <w:rFonts w:ascii="Times New Roman" w:eastAsia="Times New Roman" w:hAnsi="Times New Roman" w:cs="Times New Roman"/>
          <w:sz w:val="24"/>
          <w:szCs w:val="24"/>
        </w:rPr>
        <w:lastRenderedPageBreak/>
        <w:t>creativity, ingenuity, and willingness to take risks makes an attractive atmosphere spurring experimentation.</w:t>
      </w:r>
    </w:p>
    <w:p w14:paraId="29AD0A55"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Organisation: Unilever ensures that its innovation activities are managed as a systematic process through specialized tea</w:t>
      </w:r>
      <w:r>
        <w:rPr>
          <w:rFonts w:ascii="Times New Roman" w:eastAsia="Times New Roman" w:hAnsi="Times New Roman" w:cs="Times New Roman"/>
          <w:sz w:val="24"/>
          <w:szCs w:val="24"/>
        </w:rPr>
        <w:t>ms and all resources that are directed towards research and development. The corporation propels teamwork among functions and regions to guarantee that the innovations are harmonised with the business strategies and the market wills.</w:t>
      </w:r>
    </w:p>
    <w:p w14:paraId="6E721A12" w14:textId="77777777" w:rsidR="00370DEB" w:rsidRDefault="005D2C20" w:rsidP="005C68BC">
      <w:pPr>
        <w:pStyle w:val="Heading1"/>
      </w:pPr>
      <w:bookmarkStart w:id="5" w:name="_Toc164862119"/>
      <w:r>
        <w:t>Competitive advantages</w:t>
      </w:r>
      <w:r>
        <w:t xml:space="preserve"> over rivals</w:t>
      </w:r>
      <w:bookmarkEnd w:id="5"/>
    </w:p>
    <w:p w14:paraId="2A5F1169"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Threat of New Entrants</w:t>
      </w:r>
    </w:p>
    <w:p w14:paraId="1C2BC024"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 is no doubt confronted by the barrier of only moderate threat of new entrants because of the entry barriers which are high in the array of consumer goods. These barriers include the big large-scale scale, </w:t>
      </w:r>
      <w:r>
        <w:rPr>
          <w:rFonts w:ascii="Times New Roman" w:eastAsia="Times New Roman" w:hAnsi="Times New Roman" w:cs="Times New Roman"/>
          <w:sz w:val="24"/>
          <w:szCs w:val="24"/>
        </w:rPr>
        <w:t>strong brand loyalty, channels of distribution and regulatory necessities.</w:t>
      </w:r>
    </w:p>
    <w:p w14:paraId="5576D422"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 has historically had a strong brand positioning and a loyal customer base, which is also a hurdle for new entrants to the market get that market share away (Jain et al., 20</w:t>
      </w:r>
      <w:r>
        <w:rPr>
          <w:rFonts w:ascii="Times New Roman" w:eastAsia="Times New Roman" w:hAnsi="Times New Roman" w:cs="Times New Roman"/>
          <w:sz w:val="24"/>
          <w:szCs w:val="24"/>
        </w:rPr>
        <w:t>21). Through the use of a well-established distribution network that creates cost savings in production, new entrance to the market is hindered.</w:t>
      </w:r>
    </w:p>
    <w:p w14:paraId="4AB4F8E3"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Bargaining Power of Suppliers</w:t>
      </w:r>
    </w:p>
    <w:p w14:paraId="1BBD02D2"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 is in a moderate position because of the power suppliers have over it, n</w:t>
      </w:r>
      <w:r>
        <w:rPr>
          <w:rFonts w:ascii="Times New Roman" w:eastAsia="Times New Roman" w:hAnsi="Times New Roman" w:cs="Times New Roman"/>
          <w:sz w:val="24"/>
          <w:szCs w:val="24"/>
        </w:rPr>
        <w:t>ot as a result of its large size and global spread (Unilever, 2024). While few manufacturers have much sway in the raw material markets in which they are active, magnitude of Unilever gives the company the chance to negotiate favourable prices and place it</w:t>
      </w:r>
      <w:r>
        <w:rPr>
          <w:rFonts w:ascii="Times New Roman" w:eastAsia="Times New Roman" w:hAnsi="Times New Roman" w:cs="Times New Roman"/>
          <w:sz w:val="24"/>
          <w:szCs w:val="24"/>
        </w:rPr>
        <w:t>s orders with multiple suppliers.</w:t>
      </w:r>
    </w:p>
    <w:p w14:paraId="3D21EA69"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in addition, Unilever focuses on the development of sustainable and equitable supplier relationships and practices for fair and stable sourcing (Unilever, 2024). Through these efforts demand is directed to the low</w:t>
      </w:r>
      <w:r>
        <w:rPr>
          <w:rFonts w:ascii="Times New Roman" w:eastAsia="Times New Roman" w:hAnsi="Times New Roman" w:cs="Times New Roman"/>
          <w:sz w:val="24"/>
          <w:szCs w:val="24"/>
        </w:rPr>
        <w:t>-cost supply chains which subsequently is diminishing the bargaining power of individual suppliers and increases Unilever's resilience to supply chain disruptions.</w:t>
      </w:r>
    </w:p>
    <w:p w14:paraId="592A99DB"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Bargaining Power of Buyers</w:t>
      </w:r>
    </w:p>
    <w:p w14:paraId="525D4CFC"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to this, the company is confronted by a medium to hig</w:t>
      </w:r>
      <w:r>
        <w:rPr>
          <w:rFonts w:ascii="Times New Roman" w:eastAsia="Times New Roman" w:hAnsi="Times New Roman" w:cs="Times New Roman"/>
          <w:sz w:val="24"/>
          <w:szCs w:val="24"/>
        </w:rPr>
        <w:t>h bargaining power of buyers, mainly in respect of the first segments of consumers (Miroslava Marinova, 2024). In many cases, shoppers can count on many alternatives and could be easily given up to an option they felt comfortable with regarding the pricing</w:t>
      </w:r>
      <w:r>
        <w:rPr>
          <w:rFonts w:ascii="Times New Roman" w:eastAsia="Times New Roman" w:hAnsi="Times New Roman" w:cs="Times New Roman"/>
          <w:sz w:val="24"/>
          <w:szCs w:val="24"/>
        </w:rPr>
        <w:t>, quality, and availability.</w:t>
      </w:r>
    </w:p>
    <w:p w14:paraId="605F4500"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contrary, the brand strength of Unilever and its product differentiation, alongside of the marketing tools intensify the buyer’s bargaining power (Gasmi, 2020). The company allocates </w:t>
      </w:r>
      <w:r>
        <w:rPr>
          <w:rFonts w:ascii="Times New Roman" w:eastAsia="Times New Roman" w:hAnsi="Times New Roman" w:cs="Times New Roman"/>
          <w:sz w:val="24"/>
          <w:szCs w:val="24"/>
        </w:rPr>
        <w:lastRenderedPageBreak/>
        <w:t>its capital to brand-building initiat</w:t>
      </w:r>
      <w:r>
        <w:rPr>
          <w:rFonts w:ascii="Times New Roman" w:eastAsia="Times New Roman" w:hAnsi="Times New Roman" w:cs="Times New Roman"/>
          <w:sz w:val="24"/>
          <w:szCs w:val="24"/>
        </w:rPr>
        <w:t>ives, product innovation and customer engagement in order to maintain the customers' feeling of loyalty to the brand and product disappearing their preferences.</w:t>
      </w:r>
    </w:p>
    <w:p w14:paraId="41E6E897"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Threat of Substitutes</w:t>
      </w:r>
    </w:p>
    <w:p w14:paraId="5275CFA8"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Substitutes presents Unilever a degree of losses to the market share sinc</w:t>
      </w:r>
      <w:r>
        <w:rPr>
          <w:rFonts w:ascii="Times New Roman" w:eastAsia="Times New Roman" w:hAnsi="Times New Roman" w:cs="Times New Roman"/>
          <w:sz w:val="24"/>
          <w:szCs w:val="24"/>
        </w:rPr>
        <w:t>e there are diverse choices for the consumers in the consumer goods market. Alternatives will change to privately-owned labels, specialty brands, or alternative categories of product.</w:t>
      </w:r>
    </w:p>
    <w:p w14:paraId="0CAC41F7"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Nevertheless, Unilever is able to draw in customers through the impressi</w:t>
      </w:r>
      <w:r>
        <w:rPr>
          <w:rFonts w:ascii="Times New Roman" w:eastAsia="Times New Roman" w:hAnsi="Times New Roman" w:cs="Times New Roman"/>
          <w:sz w:val="24"/>
          <w:szCs w:val="24"/>
        </w:rPr>
        <w:t>ve range of brands it has, the degree to which it diversifies its products, and its innovation capabilities, which contribute to thwarting potential substitutes (Martins and Marto, 2023). The enterprise systematically launches new products and choice to ke</w:t>
      </w:r>
      <w:r>
        <w:rPr>
          <w:rFonts w:ascii="Times New Roman" w:eastAsia="Times New Roman" w:hAnsi="Times New Roman" w:cs="Times New Roman"/>
          <w:sz w:val="24"/>
          <w:szCs w:val="24"/>
        </w:rPr>
        <w:t>ep up with consumers and qualitative change expectations, and to set trends (</w:t>
      </w:r>
      <w:proofErr w:type="spellStart"/>
      <w:r>
        <w:rPr>
          <w:rFonts w:ascii="Times New Roman" w:eastAsia="Times New Roman" w:hAnsi="Times New Roman" w:cs="Times New Roman"/>
          <w:sz w:val="24"/>
          <w:szCs w:val="24"/>
        </w:rPr>
        <w:t>Oluwatayo</w:t>
      </w:r>
      <w:proofErr w:type="spellEnd"/>
      <w:r>
        <w:rPr>
          <w:rFonts w:ascii="Times New Roman" w:eastAsia="Times New Roman" w:hAnsi="Times New Roman" w:cs="Times New Roman"/>
          <w:sz w:val="24"/>
          <w:szCs w:val="24"/>
        </w:rPr>
        <w:t>, 2022).</w:t>
      </w:r>
    </w:p>
    <w:p w14:paraId="476B63B7"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Competitive Rivalry</w:t>
      </w:r>
    </w:p>
    <w:p w14:paraId="7DDD4C27"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most challenging aspects for </w:t>
      </w:r>
      <w:proofErr w:type="spellStart"/>
      <w:r>
        <w:rPr>
          <w:rFonts w:ascii="Times New Roman" w:eastAsia="Times New Roman" w:hAnsi="Times New Roman" w:cs="Times New Roman"/>
          <w:sz w:val="24"/>
          <w:szCs w:val="24"/>
        </w:rPr>
        <w:t>Uniliver</w:t>
      </w:r>
      <w:proofErr w:type="spellEnd"/>
      <w:r>
        <w:rPr>
          <w:rFonts w:ascii="Times New Roman" w:eastAsia="Times New Roman" w:hAnsi="Times New Roman" w:cs="Times New Roman"/>
          <w:sz w:val="24"/>
          <w:szCs w:val="24"/>
        </w:rPr>
        <w:t xml:space="preserve"> as a consumer goods entrepreneur is faced to rivalry of consumers. Its competitors include P</w:t>
      </w:r>
      <w:r>
        <w:rPr>
          <w:rFonts w:ascii="Times New Roman" w:eastAsia="Times New Roman" w:hAnsi="Times New Roman" w:cs="Times New Roman"/>
          <w:sz w:val="24"/>
          <w:szCs w:val="24"/>
        </w:rPr>
        <w:t>roctor&amp; Gamble, Nestle and Coca Cola Company. Competition is inherent in markets and specific products as it is determined by factors like quality of goods, branding, innovation, pricing and distribution. But Unilever’s strong company concentration on inno</w:t>
      </w:r>
      <w:r>
        <w:rPr>
          <w:rFonts w:ascii="Times New Roman" w:eastAsia="Times New Roman" w:hAnsi="Times New Roman" w:cs="Times New Roman"/>
          <w:sz w:val="24"/>
          <w:szCs w:val="24"/>
        </w:rPr>
        <w:t>vative R&amp;D, sustainability, and brand equity allows it to remain on top in competition with its rivals. The organisation dedicates itself to research and development, gain brand awareness, and supply chain management by adopting new strategy to differentia</w:t>
      </w:r>
      <w:r>
        <w:rPr>
          <w:rFonts w:ascii="Times New Roman" w:eastAsia="Times New Roman" w:hAnsi="Times New Roman" w:cs="Times New Roman"/>
          <w:sz w:val="24"/>
          <w:szCs w:val="24"/>
        </w:rPr>
        <w:t>te its offerings and improve its market share.</w:t>
      </w:r>
    </w:p>
    <w:p w14:paraId="2DBF6ADB" w14:textId="77777777" w:rsidR="00370DEB" w:rsidRDefault="005D2C20" w:rsidP="005C68BC">
      <w:pPr>
        <w:pStyle w:val="Heading1"/>
      </w:pPr>
      <w:bookmarkStart w:id="6" w:name="_Toc164862120"/>
      <w:r>
        <w:lastRenderedPageBreak/>
        <w:t>Sustainability and the Environment</w:t>
      </w:r>
      <w:bookmarkEnd w:id="6"/>
    </w:p>
    <w:p w14:paraId="2373229C" w14:textId="77777777" w:rsidR="00370DEB" w:rsidRDefault="005D2C2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1C963EA8" wp14:editId="2D3F3398">
            <wp:extent cx="5731200" cy="5727700"/>
            <wp:effectExtent l="76200" t="76200" r="136525" b="139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731200" cy="5727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03865A" w14:textId="790AC8B6" w:rsidR="00370DEB" w:rsidRDefault="005D2C2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w:t>
      </w:r>
      <w:r w:rsidR="005C68BC">
        <w:rPr>
          <w:rFonts w:ascii="Times New Roman" w:eastAsia="Times New Roman" w:hAnsi="Times New Roman" w:cs="Times New Roman"/>
          <w:b/>
          <w:sz w:val="24"/>
          <w:szCs w:val="24"/>
        </w:rPr>
        <w:t>3</w:t>
      </w:r>
      <w:r>
        <w:rPr>
          <w:rFonts w:ascii="Times New Roman" w:eastAsia="Times New Roman" w:hAnsi="Times New Roman" w:cs="Times New Roman"/>
          <w:b/>
          <w:sz w:val="24"/>
          <w:szCs w:val="24"/>
        </w:rPr>
        <w:t>: Triple Bottom Line (TBL) framework</w:t>
      </w:r>
    </w:p>
    <w:p w14:paraId="0945EFB5" w14:textId="77777777" w:rsidR="00370DEB" w:rsidRDefault="005D2C2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Dalibozhko</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Krakovetskaya</w:t>
      </w:r>
      <w:proofErr w:type="spellEnd"/>
      <w:r>
        <w:rPr>
          <w:rFonts w:ascii="Times New Roman" w:eastAsia="Times New Roman" w:hAnsi="Times New Roman" w:cs="Times New Roman"/>
          <w:sz w:val="24"/>
          <w:szCs w:val="24"/>
        </w:rPr>
        <w:t>, 2018)</w:t>
      </w:r>
    </w:p>
    <w:p w14:paraId="5B09B165"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Triple Bottom Line (TBL) framework assesses business performance based on </w:t>
      </w:r>
      <w:r>
        <w:rPr>
          <w:rFonts w:ascii="Times New Roman" w:eastAsia="Times New Roman" w:hAnsi="Times New Roman" w:cs="Times New Roman"/>
          <w:sz w:val="24"/>
          <w:szCs w:val="24"/>
        </w:rPr>
        <w:t>three dimensions: economic, societal and environmental.</w:t>
      </w:r>
    </w:p>
    <w:p w14:paraId="1DE743D7"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Economic Dimension</w:t>
      </w:r>
    </w:p>
    <w:p w14:paraId="4C2241E8"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Unilever company has created a model that integrates sustainability into its business functions so that economic value is achieved, with the environment impact minimized (</w:t>
      </w:r>
      <w:proofErr w:type="spellStart"/>
      <w:r>
        <w:rPr>
          <w:rFonts w:ascii="Times New Roman" w:eastAsia="Times New Roman" w:hAnsi="Times New Roman" w:cs="Times New Roman"/>
          <w:sz w:val="24"/>
          <w:szCs w:val="24"/>
        </w:rPr>
        <w:t>Dalibo</w:t>
      </w:r>
      <w:r>
        <w:rPr>
          <w:rFonts w:ascii="Times New Roman" w:eastAsia="Times New Roman" w:hAnsi="Times New Roman" w:cs="Times New Roman"/>
          <w:sz w:val="24"/>
          <w:szCs w:val="24"/>
        </w:rPr>
        <w:t>zhko</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Krakovetskaya</w:t>
      </w:r>
      <w:proofErr w:type="spellEnd"/>
      <w:r>
        <w:rPr>
          <w:rFonts w:ascii="Times New Roman" w:eastAsia="Times New Roman" w:hAnsi="Times New Roman" w:cs="Times New Roman"/>
          <w:sz w:val="24"/>
          <w:szCs w:val="24"/>
        </w:rPr>
        <w:t xml:space="preserve">, 2018). One illustration is the Sustainable Living Plan, in which the company has set a goal of improving resource utilisation, reducing waste, and </w:t>
      </w:r>
      <w:r>
        <w:rPr>
          <w:rFonts w:ascii="Times New Roman" w:eastAsia="Times New Roman" w:hAnsi="Times New Roman" w:cs="Times New Roman"/>
          <w:sz w:val="24"/>
          <w:szCs w:val="24"/>
        </w:rPr>
        <w:lastRenderedPageBreak/>
        <w:t>optimising its operations, among other objectives.  The case of Unilever's annual rep</w:t>
      </w:r>
      <w:r>
        <w:rPr>
          <w:rFonts w:ascii="Times New Roman" w:eastAsia="Times New Roman" w:hAnsi="Times New Roman" w:cs="Times New Roman"/>
          <w:sz w:val="24"/>
          <w:szCs w:val="24"/>
        </w:rPr>
        <w:t>orts mentioned examples of employing the sustainability initiatives process that leads to cost savings. Liquid error: invalid character value: These cost savings support raising the margins and make the business competitive.</w:t>
      </w:r>
    </w:p>
    <w:p w14:paraId="594740F7"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 Dimension</w:t>
      </w:r>
    </w:p>
    <w:p w14:paraId="1D941BD9"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Effectively, U</w:t>
      </w:r>
      <w:r>
        <w:rPr>
          <w:rFonts w:ascii="Times New Roman" w:eastAsia="Times New Roman" w:hAnsi="Times New Roman" w:cs="Times New Roman"/>
          <w:sz w:val="24"/>
          <w:szCs w:val="24"/>
        </w:rPr>
        <w:t xml:space="preserve">nilever takes its social responsibility seriously with a view to make health and well-being as well as inclusive growth its mission. Unilever also takes care of communities in the value chain. The Sustainable Living Plan of the company has the initiatives </w:t>
      </w:r>
      <w:r>
        <w:rPr>
          <w:rFonts w:ascii="Times New Roman" w:eastAsia="Times New Roman" w:hAnsi="Times New Roman" w:cs="Times New Roman"/>
          <w:sz w:val="24"/>
          <w:szCs w:val="24"/>
        </w:rPr>
        <w:t xml:space="preserve">to improve people’s incomes, build women and ensure that the difference is acceptable (Unilever, 2024) Unilever’s social impact initiatives including the Dove Self-Esteem Project and the Unilever Foundation are a true testimony of where its ethical </w:t>
      </w:r>
      <w:proofErr w:type="spellStart"/>
      <w:r>
        <w:rPr>
          <w:rFonts w:ascii="Times New Roman" w:eastAsia="Times New Roman" w:hAnsi="Times New Roman" w:cs="Times New Roman"/>
          <w:sz w:val="24"/>
          <w:szCs w:val="24"/>
        </w:rPr>
        <w:t>behavio</w:t>
      </w:r>
      <w:r>
        <w:rPr>
          <w:rFonts w:ascii="Times New Roman" w:eastAsia="Times New Roman" w:hAnsi="Times New Roman" w:cs="Times New Roman"/>
          <w:sz w:val="24"/>
          <w:szCs w:val="24"/>
        </w:rPr>
        <w:t>r</w:t>
      </w:r>
      <w:proofErr w:type="spellEnd"/>
      <w:r>
        <w:rPr>
          <w:rFonts w:ascii="Times New Roman" w:eastAsia="Times New Roman" w:hAnsi="Times New Roman" w:cs="Times New Roman"/>
          <w:sz w:val="24"/>
          <w:szCs w:val="24"/>
        </w:rPr>
        <w:t xml:space="preserve"> intersects with its drive for social responsibility; this creates upliftment of social conditions in tandem with upholding brand reputation and consumers trust (Unilever, 2024). Through these activities, you will establish the place of the brand in the m</w:t>
      </w:r>
      <w:r>
        <w:rPr>
          <w:rFonts w:ascii="Times New Roman" w:eastAsia="Times New Roman" w:hAnsi="Times New Roman" w:cs="Times New Roman"/>
          <w:sz w:val="24"/>
          <w:szCs w:val="24"/>
        </w:rPr>
        <w:t>arket and you will have the advantage against the competitors with the customers.</w:t>
      </w:r>
    </w:p>
    <w:p w14:paraId="55FD1EAF"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Environmental Dimension</w:t>
      </w:r>
    </w:p>
    <w:p w14:paraId="6A8F0B05"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 attempts to have a sustainable environment through lowering its carbon footprints, conserving natural resources and going for circular econom</w:t>
      </w:r>
      <w:r>
        <w:rPr>
          <w:rFonts w:ascii="Times New Roman" w:eastAsia="Times New Roman" w:hAnsi="Times New Roman" w:cs="Times New Roman"/>
          <w:sz w:val="24"/>
          <w:szCs w:val="24"/>
        </w:rPr>
        <w:t>ies’ principles. The company's Sustainable Living Plan has set targets which are intended to achieve high emissions reduction, water utilization, and sustainable sourcing (Unilever, 2024). Unilever's investments in renewable power generation, waste reducti</w:t>
      </w:r>
      <w:r>
        <w:rPr>
          <w:rFonts w:ascii="Times New Roman" w:eastAsia="Times New Roman" w:hAnsi="Times New Roman" w:cs="Times New Roman"/>
          <w:sz w:val="24"/>
          <w:szCs w:val="24"/>
        </w:rPr>
        <w:t xml:space="preserve">on, as well as in sustainable supply chain management indicates to the people outside the company that it engages with the environment by controlling its impact on it (Unilever, 2024). Such as, the company has reached 100% of zero waste to landfill across </w:t>
      </w:r>
      <w:r>
        <w:rPr>
          <w:rFonts w:ascii="Times New Roman" w:eastAsia="Times New Roman" w:hAnsi="Times New Roman" w:cs="Times New Roman"/>
          <w:sz w:val="24"/>
          <w:szCs w:val="24"/>
        </w:rPr>
        <w:t>several manufacturing sites, and has growth in its recycled packaging (Unilever, 2024).</w:t>
      </w:r>
    </w:p>
    <w:p w14:paraId="0CA6AACB" w14:textId="77777777" w:rsidR="00370DEB" w:rsidRDefault="005D2C20" w:rsidP="005C68BC">
      <w:pPr>
        <w:pStyle w:val="Heading1"/>
      </w:pPr>
      <w:bookmarkStart w:id="7" w:name="_Toc164862121"/>
      <w:r>
        <w:t>Evaluation of Strategic Direction</w:t>
      </w:r>
      <w:bookmarkEnd w:id="7"/>
      <w:r>
        <w:t xml:space="preserve"> </w:t>
      </w:r>
    </w:p>
    <w:p w14:paraId="70F2D767" w14:textId="77777777" w:rsidR="00370DEB" w:rsidRDefault="005D2C20">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Expansion into Emerging Markets</w:t>
      </w:r>
    </w:p>
    <w:p w14:paraId="2F3E8A52"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process can be achieved with Unilever's extension into developing countries of the </w:t>
      </w:r>
      <w:r>
        <w:rPr>
          <w:rFonts w:ascii="Times New Roman" w:eastAsia="Times New Roman" w:hAnsi="Times New Roman" w:cs="Times New Roman"/>
          <w:sz w:val="24"/>
          <w:szCs w:val="24"/>
        </w:rPr>
        <w:t>markets, with the aim of further increasing demand for products and the utilization of the existing opportunities that have not yet been utilized (Dana et al., 2022). As a strategic direction, it is an issue of market penetration, distribution networks, lo</w:t>
      </w:r>
      <w:r>
        <w:rPr>
          <w:rFonts w:ascii="Times New Roman" w:eastAsia="Times New Roman" w:hAnsi="Times New Roman" w:cs="Times New Roman"/>
          <w:sz w:val="24"/>
          <w:szCs w:val="24"/>
        </w:rPr>
        <w:t>calised product types and other choices to match the different consumer preferences.</w:t>
      </w:r>
    </w:p>
    <w:p w14:paraId="0D4D4807" w14:textId="77777777" w:rsidR="00370DEB" w:rsidRDefault="005D2C2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Enhanced Digital Transformation</w:t>
      </w:r>
    </w:p>
    <w:p w14:paraId="68D0FF05"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Digital technology and e-commerce platforms provide Unilever with an opportunity to expand her core customer base, better customer bonding,</w:t>
      </w:r>
      <w:r>
        <w:rPr>
          <w:rFonts w:ascii="Times New Roman" w:eastAsia="Times New Roman" w:hAnsi="Times New Roman" w:cs="Times New Roman"/>
          <w:sz w:val="24"/>
          <w:szCs w:val="24"/>
        </w:rPr>
        <w:t xml:space="preserve"> and optimization of the company's operations (Marcus, 2021). To pursue this strategic path, I would go for investments in digital marketing, data analytics and concurrent streamlining of supply chain to achieve higher levels of agility and efficacy.</w:t>
      </w:r>
    </w:p>
    <w:p w14:paraId="34D451C9" w14:textId="77777777" w:rsidR="00370DEB" w:rsidRDefault="005D2C2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Atten</w:t>
      </w:r>
      <w:r>
        <w:rPr>
          <w:rFonts w:ascii="Times New Roman" w:eastAsia="Times New Roman" w:hAnsi="Times New Roman" w:cs="Times New Roman"/>
          <w:sz w:val="24"/>
          <w:szCs w:val="24"/>
        </w:rPr>
        <w:t>tion to Health and Wellness Patterns</w:t>
      </w:r>
    </w:p>
    <w:p w14:paraId="5052663C"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lever that Unilever could then use to promote health products are to offer nutrition and sustainable products (</w:t>
      </w:r>
      <w:proofErr w:type="spellStart"/>
      <w:r>
        <w:rPr>
          <w:rFonts w:ascii="Times New Roman" w:eastAsia="Times New Roman" w:hAnsi="Times New Roman" w:cs="Times New Roman"/>
          <w:sz w:val="24"/>
          <w:szCs w:val="24"/>
        </w:rPr>
        <w:t>Baragiola</w:t>
      </w:r>
      <w:proofErr w:type="spellEnd"/>
      <w:r>
        <w:rPr>
          <w:rFonts w:ascii="Times New Roman" w:eastAsia="Times New Roman" w:hAnsi="Times New Roman" w:cs="Times New Roman"/>
          <w:sz w:val="24"/>
          <w:szCs w:val="24"/>
        </w:rPr>
        <w:t>, 2022). This vision would support the approach of creating new product variations, running mar</w:t>
      </w:r>
      <w:r>
        <w:rPr>
          <w:rFonts w:ascii="Times New Roman" w:eastAsia="Times New Roman" w:hAnsi="Times New Roman" w:cs="Times New Roman"/>
          <w:sz w:val="24"/>
          <w:szCs w:val="24"/>
        </w:rPr>
        <w:t>keting campaigns at which the role of products in keeping the health is emphasized, and establishing alliances with health-oriented organizations.</w:t>
      </w:r>
    </w:p>
    <w:p w14:paraId="0428D9F3" w14:textId="77777777" w:rsidR="00370DEB" w:rsidRDefault="005D2C2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 Sustainability Integration</w:t>
      </w:r>
    </w:p>
    <w:p w14:paraId="2E3E0410"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 could become more active in sustainability through setting more a</w:t>
      </w:r>
      <w:r>
        <w:rPr>
          <w:rFonts w:ascii="Times New Roman" w:eastAsia="Times New Roman" w:hAnsi="Times New Roman" w:cs="Times New Roman"/>
          <w:sz w:val="24"/>
          <w:szCs w:val="24"/>
        </w:rPr>
        <w:t>mbitious goals, integrating sustainability in its business to all levels, building partnerships for collaboration. Consequently, this strategic direction would be aimed at the expansion of renewable energy, waste elimination, sustainable sourcing and trans</w:t>
      </w:r>
      <w:r>
        <w:rPr>
          <w:rFonts w:ascii="Times New Roman" w:eastAsia="Times New Roman" w:hAnsi="Times New Roman" w:cs="Times New Roman"/>
          <w:sz w:val="24"/>
          <w:szCs w:val="24"/>
        </w:rPr>
        <w:t>parency in supply chains (Iglesias et al., 2023).</w:t>
      </w:r>
    </w:p>
    <w:p w14:paraId="1C2EA9EA" w14:textId="77777777" w:rsidR="00370DEB" w:rsidRDefault="005D2C20" w:rsidP="005C68BC">
      <w:pPr>
        <w:pStyle w:val="Heading1"/>
      </w:pPr>
      <w:bookmarkStart w:id="8" w:name="_Toc164862122"/>
      <w:r>
        <w:t>Recommendations</w:t>
      </w:r>
      <w:bookmarkEnd w:id="8"/>
      <w:r>
        <w:t xml:space="preserve"> </w:t>
      </w:r>
    </w:p>
    <w:p w14:paraId="45393027" w14:textId="77777777" w:rsidR="00370DEB" w:rsidRDefault="005D2C20">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Innovative Product Offerings</w:t>
      </w:r>
    </w:p>
    <w:p w14:paraId="3DF92036"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 can launch new products (such as sustainable water usage or package recycling) that solve the problems of sustainability and at the same time, provide </w:t>
      </w:r>
      <w:r>
        <w:rPr>
          <w:rFonts w:ascii="Times New Roman" w:eastAsia="Times New Roman" w:hAnsi="Times New Roman" w:cs="Times New Roman"/>
          <w:sz w:val="24"/>
          <w:szCs w:val="24"/>
        </w:rPr>
        <w:t xml:space="preserve">goods that consumers want. </w:t>
      </w:r>
    </w:p>
    <w:p w14:paraId="19557B81" w14:textId="77777777" w:rsidR="00370DEB" w:rsidRDefault="005D2C2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Efficient Resource Management</w:t>
      </w:r>
    </w:p>
    <w:p w14:paraId="7F6FCD11"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Adopting resource-efficient practices as part of the supply chain can create cost savings and grant a competitive edge too. Unilever is required to allocate the funds for the introduction of technol</w:t>
      </w:r>
      <w:r>
        <w:rPr>
          <w:rFonts w:ascii="Times New Roman" w:eastAsia="Times New Roman" w:hAnsi="Times New Roman" w:cs="Times New Roman"/>
          <w:sz w:val="24"/>
          <w:szCs w:val="24"/>
        </w:rPr>
        <w:t xml:space="preserve">ogies that will be used to cover energy and water efficiency (Vinay </w:t>
      </w:r>
      <w:proofErr w:type="spellStart"/>
      <w:r>
        <w:rPr>
          <w:rFonts w:ascii="Times New Roman" w:eastAsia="Times New Roman" w:hAnsi="Times New Roman" w:cs="Times New Roman"/>
          <w:sz w:val="24"/>
          <w:szCs w:val="24"/>
        </w:rPr>
        <w:t>Kandpal</w:t>
      </w:r>
      <w:proofErr w:type="spellEnd"/>
      <w:r>
        <w:rPr>
          <w:rFonts w:ascii="Times New Roman" w:eastAsia="Times New Roman" w:hAnsi="Times New Roman" w:cs="Times New Roman"/>
          <w:sz w:val="24"/>
          <w:szCs w:val="24"/>
        </w:rPr>
        <w:t xml:space="preserve"> et al., 2024), waste reduction and implementation of circular economy approach that will lower negative consequences on the environment and give optimal usage to the available reso</w:t>
      </w:r>
      <w:r>
        <w:rPr>
          <w:rFonts w:ascii="Times New Roman" w:eastAsia="Times New Roman" w:hAnsi="Times New Roman" w:cs="Times New Roman"/>
          <w:sz w:val="24"/>
          <w:szCs w:val="24"/>
        </w:rPr>
        <w:t>urces.</w:t>
      </w:r>
    </w:p>
    <w:p w14:paraId="7F1AF0C5" w14:textId="77777777" w:rsidR="00370DEB" w:rsidRDefault="005D2C2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Supply Chain Transparency and Traceability</w:t>
      </w:r>
    </w:p>
    <w:p w14:paraId="4793AF79" w14:textId="77777777" w:rsidR="00370DEB" w:rsidRDefault="005D2C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 can promote more open supply chains that allow enhanced traceability to the benefit of consumers and supply chains (Fabio and Scarcelli, 2024). Through such awareness creation, consumers are able t</w:t>
      </w:r>
      <w:r>
        <w:rPr>
          <w:rFonts w:ascii="Times New Roman" w:eastAsia="Times New Roman" w:hAnsi="Times New Roman" w:cs="Times New Roman"/>
          <w:sz w:val="24"/>
          <w:szCs w:val="24"/>
        </w:rPr>
        <w:t>o distinguish between brands in terms of sourcing practices, production process, and social and environmental impacts.</w:t>
      </w:r>
    </w:p>
    <w:p w14:paraId="07BFA32E" w14:textId="072D94D9" w:rsidR="00370DEB" w:rsidRDefault="005C68BC" w:rsidP="005C68BC">
      <w:pPr>
        <w:pStyle w:val="Heading1"/>
      </w:pPr>
      <w:bookmarkStart w:id="9" w:name="_Toc164862123"/>
      <w:r>
        <w:lastRenderedPageBreak/>
        <w:t>References</w:t>
      </w:r>
      <w:bookmarkEnd w:id="9"/>
    </w:p>
    <w:p w14:paraId="077B98E2" w14:textId="77777777" w:rsidR="005C68BC" w:rsidRDefault="005C68BC" w:rsidP="005C68BC">
      <w:pPr>
        <w:pStyle w:val="NormalWeb"/>
        <w:spacing w:before="0" w:beforeAutospacing="0" w:after="240" w:afterAutospacing="0" w:line="360" w:lineRule="auto"/>
        <w:jc w:val="both"/>
      </w:pPr>
      <w:r>
        <w:t xml:space="preserve">Arunachalam, S., Bahadir, S.C., Bharadwaj, S.G. and </w:t>
      </w:r>
      <w:proofErr w:type="spellStart"/>
      <w:r>
        <w:t>Guesalaga</w:t>
      </w:r>
      <w:proofErr w:type="spellEnd"/>
      <w:r>
        <w:t xml:space="preserve">, R. (2019). New product introductions for low-income consumers in emerging markets. </w:t>
      </w:r>
      <w:r>
        <w:rPr>
          <w:i/>
          <w:iCs/>
        </w:rPr>
        <w:t>Journal of the Academy of Marketing Science</w:t>
      </w:r>
      <w:r>
        <w:t xml:space="preserve">, [online] 13(2). </w:t>
      </w:r>
      <w:proofErr w:type="spellStart"/>
      <w:proofErr w:type="gramStart"/>
      <w:r>
        <w:t>doi:https</w:t>
      </w:r>
      <w:proofErr w:type="spellEnd"/>
      <w:r>
        <w:t>://doi.org/10.1007/s11747-019-00648-8</w:t>
      </w:r>
      <w:proofErr w:type="gramEnd"/>
      <w:r>
        <w:t>.</w:t>
      </w:r>
    </w:p>
    <w:p w14:paraId="2BA4C562" w14:textId="77777777" w:rsidR="005C68BC" w:rsidRDefault="005C68BC" w:rsidP="005C68BC">
      <w:pPr>
        <w:pStyle w:val="NormalWeb"/>
        <w:spacing w:before="0" w:beforeAutospacing="0" w:after="240" w:afterAutospacing="0" w:line="360" w:lineRule="auto"/>
        <w:jc w:val="both"/>
      </w:pPr>
      <w:r>
        <w:t xml:space="preserve">Bader Ismaeel and Wael </w:t>
      </w:r>
      <w:proofErr w:type="spellStart"/>
      <w:r>
        <w:t>Alsariera</w:t>
      </w:r>
      <w:proofErr w:type="spellEnd"/>
      <w:r>
        <w:t xml:space="preserve"> (2023). The Effect of Marketing Effectiveness, and Consumer Behaviour on Consumer Purchase Preference for Unilever Products in Jordan. </w:t>
      </w:r>
      <w:r>
        <w:rPr>
          <w:i/>
          <w:iCs/>
        </w:rPr>
        <w:t>International journal of academic research in business &amp; social sciences</w:t>
      </w:r>
      <w:r>
        <w:t xml:space="preserve">, 13(7). </w:t>
      </w:r>
      <w:proofErr w:type="spellStart"/>
      <w:proofErr w:type="gramStart"/>
      <w:r>
        <w:t>doi:https</w:t>
      </w:r>
      <w:proofErr w:type="spellEnd"/>
      <w:r>
        <w:t>://doi.org/10.6007/</w:t>
      </w:r>
      <w:proofErr w:type="spellStart"/>
      <w:r>
        <w:t>ijarbss</w:t>
      </w:r>
      <w:proofErr w:type="spellEnd"/>
      <w:r>
        <w:t>/v13-i7/17416</w:t>
      </w:r>
      <w:proofErr w:type="gramEnd"/>
      <w:r>
        <w:t>.</w:t>
      </w:r>
    </w:p>
    <w:p w14:paraId="6B350BAD" w14:textId="77777777" w:rsidR="005C68BC" w:rsidRDefault="005C68BC" w:rsidP="005C68BC">
      <w:pPr>
        <w:pStyle w:val="NormalWeb"/>
        <w:spacing w:before="0" w:beforeAutospacing="0" w:after="240" w:afterAutospacing="0" w:line="360" w:lineRule="auto"/>
        <w:jc w:val="both"/>
      </w:pPr>
      <w:proofErr w:type="spellStart"/>
      <w:r>
        <w:t>Baragiola</w:t>
      </w:r>
      <w:proofErr w:type="spellEnd"/>
      <w:r>
        <w:t xml:space="preserve">, G. (2022). </w:t>
      </w:r>
      <w:r>
        <w:rPr>
          <w:i/>
          <w:iCs/>
        </w:rPr>
        <w:t xml:space="preserve">SDGs and the private </w:t>
      </w:r>
      <w:proofErr w:type="gramStart"/>
      <w:r>
        <w:rPr>
          <w:i/>
          <w:iCs/>
        </w:rPr>
        <w:t>sector :</w:t>
      </w:r>
      <w:proofErr w:type="gramEnd"/>
      <w:r>
        <w:rPr>
          <w:i/>
          <w:iCs/>
        </w:rPr>
        <w:t xml:space="preserve"> Unilever and P&amp;G case studies</w:t>
      </w:r>
      <w:r>
        <w:t>. [online] www.politesi.polimi.it. Available at: https://www.politesi.polimi.it/handle/10589/195916.</w:t>
      </w:r>
    </w:p>
    <w:p w14:paraId="6D0DEC33" w14:textId="77777777" w:rsidR="005C68BC" w:rsidRDefault="005C68BC" w:rsidP="005C68BC">
      <w:pPr>
        <w:pStyle w:val="NormalWeb"/>
        <w:spacing w:before="0" w:beforeAutospacing="0" w:after="240" w:afterAutospacing="0" w:line="360" w:lineRule="auto"/>
        <w:jc w:val="both"/>
      </w:pPr>
      <w:proofErr w:type="spellStart"/>
      <w:r>
        <w:t>Czinkota</w:t>
      </w:r>
      <w:proofErr w:type="spellEnd"/>
      <w:r>
        <w:t xml:space="preserve">, M.R., </w:t>
      </w:r>
      <w:proofErr w:type="spellStart"/>
      <w:r>
        <w:t>Kotabe</w:t>
      </w:r>
      <w:proofErr w:type="spellEnd"/>
      <w:r>
        <w:t xml:space="preserve">, M., </w:t>
      </w:r>
      <w:proofErr w:type="spellStart"/>
      <w:r>
        <w:t>Vrontis</w:t>
      </w:r>
      <w:proofErr w:type="spellEnd"/>
      <w:r>
        <w:t xml:space="preserve">, D. and Shams, S.M.R. (2021). Product and Service Decisions. </w:t>
      </w:r>
      <w:r>
        <w:rPr>
          <w:i/>
          <w:iCs/>
        </w:rPr>
        <w:t>Springer Texts in Business and Economics</w:t>
      </w:r>
      <w:r>
        <w:t>, 13(2), pp.341–397.</w:t>
      </w:r>
    </w:p>
    <w:p w14:paraId="4A2B4036" w14:textId="77777777" w:rsidR="005C68BC" w:rsidRDefault="005C68BC" w:rsidP="005C68BC">
      <w:pPr>
        <w:pStyle w:val="NormalWeb"/>
        <w:spacing w:before="0" w:beforeAutospacing="0" w:after="240" w:afterAutospacing="0" w:line="360" w:lineRule="auto"/>
        <w:jc w:val="both"/>
      </w:pPr>
      <w:proofErr w:type="spellStart"/>
      <w:r>
        <w:t>Dalibozhko</w:t>
      </w:r>
      <w:proofErr w:type="spellEnd"/>
      <w:r>
        <w:t xml:space="preserve">, A. and </w:t>
      </w:r>
      <w:proofErr w:type="spellStart"/>
      <w:r>
        <w:t>Krakovetskaya</w:t>
      </w:r>
      <w:proofErr w:type="spellEnd"/>
      <w:r>
        <w:t xml:space="preserve">, I. (2018). Youth entrepreneurial projects for the sustainable development of global community: evidence from Enactus program. </w:t>
      </w:r>
      <w:r>
        <w:rPr>
          <w:i/>
          <w:iCs/>
        </w:rPr>
        <w:t>SHS Web of Conferences</w:t>
      </w:r>
      <w:r>
        <w:t xml:space="preserve">, [online] 57(1), p.01009. </w:t>
      </w:r>
      <w:proofErr w:type="spellStart"/>
      <w:proofErr w:type="gramStart"/>
      <w:r>
        <w:t>doi:https</w:t>
      </w:r>
      <w:proofErr w:type="spellEnd"/>
      <w:r>
        <w:t>://doi.org/10.1051/</w:t>
      </w:r>
      <w:proofErr w:type="spellStart"/>
      <w:r>
        <w:t>shsconf</w:t>
      </w:r>
      <w:proofErr w:type="spellEnd"/>
      <w:r>
        <w:t>/20185701009</w:t>
      </w:r>
      <w:proofErr w:type="gramEnd"/>
      <w:r>
        <w:t>.</w:t>
      </w:r>
    </w:p>
    <w:p w14:paraId="784B2FCE" w14:textId="77777777" w:rsidR="005C68BC" w:rsidRDefault="005C68BC" w:rsidP="005C68BC">
      <w:pPr>
        <w:pStyle w:val="NormalWeb"/>
        <w:spacing w:before="0" w:beforeAutospacing="0" w:after="240" w:afterAutospacing="0" w:line="360" w:lineRule="auto"/>
        <w:jc w:val="both"/>
      </w:pPr>
      <w:r>
        <w:t xml:space="preserve">Dana, L.-P., </w:t>
      </w:r>
      <w:proofErr w:type="spellStart"/>
      <w:r>
        <w:t>Salamzadeh</w:t>
      </w:r>
      <w:proofErr w:type="spellEnd"/>
      <w:r>
        <w:t xml:space="preserve">, A., Mortazavi, S. and Hadizadeh, M. (2022). Investigating the Impact of International Markets and New Digital Technologies on Business Innovation in Emerging Markets. </w:t>
      </w:r>
      <w:r>
        <w:rPr>
          <w:i/>
          <w:iCs/>
        </w:rPr>
        <w:t>Sustainability</w:t>
      </w:r>
      <w:r>
        <w:t>, [online] 14(2), p.983. Available at: https://www.mdpi.com/2071-1050/14/2/983.</w:t>
      </w:r>
    </w:p>
    <w:p w14:paraId="7775EA05" w14:textId="77777777" w:rsidR="005C68BC" w:rsidRDefault="005C68BC" w:rsidP="005C68BC">
      <w:pPr>
        <w:pStyle w:val="NormalWeb"/>
        <w:spacing w:before="0" w:beforeAutospacing="0" w:after="240" w:afterAutospacing="0" w:line="360" w:lineRule="auto"/>
        <w:jc w:val="both"/>
      </w:pPr>
      <w:r>
        <w:t xml:space="preserve">Dionisio, M. and de Vargas, E.R. (2019). Corporate Social innovation: a Systematic Literature Review. </w:t>
      </w:r>
      <w:r>
        <w:rPr>
          <w:i/>
          <w:iCs/>
        </w:rPr>
        <w:t>International Business Review</w:t>
      </w:r>
      <w:r>
        <w:t xml:space="preserve">, 29(2), p.101641. </w:t>
      </w:r>
      <w:proofErr w:type="spellStart"/>
      <w:proofErr w:type="gramStart"/>
      <w:r>
        <w:t>doi:https</w:t>
      </w:r>
      <w:proofErr w:type="spellEnd"/>
      <w:r>
        <w:t>://doi.org/10.1016/j.ibusrev.2019.101641</w:t>
      </w:r>
      <w:proofErr w:type="gramEnd"/>
      <w:r>
        <w:t>.</w:t>
      </w:r>
    </w:p>
    <w:p w14:paraId="019FA926" w14:textId="77777777" w:rsidR="005C68BC" w:rsidRDefault="005C68BC" w:rsidP="005C68BC">
      <w:pPr>
        <w:pStyle w:val="NormalWeb"/>
        <w:spacing w:before="0" w:beforeAutospacing="0" w:after="240" w:afterAutospacing="0" w:line="360" w:lineRule="auto"/>
        <w:jc w:val="both"/>
      </w:pPr>
      <w:r>
        <w:t xml:space="preserve">Fabio and Scarcelli, M. (2024). Purchasing and Supply Management Journey into Unilever’s Circular Economy Strategy. </w:t>
      </w:r>
      <w:r>
        <w:rPr>
          <w:i/>
          <w:iCs/>
        </w:rPr>
        <w:t>Greening of industry networks studies (Print)</w:t>
      </w:r>
      <w:r>
        <w:t xml:space="preserve">, 13(2), pp.161–173. </w:t>
      </w:r>
      <w:proofErr w:type="spellStart"/>
      <w:proofErr w:type="gramStart"/>
      <w:r>
        <w:t>doi:https</w:t>
      </w:r>
      <w:proofErr w:type="spellEnd"/>
      <w:r>
        <w:t>://doi.org/10.1007/978-3-031-55036-2_8</w:t>
      </w:r>
      <w:proofErr w:type="gramEnd"/>
      <w:r>
        <w:t>.</w:t>
      </w:r>
    </w:p>
    <w:p w14:paraId="6528B67F" w14:textId="77777777" w:rsidR="005C68BC" w:rsidRDefault="005C68BC" w:rsidP="005C68BC">
      <w:pPr>
        <w:pStyle w:val="NormalWeb"/>
        <w:spacing w:before="0" w:beforeAutospacing="0" w:after="240" w:afterAutospacing="0" w:line="360" w:lineRule="auto"/>
        <w:jc w:val="both"/>
      </w:pPr>
      <w:r>
        <w:t xml:space="preserve">Gasmi, N. (2020). </w:t>
      </w:r>
      <w:r>
        <w:rPr>
          <w:i/>
          <w:iCs/>
        </w:rPr>
        <w:t>Corporate Innovation Strategies: Corporate Social Responsibility and Shared Value Creation</w:t>
      </w:r>
      <w:r>
        <w:t xml:space="preserve">. [online] </w:t>
      </w:r>
      <w:r>
        <w:rPr>
          <w:i/>
          <w:iCs/>
        </w:rPr>
        <w:t>Google Books</w:t>
      </w:r>
      <w:r>
        <w:t xml:space="preserve">. John Wiley &amp; Sons. Available at: </w:t>
      </w:r>
      <w:r>
        <w:lastRenderedPageBreak/>
        <w:t>https://books.google.com/books?hl=en&amp;lr=&amp;id=aeUSEAAAQBAJ&amp;oi=fnd&amp;pg=PP1&amp;dq=Through+Unilever%27s+brand+management+program [Accessed 24 Apr. 2024].</w:t>
      </w:r>
    </w:p>
    <w:p w14:paraId="65EE1FF8" w14:textId="77777777" w:rsidR="005C68BC" w:rsidRDefault="005C68BC" w:rsidP="005C68BC">
      <w:pPr>
        <w:pStyle w:val="NormalWeb"/>
        <w:spacing w:before="0" w:beforeAutospacing="0" w:after="240" w:afterAutospacing="0" w:line="360" w:lineRule="auto"/>
        <w:jc w:val="both"/>
      </w:pPr>
      <w:r>
        <w:t xml:space="preserve">Götz, M. and Jankowska, B. (2020). Adoption of Industry 4.0 Technologies and Company Competitiveness: Case Studies from a Post-Transition Economy. </w:t>
      </w:r>
      <w:proofErr w:type="spellStart"/>
      <w:r>
        <w:rPr>
          <w:i/>
          <w:iCs/>
        </w:rPr>
        <w:t>Форсайт</w:t>
      </w:r>
      <w:proofErr w:type="spellEnd"/>
      <w:r>
        <w:t>, [online] 14(4 (</w:t>
      </w:r>
      <w:proofErr w:type="spellStart"/>
      <w:r>
        <w:t>eng</w:t>
      </w:r>
      <w:proofErr w:type="spellEnd"/>
      <w:r>
        <w:t>)), pp.61–78. Available at: https://cyberleninka.ru/article/n/adoption-of-industry-4-0-technologies-and-company-competitiveness-case-studies-from-a-post-transition-economy.</w:t>
      </w:r>
    </w:p>
    <w:p w14:paraId="7B4D5FBB" w14:textId="77777777" w:rsidR="005C68BC" w:rsidRDefault="005C68BC" w:rsidP="005C68BC">
      <w:pPr>
        <w:pStyle w:val="NormalWeb"/>
        <w:spacing w:before="0" w:beforeAutospacing="0" w:after="240" w:afterAutospacing="0" w:line="360" w:lineRule="auto"/>
        <w:jc w:val="both"/>
      </w:pPr>
      <w:r>
        <w:t xml:space="preserve">Iglesias, O., Mingione, M., Ind, N. and Markovic, S. (2023). How to build a conscientious corporate brand together with business partners: A case study of Unilever. </w:t>
      </w:r>
      <w:r>
        <w:rPr>
          <w:i/>
          <w:iCs/>
        </w:rPr>
        <w:t>Industrial Marketing Management</w:t>
      </w:r>
      <w:r>
        <w:t>, [online] 109(4), pp.1–13. Available at: https://www.sciencedirect.com/science/article/pii/S0019850122002966.</w:t>
      </w:r>
    </w:p>
    <w:p w14:paraId="625E85B0" w14:textId="77777777" w:rsidR="005C68BC" w:rsidRDefault="005C68BC" w:rsidP="005C68BC">
      <w:pPr>
        <w:pStyle w:val="NormalWeb"/>
        <w:spacing w:before="0" w:beforeAutospacing="0" w:after="240" w:afterAutospacing="0" w:line="360" w:lineRule="auto"/>
        <w:jc w:val="both"/>
      </w:pPr>
      <w:r>
        <w:t xml:space="preserve">Jain, P., Chou, M.C., Fan, F. and Santoso, M.P. (2021). Embedding Sustainability in the Consumer Goods Innovation Cycle and Enabling Tools to Measure Progress and Capabilities. </w:t>
      </w:r>
      <w:r>
        <w:rPr>
          <w:i/>
          <w:iCs/>
        </w:rPr>
        <w:t>Sustainability</w:t>
      </w:r>
      <w:r>
        <w:t>, [online] 13(12), p.6662. Available at: https://www.mdpi.com/2071-1050/13/12/6662.</w:t>
      </w:r>
    </w:p>
    <w:p w14:paraId="5F3B9B69" w14:textId="77777777" w:rsidR="005C68BC" w:rsidRDefault="005C68BC" w:rsidP="005C68BC">
      <w:pPr>
        <w:pStyle w:val="NormalWeb"/>
        <w:spacing w:before="0" w:beforeAutospacing="0" w:after="240" w:afterAutospacing="0" w:line="360" w:lineRule="auto"/>
        <w:jc w:val="both"/>
      </w:pPr>
      <w:r>
        <w:t xml:space="preserve">Kang, J., Lee, S. and Choi, S. (2023). Asymmetric Vacillation in the FMCG Industry: </w:t>
      </w:r>
      <w:proofErr w:type="gramStart"/>
      <w:r>
        <w:t>a</w:t>
      </w:r>
      <w:proofErr w:type="gramEnd"/>
      <w:r>
        <w:t xml:space="preserve"> Case Comparison of Procter &amp; Gamble and Unilever. </w:t>
      </w:r>
      <w:r>
        <w:rPr>
          <w:i/>
          <w:iCs/>
        </w:rPr>
        <w:t>Administrative Sciences</w:t>
      </w:r>
      <w:r>
        <w:t>, 13(8), p.187.</w:t>
      </w:r>
    </w:p>
    <w:p w14:paraId="0CC5E942" w14:textId="77777777" w:rsidR="005C68BC" w:rsidRDefault="005C68BC" w:rsidP="005C68BC">
      <w:pPr>
        <w:pStyle w:val="NormalWeb"/>
        <w:spacing w:before="0" w:beforeAutospacing="0" w:after="240" w:afterAutospacing="0" w:line="360" w:lineRule="auto"/>
        <w:jc w:val="both"/>
      </w:pPr>
      <w:r>
        <w:t xml:space="preserve">Lieu, P.T.H., </w:t>
      </w:r>
      <w:proofErr w:type="spellStart"/>
      <w:r>
        <w:t>Arunjit</w:t>
      </w:r>
      <w:proofErr w:type="spellEnd"/>
      <w:r>
        <w:t xml:space="preserve">, N., </w:t>
      </w:r>
      <w:proofErr w:type="spellStart"/>
      <w:r>
        <w:t>Buapradabkul</w:t>
      </w:r>
      <w:proofErr w:type="spellEnd"/>
      <w:r>
        <w:t xml:space="preserve">, S. and Nathaniel, D. (2021). Unilever Company Strategic Business Analysis. </w:t>
      </w:r>
      <w:r>
        <w:rPr>
          <w:i/>
          <w:iCs/>
        </w:rPr>
        <w:t>dspace.fcu.edu.tw</w:t>
      </w:r>
      <w:r>
        <w:t xml:space="preserve">, [online] 13(7). </w:t>
      </w:r>
      <w:proofErr w:type="spellStart"/>
      <w:proofErr w:type="gramStart"/>
      <w:r>
        <w:t>doi:http</w:t>
      </w:r>
      <w:proofErr w:type="spellEnd"/>
      <w:r>
        <w:t>://dspace.fcu.edu.tw/handle/2377/32072</w:t>
      </w:r>
      <w:proofErr w:type="gramEnd"/>
      <w:r>
        <w:t>.</w:t>
      </w:r>
    </w:p>
    <w:p w14:paraId="1F9241D9" w14:textId="77777777" w:rsidR="005C68BC" w:rsidRDefault="005C68BC" w:rsidP="005C68BC">
      <w:pPr>
        <w:pStyle w:val="NormalWeb"/>
        <w:spacing w:before="0" w:beforeAutospacing="0" w:after="240" w:afterAutospacing="0" w:line="360" w:lineRule="auto"/>
        <w:jc w:val="both"/>
      </w:pPr>
      <w:r>
        <w:t xml:space="preserve">Marcus, J.B. (2021). </w:t>
      </w:r>
      <w:r>
        <w:rPr>
          <w:i/>
          <w:iCs/>
        </w:rPr>
        <w:t>Digital Strategy for Consumer Products</w:t>
      </w:r>
      <w:r>
        <w:t>. [online] dspace.mit.edu. Available at: https://dspace.mit.edu/handle/1721.1/139478.</w:t>
      </w:r>
    </w:p>
    <w:p w14:paraId="48F4F680" w14:textId="77777777" w:rsidR="005C68BC" w:rsidRDefault="005C68BC" w:rsidP="005C68BC">
      <w:pPr>
        <w:pStyle w:val="NormalWeb"/>
        <w:spacing w:before="0" w:beforeAutospacing="0" w:after="240" w:afterAutospacing="0" w:line="360" w:lineRule="auto"/>
        <w:jc w:val="both"/>
      </w:pPr>
      <w:r>
        <w:t xml:space="preserve">Martins, A.M. and Marto, J.M. (2023). A sustainable life cycle for cosmetics: From design and development to post-use phase. </w:t>
      </w:r>
      <w:r>
        <w:rPr>
          <w:i/>
          <w:iCs/>
        </w:rPr>
        <w:t>Sustainable Chemistry and Pharmacy</w:t>
      </w:r>
      <w:r>
        <w:t xml:space="preserve">, [online] 35(2), p.101178. </w:t>
      </w:r>
      <w:proofErr w:type="spellStart"/>
      <w:proofErr w:type="gramStart"/>
      <w:r>
        <w:t>doi:https</w:t>
      </w:r>
      <w:proofErr w:type="spellEnd"/>
      <w:r>
        <w:t>://doi.org/10.1016/j.scp.2023.101178</w:t>
      </w:r>
      <w:proofErr w:type="gramEnd"/>
      <w:r>
        <w:t>.</w:t>
      </w:r>
    </w:p>
    <w:p w14:paraId="78A17014" w14:textId="77777777" w:rsidR="005C68BC" w:rsidRDefault="005C68BC" w:rsidP="005C68BC">
      <w:pPr>
        <w:pStyle w:val="NormalWeb"/>
        <w:spacing w:before="0" w:beforeAutospacing="0" w:after="240" w:afterAutospacing="0" w:line="360" w:lineRule="auto"/>
        <w:jc w:val="both"/>
      </w:pPr>
      <w:r>
        <w:t xml:space="preserve">Miroslava Marinova (2024). Rethinking the As-Efficient Competitor Test: Assessing the wider impact of the CJEU’s Judgment in Unilever and its Implications in Shaping the European Commission’s agenda to Reform Article 102 TFEU. </w:t>
      </w:r>
      <w:r>
        <w:rPr>
          <w:i/>
          <w:iCs/>
        </w:rPr>
        <w:t>Social Science Research Network</w:t>
      </w:r>
      <w:r>
        <w:t xml:space="preserve">, [online] 13(2). </w:t>
      </w:r>
      <w:proofErr w:type="spellStart"/>
      <w:proofErr w:type="gramStart"/>
      <w:r>
        <w:t>doi:https</w:t>
      </w:r>
      <w:proofErr w:type="spellEnd"/>
      <w:r>
        <w:t>://doi.org/10.2139/ssrn.4738914</w:t>
      </w:r>
      <w:proofErr w:type="gramEnd"/>
      <w:r>
        <w:t>.</w:t>
      </w:r>
    </w:p>
    <w:p w14:paraId="64559877" w14:textId="77777777" w:rsidR="005C68BC" w:rsidRDefault="005C68BC" w:rsidP="005C68BC">
      <w:pPr>
        <w:pStyle w:val="NormalWeb"/>
        <w:spacing w:before="0" w:beforeAutospacing="0" w:after="240" w:afterAutospacing="0" w:line="360" w:lineRule="auto"/>
        <w:jc w:val="both"/>
      </w:pPr>
      <w:proofErr w:type="spellStart"/>
      <w:r>
        <w:lastRenderedPageBreak/>
        <w:t>Modreanu</w:t>
      </w:r>
      <w:proofErr w:type="spellEnd"/>
      <w:r>
        <w:t xml:space="preserve">, A., </w:t>
      </w:r>
      <w:proofErr w:type="spellStart"/>
      <w:r>
        <w:t>Andrișan</w:t>
      </w:r>
      <w:proofErr w:type="spellEnd"/>
      <w:r>
        <w:t xml:space="preserve">, G.N., </w:t>
      </w:r>
      <w:proofErr w:type="spellStart"/>
      <w:r>
        <w:t>Sârbu</w:t>
      </w:r>
      <w:proofErr w:type="spellEnd"/>
      <w:r>
        <w:t xml:space="preserve">, A.-M. and </w:t>
      </w:r>
      <w:proofErr w:type="spellStart"/>
      <w:r>
        <w:t>Grădinaru</w:t>
      </w:r>
      <w:proofErr w:type="spellEnd"/>
      <w:r>
        <w:t xml:space="preserve">, C. (2022). Corporate Social Responsibility, a Strategic Tool for Sustainable Value Creation: A Case Study of Unilever’s Sustainable Living Plan. </w:t>
      </w:r>
      <w:r>
        <w:rPr>
          <w:i/>
          <w:iCs/>
        </w:rPr>
        <w:t>New Trends in Sustainable Business and Consumption</w:t>
      </w:r>
      <w:r>
        <w:t>, 13(2).</w:t>
      </w:r>
    </w:p>
    <w:p w14:paraId="42C6E7F8" w14:textId="77777777" w:rsidR="005C68BC" w:rsidRDefault="005C68BC" w:rsidP="005C68BC">
      <w:pPr>
        <w:pStyle w:val="NormalWeb"/>
        <w:spacing w:before="0" w:beforeAutospacing="0" w:after="240" w:afterAutospacing="0" w:line="360" w:lineRule="auto"/>
        <w:jc w:val="both"/>
      </w:pPr>
      <w:proofErr w:type="spellStart"/>
      <w:r>
        <w:t>Oluwatayo</w:t>
      </w:r>
      <w:proofErr w:type="spellEnd"/>
      <w:r>
        <w:t xml:space="preserve">, O. (2022). </w:t>
      </w:r>
      <w:r>
        <w:rPr>
          <w:i/>
          <w:iCs/>
        </w:rPr>
        <w:t xml:space="preserve">DEVELOPING THE INTERNATIONAL MARKETING PLAN (on the basis of UNILEVER PLC) Master’s student of Field of Study 07 -Management and Administration Speciality 073 -Management Specialization -Business Administration Research Instructor Kyiv -2022 </w:t>
      </w:r>
      <w:proofErr w:type="spellStart"/>
      <w:proofErr w:type="gramStart"/>
      <w:r>
        <w:rPr>
          <w:i/>
          <w:iCs/>
        </w:rPr>
        <w:t>Omolola,Oluwatayo</w:t>
      </w:r>
      <w:proofErr w:type="spellEnd"/>
      <w:proofErr w:type="gramEnd"/>
      <w:r>
        <w:t>. [online] Available at: http://elib.uacu.edu.ua/xmlui/bitstream/handle/123456789/113/OMOLOLA%20ESTHER%20OLUWATAYO.pdf?sequence=1.</w:t>
      </w:r>
    </w:p>
    <w:p w14:paraId="63BDEDA8" w14:textId="77777777" w:rsidR="005C68BC" w:rsidRDefault="005C68BC" w:rsidP="005C68BC">
      <w:pPr>
        <w:pStyle w:val="NormalWeb"/>
        <w:spacing w:before="0" w:beforeAutospacing="0" w:after="240" w:afterAutospacing="0" w:line="360" w:lineRule="auto"/>
        <w:jc w:val="both"/>
      </w:pPr>
      <w:proofErr w:type="spellStart"/>
      <w:r>
        <w:t>Pijl</w:t>
      </w:r>
      <w:proofErr w:type="spellEnd"/>
      <w:r>
        <w:t xml:space="preserve">, P. van der, </w:t>
      </w:r>
      <w:proofErr w:type="spellStart"/>
      <w:r>
        <w:t>Lokitz</w:t>
      </w:r>
      <w:proofErr w:type="spellEnd"/>
      <w:r>
        <w:t xml:space="preserve">, J. and </w:t>
      </w:r>
      <w:proofErr w:type="spellStart"/>
      <w:r>
        <w:t>Wijnen</w:t>
      </w:r>
      <w:proofErr w:type="spellEnd"/>
      <w:r>
        <w:t xml:space="preserve">, R. (2020). </w:t>
      </w:r>
      <w:r>
        <w:rPr>
          <w:i/>
          <w:iCs/>
        </w:rPr>
        <w:t xml:space="preserve">Business Model Shifts: Six Ways to Create New Value </w:t>
      </w:r>
      <w:proofErr w:type="gramStart"/>
      <w:r>
        <w:rPr>
          <w:i/>
          <w:iCs/>
        </w:rPr>
        <w:t>For</w:t>
      </w:r>
      <w:proofErr w:type="gramEnd"/>
      <w:r>
        <w:rPr>
          <w:i/>
          <w:iCs/>
        </w:rPr>
        <w:t xml:space="preserve"> Customers</w:t>
      </w:r>
      <w:r>
        <w:t xml:space="preserve">. [online] </w:t>
      </w:r>
      <w:r>
        <w:rPr>
          <w:i/>
          <w:iCs/>
        </w:rPr>
        <w:t>Google Books</w:t>
      </w:r>
      <w:r>
        <w:t>. John Wiley &amp; Sons. Available at: https://books.google.com/books?hl=en&amp;lr=&amp;id=_BAFEAAAQBAJ&amp;oi=fnd&amp;pg=PA1&amp;dq=+Unilever+is+venturing+into+the+wellness+and+health+sector+through+the+acquisition+of+companies+such+as+Dollar+Shave+Club+and+Seventh+Generation.&amp;ots=F8wa12z6tM&amp;sig=Y4DgTb130uRmPuvT9P0ZcyL3B-E [Accessed 24 Apr. 2024].</w:t>
      </w:r>
    </w:p>
    <w:p w14:paraId="08533AB3" w14:textId="77777777" w:rsidR="005C68BC" w:rsidRDefault="005C68BC" w:rsidP="005C68BC">
      <w:pPr>
        <w:pStyle w:val="NormalWeb"/>
        <w:spacing w:before="0" w:beforeAutospacing="0" w:after="240" w:afterAutospacing="0" w:line="360" w:lineRule="auto"/>
        <w:jc w:val="both"/>
      </w:pPr>
      <w:proofErr w:type="spellStart"/>
      <w:r>
        <w:t>Pucik</w:t>
      </w:r>
      <w:proofErr w:type="spellEnd"/>
      <w:r>
        <w:t xml:space="preserve">, V., Björkman, I., Evans, P. and Stahl, G. (2023). </w:t>
      </w:r>
      <w:r>
        <w:rPr>
          <w:i/>
          <w:iCs/>
        </w:rPr>
        <w:t>Promoting sustainability</w:t>
      </w:r>
      <w:r>
        <w:t xml:space="preserve">. [online] </w:t>
      </w:r>
      <w:r>
        <w:rPr>
          <w:i/>
          <w:iCs/>
        </w:rPr>
        <w:t>www.elgaronline.com</w:t>
      </w:r>
      <w:r>
        <w:t>. Edward Elgar Publishing. Available at: https://www.elgaronline.com/monochap/book/9781035300723/book-part-9781035300723-19.xml.</w:t>
      </w:r>
    </w:p>
    <w:p w14:paraId="7BFF9162" w14:textId="77777777" w:rsidR="005C68BC" w:rsidRDefault="005C68BC" w:rsidP="005C68BC">
      <w:pPr>
        <w:pStyle w:val="NormalWeb"/>
        <w:spacing w:before="0" w:beforeAutospacing="0" w:after="240" w:afterAutospacing="0" w:line="360" w:lineRule="auto"/>
        <w:jc w:val="both"/>
      </w:pPr>
      <w:proofErr w:type="spellStart"/>
      <w:r>
        <w:t>Shayan</w:t>
      </w:r>
      <w:proofErr w:type="spellEnd"/>
      <w:r>
        <w:t xml:space="preserve">, N.F., </w:t>
      </w:r>
      <w:proofErr w:type="spellStart"/>
      <w:r>
        <w:t>Kalejahi</w:t>
      </w:r>
      <w:proofErr w:type="spellEnd"/>
      <w:r>
        <w:t xml:space="preserve">, N.M., </w:t>
      </w:r>
      <w:proofErr w:type="spellStart"/>
      <w:r>
        <w:t>Alavi</w:t>
      </w:r>
      <w:proofErr w:type="spellEnd"/>
      <w:r>
        <w:t xml:space="preserve">, S. and Zahed, M.A. (2022). Sustainable Development Goals (SDGs) as a Framework for Corporate Social Responsibility (CSR). </w:t>
      </w:r>
      <w:r>
        <w:rPr>
          <w:i/>
          <w:iCs/>
        </w:rPr>
        <w:t>Sustainability</w:t>
      </w:r>
      <w:r>
        <w:t xml:space="preserve">, [online] 14(3). </w:t>
      </w:r>
      <w:proofErr w:type="spellStart"/>
      <w:proofErr w:type="gramStart"/>
      <w:r>
        <w:t>doi:https</w:t>
      </w:r>
      <w:proofErr w:type="spellEnd"/>
      <w:r>
        <w:t>://doi.org/10.3390/su14031222</w:t>
      </w:r>
      <w:proofErr w:type="gramEnd"/>
      <w:r>
        <w:t>.</w:t>
      </w:r>
    </w:p>
    <w:p w14:paraId="16794AD3" w14:textId="77777777" w:rsidR="005C68BC" w:rsidRDefault="005C68BC" w:rsidP="005C68BC">
      <w:pPr>
        <w:pStyle w:val="NormalWeb"/>
        <w:spacing w:before="0" w:beforeAutospacing="0" w:after="240" w:afterAutospacing="0" w:line="360" w:lineRule="auto"/>
        <w:jc w:val="both"/>
      </w:pPr>
      <w:r>
        <w:t xml:space="preserve">Unilever (2024). </w:t>
      </w:r>
      <w:r>
        <w:rPr>
          <w:i/>
          <w:iCs/>
        </w:rPr>
        <w:t>Unilever at a Glance</w:t>
      </w:r>
      <w:r>
        <w:t>. [online] Unilever. Available at: https://www.unilever.com/our-company/at-a-glance/.</w:t>
      </w:r>
    </w:p>
    <w:p w14:paraId="46383B9F" w14:textId="77777777" w:rsidR="005C68BC" w:rsidRDefault="005C68BC" w:rsidP="005C68BC">
      <w:pPr>
        <w:pStyle w:val="NormalWeb"/>
        <w:spacing w:before="0" w:beforeAutospacing="0" w:after="240" w:afterAutospacing="0" w:line="360" w:lineRule="auto"/>
        <w:jc w:val="both"/>
      </w:pPr>
      <w:r>
        <w:t xml:space="preserve">Van </w:t>
      </w:r>
      <w:proofErr w:type="spellStart"/>
      <w:r>
        <w:t>Tulder</w:t>
      </w:r>
      <w:proofErr w:type="spellEnd"/>
      <w:r>
        <w:t xml:space="preserve">, R., Rodrigues, S.B., Mirza, H. and Sexsmith, K. (2021). The UN’s Sustainable Development Goals: Can multinational enterprises lead the Decade of Action? </w:t>
      </w:r>
      <w:r>
        <w:rPr>
          <w:i/>
          <w:iCs/>
        </w:rPr>
        <w:t>Journal of International Business Policy</w:t>
      </w:r>
      <w:r>
        <w:t xml:space="preserve">, 4(1). </w:t>
      </w:r>
      <w:proofErr w:type="spellStart"/>
      <w:proofErr w:type="gramStart"/>
      <w:r>
        <w:t>doi:https</w:t>
      </w:r>
      <w:proofErr w:type="spellEnd"/>
      <w:r>
        <w:t>://doi.org/10.1057/s42214-020-00095-1</w:t>
      </w:r>
      <w:proofErr w:type="gramEnd"/>
      <w:r>
        <w:t>.</w:t>
      </w:r>
    </w:p>
    <w:p w14:paraId="76541AB9" w14:textId="77777777" w:rsidR="005C68BC" w:rsidRDefault="005C68BC" w:rsidP="005C68BC">
      <w:pPr>
        <w:pStyle w:val="NormalWeb"/>
        <w:spacing w:before="0" w:beforeAutospacing="0" w:after="240" w:afterAutospacing="0" w:line="360" w:lineRule="auto"/>
        <w:jc w:val="both"/>
      </w:pPr>
      <w:r>
        <w:t xml:space="preserve">Vinay </w:t>
      </w:r>
      <w:proofErr w:type="spellStart"/>
      <w:r>
        <w:t>Kandpal</w:t>
      </w:r>
      <w:proofErr w:type="spellEnd"/>
      <w:r>
        <w:t xml:space="preserve">, </w:t>
      </w:r>
      <w:proofErr w:type="spellStart"/>
      <w:r>
        <w:t>Jaswal</w:t>
      </w:r>
      <w:proofErr w:type="spellEnd"/>
      <w:r>
        <w:t xml:space="preserve">, A., Ernesto and Agarwal, N. (2024). Sustainable Financing for ESG Practices. </w:t>
      </w:r>
      <w:r>
        <w:rPr>
          <w:i/>
          <w:iCs/>
        </w:rPr>
        <w:t>Springer</w:t>
      </w:r>
      <w:r>
        <w:t xml:space="preserve">, 13(2), pp.167–200. </w:t>
      </w:r>
      <w:proofErr w:type="spellStart"/>
      <w:proofErr w:type="gramStart"/>
      <w:r>
        <w:t>doi:https</w:t>
      </w:r>
      <w:proofErr w:type="spellEnd"/>
      <w:r>
        <w:t>://doi.org/10.1007/978-3-031-52943-6_5</w:t>
      </w:r>
      <w:proofErr w:type="gramEnd"/>
      <w:r>
        <w:t>.</w:t>
      </w:r>
    </w:p>
    <w:p w14:paraId="5E9FC605" w14:textId="77777777" w:rsidR="005C68BC" w:rsidRPr="005C68BC" w:rsidRDefault="005C68BC" w:rsidP="005C68BC"/>
    <w:p w14:paraId="08ACC94F" w14:textId="46A9FEC6" w:rsidR="00370DEB" w:rsidRDefault="005D2C20" w:rsidP="00F5152F">
      <w:pPr>
        <w:pStyle w:val="Heading1"/>
      </w:pPr>
      <w:bookmarkStart w:id="10" w:name="_Toc164862124"/>
      <w:r>
        <w:t>Appendices</w:t>
      </w:r>
      <w:bookmarkEnd w:id="10"/>
    </w:p>
    <w:p w14:paraId="67B39CBC" w14:textId="77777777" w:rsidR="00370DEB" w:rsidRDefault="005D2C20" w:rsidP="00F5152F">
      <w:pPr>
        <w:pStyle w:val="Heading2"/>
      </w:pPr>
      <w:bookmarkStart w:id="11" w:name="_Toc164862125"/>
      <w:r>
        <w:t>VRIO analysis</w:t>
      </w:r>
      <w:bookmarkEnd w:id="11"/>
    </w:p>
    <w:tbl>
      <w:tblPr>
        <w:tblStyle w:val="GridTable5Dark-Accent4"/>
        <w:tblW w:w="90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915"/>
        <w:gridCol w:w="1168"/>
        <w:gridCol w:w="1227"/>
        <w:gridCol w:w="1703"/>
        <w:gridCol w:w="2012"/>
      </w:tblGrid>
      <w:tr w:rsidR="00370DEB" w14:paraId="699C7A0A" w14:textId="77777777" w:rsidTr="00F5152F">
        <w:trPr>
          <w:trHeight w:val="710"/>
        </w:trPr>
        <w:tc>
          <w:tcPr>
            <w:tcW w:w="2914" w:type="dxa"/>
          </w:tcPr>
          <w:p w14:paraId="7090CB9C" w14:textId="77777777" w:rsidR="00370DEB" w:rsidRDefault="005D2C20">
            <w:pPr>
              <w:spacing w:line="411" w:lineRule="auto"/>
              <w:jc w:val="center"/>
              <w:rPr>
                <w:rFonts w:ascii="Times New Roman" w:eastAsia="Times New Roman" w:hAnsi="Times New Roman" w:cs="Times New Roman"/>
                <w:color w:val="0D0D0D"/>
                <w:sz w:val="24"/>
                <w:szCs w:val="24"/>
              </w:rPr>
            </w:pPr>
            <w:r>
              <w:rPr>
                <w:rFonts w:ascii="Times New Roman" w:eastAsia="Times New Roman" w:hAnsi="Times New Roman" w:cs="Times New Roman"/>
                <w:b/>
                <w:color w:val="0D0D0D"/>
                <w:sz w:val="24"/>
                <w:szCs w:val="24"/>
              </w:rPr>
              <w:t>Resource/Capability</w:t>
            </w:r>
          </w:p>
        </w:tc>
        <w:tc>
          <w:tcPr>
            <w:tcW w:w="1168" w:type="dxa"/>
          </w:tcPr>
          <w:p w14:paraId="7DE00E6A" w14:textId="77777777" w:rsidR="00370DEB" w:rsidRDefault="005D2C20">
            <w:pPr>
              <w:spacing w:line="411" w:lineRule="auto"/>
              <w:jc w:val="center"/>
              <w:rPr>
                <w:rFonts w:ascii="Times New Roman" w:eastAsia="Times New Roman" w:hAnsi="Times New Roman" w:cs="Times New Roman"/>
                <w:color w:val="0D0D0D"/>
                <w:sz w:val="24"/>
                <w:szCs w:val="24"/>
              </w:rPr>
            </w:pPr>
            <w:r>
              <w:rPr>
                <w:rFonts w:ascii="Times New Roman" w:eastAsia="Times New Roman" w:hAnsi="Times New Roman" w:cs="Times New Roman"/>
                <w:b/>
                <w:color w:val="0D0D0D"/>
                <w:sz w:val="24"/>
                <w:szCs w:val="24"/>
              </w:rPr>
              <w:t>Value</w:t>
            </w:r>
          </w:p>
        </w:tc>
        <w:tc>
          <w:tcPr>
            <w:tcW w:w="1227" w:type="dxa"/>
          </w:tcPr>
          <w:p w14:paraId="1795E455" w14:textId="77777777" w:rsidR="00370DEB" w:rsidRDefault="005D2C20">
            <w:pPr>
              <w:spacing w:line="411" w:lineRule="auto"/>
              <w:jc w:val="center"/>
              <w:rPr>
                <w:rFonts w:ascii="Times New Roman" w:eastAsia="Times New Roman" w:hAnsi="Times New Roman" w:cs="Times New Roman"/>
                <w:color w:val="0D0D0D"/>
                <w:sz w:val="24"/>
                <w:szCs w:val="24"/>
              </w:rPr>
            </w:pPr>
            <w:r>
              <w:rPr>
                <w:rFonts w:ascii="Times New Roman" w:eastAsia="Times New Roman" w:hAnsi="Times New Roman" w:cs="Times New Roman"/>
                <w:b/>
                <w:color w:val="0D0D0D"/>
                <w:sz w:val="24"/>
                <w:szCs w:val="24"/>
              </w:rPr>
              <w:t>Rarity</w:t>
            </w:r>
          </w:p>
        </w:tc>
        <w:tc>
          <w:tcPr>
            <w:tcW w:w="1702" w:type="dxa"/>
          </w:tcPr>
          <w:p w14:paraId="6C65530A" w14:textId="77777777" w:rsidR="00370DEB" w:rsidRDefault="005D2C20">
            <w:pPr>
              <w:spacing w:line="411" w:lineRule="auto"/>
              <w:jc w:val="center"/>
              <w:rPr>
                <w:rFonts w:ascii="Times New Roman" w:eastAsia="Times New Roman" w:hAnsi="Times New Roman" w:cs="Times New Roman"/>
                <w:color w:val="0D0D0D"/>
                <w:sz w:val="24"/>
                <w:szCs w:val="24"/>
              </w:rPr>
            </w:pPr>
            <w:r>
              <w:rPr>
                <w:rFonts w:ascii="Times New Roman" w:eastAsia="Times New Roman" w:hAnsi="Times New Roman" w:cs="Times New Roman"/>
                <w:b/>
                <w:color w:val="0D0D0D"/>
                <w:sz w:val="24"/>
                <w:szCs w:val="24"/>
              </w:rPr>
              <w:t>Imitability</w:t>
            </w:r>
          </w:p>
        </w:tc>
        <w:tc>
          <w:tcPr>
            <w:tcW w:w="2011" w:type="dxa"/>
          </w:tcPr>
          <w:p w14:paraId="062F8F63" w14:textId="77777777" w:rsidR="00370DEB" w:rsidRDefault="005D2C20">
            <w:pPr>
              <w:spacing w:line="411" w:lineRule="auto"/>
              <w:jc w:val="center"/>
              <w:rPr>
                <w:rFonts w:ascii="Times New Roman" w:eastAsia="Times New Roman" w:hAnsi="Times New Roman" w:cs="Times New Roman"/>
                <w:color w:val="0D0D0D"/>
                <w:sz w:val="24"/>
                <w:szCs w:val="24"/>
              </w:rPr>
            </w:pPr>
            <w:r>
              <w:rPr>
                <w:rFonts w:ascii="Times New Roman" w:eastAsia="Times New Roman" w:hAnsi="Times New Roman" w:cs="Times New Roman"/>
                <w:b/>
                <w:color w:val="0D0D0D"/>
                <w:sz w:val="24"/>
                <w:szCs w:val="24"/>
              </w:rPr>
              <w:t>Organization</w:t>
            </w:r>
          </w:p>
        </w:tc>
      </w:tr>
      <w:tr w:rsidR="00370DEB" w14:paraId="7153FA56" w14:textId="77777777" w:rsidTr="00F5152F">
        <w:trPr>
          <w:trHeight w:val="695"/>
        </w:trPr>
        <w:tc>
          <w:tcPr>
            <w:tcW w:w="2914" w:type="dxa"/>
          </w:tcPr>
          <w:p w14:paraId="3302D0DD" w14:textId="77777777" w:rsidR="00370DEB" w:rsidRDefault="005D2C20">
            <w:pPr>
              <w:spacing w:line="411"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Human Resources</w:t>
            </w:r>
          </w:p>
        </w:tc>
        <w:tc>
          <w:tcPr>
            <w:tcW w:w="1168" w:type="dxa"/>
          </w:tcPr>
          <w:p w14:paraId="0E137219" w14:textId="77777777" w:rsidR="00370DEB" w:rsidRDefault="005D2C20">
            <w:pPr>
              <w:spacing w:line="411"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Yes</w:t>
            </w:r>
          </w:p>
        </w:tc>
        <w:tc>
          <w:tcPr>
            <w:tcW w:w="1227" w:type="dxa"/>
          </w:tcPr>
          <w:p w14:paraId="1B0CEB52" w14:textId="77777777" w:rsidR="00370DEB" w:rsidRDefault="005D2C20">
            <w:pPr>
              <w:spacing w:line="411"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Yes</w:t>
            </w:r>
          </w:p>
        </w:tc>
        <w:tc>
          <w:tcPr>
            <w:tcW w:w="1702" w:type="dxa"/>
          </w:tcPr>
          <w:p w14:paraId="59AC7225" w14:textId="77777777" w:rsidR="00370DEB" w:rsidRDefault="005D2C20">
            <w:pPr>
              <w:spacing w:line="411"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Partially</w:t>
            </w:r>
          </w:p>
        </w:tc>
        <w:tc>
          <w:tcPr>
            <w:tcW w:w="2011" w:type="dxa"/>
          </w:tcPr>
          <w:p w14:paraId="47A3C89D" w14:textId="77777777" w:rsidR="00370DEB" w:rsidRDefault="005D2C20">
            <w:pPr>
              <w:spacing w:line="411"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Yes</w:t>
            </w:r>
          </w:p>
        </w:tc>
      </w:tr>
      <w:tr w:rsidR="00370DEB" w14:paraId="5AE44828" w14:textId="77777777" w:rsidTr="00F5152F">
        <w:trPr>
          <w:trHeight w:val="695"/>
        </w:trPr>
        <w:tc>
          <w:tcPr>
            <w:tcW w:w="2914" w:type="dxa"/>
          </w:tcPr>
          <w:p w14:paraId="3DB7A423" w14:textId="77777777" w:rsidR="00370DEB" w:rsidRDefault="005D2C20">
            <w:pPr>
              <w:spacing w:line="411"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Brand Portfolio</w:t>
            </w:r>
          </w:p>
        </w:tc>
        <w:tc>
          <w:tcPr>
            <w:tcW w:w="1168" w:type="dxa"/>
          </w:tcPr>
          <w:p w14:paraId="4920A5F6" w14:textId="77777777" w:rsidR="00370DEB" w:rsidRDefault="005D2C20">
            <w:pPr>
              <w:spacing w:line="411"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Yes</w:t>
            </w:r>
          </w:p>
        </w:tc>
        <w:tc>
          <w:tcPr>
            <w:tcW w:w="1227" w:type="dxa"/>
          </w:tcPr>
          <w:p w14:paraId="048BA0A4" w14:textId="77777777" w:rsidR="00370DEB" w:rsidRDefault="005D2C20">
            <w:pPr>
              <w:spacing w:line="411"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Yes</w:t>
            </w:r>
          </w:p>
        </w:tc>
        <w:tc>
          <w:tcPr>
            <w:tcW w:w="1702" w:type="dxa"/>
          </w:tcPr>
          <w:p w14:paraId="7B9E77FC" w14:textId="77777777" w:rsidR="00370DEB" w:rsidRDefault="005D2C20">
            <w:pPr>
              <w:spacing w:line="411"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Partially</w:t>
            </w:r>
          </w:p>
        </w:tc>
        <w:tc>
          <w:tcPr>
            <w:tcW w:w="2011" w:type="dxa"/>
          </w:tcPr>
          <w:p w14:paraId="096DF889" w14:textId="77777777" w:rsidR="00370DEB" w:rsidRDefault="005D2C20">
            <w:pPr>
              <w:spacing w:line="411"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Yes</w:t>
            </w:r>
          </w:p>
        </w:tc>
      </w:tr>
      <w:tr w:rsidR="00370DEB" w14:paraId="19EF3EF9" w14:textId="77777777" w:rsidTr="00F5152F">
        <w:trPr>
          <w:trHeight w:val="695"/>
        </w:trPr>
        <w:tc>
          <w:tcPr>
            <w:tcW w:w="2914" w:type="dxa"/>
          </w:tcPr>
          <w:p w14:paraId="02B0FCB4" w14:textId="77777777" w:rsidR="00370DEB" w:rsidRDefault="005D2C20">
            <w:pPr>
              <w:spacing w:line="411"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Innovation Capabilities</w:t>
            </w:r>
          </w:p>
        </w:tc>
        <w:tc>
          <w:tcPr>
            <w:tcW w:w="1168" w:type="dxa"/>
          </w:tcPr>
          <w:p w14:paraId="5ADB3485" w14:textId="77777777" w:rsidR="00370DEB" w:rsidRDefault="005D2C20">
            <w:pPr>
              <w:spacing w:line="411"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Yes</w:t>
            </w:r>
          </w:p>
        </w:tc>
        <w:tc>
          <w:tcPr>
            <w:tcW w:w="1227" w:type="dxa"/>
          </w:tcPr>
          <w:p w14:paraId="267AB5D3" w14:textId="77777777" w:rsidR="00370DEB" w:rsidRDefault="005D2C20">
            <w:pPr>
              <w:spacing w:line="411"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Yes</w:t>
            </w:r>
          </w:p>
        </w:tc>
        <w:tc>
          <w:tcPr>
            <w:tcW w:w="1702" w:type="dxa"/>
          </w:tcPr>
          <w:p w14:paraId="4C9E3286" w14:textId="77777777" w:rsidR="00370DEB" w:rsidRDefault="005D2C20">
            <w:pPr>
              <w:spacing w:line="411"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Partially</w:t>
            </w:r>
          </w:p>
        </w:tc>
        <w:tc>
          <w:tcPr>
            <w:tcW w:w="2011" w:type="dxa"/>
          </w:tcPr>
          <w:p w14:paraId="6C051478" w14:textId="77777777" w:rsidR="00370DEB" w:rsidRDefault="005D2C20">
            <w:pPr>
              <w:spacing w:line="411"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Yes</w:t>
            </w:r>
          </w:p>
        </w:tc>
      </w:tr>
      <w:tr w:rsidR="00370DEB" w14:paraId="031DC179" w14:textId="77777777" w:rsidTr="00F5152F">
        <w:trPr>
          <w:trHeight w:val="695"/>
        </w:trPr>
        <w:tc>
          <w:tcPr>
            <w:tcW w:w="2914" w:type="dxa"/>
          </w:tcPr>
          <w:p w14:paraId="0A4FA835" w14:textId="77777777" w:rsidR="00370DEB" w:rsidRDefault="005D2C20">
            <w:pPr>
              <w:spacing w:line="411"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Supply Chain</w:t>
            </w:r>
          </w:p>
        </w:tc>
        <w:tc>
          <w:tcPr>
            <w:tcW w:w="1168" w:type="dxa"/>
          </w:tcPr>
          <w:p w14:paraId="2CF4B340" w14:textId="77777777" w:rsidR="00370DEB" w:rsidRDefault="005D2C20">
            <w:pPr>
              <w:spacing w:line="411"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Yes</w:t>
            </w:r>
          </w:p>
        </w:tc>
        <w:tc>
          <w:tcPr>
            <w:tcW w:w="1227" w:type="dxa"/>
          </w:tcPr>
          <w:p w14:paraId="428D685B" w14:textId="77777777" w:rsidR="00370DEB" w:rsidRDefault="005D2C20">
            <w:pPr>
              <w:spacing w:line="411"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No</w:t>
            </w:r>
          </w:p>
        </w:tc>
        <w:tc>
          <w:tcPr>
            <w:tcW w:w="1702" w:type="dxa"/>
          </w:tcPr>
          <w:p w14:paraId="45E93730" w14:textId="77777777" w:rsidR="00370DEB" w:rsidRDefault="005D2C20">
            <w:pPr>
              <w:spacing w:line="411"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Partially</w:t>
            </w:r>
          </w:p>
        </w:tc>
        <w:tc>
          <w:tcPr>
            <w:tcW w:w="2011" w:type="dxa"/>
          </w:tcPr>
          <w:p w14:paraId="1EF6F4E5" w14:textId="77777777" w:rsidR="00370DEB" w:rsidRDefault="005D2C20">
            <w:pPr>
              <w:spacing w:line="411"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Yes</w:t>
            </w:r>
          </w:p>
        </w:tc>
      </w:tr>
    </w:tbl>
    <w:p w14:paraId="2793EEFD" w14:textId="77777777" w:rsidR="00370DEB" w:rsidRDefault="00370DEB">
      <w:pPr>
        <w:spacing w:line="360" w:lineRule="auto"/>
        <w:jc w:val="both"/>
        <w:rPr>
          <w:rFonts w:ascii="Times New Roman" w:eastAsia="Times New Roman" w:hAnsi="Times New Roman" w:cs="Times New Roman"/>
          <w:sz w:val="24"/>
          <w:szCs w:val="24"/>
        </w:rPr>
      </w:pPr>
    </w:p>
    <w:p w14:paraId="714423F2" w14:textId="77777777" w:rsidR="00370DEB" w:rsidRDefault="005D2C20" w:rsidP="00F5152F">
      <w:pPr>
        <w:pStyle w:val="Heading2"/>
      </w:pPr>
      <w:bookmarkStart w:id="12" w:name="_Toc164862126"/>
      <w:r>
        <w:t>Porter's Five Forces</w:t>
      </w:r>
      <w:bookmarkEnd w:id="12"/>
    </w:p>
    <w:tbl>
      <w:tblPr>
        <w:tblStyle w:val="GridTable5Dark-Accent6"/>
        <w:tblW w:w="90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026"/>
        <w:gridCol w:w="6999"/>
      </w:tblGrid>
      <w:tr w:rsidR="00370DEB" w14:paraId="7197ED84" w14:textId="77777777" w:rsidTr="00F5152F">
        <w:trPr>
          <w:trHeight w:val="1070"/>
        </w:trPr>
        <w:tc>
          <w:tcPr>
            <w:tcW w:w="2026" w:type="dxa"/>
          </w:tcPr>
          <w:p w14:paraId="5E23E90F" w14:textId="77777777" w:rsidR="00370DEB" w:rsidRDefault="005D2C20">
            <w:pPr>
              <w:spacing w:line="411" w:lineRule="auto"/>
              <w:jc w:val="center"/>
              <w:rPr>
                <w:rFonts w:ascii="Times New Roman" w:eastAsia="Times New Roman" w:hAnsi="Times New Roman" w:cs="Times New Roman"/>
                <w:color w:val="0D0D0D"/>
                <w:sz w:val="24"/>
                <w:szCs w:val="24"/>
              </w:rPr>
            </w:pPr>
            <w:r>
              <w:rPr>
                <w:rFonts w:ascii="Times New Roman" w:eastAsia="Times New Roman" w:hAnsi="Times New Roman" w:cs="Times New Roman"/>
                <w:b/>
                <w:color w:val="0D0D0D"/>
                <w:sz w:val="24"/>
                <w:szCs w:val="24"/>
              </w:rPr>
              <w:t>Porter's Five Forces</w:t>
            </w:r>
          </w:p>
        </w:tc>
        <w:tc>
          <w:tcPr>
            <w:tcW w:w="6999" w:type="dxa"/>
          </w:tcPr>
          <w:p w14:paraId="22B0BEE4" w14:textId="77777777" w:rsidR="00370DEB" w:rsidRDefault="005D2C20">
            <w:pPr>
              <w:spacing w:line="411" w:lineRule="auto"/>
              <w:jc w:val="center"/>
              <w:rPr>
                <w:rFonts w:ascii="Times New Roman" w:eastAsia="Times New Roman" w:hAnsi="Times New Roman" w:cs="Times New Roman"/>
                <w:color w:val="0D0D0D"/>
                <w:sz w:val="24"/>
                <w:szCs w:val="24"/>
              </w:rPr>
            </w:pPr>
            <w:r>
              <w:rPr>
                <w:rFonts w:ascii="Times New Roman" w:eastAsia="Times New Roman" w:hAnsi="Times New Roman" w:cs="Times New Roman"/>
                <w:b/>
                <w:color w:val="0D0D0D"/>
                <w:sz w:val="24"/>
                <w:szCs w:val="24"/>
              </w:rPr>
              <w:t>Analysis</w:t>
            </w:r>
          </w:p>
        </w:tc>
      </w:tr>
      <w:tr w:rsidR="00370DEB" w14:paraId="22790A03" w14:textId="77777777" w:rsidTr="00F5152F">
        <w:trPr>
          <w:trHeight w:val="1415"/>
        </w:trPr>
        <w:tc>
          <w:tcPr>
            <w:tcW w:w="2026" w:type="dxa"/>
          </w:tcPr>
          <w:p w14:paraId="6C7FE619" w14:textId="77777777" w:rsidR="00370DEB" w:rsidRDefault="005D2C20">
            <w:pPr>
              <w:spacing w:line="411"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Threat of New Entrants</w:t>
            </w:r>
          </w:p>
        </w:tc>
        <w:tc>
          <w:tcPr>
            <w:tcW w:w="6999" w:type="dxa"/>
          </w:tcPr>
          <w:p w14:paraId="01AB44BF" w14:textId="77777777" w:rsidR="00370DEB" w:rsidRDefault="005D2C20">
            <w:pPr>
              <w:spacing w:line="411"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Moderate - High: High barriers to entry due to economies of scale, brand loyalty, and distribution networks. Unilever's strong brand presence and scale deter new entrants.</w:t>
            </w:r>
          </w:p>
        </w:tc>
      </w:tr>
      <w:tr w:rsidR="00370DEB" w14:paraId="2205A6BB" w14:textId="77777777" w:rsidTr="00F5152F">
        <w:trPr>
          <w:trHeight w:val="1415"/>
        </w:trPr>
        <w:tc>
          <w:tcPr>
            <w:tcW w:w="2026" w:type="dxa"/>
          </w:tcPr>
          <w:p w14:paraId="1881D888" w14:textId="77777777" w:rsidR="00370DEB" w:rsidRDefault="005D2C20">
            <w:pPr>
              <w:spacing w:line="411"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 xml:space="preserve">Bargaining Power of </w:t>
            </w:r>
            <w:r>
              <w:rPr>
                <w:rFonts w:ascii="Times New Roman" w:eastAsia="Times New Roman" w:hAnsi="Times New Roman" w:cs="Times New Roman"/>
                <w:color w:val="0D0D0D"/>
                <w:sz w:val="24"/>
                <w:szCs w:val="24"/>
              </w:rPr>
              <w:t>Suppliers</w:t>
            </w:r>
          </w:p>
        </w:tc>
        <w:tc>
          <w:tcPr>
            <w:tcW w:w="6999" w:type="dxa"/>
          </w:tcPr>
          <w:p w14:paraId="485C8FCE" w14:textId="77777777" w:rsidR="00370DEB" w:rsidRDefault="005D2C20">
            <w:pPr>
              <w:spacing w:line="411"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Moderate: Unilever's size and global reach provide leverage in supplier negotiations. Sustainable sourcing practices reduce supplier power and enhance supply chain resilience.</w:t>
            </w:r>
          </w:p>
        </w:tc>
      </w:tr>
      <w:tr w:rsidR="00370DEB" w14:paraId="30531099" w14:textId="77777777" w:rsidTr="00F5152F">
        <w:trPr>
          <w:trHeight w:val="1415"/>
        </w:trPr>
        <w:tc>
          <w:tcPr>
            <w:tcW w:w="2026" w:type="dxa"/>
          </w:tcPr>
          <w:p w14:paraId="4DDA260E" w14:textId="77777777" w:rsidR="00370DEB" w:rsidRDefault="005D2C20">
            <w:pPr>
              <w:spacing w:line="411"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Bargaining Power of Buyers</w:t>
            </w:r>
          </w:p>
        </w:tc>
        <w:tc>
          <w:tcPr>
            <w:tcW w:w="6999" w:type="dxa"/>
          </w:tcPr>
          <w:p w14:paraId="44F2C3EC" w14:textId="77777777" w:rsidR="00370DEB" w:rsidRDefault="005D2C20">
            <w:pPr>
              <w:spacing w:line="411"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Moderate - High: Buyers have choices and c</w:t>
            </w:r>
            <w:r>
              <w:rPr>
                <w:rFonts w:ascii="Times New Roman" w:eastAsia="Times New Roman" w:hAnsi="Times New Roman" w:cs="Times New Roman"/>
                <w:color w:val="0D0D0D"/>
                <w:sz w:val="24"/>
                <w:szCs w:val="24"/>
              </w:rPr>
              <w:t>an switch based on price and quality. Unilever's brand portfolio and innovation efforts mitigate buyer power by fostering loyalty.</w:t>
            </w:r>
          </w:p>
        </w:tc>
      </w:tr>
      <w:tr w:rsidR="00370DEB" w14:paraId="6B64D1F2" w14:textId="77777777" w:rsidTr="00F5152F">
        <w:trPr>
          <w:trHeight w:val="1415"/>
        </w:trPr>
        <w:tc>
          <w:tcPr>
            <w:tcW w:w="2026" w:type="dxa"/>
          </w:tcPr>
          <w:p w14:paraId="7DB08B94" w14:textId="77777777" w:rsidR="00370DEB" w:rsidRDefault="005D2C20">
            <w:pPr>
              <w:spacing w:line="411"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Threat of Substitutes</w:t>
            </w:r>
          </w:p>
        </w:tc>
        <w:tc>
          <w:tcPr>
            <w:tcW w:w="6999" w:type="dxa"/>
          </w:tcPr>
          <w:p w14:paraId="78E7B056" w14:textId="77777777" w:rsidR="00370DEB" w:rsidRDefault="005D2C20">
            <w:pPr>
              <w:spacing w:line="411"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 xml:space="preserve">Moderate: Substitutes exist in private-label products and niche brands. Unilever's diverse portfolio, </w:t>
            </w:r>
            <w:r>
              <w:rPr>
                <w:rFonts w:ascii="Times New Roman" w:eastAsia="Times New Roman" w:hAnsi="Times New Roman" w:cs="Times New Roman"/>
                <w:color w:val="0D0D0D"/>
                <w:sz w:val="24"/>
                <w:szCs w:val="24"/>
              </w:rPr>
              <w:t>innovation, and brand equity reduce the attractiveness of substitutes.</w:t>
            </w:r>
          </w:p>
        </w:tc>
      </w:tr>
      <w:tr w:rsidR="00370DEB" w14:paraId="7F9F7287" w14:textId="77777777" w:rsidTr="00F5152F">
        <w:trPr>
          <w:trHeight w:val="1415"/>
        </w:trPr>
        <w:tc>
          <w:tcPr>
            <w:tcW w:w="2026" w:type="dxa"/>
          </w:tcPr>
          <w:p w14:paraId="15D710C0" w14:textId="77777777" w:rsidR="00370DEB" w:rsidRDefault="005D2C20">
            <w:pPr>
              <w:spacing w:line="411"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lastRenderedPageBreak/>
              <w:t>Competitive Rivalry</w:t>
            </w:r>
          </w:p>
        </w:tc>
        <w:tc>
          <w:tcPr>
            <w:tcW w:w="6999" w:type="dxa"/>
          </w:tcPr>
          <w:p w14:paraId="76AA5583" w14:textId="77777777" w:rsidR="00370DEB" w:rsidRDefault="005D2C20">
            <w:pPr>
              <w:spacing w:line="411"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 xml:space="preserve">Intense: Competitors include Procter &amp; Gamble, Nestlé, and Coca-Cola. Unilever's focus on innovation, sustainability, and brand equity helps maintain a </w:t>
            </w:r>
            <w:r>
              <w:rPr>
                <w:rFonts w:ascii="Times New Roman" w:eastAsia="Times New Roman" w:hAnsi="Times New Roman" w:cs="Times New Roman"/>
                <w:color w:val="0D0D0D"/>
                <w:sz w:val="24"/>
                <w:szCs w:val="24"/>
              </w:rPr>
              <w:t>competitive edge.</w:t>
            </w:r>
          </w:p>
        </w:tc>
      </w:tr>
    </w:tbl>
    <w:p w14:paraId="22F9B3A2" w14:textId="77777777" w:rsidR="00370DEB" w:rsidRDefault="00370DEB">
      <w:pPr>
        <w:spacing w:line="360" w:lineRule="auto"/>
        <w:jc w:val="both"/>
        <w:rPr>
          <w:rFonts w:ascii="Times New Roman" w:eastAsia="Times New Roman" w:hAnsi="Times New Roman" w:cs="Times New Roman"/>
          <w:sz w:val="24"/>
          <w:szCs w:val="24"/>
        </w:rPr>
      </w:pPr>
    </w:p>
    <w:sectPr w:rsidR="00370DEB" w:rsidSect="001C54B2">
      <w:footerReference w:type="default" r:id="rId1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0A2A19" w14:textId="77777777" w:rsidR="005D2C20" w:rsidRDefault="005D2C20" w:rsidP="00D54772">
      <w:pPr>
        <w:spacing w:line="240" w:lineRule="auto"/>
      </w:pPr>
      <w:r>
        <w:separator/>
      </w:r>
    </w:p>
  </w:endnote>
  <w:endnote w:type="continuationSeparator" w:id="0">
    <w:p w14:paraId="19A4EE57" w14:textId="77777777" w:rsidR="005D2C20" w:rsidRDefault="005D2C20" w:rsidP="00D547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4267105"/>
      <w:docPartObj>
        <w:docPartGallery w:val="Page Numbers (Bottom of Page)"/>
        <w:docPartUnique/>
      </w:docPartObj>
    </w:sdtPr>
    <w:sdtEndPr>
      <w:rPr>
        <w:rFonts w:ascii="Times New Roman" w:hAnsi="Times New Roman" w:cs="Times New Roman"/>
        <w:noProof/>
        <w:sz w:val="20"/>
        <w:szCs w:val="20"/>
      </w:rPr>
    </w:sdtEndPr>
    <w:sdtContent>
      <w:p w14:paraId="1DC05EF3" w14:textId="77777777" w:rsidR="00D54772" w:rsidRPr="00D54772" w:rsidRDefault="00D54772">
        <w:pPr>
          <w:pStyle w:val="Footer"/>
          <w:jc w:val="right"/>
          <w:rPr>
            <w:rFonts w:ascii="Times New Roman" w:hAnsi="Times New Roman" w:cs="Times New Roman"/>
            <w:sz w:val="20"/>
            <w:szCs w:val="20"/>
          </w:rPr>
        </w:pPr>
        <w:r w:rsidRPr="00D54772">
          <w:rPr>
            <w:rFonts w:ascii="Times New Roman" w:hAnsi="Times New Roman" w:cs="Times New Roman"/>
            <w:sz w:val="20"/>
            <w:szCs w:val="20"/>
          </w:rPr>
          <w:fldChar w:fldCharType="begin"/>
        </w:r>
        <w:r w:rsidRPr="00D54772">
          <w:rPr>
            <w:rFonts w:ascii="Times New Roman" w:hAnsi="Times New Roman" w:cs="Times New Roman"/>
            <w:sz w:val="20"/>
            <w:szCs w:val="20"/>
          </w:rPr>
          <w:instrText xml:space="preserve"> PAGE   \* MERGEFORMAT </w:instrText>
        </w:r>
        <w:r w:rsidRPr="00D54772">
          <w:rPr>
            <w:rFonts w:ascii="Times New Roman" w:hAnsi="Times New Roman" w:cs="Times New Roman"/>
            <w:sz w:val="20"/>
            <w:szCs w:val="20"/>
          </w:rPr>
          <w:fldChar w:fldCharType="separate"/>
        </w:r>
        <w:r w:rsidRPr="00D54772">
          <w:rPr>
            <w:rFonts w:ascii="Times New Roman" w:hAnsi="Times New Roman" w:cs="Times New Roman"/>
            <w:noProof/>
            <w:sz w:val="20"/>
            <w:szCs w:val="20"/>
          </w:rPr>
          <w:t>2</w:t>
        </w:r>
        <w:r w:rsidRPr="00D54772">
          <w:rPr>
            <w:rFonts w:ascii="Times New Roman" w:hAnsi="Times New Roman" w:cs="Times New Roman"/>
            <w:noProof/>
            <w:sz w:val="20"/>
            <w:szCs w:val="20"/>
          </w:rPr>
          <w:fldChar w:fldCharType="end"/>
        </w:r>
      </w:p>
    </w:sdtContent>
  </w:sdt>
  <w:p w14:paraId="780755E2" w14:textId="77777777" w:rsidR="00D54772" w:rsidRDefault="00D547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45217E" w14:textId="77777777" w:rsidR="005D2C20" w:rsidRDefault="005D2C20" w:rsidP="00D54772">
      <w:pPr>
        <w:spacing w:line="240" w:lineRule="auto"/>
      </w:pPr>
      <w:r>
        <w:separator/>
      </w:r>
    </w:p>
  </w:footnote>
  <w:footnote w:type="continuationSeparator" w:id="0">
    <w:p w14:paraId="6DE7C1F2" w14:textId="77777777" w:rsidR="005D2C20" w:rsidRDefault="005D2C20" w:rsidP="00D5477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B435B"/>
    <w:multiLevelType w:val="multilevel"/>
    <w:tmpl w:val="96E69C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E53D97"/>
    <w:multiLevelType w:val="multilevel"/>
    <w:tmpl w:val="F99217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DCC2D8B"/>
    <w:multiLevelType w:val="multilevel"/>
    <w:tmpl w:val="F61E71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BA62070"/>
    <w:multiLevelType w:val="multilevel"/>
    <w:tmpl w:val="361092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FFF1D8E"/>
    <w:multiLevelType w:val="multilevel"/>
    <w:tmpl w:val="195C23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EAF3B72"/>
    <w:multiLevelType w:val="multilevel"/>
    <w:tmpl w:val="86DC4B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AA17B91"/>
    <w:multiLevelType w:val="multilevel"/>
    <w:tmpl w:val="702E1E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2"/>
  </w:num>
  <w:num w:numId="3">
    <w:abstractNumId w:val="0"/>
  </w:num>
  <w:num w:numId="4">
    <w:abstractNumId w:val="5"/>
  </w:num>
  <w:num w:numId="5">
    <w:abstractNumId w:val="6"/>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0DEB"/>
    <w:rsid w:val="00122334"/>
    <w:rsid w:val="001C54B2"/>
    <w:rsid w:val="00370DEB"/>
    <w:rsid w:val="005C68BC"/>
    <w:rsid w:val="005D2C20"/>
    <w:rsid w:val="00A07914"/>
    <w:rsid w:val="00D54772"/>
    <w:rsid w:val="00F5152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8046C"/>
  <w15:docId w15:val="{93C96527-25B7-4503-8DA9-DD240C8AC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5C68BC"/>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autoRedefine/>
    <w:uiPriority w:val="9"/>
    <w:unhideWhenUsed/>
    <w:qFormat/>
    <w:rsid w:val="005C68BC"/>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FFFFFF"/>
    </w:tcPr>
  </w:style>
  <w:style w:type="table" w:customStyle="1" w:styleId="a0">
    <w:basedOn w:val="TableNormal"/>
    <w:tblPr>
      <w:tblStyleRowBandSize w:val="1"/>
      <w:tblStyleColBandSize w:val="1"/>
      <w:tblCellMar>
        <w:top w:w="100" w:type="dxa"/>
        <w:left w:w="100" w:type="dxa"/>
        <w:bottom w:w="100" w:type="dxa"/>
        <w:right w:w="100" w:type="dxa"/>
      </w:tblCellMar>
    </w:tblPr>
    <w:tcPr>
      <w:shd w:val="clear" w:color="auto" w:fill="FFFFFF"/>
    </w:tcPr>
  </w:style>
  <w:style w:type="paragraph" w:styleId="Header">
    <w:name w:val="header"/>
    <w:basedOn w:val="Normal"/>
    <w:link w:val="HeaderChar"/>
    <w:uiPriority w:val="99"/>
    <w:unhideWhenUsed/>
    <w:rsid w:val="00D54772"/>
    <w:pPr>
      <w:tabs>
        <w:tab w:val="center" w:pos="4513"/>
        <w:tab w:val="right" w:pos="9026"/>
      </w:tabs>
      <w:spacing w:line="240" w:lineRule="auto"/>
    </w:pPr>
  </w:style>
  <w:style w:type="character" w:customStyle="1" w:styleId="HeaderChar">
    <w:name w:val="Header Char"/>
    <w:basedOn w:val="DefaultParagraphFont"/>
    <w:link w:val="Header"/>
    <w:uiPriority w:val="99"/>
    <w:rsid w:val="00D54772"/>
  </w:style>
  <w:style w:type="paragraph" w:styleId="Footer">
    <w:name w:val="footer"/>
    <w:basedOn w:val="Normal"/>
    <w:link w:val="FooterChar"/>
    <w:uiPriority w:val="99"/>
    <w:unhideWhenUsed/>
    <w:rsid w:val="00D54772"/>
    <w:pPr>
      <w:tabs>
        <w:tab w:val="center" w:pos="4513"/>
        <w:tab w:val="right" w:pos="9026"/>
      </w:tabs>
      <w:spacing w:line="240" w:lineRule="auto"/>
    </w:pPr>
  </w:style>
  <w:style w:type="character" w:customStyle="1" w:styleId="FooterChar">
    <w:name w:val="Footer Char"/>
    <w:basedOn w:val="DefaultParagraphFont"/>
    <w:link w:val="Footer"/>
    <w:uiPriority w:val="99"/>
    <w:rsid w:val="00D54772"/>
  </w:style>
  <w:style w:type="paragraph" w:styleId="NormalWeb">
    <w:name w:val="Normal (Web)"/>
    <w:basedOn w:val="Normal"/>
    <w:uiPriority w:val="99"/>
    <w:semiHidden/>
    <w:unhideWhenUsed/>
    <w:rsid w:val="005C68BC"/>
    <w:pPr>
      <w:spacing w:before="100" w:beforeAutospacing="1" w:after="100" w:afterAutospacing="1" w:line="240" w:lineRule="auto"/>
    </w:pPr>
    <w:rPr>
      <w:rFonts w:ascii="Times New Roman" w:eastAsia="Times New Roman" w:hAnsi="Times New Roman" w:cs="Times New Roman"/>
      <w:sz w:val="24"/>
      <w:szCs w:val="24"/>
      <w:lang w:val="en-IN"/>
    </w:rPr>
  </w:style>
  <w:style w:type="table" w:styleId="GridTable4-Accent5">
    <w:name w:val="Grid Table 4 Accent 5"/>
    <w:basedOn w:val="TableNormal"/>
    <w:uiPriority w:val="49"/>
    <w:rsid w:val="00F5152F"/>
    <w:pPr>
      <w:spacing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5Dark-Accent4">
    <w:name w:val="Grid Table 5 Dark Accent 4"/>
    <w:basedOn w:val="TableNormal"/>
    <w:uiPriority w:val="50"/>
    <w:rsid w:val="00F5152F"/>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5Dark-Accent6">
    <w:name w:val="Grid Table 5 Dark Accent 6"/>
    <w:basedOn w:val="TableNormal"/>
    <w:uiPriority w:val="50"/>
    <w:rsid w:val="00F5152F"/>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paragraph" w:styleId="TOCHeading">
    <w:name w:val="TOC Heading"/>
    <w:basedOn w:val="Heading1"/>
    <w:next w:val="Normal"/>
    <w:uiPriority w:val="39"/>
    <w:unhideWhenUsed/>
    <w:qFormat/>
    <w:rsid w:val="00A0791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07914"/>
    <w:pPr>
      <w:spacing w:after="100"/>
    </w:pPr>
  </w:style>
  <w:style w:type="paragraph" w:styleId="TOC2">
    <w:name w:val="toc 2"/>
    <w:basedOn w:val="Normal"/>
    <w:next w:val="Normal"/>
    <w:autoRedefine/>
    <w:uiPriority w:val="39"/>
    <w:unhideWhenUsed/>
    <w:rsid w:val="00A07914"/>
    <w:pPr>
      <w:spacing w:after="100"/>
      <w:ind w:left="220"/>
    </w:pPr>
  </w:style>
  <w:style w:type="character" w:styleId="Hyperlink">
    <w:name w:val="Hyperlink"/>
    <w:basedOn w:val="DefaultParagraphFont"/>
    <w:uiPriority w:val="99"/>
    <w:unhideWhenUsed/>
    <w:rsid w:val="00A0791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2986945">
      <w:bodyDiv w:val="1"/>
      <w:marLeft w:val="0"/>
      <w:marRight w:val="0"/>
      <w:marTop w:val="0"/>
      <w:marBottom w:val="0"/>
      <w:divBdr>
        <w:top w:val="none" w:sz="0" w:space="0" w:color="auto"/>
        <w:left w:val="none" w:sz="0" w:space="0" w:color="auto"/>
        <w:bottom w:val="none" w:sz="0" w:space="0" w:color="auto"/>
        <w:right w:val="none" w:sz="0" w:space="0" w:color="auto"/>
      </w:divBdr>
      <w:divsChild>
        <w:div w:id="81835109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AF26168-8FB9-4C30-9451-F5BFCBFE52CA}" type="doc">
      <dgm:prSet loTypeId="urn:microsoft.com/office/officeart/2005/8/layout/default" loCatId="list" qsTypeId="urn:microsoft.com/office/officeart/2005/8/quickstyle/simple2" qsCatId="simple" csTypeId="urn:microsoft.com/office/officeart/2005/8/colors/colorful5" csCatId="colorful" phldr="1"/>
      <dgm:spPr/>
      <dgm:t>
        <a:bodyPr/>
        <a:lstStyle/>
        <a:p>
          <a:endParaRPr lang="en-IN"/>
        </a:p>
      </dgm:t>
    </dgm:pt>
    <dgm:pt modelId="{CAE3ED6D-9CDF-4D69-A846-36CDEFC4024D}">
      <dgm:prSet phldrT="[Text]" custT="1"/>
      <dgm:spPr/>
      <dgm:t>
        <a:bodyPr/>
        <a:lstStyle/>
        <a:p>
          <a:r>
            <a:rPr lang="en-GB" sz="2100"/>
            <a:t>Market Penetration</a:t>
          </a:r>
        </a:p>
        <a:p>
          <a:r>
            <a:rPr lang="en-IN" sz="1200" b="0" i="0">
              <a:latin typeface="Times New Roman" panose="02020603050405020304" pitchFamily="18" charset="0"/>
              <a:cs typeface="Times New Roman" panose="02020603050405020304" pitchFamily="18" charset="0"/>
            </a:rPr>
            <a:t>Advertisement, Promotions campaigns </a:t>
          </a:r>
          <a:endParaRPr lang="en-IN" sz="1200">
            <a:latin typeface="Times New Roman" panose="02020603050405020304" pitchFamily="18" charset="0"/>
            <a:cs typeface="Times New Roman" panose="02020603050405020304" pitchFamily="18" charset="0"/>
          </a:endParaRPr>
        </a:p>
      </dgm:t>
    </dgm:pt>
    <dgm:pt modelId="{EA450A32-8922-4CF2-AE45-D2AE808EFE01}" type="parTrans" cxnId="{A15205D9-0A62-435E-AFFF-64E5C4ACE5B7}">
      <dgm:prSet/>
      <dgm:spPr/>
      <dgm:t>
        <a:bodyPr/>
        <a:lstStyle/>
        <a:p>
          <a:endParaRPr lang="en-IN"/>
        </a:p>
      </dgm:t>
    </dgm:pt>
    <dgm:pt modelId="{0EDADF66-E50D-4C50-9E50-A914446509C8}" type="sibTrans" cxnId="{A15205D9-0A62-435E-AFFF-64E5C4ACE5B7}">
      <dgm:prSet/>
      <dgm:spPr/>
      <dgm:t>
        <a:bodyPr/>
        <a:lstStyle/>
        <a:p>
          <a:endParaRPr lang="en-IN"/>
        </a:p>
      </dgm:t>
    </dgm:pt>
    <dgm:pt modelId="{EE6D376F-080F-4BA5-8D08-5B75D805A8F2}">
      <dgm:prSet phldrT="[Text]" custT="1"/>
      <dgm:spPr/>
      <dgm:t>
        <a:bodyPr/>
        <a:lstStyle/>
        <a:p>
          <a:r>
            <a:rPr lang="en-GB" sz="2000"/>
            <a:t>Market Development</a:t>
          </a:r>
        </a:p>
        <a:p>
          <a:r>
            <a:rPr lang="en-IN" sz="1200" b="0" i="0">
              <a:latin typeface="Times New Roman" panose="02020603050405020304" pitchFamily="18" charset="0"/>
              <a:cs typeface="Times New Roman" panose="02020603050405020304" pitchFamily="18" charset="0"/>
            </a:rPr>
            <a:t>New geographic markets, Fast growing markets</a:t>
          </a:r>
          <a:endParaRPr lang="en-IN" sz="1200">
            <a:latin typeface="Times New Roman" panose="02020603050405020304" pitchFamily="18" charset="0"/>
            <a:cs typeface="Times New Roman" panose="02020603050405020304" pitchFamily="18" charset="0"/>
          </a:endParaRPr>
        </a:p>
      </dgm:t>
    </dgm:pt>
    <dgm:pt modelId="{F7DD36C3-0158-4CB1-BEB1-D46A9683E959}" type="parTrans" cxnId="{D163CCB6-D18E-4681-AF23-A55ED3F5A7A6}">
      <dgm:prSet/>
      <dgm:spPr/>
      <dgm:t>
        <a:bodyPr/>
        <a:lstStyle/>
        <a:p>
          <a:endParaRPr lang="en-IN"/>
        </a:p>
      </dgm:t>
    </dgm:pt>
    <dgm:pt modelId="{5E6F55BA-3BD6-48BB-AFE3-E73E1937F765}" type="sibTrans" cxnId="{D163CCB6-D18E-4681-AF23-A55ED3F5A7A6}">
      <dgm:prSet/>
      <dgm:spPr/>
      <dgm:t>
        <a:bodyPr/>
        <a:lstStyle/>
        <a:p>
          <a:endParaRPr lang="en-IN"/>
        </a:p>
      </dgm:t>
    </dgm:pt>
    <dgm:pt modelId="{1ACA7F59-DACE-4037-A442-8445ADA4F03E}">
      <dgm:prSet custT="1"/>
      <dgm:spPr/>
      <dgm:t>
        <a:bodyPr/>
        <a:lstStyle/>
        <a:p>
          <a:r>
            <a:rPr lang="en-GB" sz="2200"/>
            <a:t>Product Development</a:t>
          </a:r>
        </a:p>
        <a:p>
          <a:r>
            <a:rPr lang="en-IN" sz="1200" b="0" i="0">
              <a:latin typeface="Times New Roman" panose="02020603050405020304" pitchFamily="18" charset="0"/>
              <a:cs typeface="Times New Roman" panose="02020603050405020304" pitchFamily="18" charset="0"/>
            </a:rPr>
            <a:t>New products, Health sector</a:t>
          </a:r>
          <a:endParaRPr lang="en-IN" sz="1200">
            <a:latin typeface="Times New Roman" panose="02020603050405020304" pitchFamily="18" charset="0"/>
            <a:cs typeface="Times New Roman" panose="02020603050405020304" pitchFamily="18" charset="0"/>
          </a:endParaRPr>
        </a:p>
      </dgm:t>
    </dgm:pt>
    <dgm:pt modelId="{C5549DA3-2F1A-4149-B8C0-46F9004436F6}" type="parTrans" cxnId="{2A46ADD7-28D5-4513-9641-7FD4B1151DAA}">
      <dgm:prSet/>
      <dgm:spPr/>
      <dgm:t>
        <a:bodyPr/>
        <a:lstStyle/>
        <a:p>
          <a:endParaRPr lang="en-IN"/>
        </a:p>
      </dgm:t>
    </dgm:pt>
    <dgm:pt modelId="{67771165-9164-4097-A387-AB28AA829B81}" type="sibTrans" cxnId="{2A46ADD7-28D5-4513-9641-7FD4B1151DAA}">
      <dgm:prSet/>
      <dgm:spPr/>
      <dgm:t>
        <a:bodyPr/>
        <a:lstStyle/>
        <a:p>
          <a:endParaRPr lang="en-IN"/>
        </a:p>
      </dgm:t>
    </dgm:pt>
    <dgm:pt modelId="{8265BE47-6255-4EFB-9CAC-2C9EB6E4A0A9}">
      <dgm:prSet custT="1"/>
      <dgm:spPr/>
      <dgm:t>
        <a:bodyPr/>
        <a:lstStyle/>
        <a:p>
          <a:r>
            <a:rPr lang="en-GB" sz="2400"/>
            <a:t>Diversification</a:t>
          </a:r>
        </a:p>
        <a:p>
          <a:r>
            <a:rPr lang="en-IN" sz="1200" b="0" i="0">
              <a:latin typeface="Times New Roman" panose="02020603050405020304" pitchFamily="18" charset="0"/>
              <a:cs typeface="Times New Roman" panose="02020603050405020304" pitchFamily="18" charset="0"/>
            </a:rPr>
            <a:t>Customer-friendly products</a:t>
          </a:r>
          <a:endParaRPr lang="en-IN" sz="1200">
            <a:latin typeface="Times New Roman" panose="02020603050405020304" pitchFamily="18" charset="0"/>
            <a:cs typeface="Times New Roman" panose="02020603050405020304" pitchFamily="18" charset="0"/>
          </a:endParaRPr>
        </a:p>
      </dgm:t>
    </dgm:pt>
    <dgm:pt modelId="{EFF7CBA6-9095-4A8D-8C34-30C944CE026B}" type="parTrans" cxnId="{0C352217-69F6-4263-8CD9-B12D1A176DB8}">
      <dgm:prSet/>
      <dgm:spPr/>
      <dgm:t>
        <a:bodyPr/>
        <a:lstStyle/>
        <a:p>
          <a:endParaRPr lang="en-IN"/>
        </a:p>
      </dgm:t>
    </dgm:pt>
    <dgm:pt modelId="{BBD97425-1208-4C14-9378-49D038FBB2F4}" type="sibTrans" cxnId="{0C352217-69F6-4263-8CD9-B12D1A176DB8}">
      <dgm:prSet/>
      <dgm:spPr/>
      <dgm:t>
        <a:bodyPr/>
        <a:lstStyle/>
        <a:p>
          <a:endParaRPr lang="en-IN"/>
        </a:p>
      </dgm:t>
    </dgm:pt>
    <dgm:pt modelId="{8160E609-312C-4E7B-A72B-76FD9E72A1E2}" type="pres">
      <dgm:prSet presAssocID="{7AF26168-8FB9-4C30-9451-F5BFCBFE52CA}" presName="diagram" presStyleCnt="0">
        <dgm:presLayoutVars>
          <dgm:dir/>
          <dgm:resizeHandles val="exact"/>
        </dgm:presLayoutVars>
      </dgm:prSet>
      <dgm:spPr/>
    </dgm:pt>
    <dgm:pt modelId="{974D0252-CEED-4CA8-9C90-E2F4B7400C17}" type="pres">
      <dgm:prSet presAssocID="{CAE3ED6D-9CDF-4D69-A846-36CDEFC4024D}" presName="node" presStyleLbl="node1" presStyleIdx="0" presStyleCnt="4">
        <dgm:presLayoutVars>
          <dgm:bulletEnabled val="1"/>
        </dgm:presLayoutVars>
      </dgm:prSet>
      <dgm:spPr/>
    </dgm:pt>
    <dgm:pt modelId="{6367E852-B1D9-47C1-AF3C-B3444EDE7E49}" type="pres">
      <dgm:prSet presAssocID="{0EDADF66-E50D-4C50-9E50-A914446509C8}" presName="sibTrans" presStyleCnt="0"/>
      <dgm:spPr/>
    </dgm:pt>
    <dgm:pt modelId="{03C9627B-4E9E-4A94-8EA2-B061FE84404E}" type="pres">
      <dgm:prSet presAssocID="{EE6D376F-080F-4BA5-8D08-5B75D805A8F2}" presName="node" presStyleLbl="node1" presStyleIdx="1" presStyleCnt="4">
        <dgm:presLayoutVars>
          <dgm:bulletEnabled val="1"/>
        </dgm:presLayoutVars>
      </dgm:prSet>
      <dgm:spPr/>
    </dgm:pt>
    <dgm:pt modelId="{4CCB6968-B3B5-443C-A7F8-FF0C74A4A9F1}" type="pres">
      <dgm:prSet presAssocID="{5E6F55BA-3BD6-48BB-AFE3-E73E1937F765}" presName="sibTrans" presStyleCnt="0"/>
      <dgm:spPr/>
    </dgm:pt>
    <dgm:pt modelId="{C2F2E2CA-C495-4AA1-B96D-0BF7C05D92A8}" type="pres">
      <dgm:prSet presAssocID="{8265BE47-6255-4EFB-9CAC-2C9EB6E4A0A9}" presName="node" presStyleLbl="node1" presStyleIdx="2" presStyleCnt="4">
        <dgm:presLayoutVars>
          <dgm:bulletEnabled val="1"/>
        </dgm:presLayoutVars>
      </dgm:prSet>
      <dgm:spPr/>
    </dgm:pt>
    <dgm:pt modelId="{84902F0F-176B-4B83-8233-2FA8C82D6AC8}" type="pres">
      <dgm:prSet presAssocID="{BBD97425-1208-4C14-9378-49D038FBB2F4}" presName="sibTrans" presStyleCnt="0"/>
      <dgm:spPr/>
    </dgm:pt>
    <dgm:pt modelId="{D05031F8-8FE8-4711-A2FE-4D953851D28F}" type="pres">
      <dgm:prSet presAssocID="{1ACA7F59-DACE-4037-A442-8445ADA4F03E}" presName="node" presStyleLbl="node1" presStyleIdx="3" presStyleCnt="4">
        <dgm:presLayoutVars>
          <dgm:bulletEnabled val="1"/>
        </dgm:presLayoutVars>
      </dgm:prSet>
      <dgm:spPr/>
    </dgm:pt>
  </dgm:ptLst>
  <dgm:cxnLst>
    <dgm:cxn modelId="{ED2CDE00-CE0F-4252-B16A-926C58ECCE18}" type="presOf" srcId="{7AF26168-8FB9-4C30-9451-F5BFCBFE52CA}" destId="{8160E609-312C-4E7B-A72B-76FD9E72A1E2}" srcOrd="0" destOrd="0" presId="urn:microsoft.com/office/officeart/2005/8/layout/default"/>
    <dgm:cxn modelId="{E9668B0C-8572-4F6C-9ACB-F6B780FD8457}" type="presOf" srcId="{CAE3ED6D-9CDF-4D69-A846-36CDEFC4024D}" destId="{974D0252-CEED-4CA8-9C90-E2F4B7400C17}" srcOrd="0" destOrd="0" presId="urn:microsoft.com/office/officeart/2005/8/layout/default"/>
    <dgm:cxn modelId="{0C352217-69F6-4263-8CD9-B12D1A176DB8}" srcId="{7AF26168-8FB9-4C30-9451-F5BFCBFE52CA}" destId="{8265BE47-6255-4EFB-9CAC-2C9EB6E4A0A9}" srcOrd="2" destOrd="0" parTransId="{EFF7CBA6-9095-4A8D-8C34-30C944CE026B}" sibTransId="{BBD97425-1208-4C14-9378-49D038FBB2F4}"/>
    <dgm:cxn modelId="{390A6140-967D-484A-B19D-FD138A537505}" type="presOf" srcId="{8265BE47-6255-4EFB-9CAC-2C9EB6E4A0A9}" destId="{C2F2E2CA-C495-4AA1-B96D-0BF7C05D92A8}" srcOrd="0" destOrd="0" presId="urn:microsoft.com/office/officeart/2005/8/layout/default"/>
    <dgm:cxn modelId="{3BC71D49-7C96-477F-8723-45D5184135CC}" type="presOf" srcId="{EE6D376F-080F-4BA5-8D08-5B75D805A8F2}" destId="{03C9627B-4E9E-4A94-8EA2-B061FE84404E}" srcOrd="0" destOrd="0" presId="urn:microsoft.com/office/officeart/2005/8/layout/default"/>
    <dgm:cxn modelId="{D80223B0-75F9-4A51-8D36-05897B2023B4}" type="presOf" srcId="{1ACA7F59-DACE-4037-A442-8445ADA4F03E}" destId="{D05031F8-8FE8-4711-A2FE-4D953851D28F}" srcOrd="0" destOrd="0" presId="urn:microsoft.com/office/officeart/2005/8/layout/default"/>
    <dgm:cxn modelId="{D163CCB6-D18E-4681-AF23-A55ED3F5A7A6}" srcId="{7AF26168-8FB9-4C30-9451-F5BFCBFE52CA}" destId="{EE6D376F-080F-4BA5-8D08-5B75D805A8F2}" srcOrd="1" destOrd="0" parTransId="{F7DD36C3-0158-4CB1-BEB1-D46A9683E959}" sibTransId="{5E6F55BA-3BD6-48BB-AFE3-E73E1937F765}"/>
    <dgm:cxn modelId="{2A46ADD7-28D5-4513-9641-7FD4B1151DAA}" srcId="{7AF26168-8FB9-4C30-9451-F5BFCBFE52CA}" destId="{1ACA7F59-DACE-4037-A442-8445ADA4F03E}" srcOrd="3" destOrd="0" parTransId="{C5549DA3-2F1A-4149-B8C0-46F9004436F6}" sibTransId="{67771165-9164-4097-A387-AB28AA829B81}"/>
    <dgm:cxn modelId="{A15205D9-0A62-435E-AFFF-64E5C4ACE5B7}" srcId="{7AF26168-8FB9-4C30-9451-F5BFCBFE52CA}" destId="{CAE3ED6D-9CDF-4D69-A846-36CDEFC4024D}" srcOrd="0" destOrd="0" parTransId="{EA450A32-8922-4CF2-AE45-D2AE808EFE01}" sibTransId="{0EDADF66-E50D-4C50-9E50-A914446509C8}"/>
    <dgm:cxn modelId="{BE03AD86-7217-45BF-90CA-F4522843C357}" type="presParOf" srcId="{8160E609-312C-4E7B-A72B-76FD9E72A1E2}" destId="{974D0252-CEED-4CA8-9C90-E2F4B7400C17}" srcOrd="0" destOrd="0" presId="urn:microsoft.com/office/officeart/2005/8/layout/default"/>
    <dgm:cxn modelId="{B999FEC8-58CA-4477-AA83-1C1E3F83D770}" type="presParOf" srcId="{8160E609-312C-4E7B-A72B-76FD9E72A1E2}" destId="{6367E852-B1D9-47C1-AF3C-B3444EDE7E49}" srcOrd="1" destOrd="0" presId="urn:microsoft.com/office/officeart/2005/8/layout/default"/>
    <dgm:cxn modelId="{3EF9A1B4-CE0F-4E14-8292-632220A7EE63}" type="presParOf" srcId="{8160E609-312C-4E7B-A72B-76FD9E72A1E2}" destId="{03C9627B-4E9E-4A94-8EA2-B061FE84404E}" srcOrd="2" destOrd="0" presId="urn:microsoft.com/office/officeart/2005/8/layout/default"/>
    <dgm:cxn modelId="{7F2A18C3-3268-4000-8678-8764D285452E}" type="presParOf" srcId="{8160E609-312C-4E7B-A72B-76FD9E72A1E2}" destId="{4CCB6968-B3B5-443C-A7F8-FF0C74A4A9F1}" srcOrd="3" destOrd="0" presId="urn:microsoft.com/office/officeart/2005/8/layout/default"/>
    <dgm:cxn modelId="{50281E7B-3857-44A8-A174-1D3B54B9B0BB}" type="presParOf" srcId="{8160E609-312C-4E7B-A72B-76FD9E72A1E2}" destId="{C2F2E2CA-C495-4AA1-B96D-0BF7C05D92A8}" srcOrd="4" destOrd="0" presId="urn:microsoft.com/office/officeart/2005/8/layout/default"/>
    <dgm:cxn modelId="{6041D959-5ECD-4324-8DF5-F01F2F1E2B96}" type="presParOf" srcId="{8160E609-312C-4E7B-A72B-76FD9E72A1E2}" destId="{84902F0F-176B-4B83-8233-2FA8C82D6AC8}" srcOrd="5" destOrd="0" presId="urn:microsoft.com/office/officeart/2005/8/layout/default"/>
    <dgm:cxn modelId="{5C605604-EEB1-48BF-AA7E-A15BA0A75D20}" type="presParOf" srcId="{8160E609-312C-4E7B-A72B-76FD9E72A1E2}" destId="{D05031F8-8FE8-4711-A2FE-4D953851D28F}" srcOrd="6"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74D0252-CEED-4CA8-9C90-E2F4B7400C17}">
      <dsp:nvSpPr>
        <dsp:cNvPr id="0" name=""/>
        <dsp:cNvSpPr/>
      </dsp:nvSpPr>
      <dsp:spPr>
        <a:xfrm>
          <a:off x="161002" y="1696"/>
          <a:ext cx="2459235" cy="1475541"/>
        </a:xfrm>
        <a:prstGeom prst="rect">
          <a:avLst/>
        </a:prstGeom>
        <a:solidFill>
          <a:schemeClr val="accent5">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80010" tIns="80010" rIns="80010" bIns="80010" numCol="1" spcCol="1270" anchor="ctr" anchorCtr="0">
          <a:noAutofit/>
        </a:bodyPr>
        <a:lstStyle/>
        <a:p>
          <a:pPr marL="0" lvl="0" indent="0" algn="ctr" defTabSz="933450">
            <a:lnSpc>
              <a:spcPct val="90000"/>
            </a:lnSpc>
            <a:spcBef>
              <a:spcPct val="0"/>
            </a:spcBef>
            <a:spcAft>
              <a:spcPct val="35000"/>
            </a:spcAft>
            <a:buNone/>
          </a:pPr>
          <a:r>
            <a:rPr lang="en-GB" sz="2100" kern="1200"/>
            <a:t>Market Penetration</a:t>
          </a:r>
        </a:p>
        <a:p>
          <a:pPr marL="0" lvl="0" indent="0" algn="ctr" defTabSz="933450">
            <a:lnSpc>
              <a:spcPct val="90000"/>
            </a:lnSpc>
            <a:spcBef>
              <a:spcPct val="0"/>
            </a:spcBef>
            <a:spcAft>
              <a:spcPct val="35000"/>
            </a:spcAft>
            <a:buNone/>
          </a:pPr>
          <a:r>
            <a:rPr lang="en-IN" sz="1200" b="0" i="0" kern="1200">
              <a:latin typeface="Times New Roman" panose="02020603050405020304" pitchFamily="18" charset="0"/>
              <a:cs typeface="Times New Roman" panose="02020603050405020304" pitchFamily="18" charset="0"/>
            </a:rPr>
            <a:t>Advertisement, Promotions campaigns </a:t>
          </a:r>
          <a:endParaRPr lang="en-IN" sz="1200" kern="1200">
            <a:latin typeface="Times New Roman" panose="02020603050405020304" pitchFamily="18" charset="0"/>
            <a:cs typeface="Times New Roman" panose="02020603050405020304" pitchFamily="18" charset="0"/>
          </a:endParaRPr>
        </a:p>
      </dsp:txBody>
      <dsp:txXfrm>
        <a:off x="161002" y="1696"/>
        <a:ext cx="2459235" cy="1475541"/>
      </dsp:txXfrm>
    </dsp:sp>
    <dsp:sp modelId="{03C9627B-4E9E-4A94-8EA2-B061FE84404E}">
      <dsp:nvSpPr>
        <dsp:cNvPr id="0" name=""/>
        <dsp:cNvSpPr/>
      </dsp:nvSpPr>
      <dsp:spPr>
        <a:xfrm>
          <a:off x="2866161" y="1696"/>
          <a:ext cx="2459235" cy="1475541"/>
        </a:xfrm>
        <a:prstGeom prst="rect">
          <a:avLst/>
        </a:prstGeom>
        <a:solidFill>
          <a:schemeClr val="accent5">
            <a:hueOff val="-3311292"/>
            <a:satOff val="13270"/>
            <a:lumOff val="2876"/>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Market Development</a:t>
          </a:r>
        </a:p>
        <a:p>
          <a:pPr marL="0" lvl="0" indent="0" algn="ctr" defTabSz="889000">
            <a:lnSpc>
              <a:spcPct val="90000"/>
            </a:lnSpc>
            <a:spcBef>
              <a:spcPct val="0"/>
            </a:spcBef>
            <a:spcAft>
              <a:spcPct val="35000"/>
            </a:spcAft>
            <a:buNone/>
          </a:pPr>
          <a:r>
            <a:rPr lang="en-IN" sz="1200" b="0" i="0" kern="1200">
              <a:latin typeface="Times New Roman" panose="02020603050405020304" pitchFamily="18" charset="0"/>
              <a:cs typeface="Times New Roman" panose="02020603050405020304" pitchFamily="18" charset="0"/>
            </a:rPr>
            <a:t>New geographic markets, Fast growing markets</a:t>
          </a:r>
          <a:endParaRPr lang="en-IN" sz="1200" kern="1200">
            <a:latin typeface="Times New Roman" panose="02020603050405020304" pitchFamily="18" charset="0"/>
            <a:cs typeface="Times New Roman" panose="02020603050405020304" pitchFamily="18" charset="0"/>
          </a:endParaRPr>
        </a:p>
      </dsp:txBody>
      <dsp:txXfrm>
        <a:off x="2866161" y="1696"/>
        <a:ext cx="2459235" cy="1475541"/>
      </dsp:txXfrm>
    </dsp:sp>
    <dsp:sp modelId="{C2F2E2CA-C495-4AA1-B96D-0BF7C05D92A8}">
      <dsp:nvSpPr>
        <dsp:cNvPr id="0" name=""/>
        <dsp:cNvSpPr/>
      </dsp:nvSpPr>
      <dsp:spPr>
        <a:xfrm>
          <a:off x="161002" y="1723161"/>
          <a:ext cx="2459235" cy="1475541"/>
        </a:xfrm>
        <a:prstGeom prst="rect">
          <a:avLst/>
        </a:prstGeom>
        <a:solidFill>
          <a:schemeClr val="accent5">
            <a:hueOff val="-6622584"/>
            <a:satOff val="26541"/>
            <a:lumOff val="5752"/>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GB" sz="2400" kern="1200"/>
            <a:t>Diversification</a:t>
          </a:r>
        </a:p>
        <a:p>
          <a:pPr marL="0" lvl="0" indent="0" algn="ctr" defTabSz="1066800">
            <a:lnSpc>
              <a:spcPct val="90000"/>
            </a:lnSpc>
            <a:spcBef>
              <a:spcPct val="0"/>
            </a:spcBef>
            <a:spcAft>
              <a:spcPct val="35000"/>
            </a:spcAft>
            <a:buNone/>
          </a:pPr>
          <a:r>
            <a:rPr lang="en-IN" sz="1200" b="0" i="0" kern="1200">
              <a:latin typeface="Times New Roman" panose="02020603050405020304" pitchFamily="18" charset="0"/>
              <a:cs typeface="Times New Roman" panose="02020603050405020304" pitchFamily="18" charset="0"/>
            </a:rPr>
            <a:t>Customer-friendly products</a:t>
          </a:r>
          <a:endParaRPr lang="en-IN" sz="1200" kern="1200">
            <a:latin typeface="Times New Roman" panose="02020603050405020304" pitchFamily="18" charset="0"/>
            <a:cs typeface="Times New Roman" panose="02020603050405020304" pitchFamily="18" charset="0"/>
          </a:endParaRPr>
        </a:p>
      </dsp:txBody>
      <dsp:txXfrm>
        <a:off x="161002" y="1723161"/>
        <a:ext cx="2459235" cy="1475541"/>
      </dsp:txXfrm>
    </dsp:sp>
    <dsp:sp modelId="{D05031F8-8FE8-4711-A2FE-4D953851D28F}">
      <dsp:nvSpPr>
        <dsp:cNvPr id="0" name=""/>
        <dsp:cNvSpPr/>
      </dsp:nvSpPr>
      <dsp:spPr>
        <a:xfrm>
          <a:off x="2866161" y="1723161"/>
          <a:ext cx="2459235" cy="1475541"/>
        </a:xfrm>
        <a:prstGeom prst="rect">
          <a:avLst/>
        </a:prstGeom>
        <a:solidFill>
          <a:schemeClr val="accent5">
            <a:hueOff val="-9933876"/>
            <a:satOff val="39811"/>
            <a:lumOff val="8628"/>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GB" sz="2200" kern="1200"/>
            <a:t>Product Development</a:t>
          </a:r>
        </a:p>
        <a:p>
          <a:pPr marL="0" lvl="0" indent="0" algn="ctr" defTabSz="977900">
            <a:lnSpc>
              <a:spcPct val="90000"/>
            </a:lnSpc>
            <a:spcBef>
              <a:spcPct val="0"/>
            </a:spcBef>
            <a:spcAft>
              <a:spcPct val="35000"/>
            </a:spcAft>
            <a:buNone/>
          </a:pPr>
          <a:r>
            <a:rPr lang="en-IN" sz="1200" b="0" i="0" kern="1200">
              <a:latin typeface="Times New Roman" panose="02020603050405020304" pitchFamily="18" charset="0"/>
              <a:cs typeface="Times New Roman" panose="02020603050405020304" pitchFamily="18" charset="0"/>
            </a:rPr>
            <a:t>New products, Health sector</a:t>
          </a:r>
          <a:endParaRPr lang="en-IN" sz="1200" kern="1200">
            <a:latin typeface="Times New Roman" panose="02020603050405020304" pitchFamily="18" charset="0"/>
            <a:cs typeface="Times New Roman" panose="02020603050405020304" pitchFamily="18" charset="0"/>
          </a:endParaRPr>
        </a:p>
      </dsp:txBody>
      <dsp:txXfrm>
        <a:off x="2866161" y="1723161"/>
        <a:ext cx="2459235" cy="1475541"/>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13326F-A895-4D69-84EB-771963CAD9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17</Pages>
  <Words>4179</Words>
  <Characters>23821</Characters>
  <DocSecurity>0</DocSecurity>
  <Lines>198</Lines>
  <Paragraphs>55</Paragraphs>
  <ScaleCrop>false</ScaleCrop>
  <Company/>
  <LinksUpToDate>false</LinksUpToDate>
  <CharactersWithSpaces>27945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2024-04-24T09:03:00Z</dcterms:created>
  <dcterms:modified xsi:type="dcterms:W3CDTF">2024-04-24T11:34:00Z</dcterms:modified>
</cp:coreProperties>
</file>