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C42EE9" w14:textId="0AFD8F01" w:rsidR="006D607E" w:rsidRPr="002B00A9" w:rsidRDefault="00BF743F" w:rsidP="00C1738B">
      <w:pPr>
        <w:spacing w:after="120" w:line="360" w:lineRule="auto"/>
        <w:rPr>
          <w:rFonts w:ascii="Arial" w:hAnsi="Arial" w:cs="Arial"/>
          <w:sz w:val="24"/>
          <w:szCs w:val="24"/>
        </w:rPr>
      </w:pPr>
      <w:r w:rsidRPr="002B00A9">
        <w:rPr>
          <w:rFonts w:ascii="Arial" w:hAnsi="Arial" w:cs="Arial"/>
          <w:sz w:val="24"/>
          <w:szCs w:val="24"/>
        </w:rPr>
        <w:t>First we must understand th</w:t>
      </w:r>
      <w:r w:rsidR="00975001" w:rsidRPr="002B00A9">
        <w:rPr>
          <w:rFonts w:ascii="Arial" w:hAnsi="Arial" w:cs="Arial"/>
          <w:sz w:val="24"/>
          <w:szCs w:val="24"/>
        </w:rPr>
        <w:t xml:space="preserve">eory and then </w:t>
      </w:r>
      <w:r w:rsidR="00B04242" w:rsidRPr="002B00A9">
        <w:rPr>
          <w:rFonts w:ascii="Arial" w:hAnsi="Arial" w:cs="Arial"/>
          <w:sz w:val="24"/>
          <w:szCs w:val="24"/>
        </w:rPr>
        <w:t>w</w:t>
      </w:r>
      <w:r w:rsidRPr="002B00A9">
        <w:rPr>
          <w:rFonts w:ascii="Arial" w:hAnsi="Arial" w:cs="Arial"/>
          <w:sz w:val="24"/>
          <w:szCs w:val="24"/>
        </w:rPr>
        <w:t>hat childhood is as this can be deemed different across time, cultures and continents</w:t>
      </w:r>
      <w:r w:rsidR="001B18CE" w:rsidRPr="002B00A9">
        <w:rPr>
          <w:rFonts w:ascii="Arial" w:hAnsi="Arial" w:cs="Arial"/>
          <w:sz w:val="24"/>
          <w:szCs w:val="24"/>
        </w:rPr>
        <w:t xml:space="preserve"> (McMahon and Dyer 2018)</w:t>
      </w:r>
      <w:r w:rsidRPr="002B00A9">
        <w:rPr>
          <w:rFonts w:ascii="Arial" w:hAnsi="Arial" w:cs="Arial"/>
          <w:sz w:val="24"/>
          <w:szCs w:val="24"/>
        </w:rPr>
        <w:t xml:space="preserve">. </w:t>
      </w:r>
      <w:r w:rsidR="006D607E" w:rsidRPr="002B00A9">
        <w:rPr>
          <w:rFonts w:ascii="Arial" w:hAnsi="Arial" w:cs="Arial"/>
          <w:sz w:val="24"/>
          <w:szCs w:val="24"/>
        </w:rPr>
        <w:t xml:space="preserve"> Berk, L (2018, p. 73) recognises that t</w:t>
      </w:r>
      <w:r w:rsidR="00975001" w:rsidRPr="002B00A9">
        <w:rPr>
          <w:rFonts w:ascii="Arial" w:hAnsi="Arial" w:cs="Arial"/>
          <w:sz w:val="24"/>
          <w:szCs w:val="24"/>
        </w:rPr>
        <w:t>heories are vital as they organise the structure and frameworks of observations</w:t>
      </w:r>
      <w:r w:rsidR="006D607E" w:rsidRPr="002B00A9">
        <w:rPr>
          <w:rFonts w:ascii="Arial" w:hAnsi="Arial" w:cs="Arial"/>
          <w:sz w:val="24"/>
          <w:szCs w:val="24"/>
        </w:rPr>
        <w:t xml:space="preserve">, </w:t>
      </w:r>
      <w:r w:rsidR="00975001" w:rsidRPr="002B00A9">
        <w:rPr>
          <w:rFonts w:ascii="Arial" w:hAnsi="Arial" w:cs="Arial"/>
          <w:sz w:val="24"/>
          <w:szCs w:val="24"/>
        </w:rPr>
        <w:t>they offer meaning to what is being observed.  The</w:t>
      </w:r>
      <w:r w:rsidR="003C1B5E" w:rsidRPr="002B00A9">
        <w:rPr>
          <w:rFonts w:ascii="Arial" w:hAnsi="Arial" w:cs="Arial"/>
          <w:sz w:val="24"/>
          <w:szCs w:val="24"/>
        </w:rPr>
        <w:t xml:space="preserve">ories </w:t>
      </w:r>
      <w:r w:rsidR="006D607E" w:rsidRPr="002B00A9">
        <w:rPr>
          <w:rFonts w:ascii="Arial" w:hAnsi="Arial" w:cs="Arial"/>
          <w:sz w:val="24"/>
          <w:szCs w:val="24"/>
        </w:rPr>
        <w:t>are then</w:t>
      </w:r>
      <w:r w:rsidR="00975001" w:rsidRPr="002B00A9">
        <w:rPr>
          <w:rFonts w:ascii="Arial" w:hAnsi="Arial" w:cs="Arial"/>
          <w:sz w:val="24"/>
          <w:szCs w:val="24"/>
        </w:rPr>
        <w:t xml:space="preserve"> supported by research which provides a base for practical application.   </w:t>
      </w:r>
      <w:r w:rsidR="006D607E" w:rsidRPr="002B00A9">
        <w:rPr>
          <w:rFonts w:ascii="Arial" w:hAnsi="Arial" w:cs="Arial"/>
          <w:sz w:val="24"/>
          <w:szCs w:val="24"/>
        </w:rPr>
        <w:t xml:space="preserve">Berk further states that theories can be influenced by the values and cultural existence of the time </w:t>
      </w:r>
      <w:r w:rsidR="006D607E" w:rsidRPr="002B00A9">
        <w:rPr>
          <w:rFonts w:ascii="Arial" w:hAnsi="Arial" w:cs="Arial"/>
          <w:sz w:val="24"/>
          <w:szCs w:val="24"/>
        </w:rPr>
        <w:t xml:space="preserve">and recognises that they should be repeatedly tested over time with a fair set of measures to ensure the theory is best practice.  </w:t>
      </w:r>
    </w:p>
    <w:p w14:paraId="7F9BE771" w14:textId="528F6C3B" w:rsidR="00BF743F" w:rsidRPr="002B00A9" w:rsidRDefault="001B18CE" w:rsidP="00C1738B">
      <w:pPr>
        <w:spacing w:after="120" w:line="360" w:lineRule="auto"/>
        <w:rPr>
          <w:rFonts w:ascii="Arial" w:eastAsia="Arial Nova" w:hAnsi="Arial" w:cs="Arial"/>
          <w:sz w:val="24"/>
          <w:szCs w:val="24"/>
        </w:rPr>
      </w:pPr>
      <w:r w:rsidRPr="002B00A9">
        <w:rPr>
          <w:rFonts w:ascii="Arial" w:hAnsi="Arial" w:cs="Arial"/>
          <w:sz w:val="24"/>
          <w:szCs w:val="24"/>
        </w:rPr>
        <w:t>Aries (1962, quoted in McMahon and Dyer, 2018, p. 16) suggested that childhood is not a universal or natural phenomenon and is as suggested earlier varied depending on time and place.  No two childhoods are the same however children should be active participants in building their own lives.  This</w:t>
      </w:r>
      <w:r w:rsidR="00BF665F" w:rsidRPr="002B00A9">
        <w:rPr>
          <w:rFonts w:ascii="Arial" w:hAnsi="Arial" w:cs="Arial"/>
          <w:sz w:val="24"/>
          <w:szCs w:val="24"/>
        </w:rPr>
        <w:t xml:space="preserve"> concept</w:t>
      </w:r>
      <w:r w:rsidRPr="002B00A9">
        <w:rPr>
          <w:rFonts w:ascii="Arial" w:hAnsi="Arial" w:cs="Arial"/>
          <w:sz w:val="24"/>
          <w:szCs w:val="24"/>
        </w:rPr>
        <w:t xml:space="preserve"> is supported by the </w:t>
      </w:r>
      <w:r w:rsidR="00BF665F" w:rsidRPr="002B00A9">
        <w:rPr>
          <w:rFonts w:ascii="Arial" w:eastAsia="Arial Nova" w:hAnsi="Arial" w:cs="Arial"/>
          <w:sz w:val="24"/>
          <w:szCs w:val="24"/>
        </w:rPr>
        <w:t>United Nations Convention on the Rights of the Child,</w:t>
      </w:r>
      <w:r w:rsidR="00BF665F" w:rsidRPr="002B00A9">
        <w:rPr>
          <w:rFonts w:ascii="Arial" w:eastAsia="Arial Nova" w:hAnsi="Arial" w:cs="Arial"/>
          <w:sz w:val="24"/>
          <w:szCs w:val="24"/>
        </w:rPr>
        <w:t xml:space="preserve"> UNCRC, and that children have their own rights and opinions.  McMahon and Dyer (2018) argue that without children having their own rights and being included in the decision making it can lead to inequality and discrimination in their every day lives resulting in unfair and unjust treatment.    </w:t>
      </w:r>
    </w:p>
    <w:p w14:paraId="0A3D8DC0" w14:textId="6A1A3168" w:rsidR="00BF743F" w:rsidRPr="002B00A9" w:rsidRDefault="003C1B5E" w:rsidP="00C1738B">
      <w:pPr>
        <w:spacing w:after="120" w:line="360" w:lineRule="auto"/>
        <w:rPr>
          <w:rFonts w:ascii="Arial" w:hAnsi="Arial" w:cs="Arial"/>
          <w:b/>
          <w:bCs/>
          <w:sz w:val="24"/>
          <w:szCs w:val="24"/>
        </w:rPr>
      </w:pPr>
      <w:r w:rsidRPr="00567B31">
        <w:rPr>
          <w:rFonts w:ascii="Arial" w:eastAsia="Arial Nova" w:hAnsi="Arial" w:cs="Arial"/>
          <w:b/>
          <w:bCs/>
          <w:sz w:val="24"/>
          <w:szCs w:val="24"/>
        </w:rPr>
        <w:t>C</w:t>
      </w:r>
      <w:r w:rsidR="00BF743F" w:rsidRPr="00567B31">
        <w:rPr>
          <w:rFonts w:ascii="Arial" w:eastAsia="Arial Nova" w:hAnsi="Arial" w:cs="Arial"/>
          <w:b/>
          <w:bCs/>
          <w:sz w:val="24"/>
          <w:szCs w:val="24"/>
        </w:rPr>
        <w:t>reating a safe environment</w:t>
      </w:r>
    </w:p>
    <w:p w14:paraId="55A14148" w14:textId="67DE5484" w:rsidR="006870B3" w:rsidRPr="002B00A9" w:rsidRDefault="0026099A" w:rsidP="00C1738B">
      <w:pPr>
        <w:spacing w:after="120" w:line="360" w:lineRule="auto"/>
        <w:rPr>
          <w:rFonts w:ascii="Arial" w:eastAsia="Arial Nova" w:hAnsi="Arial" w:cs="Arial"/>
          <w:sz w:val="24"/>
          <w:szCs w:val="24"/>
        </w:rPr>
      </w:pPr>
      <w:r w:rsidRPr="002B00A9">
        <w:rPr>
          <w:rFonts w:ascii="Arial" w:eastAsia="Arial Nova" w:hAnsi="Arial" w:cs="Arial"/>
          <w:sz w:val="24"/>
          <w:szCs w:val="24"/>
        </w:rPr>
        <w:t xml:space="preserve">Every child has the right to live in a place of safety and stability.  This is underpinned in the </w:t>
      </w:r>
      <w:r w:rsidR="0076187A" w:rsidRPr="002B00A9">
        <w:rPr>
          <w:rFonts w:ascii="Arial" w:eastAsia="Arial Nova" w:hAnsi="Arial" w:cs="Arial"/>
          <w:sz w:val="24"/>
          <w:szCs w:val="24"/>
        </w:rPr>
        <w:t>UNCRC</w:t>
      </w:r>
      <w:r w:rsidR="00EE42C4" w:rsidRPr="002B00A9">
        <w:rPr>
          <w:rFonts w:ascii="Arial" w:eastAsia="Arial Nova" w:hAnsi="Arial" w:cs="Arial"/>
          <w:sz w:val="24"/>
          <w:szCs w:val="24"/>
        </w:rPr>
        <w:t xml:space="preserve">, embedded in safeguarding procedures for Wales and is intertwined throughout </w:t>
      </w:r>
      <w:r w:rsidR="006870B3" w:rsidRPr="002B00A9">
        <w:rPr>
          <w:rFonts w:ascii="Arial" w:eastAsia="Arial Nova" w:hAnsi="Arial" w:cs="Arial"/>
          <w:sz w:val="24"/>
          <w:szCs w:val="24"/>
        </w:rPr>
        <w:t>t</w:t>
      </w:r>
      <w:r w:rsidR="00EE42C4" w:rsidRPr="002B00A9">
        <w:rPr>
          <w:rFonts w:ascii="Arial" w:eastAsia="Arial Nova" w:hAnsi="Arial" w:cs="Arial"/>
          <w:sz w:val="24"/>
          <w:szCs w:val="24"/>
        </w:rPr>
        <w:t>he whole of the National Minimum Standards for Wales</w:t>
      </w:r>
      <w:r w:rsidR="006870B3" w:rsidRPr="002B00A9">
        <w:rPr>
          <w:rFonts w:ascii="Arial" w:eastAsia="Arial Nova" w:hAnsi="Arial" w:cs="Arial"/>
          <w:sz w:val="24"/>
          <w:szCs w:val="24"/>
        </w:rPr>
        <w:t>, NMS (2023) and the Healthy Child Wales Programme, HCWP (2022).</w:t>
      </w:r>
    </w:p>
    <w:p w14:paraId="7DBEEFB5" w14:textId="22E195D0" w:rsidR="0079652C" w:rsidRPr="002B00A9" w:rsidRDefault="006870B3" w:rsidP="00C1738B">
      <w:pPr>
        <w:spacing w:after="120" w:line="360" w:lineRule="auto"/>
        <w:rPr>
          <w:rFonts w:ascii="Arial" w:eastAsia="Arial Nova" w:hAnsi="Arial" w:cs="Arial"/>
          <w:sz w:val="24"/>
          <w:szCs w:val="24"/>
        </w:rPr>
      </w:pPr>
      <w:r w:rsidRPr="002B00A9">
        <w:rPr>
          <w:rFonts w:ascii="Arial" w:eastAsia="Arial Nova" w:hAnsi="Arial" w:cs="Arial"/>
          <w:sz w:val="24"/>
          <w:szCs w:val="24"/>
        </w:rPr>
        <w:t xml:space="preserve">In terms of everyday practice HCWP (2022) state that early years practice should include a safe, nurturing environment. With practitioners who are able to support children in meeting all growth and developmental milestones.  </w:t>
      </w:r>
      <w:r w:rsidR="001B18CE" w:rsidRPr="002B00A9">
        <w:rPr>
          <w:rFonts w:ascii="Arial" w:eastAsia="Arial Nova" w:hAnsi="Arial" w:cs="Arial"/>
          <w:sz w:val="24"/>
          <w:szCs w:val="24"/>
        </w:rPr>
        <w:t xml:space="preserve">  </w:t>
      </w:r>
    </w:p>
    <w:p w14:paraId="6D8BCA8B" w14:textId="64B36A1E" w:rsidR="0076187A" w:rsidRPr="002B00A9" w:rsidRDefault="00D074A0" w:rsidP="00C1738B">
      <w:pPr>
        <w:spacing w:after="120" w:line="360" w:lineRule="auto"/>
        <w:rPr>
          <w:rFonts w:ascii="Arial" w:eastAsia="Arial Nova" w:hAnsi="Arial" w:cs="Arial"/>
          <w:sz w:val="24"/>
          <w:szCs w:val="24"/>
        </w:rPr>
      </w:pPr>
      <w:r>
        <w:rPr>
          <w:rFonts w:ascii="Arial" w:eastAsia="Arial Nova" w:hAnsi="Arial" w:cs="Arial"/>
          <w:sz w:val="24"/>
          <w:szCs w:val="24"/>
        </w:rPr>
        <w:t>Welsh Government, WG</w:t>
      </w:r>
      <w:r w:rsidR="0079652C" w:rsidRPr="002B00A9">
        <w:rPr>
          <w:rFonts w:ascii="Arial" w:eastAsia="Arial Nova" w:hAnsi="Arial" w:cs="Arial"/>
          <w:sz w:val="24"/>
          <w:szCs w:val="24"/>
        </w:rPr>
        <w:t xml:space="preserve"> (2024) use the term of </w:t>
      </w:r>
      <w:r w:rsidR="006A7CAA" w:rsidRPr="002B00A9">
        <w:rPr>
          <w:rFonts w:ascii="Arial" w:eastAsia="Arial Nova" w:hAnsi="Arial" w:cs="Arial"/>
          <w:sz w:val="24"/>
          <w:szCs w:val="24"/>
        </w:rPr>
        <w:t>‘e</w:t>
      </w:r>
      <w:r w:rsidR="0079652C" w:rsidRPr="002B00A9">
        <w:rPr>
          <w:rFonts w:ascii="Arial" w:eastAsia="Arial Nova" w:hAnsi="Arial" w:cs="Arial"/>
          <w:sz w:val="24"/>
          <w:szCs w:val="24"/>
        </w:rPr>
        <w:t xml:space="preserve">nabling </w:t>
      </w:r>
      <w:r w:rsidR="006A7CAA" w:rsidRPr="002B00A9">
        <w:rPr>
          <w:rFonts w:ascii="Arial" w:eastAsia="Arial Nova" w:hAnsi="Arial" w:cs="Arial"/>
          <w:sz w:val="24"/>
          <w:szCs w:val="24"/>
        </w:rPr>
        <w:t>a</w:t>
      </w:r>
      <w:r w:rsidR="0079652C" w:rsidRPr="002B00A9">
        <w:rPr>
          <w:rFonts w:ascii="Arial" w:eastAsia="Arial Nova" w:hAnsi="Arial" w:cs="Arial"/>
          <w:sz w:val="24"/>
          <w:szCs w:val="24"/>
        </w:rPr>
        <w:t>dults</w:t>
      </w:r>
      <w:r w:rsidR="006A7CAA" w:rsidRPr="002B00A9">
        <w:rPr>
          <w:rFonts w:ascii="Arial" w:eastAsia="Arial Nova" w:hAnsi="Arial" w:cs="Arial"/>
          <w:sz w:val="24"/>
          <w:szCs w:val="24"/>
        </w:rPr>
        <w:t>’</w:t>
      </w:r>
      <w:r w:rsidR="0079652C" w:rsidRPr="002B00A9">
        <w:rPr>
          <w:rFonts w:ascii="Arial" w:eastAsia="Arial Nova" w:hAnsi="Arial" w:cs="Arial"/>
          <w:sz w:val="24"/>
          <w:szCs w:val="24"/>
        </w:rPr>
        <w:t xml:space="preserve"> and state that the leading aspect of an effective learning and playful environment for babies and children </w:t>
      </w:r>
      <w:r w:rsidR="003C1B5E" w:rsidRPr="002B00A9">
        <w:rPr>
          <w:rFonts w:ascii="Arial" w:eastAsia="Arial Nova" w:hAnsi="Arial" w:cs="Arial"/>
          <w:sz w:val="24"/>
          <w:szCs w:val="24"/>
        </w:rPr>
        <w:t>are</w:t>
      </w:r>
      <w:r w:rsidR="0079652C" w:rsidRPr="002B00A9">
        <w:rPr>
          <w:rFonts w:ascii="Arial" w:eastAsia="Arial Nova" w:hAnsi="Arial" w:cs="Arial"/>
          <w:sz w:val="24"/>
          <w:szCs w:val="24"/>
        </w:rPr>
        <w:t xml:space="preserve"> the </w:t>
      </w:r>
      <w:r w:rsidR="003C1B5E" w:rsidRPr="002B00A9">
        <w:rPr>
          <w:rFonts w:ascii="Arial" w:eastAsia="Arial Nova" w:hAnsi="Arial" w:cs="Arial"/>
          <w:sz w:val="24"/>
          <w:szCs w:val="24"/>
        </w:rPr>
        <w:t>links</w:t>
      </w:r>
      <w:r w:rsidR="0079652C" w:rsidRPr="002B00A9">
        <w:rPr>
          <w:rFonts w:ascii="Arial" w:eastAsia="Arial Nova" w:hAnsi="Arial" w:cs="Arial"/>
          <w:sz w:val="24"/>
          <w:szCs w:val="24"/>
        </w:rPr>
        <w:t xml:space="preserve"> between the adults, the environment and the experiences offered. </w:t>
      </w:r>
      <w:r w:rsidR="006A7CAA" w:rsidRPr="002B00A9">
        <w:rPr>
          <w:rFonts w:ascii="Arial" w:eastAsia="Arial Nova" w:hAnsi="Arial" w:cs="Arial"/>
          <w:sz w:val="24"/>
          <w:szCs w:val="24"/>
        </w:rPr>
        <w:t xml:space="preserve">They maintain enabling adults </w:t>
      </w:r>
      <w:r w:rsidR="0079652C" w:rsidRPr="002B00A9">
        <w:rPr>
          <w:rFonts w:ascii="Arial" w:eastAsia="Arial Nova" w:hAnsi="Arial" w:cs="Arial"/>
          <w:sz w:val="24"/>
          <w:szCs w:val="24"/>
        </w:rPr>
        <w:t xml:space="preserve">will offer safe play spaces to explore and encounter </w:t>
      </w:r>
      <w:r w:rsidR="00B04242" w:rsidRPr="002B00A9">
        <w:rPr>
          <w:rFonts w:ascii="Arial" w:eastAsia="Arial Nova" w:hAnsi="Arial" w:cs="Arial"/>
          <w:sz w:val="24"/>
          <w:szCs w:val="24"/>
        </w:rPr>
        <w:t>measure</w:t>
      </w:r>
      <w:r w:rsidR="00C1738B" w:rsidRPr="002B00A9">
        <w:rPr>
          <w:rFonts w:ascii="Arial" w:eastAsia="Arial Nova" w:hAnsi="Arial" w:cs="Arial"/>
          <w:sz w:val="24"/>
          <w:szCs w:val="24"/>
        </w:rPr>
        <w:t>d</w:t>
      </w:r>
      <w:r w:rsidR="00B04242" w:rsidRPr="002B00A9">
        <w:rPr>
          <w:rFonts w:ascii="Arial" w:eastAsia="Arial Nova" w:hAnsi="Arial" w:cs="Arial"/>
          <w:sz w:val="24"/>
          <w:szCs w:val="24"/>
        </w:rPr>
        <w:t xml:space="preserve"> </w:t>
      </w:r>
      <w:r w:rsidR="0079652C" w:rsidRPr="002B00A9">
        <w:rPr>
          <w:rFonts w:ascii="Arial" w:eastAsia="Arial Nova" w:hAnsi="Arial" w:cs="Arial"/>
          <w:sz w:val="24"/>
          <w:szCs w:val="24"/>
        </w:rPr>
        <w:t xml:space="preserve">risks and challenge.  </w:t>
      </w:r>
      <w:r>
        <w:rPr>
          <w:rFonts w:ascii="Arial" w:eastAsia="Arial Nova" w:hAnsi="Arial" w:cs="Arial"/>
          <w:sz w:val="24"/>
          <w:szCs w:val="24"/>
        </w:rPr>
        <w:t>WG</w:t>
      </w:r>
      <w:r w:rsidR="0079652C" w:rsidRPr="002B00A9">
        <w:rPr>
          <w:rFonts w:ascii="Arial" w:eastAsia="Arial Nova" w:hAnsi="Arial" w:cs="Arial"/>
          <w:sz w:val="24"/>
          <w:szCs w:val="24"/>
        </w:rPr>
        <w:t xml:space="preserve"> </w:t>
      </w:r>
      <w:r w:rsidR="006A7CAA" w:rsidRPr="002B00A9">
        <w:rPr>
          <w:rFonts w:ascii="Arial" w:eastAsia="Arial Nova" w:hAnsi="Arial" w:cs="Arial"/>
          <w:sz w:val="24"/>
          <w:szCs w:val="24"/>
        </w:rPr>
        <w:t xml:space="preserve">(2024) state </w:t>
      </w:r>
      <w:r w:rsidR="0079652C" w:rsidRPr="002B00A9">
        <w:rPr>
          <w:rFonts w:ascii="Arial" w:eastAsia="Arial Nova" w:hAnsi="Arial" w:cs="Arial"/>
          <w:sz w:val="24"/>
          <w:szCs w:val="24"/>
        </w:rPr>
        <w:t xml:space="preserve">further that it is vital for children to feel safe, secure and respected and </w:t>
      </w:r>
      <w:r w:rsidR="00B04242" w:rsidRPr="002B00A9">
        <w:rPr>
          <w:rFonts w:ascii="Arial" w:eastAsia="Arial Nova" w:hAnsi="Arial" w:cs="Arial"/>
          <w:sz w:val="24"/>
          <w:szCs w:val="24"/>
        </w:rPr>
        <w:t xml:space="preserve">they </w:t>
      </w:r>
      <w:r w:rsidR="0079652C" w:rsidRPr="002B00A9">
        <w:rPr>
          <w:rFonts w:ascii="Arial" w:eastAsia="Arial Nova" w:hAnsi="Arial" w:cs="Arial"/>
          <w:sz w:val="24"/>
          <w:szCs w:val="24"/>
        </w:rPr>
        <w:t xml:space="preserve">should be able to build secure attachments. </w:t>
      </w:r>
      <w:r w:rsidR="006A7CAA" w:rsidRPr="002B00A9">
        <w:rPr>
          <w:rFonts w:ascii="Arial" w:eastAsia="Arial Nova" w:hAnsi="Arial" w:cs="Arial"/>
          <w:sz w:val="24"/>
          <w:szCs w:val="24"/>
        </w:rPr>
        <w:t xml:space="preserve">Children when born are reliant on adults to meet their physical and </w:t>
      </w:r>
      <w:r w:rsidR="006A7CAA" w:rsidRPr="002B00A9">
        <w:rPr>
          <w:rFonts w:ascii="Arial" w:eastAsia="Arial Nova" w:hAnsi="Arial" w:cs="Arial"/>
          <w:sz w:val="24"/>
          <w:szCs w:val="24"/>
        </w:rPr>
        <w:lastRenderedPageBreak/>
        <w:t xml:space="preserve">emotional needs which when met leads to feelings of safety and security.  However the idea of feeling safe can cause confusion as </w:t>
      </w:r>
      <w:r w:rsidR="005565C0" w:rsidRPr="002B00A9">
        <w:rPr>
          <w:rFonts w:ascii="Arial" w:eastAsia="Arial Nova" w:hAnsi="Arial" w:cs="Arial"/>
          <w:sz w:val="24"/>
          <w:szCs w:val="24"/>
        </w:rPr>
        <w:t>Mahon and Dyer (2018) suggest that in terms of an emotional</w:t>
      </w:r>
      <w:r w:rsidR="006A7CAA" w:rsidRPr="002B00A9">
        <w:rPr>
          <w:rFonts w:ascii="Arial" w:eastAsia="Arial Nova" w:hAnsi="Arial" w:cs="Arial"/>
          <w:sz w:val="24"/>
          <w:szCs w:val="24"/>
        </w:rPr>
        <w:t>ly</w:t>
      </w:r>
      <w:r w:rsidR="005565C0" w:rsidRPr="002B00A9">
        <w:rPr>
          <w:rFonts w:ascii="Arial" w:eastAsia="Arial Nova" w:hAnsi="Arial" w:cs="Arial"/>
          <w:sz w:val="24"/>
          <w:szCs w:val="24"/>
        </w:rPr>
        <w:t xml:space="preserve"> safe environment that practitioners see this more as what the child needs in a physical space rather than what they are offering in their own practice.</w:t>
      </w:r>
    </w:p>
    <w:p w14:paraId="102FBE01" w14:textId="06ABDF54" w:rsidR="006A7CAA" w:rsidRPr="002B00A9" w:rsidRDefault="009B5710" w:rsidP="00C1738B">
      <w:pPr>
        <w:spacing w:after="120" w:line="360" w:lineRule="auto"/>
        <w:rPr>
          <w:rFonts w:ascii="Arial" w:hAnsi="Arial" w:cs="Arial"/>
          <w:sz w:val="24"/>
          <w:szCs w:val="24"/>
        </w:rPr>
      </w:pPr>
      <w:r w:rsidRPr="002B00A9">
        <w:rPr>
          <w:rFonts w:ascii="Arial" w:hAnsi="Arial" w:cs="Arial"/>
          <w:noProof/>
          <w:sz w:val="24"/>
          <w:szCs w:val="24"/>
        </w:rPr>
        <mc:AlternateContent>
          <mc:Choice Requires="wps">
            <w:drawing>
              <wp:anchor distT="45720" distB="45720" distL="114300" distR="114300" simplePos="0" relativeHeight="251659264" behindDoc="1" locked="0" layoutInCell="1" allowOverlap="1" wp14:anchorId="2BBA246B" wp14:editId="79E5D40B">
                <wp:simplePos x="0" y="0"/>
                <wp:positionH relativeFrom="column">
                  <wp:posOffset>4628515</wp:posOffset>
                </wp:positionH>
                <wp:positionV relativeFrom="paragraph">
                  <wp:posOffset>394335</wp:posOffset>
                </wp:positionV>
                <wp:extent cx="1595120" cy="1638300"/>
                <wp:effectExtent l="0" t="0" r="24130" b="19050"/>
                <wp:wrapTight wrapText="bothSides">
                  <wp:wrapPolygon edited="0">
                    <wp:start x="0" y="0"/>
                    <wp:lineTo x="0" y="21600"/>
                    <wp:lineTo x="21669" y="21600"/>
                    <wp:lineTo x="2166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5120" cy="1638300"/>
                        </a:xfrm>
                        <a:prstGeom prst="rect">
                          <a:avLst/>
                        </a:prstGeom>
                        <a:solidFill>
                          <a:srgbClr val="FFFFFF"/>
                        </a:solidFill>
                        <a:ln w="9525">
                          <a:solidFill>
                            <a:srgbClr val="000000"/>
                          </a:solidFill>
                          <a:miter lim="800000"/>
                          <a:headEnd/>
                          <a:tailEnd/>
                        </a:ln>
                      </wps:spPr>
                      <wps:txbx>
                        <w:txbxContent>
                          <w:p w14:paraId="38D1824F" w14:textId="0DF62FD1" w:rsidR="003E58F0" w:rsidRDefault="003E58F0">
                            <w:r w:rsidRPr="003E58F0">
                              <w:drawing>
                                <wp:inline distT="0" distB="0" distL="0" distR="0" wp14:anchorId="38952C42" wp14:editId="0A70B482">
                                  <wp:extent cx="1342017" cy="1133475"/>
                                  <wp:effectExtent l="0" t="0" r="0" b="0"/>
                                  <wp:docPr id="426871261" name="Picture 1" descr="A graph of average sco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71261" name="Picture 1" descr="A graph of average score&#10;&#10;Description automatically generated with medium confidence"/>
                                          <pic:cNvPicPr/>
                                        </pic:nvPicPr>
                                        <pic:blipFill>
                                          <a:blip r:embed="rId5"/>
                                          <a:stretch>
                                            <a:fillRect/>
                                          </a:stretch>
                                        </pic:blipFill>
                                        <pic:spPr>
                                          <a:xfrm>
                                            <a:off x="0" y="0"/>
                                            <a:ext cx="1368100" cy="1155505"/>
                                          </a:xfrm>
                                          <a:prstGeom prst="rect">
                                            <a:avLst/>
                                          </a:prstGeom>
                                        </pic:spPr>
                                      </pic:pic>
                                    </a:graphicData>
                                  </a:graphic>
                                </wp:inline>
                              </w:drawing>
                            </w:r>
                          </w:p>
                          <w:p w14:paraId="470B3358" w14:textId="62A1EB66" w:rsidR="003E58F0" w:rsidRPr="009B5710" w:rsidRDefault="003E58F0" w:rsidP="009B5710">
                            <w:pPr>
                              <w:spacing w:after="0" w:line="240" w:lineRule="auto"/>
                              <w:rPr>
                                <w:sz w:val="16"/>
                                <w:szCs w:val="16"/>
                              </w:rPr>
                            </w:pPr>
                            <w:r w:rsidRPr="009B5710">
                              <w:rPr>
                                <w:sz w:val="16"/>
                                <w:szCs w:val="16"/>
                              </w:rPr>
                              <w:t>Diagram 1: Berk, L (2018, p 305)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BA246B" id="_x0000_t202" coordsize="21600,21600" o:spt="202" path="m,l,21600r21600,l21600,xe">
                <v:stroke joinstyle="miter"/>
                <v:path gradientshapeok="t" o:connecttype="rect"/>
              </v:shapetype>
              <v:shape id="Text Box 2" o:spid="_x0000_s1026" type="#_x0000_t202" style="position:absolute;margin-left:364.45pt;margin-top:31.05pt;width:125.6pt;height:129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W2IEQIAACAEAAAOAAAAZHJzL2Uyb0RvYy54bWysk99v2yAQx98n7X9AvC+206RLrDhVly7T&#10;pO6H1O0PwBjHaMAxILGzv74HTtOo216m+QFxvuPL3eeO1c2gFTkI5yWYihaTnBJhODTS7Cr6/dv2&#10;zYISH5hpmAIjKnoUnt6sX79a9bYUU+hANcIRFDG+7G1FuxBsmWWed0IzPwErDDpbcJoFNN0uaxzr&#10;UV2rbJrn11kPrrEOuPAe/96NTrpO+m0rePjStl4EoiqKuYW0urTWcc3WK1buHLOd5Kc02D9koZk0&#10;eOlZ6o4FRvZO/ialJXfgoQ0TDjqDtpVcpBqwmiJ/Uc1Dx6xItSAcb8+Y/P+T5Z8PD/arI2F4BwM2&#10;MBXh7T3wH54Y2HTM7MStc9B3gjV4cRGRZb315eloRO1LH0Xq/hM02GS2D5CEhtbpSAXrJKiODTie&#10;oYshEB6vnC/nxRRdHH3F9dXiKk9tyVj5dNw6Hz4I0CRuKuqwq0meHe59iOmw8ikk3uZByWYrlUqG&#10;29Ub5ciB4QRs05cqeBGmDOkrupxP5yOBv0rk6fuThJYBR1lJXdHFOYiVkdt706RBC0yqcY8pK3MC&#10;GdmNFMNQDxgYgdbQHBGpg3Fk8YnhpgP3i5Iex7Wi/ueeOUGJ+miwLctiNovznYzZ/G0E6i499aWH&#10;GY5SFQ2UjNtNSG8iAjNwi+1rZQL7nMkpVxzDxPv0ZOKcX9op6vlhrx8BAAD//wMAUEsDBBQABgAI&#10;AAAAIQBoBb9o3wAAAAoBAAAPAAAAZHJzL2Rvd25yZXYueG1sTI/BTsMwDIbvSLxDZCQuiKXrUNeW&#10;phNCAsFtDATXrPHaisYpSdaVt8ec4PZb/vT7c7WZ7SAm9KF3pGC5SEAgNc701Cp4e324zkGEqMno&#10;wREq+MYAm/r8rNKlcSd6wWkXW8ElFEqtoItxLKUMTYdWh4UbkXh3cN7qyKNvpfH6xOV2kGmSZNLq&#10;nvhCp0e877D53B2tgvzmafoIz6vte5MdhiJerafHL6/U5cV8dwsi4hz/YPjVZ3Wo2WnvjmSCGBSs&#10;07xgVEGWLkEwUOQJh72CVcpB1pX8/0L9AwAA//8DAFBLAQItABQABgAIAAAAIQC2gziS/gAAAOEB&#10;AAATAAAAAAAAAAAAAAAAAAAAAABbQ29udGVudF9UeXBlc10ueG1sUEsBAi0AFAAGAAgAAAAhADj9&#10;If/WAAAAlAEAAAsAAAAAAAAAAAAAAAAALwEAAF9yZWxzLy5yZWxzUEsBAi0AFAAGAAgAAAAhABPh&#10;bYgRAgAAIAQAAA4AAAAAAAAAAAAAAAAALgIAAGRycy9lMm9Eb2MueG1sUEsBAi0AFAAGAAgAAAAh&#10;AGgFv2jfAAAACgEAAA8AAAAAAAAAAAAAAAAAawQAAGRycy9kb3ducmV2LnhtbFBLBQYAAAAABAAE&#10;APMAAAB3BQAAAAA=&#10;">
                <v:textbox>
                  <w:txbxContent>
                    <w:p w14:paraId="38D1824F" w14:textId="0DF62FD1" w:rsidR="003E58F0" w:rsidRDefault="003E58F0">
                      <w:r w:rsidRPr="003E58F0">
                        <w:drawing>
                          <wp:inline distT="0" distB="0" distL="0" distR="0" wp14:anchorId="38952C42" wp14:editId="0A70B482">
                            <wp:extent cx="1342017" cy="1133475"/>
                            <wp:effectExtent l="0" t="0" r="0" b="0"/>
                            <wp:docPr id="426871261" name="Picture 1" descr="A graph of average sco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71261" name="Picture 1" descr="A graph of average score&#10;&#10;Description automatically generated with medium confidence"/>
                                    <pic:cNvPicPr/>
                                  </pic:nvPicPr>
                                  <pic:blipFill>
                                    <a:blip r:embed="rId5"/>
                                    <a:stretch>
                                      <a:fillRect/>
                                    </a:stretch>
                                  </pic:blipFill>
                                  <pic:spPr>
                                    <a:xfrm>
                                      <a:off x="0" y="0"/>
                                      <a:ext cx="1368100" cy="1155505"/>
                                    </a:xfrm>
                                    <a:prstGeom prst="rect">
                                      <a:avLst/>
                                    </a:prstGeom>
                                  </pic:spPr>
                                </pic:pic>
                              </a:graphicData>
                            </a:graphic>
                          </wp:inline>
                        </w:drawing>
                      </w:r>
                    </w:p>
                    <w:p w14:paraId="470B3358" w14:textId="62A1EB66" w:rsidR="003E58F0" w:rsidRPr="009B5710" w:rsidRDefault="003E58F0" w:rsidP="009B5710">
                      <w:pPr>
                        <w:spacing w:after="0" w:line="240" w:lineRule="auto"/>
                        <w:rPr>
                          <w:sz w:val="16"/>
                          <w:szCs w:val="16"/>
                        </w:rPr>
                      </w:pPr>
                      <w:r w:rsidRPr="009B5710">
                        <w:rPr>
                          <w:sz w:val="16"/>
                          <w:szCs w:val="16"/>
                        </w:rPr>
                        <w:t>Diagram 1: Berk, L (2018, p 305)</w:t>
                      </w:r>
                    </w:p>
                  </w:txbxContent>
                </v:textbox>
                <w10:wrap type="tight"/>
              </v:shape>
            </w:pict>
          </mc:Fallback>
        </mc:AlternateContent>
      </w:r>
      <w:r w:rsidR="006A7CAA" w:rsidRPr="002B00A9">
        <w:rPr>
          <w:rFonts w:ascii="Arial" w:hAnsi="Arial" w:cs="Arial"/>
          <w:sz w:val="24"/>
          <w:szCs w:val="24"/>
        </w:rPr>
        <w:t xml:space="preserve">While the </w:t>
      </w:r>
      <w:r w:rsidR="00D074A0">
        <w:rPr>
          <w:rFonts w:ascii="Arial" w:hAnsi="Arial" w:cs="Arial"/>
          <w:sz w:val="24"/>
          <w:szCs w:val="24"/>
        </w:rPr>
        <w:t>WG</w:t>
      </w:r>
      <w:r w:rsidR="006A7CAA" w:rsidRPr="002B00A9">
        <w:rPr>
          <w:rFonts w:ascii="Arial" w:hAnsi="Arial" w:cs="Arial"/>
          <w:sz w:val="24"/>
          <w:szCs w:val="24"/>
        </w:rPr>
        <w:t xml:space="preserve"> and the UNCRC recognise that basic needs are vital this </w:t>
      </w:r>
      <w:r w:rsidR="00C1738B" w:rsidRPr="002B00A9">
        <w:rPr>
          <w:rFonts w:ascii="Arial" w:hAnsi="Arial" w:cs="Arial"/>
          <w:sz w:val="24"/>
          <w:szCs w:val="24"/>
        </w:rPr>
        <w:t>has not</w:t>
      </w:r>
      <w:r w:rsidR="006A7CAA" w:rsidRPr="002B00A9">
        <w:rPr>
          <w:rFonts w:ascii="Arial" w:hAnsi="Arial" w:cs="Arial"/>
          <w:sz w:val="24"/>
          <w:szCs w:val="24"/>
        </w:rPr>
        <w:t xml:space="preserve"> always </w:t>
      </w:r>
      <w:r w:rsidR="00C1738B" w:rsidRPr="002B00A9">
        <w:rPr>
          <w:rFonts w:ascii="Arial" w:hAnsi="Arial" w:cs="Arial"/>
          <w:sz w:val="24"/>
          <w:szCs w:val="24"/>
        </w:rPr>
        <w:t>been</w:t>
      </w:r>
      <w:r w:rsidR="006A7CAA" w:rsidRPr="002B00A9">
        <w:rPr>
          <w:rFonts w:ascii="Arial" w:hAnsi="Arial" w:cs="Arial"/>
          <w:sz w:val="24"/>
          <w:szCs w:val="24"/>
        </w:rPr>
        <w:t xml:space="preserve"> case across other countries.  </w:t>
      </w:r>
      <w:r w:rsidRPr="002B00A9">
        <w:rPr>
          <w:rFonts w:ascii="Arial" w:hAnsi="Arial" w:cs="Arial"/>
          <w:sz w:val="24"/>
          <w:szCs w:val="24"/>
        </w:rPr>
        <w:t xml:space="preserve">A well known example of children being deprived of their basic needs in a safe and stable environment are children from the Romanian </w:t>
      </w:r>
      <w:r w:rsidR="006A7CAA" w:rsidRPr="002B00A9">
        <w:rPr>
          <w:rFonts w:ascii="Arial" w:hAnsi="Arial" w:cs="Arial"/>
          <w:sz w:val="24"/>
          <w:szCs w:val="24"/>
        </w:rPr>
        <w:t>o</w:t>
      </w:r>
      <w:r w:rsidRPr="002B00A9">
        <w:rPr>
          <w:rFonts w:ascii="Arial" w:hAnsi="Arial" w:cs="Arial"/>
          <w:sz w:val="24"/>
          <w:szCs w:val="24"/>
        </w:rPr>
        <w:t xml:space="preserve">rphanages.  </w:t>
      </w:r>
      <w:r w:rsidR="003E58F0" w:rsidRPr="002B00A9">
        <w:rPr>
          <w:rFonts w:ascii="Arial" w:hAnsi="Arial" w:cs="Arial"/>
          <w:sz w:val="24"/>
          <w:szCs w:val="24"/>
        </w:rPr>
        <w:t xml:space="preserve">The works of Beckett et al. (2006, quoted in Berk, 2018, p. 305) </w:t>
      </w:r>
      <w:r w:rsidRPr="002B00A9">
        <w:rPr>
          <w:rFonts w:ascii="Arial" w:hAnsi="Arial" w:cs="Arial"/>
          <w:sz w:val="24"/>
          <w:szCs w:val="24"/>
        </w:rPr>
        <w:t>suggested that children up to six months of age</w:t>
      </w:r>
      <w:r w:rsidR="00C1738B" w:rsidRPr="002B00A9">
        <w:rPr>
          <w:rFonts w:ascii="Arial" w:hAnsi="Arial" w:cs="Arial"/>
          <w:sz w:val="24"/>
          <w:szCs w:val="24"/>
        </w:rPr>
        <w:t>, adopted by British families,</w:t>
      </w:r>
      <w:r w:rsidRPr="002B00A9">
        <w:rPr>
          <w:rFonts w:ascii="Arial" w:hAnsi="Arial" w:cs="Arial"/>
          <w:sz w:val="24"/>
          <w:szCs w:val="24"/>
        </w:rPr>
        <w:t xml:space="preserve"> progressed as well as their British peers. However those who were adopted </w:t>
      </w:r>
      <w:r w:rsidR="00C1738B" w:rsidRPr="002B00A9">
        <w:rPr>
          <w:rFonts w:ascii="Arial" w:hAnsi="Arial" w:cs="Arial"/>
          <w:sz w:val="24"/>
          <w:szCs w:val="24"/>
        </w:rPr>
        <w:t>later</w:t>
      </w:r>
      <w:r w:rsidRPr="002B00A9">
        <w:rPr>
          <w:rFonts w:ascii="Arial" w:hAnsi="Arial" w:cs="Arial"/>
          <w:sz w:val="24"/>
          <w:szCs w:val="24"/>
        </w:rPr>
        <w:t xml:space="preserve"> did not perform as well and in later childhood </w:t>
      </w:r>
      <w:r w:rsidR="00C1738B" w:rsidRPr="002B00A9">
        <w:rPr>
          <w:rFonts w:ascii="Arial" w:hAnsi="Arial" w:cs="Arial"/>
          <w:sz w:val="24"/>
          <w:szCs w:val="24"/>
        </w:rPr>
        <w:t>presented</w:t>
      </w:r>
      <w:r w:rsidRPr="002B00A9">
        <w:rPr>
          <w:rFonts w:ascii="Arial" w:hAnsi="Arial" w:cs="Arial"/>
          <w:sz w:val="24"/>
          <w:szCs w:val="24"/>
        </w:rPr>
        <w:t xml:space="preserve"> significant intellectual delays.</w:t>
      </w:r>
      <w:r w:rsidR="006A7CAA" w:rsidRPr="002B00A9">
        <w:rPr>
          <w:rFonts w:ascii="Arial" w:hAnsi="Arial" w:cs="Arial"/>
          <w:sz w:val="24"/>
          <w:szCs w:val="24"/>
        </w:rPr>
        <w:t xml:space="preserve"> As in </w:t>
      </w:r>
      <w:proofErr w:type="spellStart"/>
      <w:r w:rsidR="006A7CAA" w:rsidRPr="002B00A9">
        <w:rPr>
          <w:rFonts w:ascii="Arial" w:hAnsi="Arial" w:cs="Arial"/>
          <w:sz w:val="24"/>
          <w:szCs w:val="24"/>
        </w:rPr>
        <w:t>Malsow’s</w:t>
      </w:r>
      <w:proofErr w:type="spellEnd"/>
      <w:r w:rsidR="006A7CAA" w:rsidRPr="002B00A9">
        <w:rPr>
          <w:rFonts w:ascii="Arial" w:hAnsi="Arial" w:cs="Arial"/>
          <w:sz w:val="24"/>
          <w:szCs w:val="24"/>
        </w:rPr>
        <w:t xml:space="preserve"> Hierarchy this depicts that without </w:t>
      </w:r>
      <w:r w:rsidR="00C1738B" w:rsidRPr="002B00A9">
        <w:rPr>
          <w:rFonts w:ascii="Arial" w:hAnsi="Arial" w:cs="Arial"/>
          <w:sz w:val="24"/>
          <w:szCs w:val="24"/>
        </w:rPr>
        <w:t>ones</w:t>
      </w:r>
      <w:r w:rsidR="006A7CAA" w:rsidRPr="002B00A9">
        <w:rPr>
          <w:rFonts w:ascii="Arial" w:hAnsi="Arial" w:cs="Arial"/>
          <w:sz w:val="24"/>
          <w:szCs w:val="24"/>
        </w:rPr>
        <w:t xml:space="preserve"> basic needs of feeling safe and secure and without basic needs being met it </w:t>
      </w:r>
      <w:r w:rsidR="00C1738B" w:rsidRPr="002B00A9">
        <w:rPr>
          <w:rFonts w:ascii="Arial" w:hAnsi="Arial" w:cs="Arial"/>
          <w:sz w:val="24"/>
          <w:szCs w:val="24"/>
        </w:rPr>
        <w:t xml:space="preserve">is </w:t>
      </w:r>
      <w:r w:rsidR="006A7CAA" w:rsidRPr="002B00A9">
        <w:rPr>
          <w:rFonts w:ascii="Arial" w:hAnsi="Arial" w:cs="Arial"/>
          <w:sz w:val="24"/>
          <w:szCs w:val="24"/>
        </w:rPr>
        <w:t xml:space="preserve">detrimental </w:t>
      </w:r>
      <w:r w:rsidR="00C1738B" w:rsidRPr="002B00A9">
        <w:rPr>
          <w:rFonts w:ascii="Arial" w:hAnsi="Arial" w:cs="Arial"/>
          <w:sz w:val="24"/>
          <w:szCs w:val="24"/>
        </w:rPr>
        <w:t>to</w:t>
      </w:r>
      <w:r w:rsidR="006A7CAA" w:rsidRPr="002B00A9">
        <w:rPr>
          <w:rFonts w:ascii="Arial" w:hAnsi="Arial" w:cs="Arial"/>
          <w:sz w:val="24"/>
          <w:szCs w:val="24"/>
        </w:rPr>
        <w:t xml:space="preserve"> a child’s future outcomes. </w:t>
      </w:r>
    </w:p>
    <w:p w14:paraId="199EEE56" w14:textId="6ECD9BC2" w:rsidR="003E58F0" w:rsidRPr="00567B31" w:rsidRDefault="00226201" w:rsidP="00C1738B">
      <w:pPr>
        <w:spacing w:after="120" w:line="360" w:lineRule="auto"/>
        <w:rPr>
          <w:rFonts w:ascii="Arial" w:hAnsi="Arial" w:cs="Arial"/>
          <w:b/>
          <w:bCs/>
          <w:sz w:val="24"/>
          <w:szCs w:val="24"/>
        </w:rPr>
      </w:pPr>
      <w:r w:rsidRPr="00567B31">
        <w:rPr>
          <w:rFonts w:ascii="Arial" w:hAnsi="Arial" w:cs="Arial"/>
          <w:b/>
          <w:bCs/>
          <w:sz w:val="24"/>
          <w:szCs w:val="24"/>
        </w:rPr>
        <w:t>Building confidence</w:t>
      </w:r>
    </w:p>
    <w:p w14:paraId="4CD46702" w14:textId="3566029A" w:rsidR="00226201" w:rsidRPr="002B00A9" w:rsidRDefault="00B04242" w:rsidP="00C1738B">
      <w:pPr>
        <w:spacing w:after="120" w:line="360" w:lineRule="auto"/>
        <w:rPr>
          <w:rFonts w:ascii="Arial" w:hAnsi="Arial" w:cs="Arial"/>
          <w:sz w:val="24"/>
          <w:szCs w:val="24"/>
        </w:rPr>
      </w:pPr>
      <w:r w:rsidRPr="002B00A9">
        <w:rPr>
          <w:rFonts w:ascii="Arial" w:hAnsi="Arial" w:cs="Arial"/>
          <w:sz w:val="24"/>
          <w:szCs w:val="24"/>
        </w:rPr>
        <w:t>E</w:t>
      </w:r>
      <w:r w:rsidR="00226201" w:rsidRPr="002B00A9">
        <w:rPr>
          <w:rFonts w:ascii="Arial" w:hAnsi="Arial" w:cs="Arial"/>
          <w:sz w:val="24"/>
          <w:szCs w:val="24"/>
        </w:rPr>
        <w:t>nabling adults are crucial to building and supporting children’s confidence and belief in themselves.  (</w:t>
      </w:r>
      <w:r w:rsidR="00D074A0">
        <w:rPr>
          <w:rFonts w:ascii="Arial" w:hAnsi="Arial" w:cs="Arial"/>
          <w:sz w:val="24"/>
          <w:szCs w:val="24"/>
        </w:rPr>
        <w:t>WG</w:t>
      </w:r>
      <w:r w:rsidR="00226201" w:rsidRPr="002B00A9">
        <w:rPr>
          <w:rFonts w:ascii="Arial" w:hAnsi="Arial" w:cs="Arial"/>
          <w:sz w:val="24"/>
          <w:szCs w:val="24"/>
        </w:rPr>
        <w:t xml:space="preserve">, 2024). Gopnik (2019) discusses this early time period as being protected and that it </w:t>
      </w:r>
      <w:r w:rsidRPr="002B00A9">
        <w:rPr>
          <w:rFonts w:ascii="Arial" w:hAnsi="Arial" w:cs="Arial"/>
          <w:sz w:val="24"/>
          <w:szCs w:val="24"/>
        </w:rPr>
        <w:t xml:space="preserve">needs to </w:t>
      </w:r>
      <w:r w:rsidR="00226201" w:rsidRPr="002B00A9">
        <w:rPr>
          <w:rFonts w:ascii="Arial" w:hAnsi="Arial" w:cs="Arial"/>
          <w:sz w:val="24"/>
          <w:szCs w:val="24"/>
        </w:rPr>
        <w:t>offer a wide range of safe exploration and learning opportunities to develop a child’s choice making and problem solving. She states further the importance of rather than adults teaching a child allowing them to learn through curiosity and exploration with the adult who supports and care</w:t>
      </w:r>
      <w:r w:rsidRPr="002B00A9">
        <w:rPr>
          <w:rFonts w:ascii="Arial" w:hAnsi="Arial" w:cs="Arial"/>
          <w:sz w:val="24"/>
          <w:szCs w:val="24"/>
        </w:rPr>
        <w:t>s</w:t>
      </w:r>
      <w:r w:rsidR="00226201" w:rsidRPr="002B00A9">
        <w:rPr>
          <w:rFonts w:ascii="Arial" w:hAnsi="Arial" w:cs="Arial"/>
          <w:sz w:val="24"/>
          <w:szCs w:val="24"/>
        </w:rPr>
        <w:t xml:space="preserve"> about them. </w:t>
      </w:r>
    </w:p>
    <w:p w14:paraId="4C9E7860" w14:textId="0622E544" w:rsidR="00226201" w:rsidRPr="002B00A9" w:rsidRDefault="00D074A0" w:rsidP="00C1738B">
      <w:pPr>
        <w:spacing w:after="120" w:line="360" w:lineRule="auto"/>
        <w:rPr>
          <w:rFonts w:ascii="Arial" w:hAnsi="Arial" w:cs="Arial"/>
          <w:sz w:val="24"/>
          <w:szCs w:val="24"/>
        </w:rPr>
      </w:pPr>
      <w:r>
        <w:rPr>
          <w:rFonts w:ascii="Arial" w:hAnsi="Arial" w:cs="Arial"/>
          <w:sz w:val="24"/>
          <w:szCs w:val="24"/>
        </w:rPr>
        <w:t>WG</w:t>
      </w:r>
      <w:r w:rsidR="00226201" w:rsidRPr="002B00A9">
        <w:rPr>
          <w:rFonts w:ascii="Arial" w:hAnsi="Arial" w:cs="Arial"/>
          <w:sz w:val="24"/>
          <w:szCs w:val="24"/>
        </w:rPr>
        <w:t xml:space="preserve"> (2024) </w:t>
      </w:r>
      <w:r w:rsidR="00443C8C" w:rsidRPr="002B00A9">
        <w:rPr>
          <w:rFonts w:ascii="Arial" w:hAnsi="Arial" w:cs="Arial"/>
          <w:sz w:val="24"/>
          <w:szCs w:val="24"/>
        </w:rPr>
        <w:t xml:space="preserve">supports the concept that routine and engaging experiences that include their whole selves develops confidence </w:t>
      </w:r>
      <w:r w:rsidR="00C1738B" w:rsidRPr="002B00A9">
        <w:rPr>
          <w:rFonts w:ascii="Arial" w:hAnsi="Arial" w:cs="Arial"/>
          <w:sz w:val="24"/>
          <w:szCs w:val="24"/>
        </w:rPr>
        <w:t xml:space="preserve">and independence </w:t>
      </w:r>
      <w:r w:rsidR="00443C8C" w:rsidRPr="002B00A9">
        <w:rPr>
          <w:rFonts w:ascii="Arial" w:hAnsi="Arial" w:cs="Arial"/>
          <w:sz w:val="24"/>
          <w:szCs w:val="24"/>
        </w:rPr>
        <w:t xml:space="preserve">in children.  McMahon and Dyer (2018) support this by maintaining that adults need to be sensitive to children in their care and listen to the whole child by </w:t>
      </w:r>
      <w:r w:rsidR="00B04242" w:rsidRPr="002B00A9">
        <w:rPr>
          <w:rFonts w:ascii="Arial" w:hAnsi="Arial" w:cs="Arial"/>
          <w:sz w:val="24"/>
          <w:szCs w:val="24"/>
        </w:rPr>
        <w:t xml:space="preserve">observing and </w:t>
      </w:r>
      <w:r w:rsidR="00443C8C" w:rsidRPr="002B00A9">
        <w:rPr>
          <w:rFonts w:ascii="Arial" w:hAnsi="Arial" w:cs="Arial"/>
          <w:sz w:val="24"/>
          <w:szCs w:val="24"/>
        </w:rPr>
        <w:t xml:space="preserve">listening and </w:t>
      </w:r>
      <w:r w:rsidR="00B04242" w:rsidRPr="002B00A9">
        <w:rPr>
          <w:rFonts w:ascii="Arial" w:hAnsi="Arial" w:cs="Arial"/>
          <w:sz w:val="24"/>
          <w:szCs w:val="24"/>
        </w:rPr>
        <w:t xml:space="preserve">that if adults are truly interested in a child they will be motivated to investigate how that child is feeling.  </w:t>
      </w:r>
    </w:p>
    <w:p w14:paraId="34523CB4" w14:textId="49B5F5F8" w:rsidR="00E15F6B" w:rsidRPr="002B00A9" w:rsidRDefault="00B04242" w:rsidP="00C1738B">
      <w:pPr>
        <w:spacing w:after="120" w:line="360" w:lineRule="auto"/>
        <w:rPr>
          <w:rFonts w:ascii="Arial" w:hAnsi="Arial" w:cs="Arial"/>
          <w:sz w:val="24"/>
          <w:szCs w:val="24"/>
        </w:rPr>
      </w:pPr>
      <w:r w:rsidRPr="002B00A9">
        <w:rPr>
          <w:rFonts w:ascii="Arial" w:hAnsi="Arial" w:cs="Arial"/>
          <w:sz w:val="24"/>
          <w:szCs w:val="24"/>
        </w:rPr>
        <w:t xml:space="preserve">Feelings of confidence correlate with sense of self and esteem, linking directly to Maslow. </w:t>
      </w:r>
      <w:r w:rsidR="00E15F6B" w:rsidRPr="002B00A9">
        <w:rPr>
          <w:rFonts w:ascii="Arial" w:hAnsi="Arial" w:cs="Arial"/>
          <w:sz w:val="24"/>
          <w:szCs w:val="24"/>
        </w:rPr>
        <w:t>Johnston et al. (2018) states that this</w:t>
      </w:r>
      <w:r w:rsidRPr="002B00A9">
        <w:rPr>
          <w:rFonts w:ascii="Arial" w:hAnsi="Arial" w:cs="Arial"/>
          <w:sz w:val="24"/>
          <w:szCs w:val="24"/>
        </w:rPr>
        <w:t xml:space="preserve"> development is the foundation of their </w:t>
      </w:r>
      <w:r w:rsidRPr="002B00A9">
        <w:rPr>
          <w:rFonts w:ascii="Arial" w:hAnsi="Arial" w:cs="Arial"/>
          <w:sz w:val="24"/>
          <w:szCs w:val="24"/>
        </w:rPr>
        <w:lastRenderedPageBreak/>
        <w:t>functioning of their social selves and structures</w:t>
      </w:r>
      <w:r w:rsidR="00E15F6B" w:rsidRPr="002B00A9">
        <w:rPr>
          <w:rFonts w:ascii="Arial" w:hAnsi="Arial" w:cs="Arial"/>
          <w:sz w:val="24"/>
          <w:szCs w:val="24"/>
        </w:rPr>
        <w:t xml:space="preserve">.  </w:t>
      </w:r>
      <w:r w:rsidR="00E15F6B" w:rsidRPr="002B00A9">
        <w:rPr>
          <w:rFonts w:ascii="Arial" w:hAnsi="Arial" w:cs="Arial"/>
          <w:sz w:val="24"/>
          <w:szCs w:val="24"/>
        </w:rPr>
        <w:t xml:space="preserve">How a child initially sees themselves Is affected by those around them in how they are treated and how they are made to feel or believe (Lindon and Brodie </w:t>
      </w:r>
      <w:proofErr w:type="spellStart"/>
      <w:r w:rsidR="00E15F6B" w:rsidRPr="002B00A9">
        <w:rPr>
          <w:rFonts w:ascii="Arial" w:hAnsi="Arial" w:cs="Arial"/>
          <w:sz w:val="24"/>
          <w:szCs w:val="24"/>
        </w:rPr>
        <w:t>pg</w:t>
      </w:r>
      <w:proofErr w:type="spellEnd"/>
      <w:r w:rsidR="00E15F6B" w:rsidRPr="002B00A9">
        <w:rPr>
          <w:rFonts w:ascii="Arial" w:hAnsi="Arial" w:cs="Arial"/>
          <w:sz w:val="24"/>
          <w:szCs w:val="24"/>
        </w:rPr>
        <w:t xml:space="preserve"> 108 2016).</w:t>
      </w:r>
      <w:r w:rsidR="00E15F6B" w:rsidRPr="002B00A9">
        <w:rPr>
          <w:rFonts w:ascii="Arial" w:hAnsi="Arial" w:cs="Arial"/>
          <w:sz w:val="24"/>
          <w:szCs w:val="24"/>
        </w:rPr>
        <w:t xml:space="preserve">  It is therefore essential that enabling adults are supporting children in the early years to </w:t>
      </w:r>
      <w:r w:rsidR="003C1B5E" w:rsidRPr="002B00A9">
        <w:rPr>
          <w:rFonts w:ascii="Arial" w:hAnsi="Arial" w:cs="Arial"/>
          <w:sz w:val="24"/>
          <w:szCs w:val="24"/>
        </w:rPr>
        <w:t xml:space="preserve">be able to offer confidence building practice.  </w:t>
      </w:r>
      <w:r w:rsidR="00E15F6B" w:rsidRPr="002B00A9">
        <w:rPr>
          <w:rFonts w:ascii="Arial" w:hAnsi="Arial" w:cs="Arial"/>
          <w:sz w:val="24"/>
          <w:szCs w:val="24"/>
        </w:rPr>
        <w:t xml:space="preserve">. </w:t>
      </w:r>
    </w:p>
    <w:p w14:paraId="1DCB1F00" w14:textId="744B41F0" w:rsidR="002B00A9" w:rsidRPr="002B00A9" w:rsidRDefault="00BF743F" w:rsidP="00C1738B">
      <w:pPr>
        <w:spacing w:after="120" w:line="360" w:lineRule="auto"/>
        <w:rPr>
          <w:rFonts w:ascii="Arial" w:eastAsia="Arial Nova" w:hAnsi="Arial" w:cs="Arial"/>
          <w:sz w:val="24"/>
          <w:szCs w:val="24"/>
        </w:rPr>
      </w:pPr>
      <w:r w:rsidRPr="00567B31">
        <w:rPr>
          <w:rFonts w:ascii="Arial" w:eastAsia="Arial Nova" w:hAnsi="Arial" w:cs="Arial"/>
          <w:b/>
          <w:bCs/>
          <w:sz w:val="24"/>
          <w:szCs w:val="24"/>
        </w:rPr>
        <w:t>Transition</w:t>
      </w:r>
    </w:p>
    <w:p w14:paraId="4EC8E138" w14:textId="47575B85" w:rsidR="002B00A9" w:rsidRDefault="00D074A0" w:rsidP="00C1738B">
      <w:pPr>
        <w:spacing w:after="120" w:line="360" w:lineRule="auto"/>
        <w:rPr>
          <w:rFonts w:ascii="Arial" w:eastAsia="Arial Nova" w:hAnsi="Arial" w:cs="Arial"/>
          <w:sz w:val="24"/>
          <w:szCs w:val="24"/>
        </w:rPr>
      </w:pPr>
      <w:r>
        <w:rPr>
          <w:rFonts w:ascii="Arial" w:eastAsia="Arial Nova" w:hAnsi="Arial" w:cs="Arial"/>
          <w:sz w:val="24"/>
          <w:szCs w:val="24"/>
        </w:rPr>
        <w:t>WG (2022) state that t</w:t>
      </w:r>
      <w:r w:rsidR="002B00A9">
        <w:rPr>
          <w:rFonts w:ascii="Arial" w:eastAsia="Arial Nova" w:hAnsi="Arial" w:cs="Arial"/>
          <w:sz w:val="24"/>
          <w:szCs w:val="24"/>
        </w:rPr>
        <w:t xml:space="preserve">ransition are changes that take place in a </w:t>
      </w:r>
      <w:r>
        <w:rPr>
          <w:rFonts w:ascii="Arial" w:eastAsia="Arial Nova" w:hAnsi="Arial" w:cs="Arial"/>
          <w:sz w:val="24"/>
          <w:szCs w:val="24"/>
        </w:rPr>
        <w:t>child’s</w:t>
      </w:r>
      <w:r w:rsidR="002B00A9">
        <w:rPr>
          <w:rFonts w:ascii="Arial" w:eastAsia="Arial Nova" w:hAnsi="Arial" w:cs="Arial"/>
          <w:sz w:val="24"/>
          <w:szCs w:val="24"/>
        </w:rPr>
        <w:t xml:space="preserve"> life that can require support or adaptations to a new situation.</w:t>
      </w:r>
      <w:r>
        <w:rPr>
          <w:rFonts w:ascii="Arial" w:eastAsia="Arial Nova" w:hAnsi="Arial" w:cs="Arial"/>
          <w:sz w:val="24"/>
          <w:szCs w:val="24"/>
        </w:rPr>
        <w:t xml:space="preserve"> Transitions could be</w:t>
      </w:r>
      <w:r w:rsidR="00CF6DBC">
        <w:rPr>
          <w:rFonts w:ascii="Arial" w:eastAsia="Arial Nova" w:hAnsi="Arial" w:cs="Arial"/>
          <w:sz w:val="24"/>
          <w:szCs w:val="24"/>
        </w:rPr>
        <w:t xml:space="preserve"> </w:t>
      </w:r>
    </w:p>
    <w:p w14:paraId="6939F220" w14:textId="41DD8DB3" w:rsidR="00CF6DBC" w:rsidRDefault="00CF6DBC" w:rsidP="00CF6DBC">
      <w:pPr>
        <w:pStyle w:val="ListParagraph"/>
        <w:numPr>
          <w:ilvl w:val="0"/>
          <w:numId w:val="1"/>
        </w:numPr>
        <w:spacing w:after="120" w:line="360" w:lineRule="auto"/>
        <w:rPr>
          <w:rFonts w:ascii="Arial" w:eastAsia="Arial Nova" w:hAnsi="Arial" w:cs="Arial"/>
          <w:sz w:val="24"/>
          <w:szCs w:val="24"/>
        </w:rPr>
      </w:pPr>
      <w:r>
        <w:rPr>
          <w:rFonts w:ascii="Arial" w:eastAsia="Arial Nova" w:hAnsi="Arial" w:cs="Arial"/>
          <w:sz w:val="24"/>
          <w:szCs w:val="24"/>
        </w:rPr>
        <w:t>Horizontal –</w:t>
      </w:r>
      <w:r w:rsidR="00D074A0">
        <w:rPr>
          <w:rFonts w:ascii="Arial" w:eastAsia="Arial Nova" w:hAnsi="Arial" w:cs="Arial"/>
          <w:sz w:val="24"/>
          <w:szCs w:val="24"/>
        </w:rPr>
        <w:t xml:space="preserve"> </w:t>
      </w:r>
      <w:r>
        <w:rPr>
          <w:rFonts w:ascii="Arial" w:eastAsia="Arial Nova" w:hAnsi="Arial" w:cs="Arial"/>
          <w:sz w:val="24"/>
          <w:szCs w:val="24"/>
        </w:rPr>
        <w:t>changes throughout the day</w:t>
      </w:r>
      <w:r w:rsidR="00D074A0">
        <w:rPr>
          <w:rFonts w:ascii="Arial" w:eastAsia="Arial Nova" w:hAnsi="Arial" w:cs="Arial"/>
          <w:sz w:val="24"/>
          <w:szCs w:val="24"/>
        </w:rPr>
        <w:t xml:space="preserve"> during meal time, playtime or from one play space to another.</w:t>
      </w:r>
    </w:p>
    <w:p w14:paraId="5CBB8E98" w14:textId="791BF2B8" w:rsidR="00CF6DBC" w:rsidRDefault="00D074A0" w:rsidP="00CF6DBC">
      <w:pPr>
        <w:pStyle w:val="ListParagraph"/>
        <w:numPr>
          <w:ilvl w:val="0"/>
          <w:numId w:val="1"/>
        </w:numPr>
        <w:spacing w:after="120" w:line="360" w:lineRule="auto"/>
        <w:rPr>
          <w:rFonts w:ascii="Arial" w:eastAsia="Arial Nova" w:hAnsi="Arial" w:cs="Arial"/>
          <w:sz w:val="24"/>
          <w:szCs w:val="24"/>
        </w:rPr>
      </w:pPr>
      <w:r>
        <w:rPr>
          <w:rFonts w:ascii="Arial" w:eastAsia="Arial Nova" w:hAnsi="Arial" w:cs="Arial"/>
          <w:sz w:val="24"/>
          <w:szCs w:val="24"/>
        </w:rPr>
        <w:t>Vertical – changes within families that may require social or cultural changes.</w:t>
      </w:r>
    </w:p>
    <w:p w14:paraId="3DF6E6F6" w14:textId="186F18ED" w:rsidR="00D074A0" w:rsidRPr="00CF6DBC" w:rsidRDefault="00D074A0" w:rsidP="00CF6DBC">
      <w:pPr>
        <w:pStyle w:val="ListParagraph"/>
        <w:numPr>
          <w:ilvl w:val="0"/>
          <w:numId w:val="1"/>
        </w:numPr>
        <w:spacing w:after="120" w:line="360" w:lineRule="auto"/>
        <w:rPr>
          <w:rFonts w:ascii="Arial" w:eastAsia="Arial Nova" w:hAnsi="Arial" w:cs="Arial"/>
          <w:sz w:val="24"/>
          <w:szCs w:val="24"/>
        </w:rPr>
      </w:pPr>
      <w:r>
        <w:rPr>
          <w:rFonts w:ascii="Arial" w:eastAsia="Arial Nova" w:hAnsi="Arial" w:cs="Arial"/>
          <w:sz w:val="24"/>
          <w:szCs w:val="24"/>
        </w:rPr>
        <w:t xml:space="preserve">Multiple – more than one in a day, from home to childcare to after school care and home again. </w:t>
      </w:r>
    </w:p>
    <w:p w14:paraId="3DD02DFD" w14:textId="040144E5" w:rsidR="00567B31" w:rsidRDefault="00567B31" w:rsidP="00567B31">
      <w:pPr>
        <w:spacing w:after="120" w:line="360" w:lineRule="auto"/>
        <w:rPr>
          <w:rFonts w:ascii="Arial" w:hAnsi="Arial" w:cs="Arial"/>
          <w:sz w:val="24"/>
          <w:szCs w:val="24"/>
        </w:rPr>
      </w:pPr>
      <w:r>
        <w:rPr>
          <w:rFonts w:ascii="Arial" w:eastAsia="Arial Nova" w:hAnsi="Arial" w:cs="Arial"/>
          <w:sz w:val="24"/>
          <w:szCs w:val="24"/>
        </w:rPr>
        <w:t>WG (2017) recognise that transitions can be challenging for children and that each child’s experience will be very different. WG (2017) maintains that effective</w:t>
      </w:r>
      <w:r w:rsidR="008A1EA7">
        <w:rPr>
          <w:rFonts w:ascii="Arial" w:eastAsia="Arial Nova" w:hAnsi="Arial" w:cs="Arial"/>
          <w:sz w:val="24"/>
          <w:szCs w:val="24"/>
        </w:rPr>
        <w:t xml:space="preserve"> communication and </w:t>
      </w:r>
      <w:r>
        <w:rPr>
          <w:rFonts w:ascii="Arial" w:eastAsia="Arial Nova" w:hAnsi="Arial" w:cs="Arial"/>
          <w:sz w:val="24"/>
          <w:szCs w:val="24"/>
        </w:rPr>
        <w:t xml:space="preserve">sensitively supported transitions </w:t>
      </w:r>
      <w:r>
        <w:rPr>
          <w:rFonts w:ascii="Arial" w:eastAsia="Arial Nova" w:hAnsi="Arial" w:cs="Arial"/>
          <w:sz w:val="24"/>
          <w:szCs w:val="24"/>
        </w:rPr>
        <w:t xml:space="preserve">are </w:t>
      </w:r>
      <w:r>
        <w:rPr>
          <w:rFonts w:ascii="Arial" w:eastAsia="Arial Nova" w:hAnsi="Arial" w:cs="Arial"/>
          <w:sz w:val="24"/>
          <w:szCs w:val="24"/>
        </w:rPr>
        <w:t>essential and must be prioritised for families accessing services</w:t>
      </w:r>
      <w:r>
        <w:rPr>
          <w:rFonts w:ascii="Arial" w:eastAsia="Arial Nova" w:hAnsi="Arial" w:cs="Arial"/>
          <w:sz w:val="24"/>
          <w:szCs w:val="24"/>
        </w:rPr>
        <w:t xml:space="preserve">. </w:t>
      </w:r>
      <w:r>
        <w:rPr>
          <w:rFonts w:ascii="Arial" w:eastAsia="Arial Nova" w:hAnsi="Arial" w:cs="Arial"/>
          <w:sz w:val="24"/>
          <w:szCs w:val="24"/>
        </w:rPr>
        <w:t>Transitions should be seen as a process rather than an event and should be embedded in practice throughout the day as well as at key</w:t>
      </w:r>
      <w:r w:rsidR="008A1EA7">
        <w:rPr>
          <w:rFonts w:ascii="Arial" w:eastAsia="Arial Nova" w:hAnsi="Arial" w:cs="Arial"/>
          <w:sz w:val="24"/>
          <w:szCs w:val="24"/>
        </w:rPr>
        <w:t xml:space="preserve"> stages</w:t>
      </w:r>
      <w:r>
        <w:rPr>
          <w:rFonts w:ascii="Arial" w:eastAsia="Arial Nova" w:hAnsi="Arial" w:cs="Arial"/>
          <w:sz w:val="24"/>
          <w:szCs w:val="24"/>
        </w:rPr>
        <w:t xml:space="preserve">.  </w:t>
      </w:r>
      <w:r>
        <w:rPr>
          <w:rFonts w:ascii="Arial" w:eastAsia="Arial Nova" w:hAnsi="Arial" w:cs="Arial"/>
          <w:sz w:val="24"/>
          <w:szCs w:val="24"/>
        </w:rPr>
        <w:t xml:space="preserve">Knowing the child </w:t>
      </w:r>
      <w:r>
        <w:rPr>
          <w:rFonts w:ascii="Arial" w:eastAsia="Arial Nova" w:hAnsi="Arial" w:cs="Arial"/>
          <w:sz w:val="24"/>
          <w:szCs w:val="24"/>
        </w:rPr>
        <w:t xml:space="preserve">and working with care givers is </w:t>
      </w:r>
      <w:r>
        <w:rPr>
          <w:rFonts w:ascii="Arial" w:eastAsia="Arial Nova" w:hAnsi="Arial" w:cs="Arial"/>
          <w:sz w:val="24"/>
          <w:szCs w:val="24"/>
        </w:rPr>
        <w:t xml:space="preserve">key to a successful transition, whether this be from home to childcare or further on to nursery and school </w:t>
      </w:r>
      <w:r w:rsidR="008A1EA7">
        <w:rPr>
          <w:rFonts w:ascii="Arial" w:eastAsia="Arial Nova" w:hAnsi="Arial" w:cs="Arial"/>
          <w:sz w:val="24"/>
          <w:szCs w:val="24"/>
        </w:rPr>
        <w:t xml:space="preserve">(WG, 2017: </w:t>
      </w:r>
      <w:r w:rsidRPr="002B00A9">
        <w:rPr>
          <w:rFonts w:ascii="Arial" w:hAnsi="Arial" w:cs="Arial"/>
          <w:sz w:val="24"/>
          <w:szCs w:val="24"/>
        </w:rPr>
        <w:t>HCWP 2022</w:t>
      </w:r>
      <w:r w:rsidR="008A1EA7">
        <w:rPr>
          <w:rFonts w:ascii="Arial" w:hAnsi="Arial" w:cs="Arial"/>
          <w:sz w:val="24"/>
          <w:szCs w:val="24"/>
        </w:rPr>
        <w:t>: McMahon and Dyer, 2018</w:t>
      </w:r>
      <w:r w:rsidRPr="002B00A9">
        <w:rPr>
          <w:rFonts w:ascii="Arial" w:hAnsi="Arial" w:cs="Arial"/>
          <w:sz w:val="24"/>
          <w:szCs w:val="24"/>
        </w:rPr>
        <w:t>)</w:t>
      </w:r>
      <w:r w:rsidR="008A1EA7">
        <w:rPr>
          <w:rFonts w:ascii="Arial" w:hAnsi="Arial" w:cs="Arial"/>
          <w:sz w:val="24"/>
          <w:szCs w:val="24"/>
        </w:rPr>
        <w:t>.</w:t>
      </w:r>
    </w:p>
    <w:p w14:paraId="2EE8359A" w14:textId="441E1D97" w:rsidR="00C1738B" w:rsidRPr="002B00A9" w:rsidRDefault="002B00A9" w:rsidP="00C1738B">
      <w:pPr>
        <w:spacing w:after="120" w:line="360" w:lineRule="auto"/>
        <w:rPr>
          <w:rFonts w:ascii="Arial" w:eastAsia="Arial Nova" w:hAnsi="Arial" w:cs="Arial"/>
          <w:sz w:val="24"/>
          <w:szCs w:val="24"/>
        </w:rPr>
      </w:pPr>
      <w:r>
        <w:rPr>
          <w:rFonts w:ascii="Arial" w:eastAsia="Arial Nova" w:hAnsi="Arial" w:cs="Arial"/>
          <w:sz w:val="24"/>
          <w:szCs w:val="24"/>
        </w:rPr>
        <w:t xml:space="preserve">The transition period is key and </w:t>
      </w:r>
      <w:r w:rsidRPr="002B00A9">
        <w:rPr>
          <w:rFonts w:ascii="Arial" w:eastAsia="Arial Nova" w:hAnsi="Arial" w:cs="Arial"/>
          <w:sz w:val="24"/>
          <w:szCs w:val="24"/>
        </w:rPr>
        <w:t>can be linked back to creating a sense of safety</w:t>
      </w:r>
      <w:r>
        <w:rPr>
          <w:rFonts w:ascii="Arial" w:eastAsia="Arial Nova" w:hAnsi="Arial" w:cs="Arial"/>
          <w:sz w:val="24"/>
          <w:szCs w:val="24"/>
        </w:rPr>
        <w:t xml:space="preserve"> and security</w:t>
      </w:r>
      <w:r w:rsidRPr="002B00A9">
        <w:rPr>
          <w:rFonts w:ascii="Arial" w:eastAsia="Arial Nova" w:hAnsi="Arial" w:cs="Arial"/>
          <w:sz w:val="24"/>
          <w:szCs w:val="24"/>
        </w:rPr>
        <w:t>.</w:t>
      </w:r>
      <w:r>
        <w:rPr>
          <w:rFonts w:ascii="Arial" w:eastAsia="Arial Nova" w:hAnsi="Arial" w:cs="Arial"/>
          <w:sz w:val="24"/>
          <w:szCs w:val="24"/>
        </w:rPr>
        <w:t xml:space="preserve"> </w:t>
      </w:r>
      <w:r w:rsidRPr="002B00A9">
        <w:rPr>
          <w:rFonts w:ascii="Arial" w:eastAsia="Arial Nova" w:hAnsi="Arial" w:cs="Arial"/>
          <w:sz w:val="24"/>
          <w:szCs w:val="24"/>
        </w:rPr>
        <w:t>With consistent and inclusive transitions children feel safe</w:t>
      </w:r>
      <w:r w:rsidR="00567B31">
        <w:rPr>
          <w:rFonts w:ascii="Arial" w:eastAsia="Arial Nova" w:hAnsi="Arial" w:cs="Arial"/>
          <w:sz w:val="24"/>
          <w:szCs w:val="24"/>
        </w:rPr>
        <w:t xml:space="preserve"> which leads back to Maslow’s </w:t>
      </w:r>
      <w:r w:rsidR="008A1EA7">
        <w:rPr>
          <w:rFonts w:ascii="Arial" w:eastAsia="Arial Nova" w:hAnsi="Arial" w:cs="Arial"/>
          <w:sz w:val="24"/>
          <w:szCs w:val="24"/>
        </w:rPr>
        <w:t>h</w:t>
      </w:r>
      <w:r w:rsidR="00567B31">
        <w:rPr>
          <w:rFonts w:ascii="Arial" w:eastAsia="Arial Nova" w:hAnsi="Arial" w:cs="Arial"/>
          <w:sz w:val="24"/>
          <w:szCs w:val="24"/>
        </w:rPr>
        <w:t xml:space="preserve">ierarchy and the need for the solid and concrete </w:t>
      </w:r>
      <w:r w:rsidR="008A1EA7">
        <w:rPr>
          <w:rFonts w:ascii="Arial" w:eastAsia="Arial Nova" w:hAnsi="Arial" w:cs="Arial"/>
          <w:sz w:val="24"/>
          <w:szCs w:val="24"/>
        </w:rPr>
        <w:t xml:space="preserve">foundation </w:t>
      </w:r>
      <w:r w:rsidR="00567B31">
        <w:rPr>
          <w:rFonts w:ascii="Arial" w:eastAsia="Arial Nova" w:hAnsi="Arial" w:cs="Arial"/>
          <w:sz w:val="24"/>
          <w:szCs w:val="24"/>
        </w:rPr>
        <w:t xml:space="preserve">before children can move through to self actualisation and become confident, creative learners.  </w:t>
      </w:r>
    </w:p>
    <w:p w14:paraId="29CF644F" w14:textId="77777777" w:rsidR="00BF743F" w:rsidRPr="002B00A9" w:rsidRDefault="00BF743F" w:rsidP="00C1738B">
      <w:pPr>
        <w:spacing w:after="120" w:line="360" w:lineRule="auto"/>
        <w:rPr>
          <w:rFonts w:ascii="Arial" w:hAnsi="Arial" w:cs="Arial"/>
          <w:sz w:val="24"/>
          <w:szCs w:val="24"/>
        </w:rPr>
      </w:pPr>
    </w:p>
    <w:p w14:paraId="2BD292E3" w14:textId="77777777" w:rsidR="006870B3" w:rsidRPr="002B00A9" w:rsidRDefault="006870B3" w:rsidP="00C1738B">
      <w:pPr>
        <w:spacing w:after="120" w:line="360" w:lineRule="auto"/>
        <w:rPr>
          <w:rFonts w:ascii="Arial" w:hAnsi="Arial" w:cs="Arial"/>
          <w:sz w:val="24"/>
          <w:szCs w:val="24"/>
        </w:rPr>
      </w:pPr>
    </w:p>
    <w:p w14:paraId="20572C6A" w14:textId="77777777" w:rsidR="006870B3" w:rsidRPr="002B00A9" w:rsidRDefault="006870B3" w:rsidP="00C1738B">
      <w:pPr>
        <w:spacing w:after="120" w:line="360" w:lineRule="auto"/>
        <w:rPr>
          <w:rFonts w:ascii="Arial" w:hAnsi="Arial" w:cs="Arial"/>
          <w:sz w:val="24"/>
          <w:szCs w:val="24"/>
        </w:rPr>
      </w:pPr>
    </w:p>
    <w:sectPr w:rsidR="006870B3" w:rsidRPr="002B00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CB7726"/>
    <w:multiLevelType w:val="hybridMultilevel"/>
    <w:tmpl w:val="5956B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2862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43F"/>
    <w:rsid w:val="001807AE"/>
    <w:rsid w:val="001B18CE"/>
    <w:rsid w:val="00226201"/>
    <w:rsid w:val="0026099A"/>
    <w:rsid w:val="002B00A9"/>
    <w:rsid w:val="003C1B5E"/>
    <w:rsid w:val="003E58F0"/>
    <w:rsid w:val="00443C8C"/>
    <w:rsid w:val="005565C0"/>
    <w:rsid w:val="00567B31"/>
    <w:rsid w:val="006870B3"/>
    <w:rsid w:val="006A7CAA"/>
    <w:rsid w:val="006D607E"/>
    <w:rsid w:val="0076187A"/>
    <w:rsid w:val="0079652C"/>
    <w:rsid w:val="008A1EA7"/>
    <w:rsid w:val="00975001"/>
    <w:rsid w:val="009B5710"/>
    <w:rsid w:val="00B04242"/>
    <w:rsid w:val="00BF23EC"/>
    <w:rsid w:val="00BF665F"/>
    <w:rsid w:val="00BF743F"/>
    <w:rsid w:val="00C1738B"/>
    <w:rsid w:val="00CF6DBC"/>
    <w:rsid w:val="00D074A0"/>
    <w:rsid w:val="00E15F6B"/>
    <w:rsid w:val="00EE42C4"/>
    <w:rsid w:val="00FE4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86B5B"/>
  <w15:chartTrackingRefBased/>
  <w15:docId w15:val="{6E8E24B7-73E1-44F5-B3DE-932F89D03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4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4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4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4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4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4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4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4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4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4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4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4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4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4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4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4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4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43F"/>
    <w:rPr>
      <w:rFonts w:eastAsiaTheme="majorEastAsia" w:cstheme="majorBidi"/>
      <w:color w:val="272727" w:themeColor="text1" w:themeTint="D8"/>
    </w:rPr>
  </w:style>
  <w:style w:type="paragraph" w:styleId="Title">
    <w:name w:val="Title"/>
    <w:basedOn w:val="Normal"/>
    <w:next w:val="Normal"/>
    <w:link w:val="TitleChar"/>
    <w:uiPriority w:val="10"/>
    <w:qFormat/>
    <w:rsid w:val="00BF74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4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4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4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43F"/>
    <w:pPr>
      <w:spacing w:before="160"/>
      <w:jc w:val="center"/>
    </w:pPr>
    <w:rPr>
      <w:i/>
      <w:iCs/>
      <w:color w:val="404040" w:themeColor="text1" w:themeTint="BF"/>
    </w:rPr>
  </w:style>
  <w:style w:type="character" w:customStyle="1" w:styleId="QuoteChar">
    <w:name w:val="Quote Char"/>
    <w:basedOn w:val="DefaultParagraphFont"/>
    <w:link w:val="Quote"/>
    <w:uiPriority w:val="29"/>
    <w:rsid w:val="00BF743F"/>
    <w:rPr>
      <w:i/>
      <w:iCs/>
      <w:color w:val="404040" w:themeColor="text1" w:themeTint="BF"/>
    </w:rPr>
  </w:style>
  <w:style w:type="paragraph" w:styleId="ListParagraph">
    <w:name w:val="List Paragraph"/>
    <w:basedOn w:val="Normal"/>
    <w:uiPriority w:val="34"/>
    <w:qFormat/>
    <w:rsid w:val="00BF743F"/>
    <w:pPr>
      <w:ind w:left="720"/>
      <w:contextualSpacing/>
    </w:pPr>
  </w:style>
  <w:style w:type="character" w:styleId="IntenseEmphasis">
    <w:name w:val="Intense Emphasis"/>
    <w:basedOn w:val="DefaultParagraphFont"/>
    <w:uiPriority w:val="21"/>
    <w:qFormat/>
    <w:rsid w:val="00BF743F"/>
    <w:rPr>
      <w:i/>
      <w:iCs/>
      <w:color w:val="0F4761" w:themeColor="accent1" w:themeShade="BF"/>
    </w:rPr>
  </w:style>
  <w:style w:type="paragraph" w:styleId="IntenseQuote">
    <w:name w:val="Intense Quote"/>
    <w:basedOn w:val="Normal"/>
    <w:next w:val="Normal"/>
    <w:link w:val="IntenseQuoteChar"/>
    <w:uiPriority w:val="30"/>
    <w:qFormat/>
    <w:rsid w:val="00BF74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43F"/>
    <w:rPr>
      <w:i/>
      <w:iCs/>
      <w:color w:val="0F4761" w:themeColor="accent1" w:themeShade="BF"/>
    </w:rPr>
  </w:style>
  <w:style w:type="character" w:styleId="IntenseReference">
    <w:name w:val="Intense Reference"/>
    <w:basedOn w:val="DefaultParagraphFont"/>
    <w:uiPriority w:val="32"/>
    <w:qFormat/>
    <w:rsid w:val="00BF74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Mac</dc:creator>
  <cp:keywords/>
  <dc:description/>
  <cp:lastModifiedBy>Jo Mac</cp:lastModifiedBy>
  <cp:revision>1</cp:revision>
  <dcterms:created xsi:type="dcterms:W3CDTF">2024-12-01T11:14:00Z</dcterms:created>
  <dcterms:modified xsi:type="dcterms:W3CDTF">2024-12-01T15:27:00Z</dcterms:modified>
</cp:coreProperties>
</file>