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A14D11" w14:textId="77777777" w:rsidR="00B57A72" w:rsidRDefault="00B57A72"/>
    <w:p w14:paraId="136BED31" w14:textId="77777777" w:rsidR="00DD4A6C" w:rsidRDefault="00DD4A6C"/>
    <w:p w14:paraId="2AD193D0" w14:textId="77777777" w:rsidR="00DD4A6C" w:rsidRDefault="00DD4A6C"/>
    <w:p w14:paraId="12740EB2" w14:textId="77777777" w:rsidR="00DD4A6C" w:rsidRDefault="00DD4A6C"/>
    <w:p w14:paraId="70F4F3A4" w14:textId="77777777" w:rsidR="00DD4A6C" w:rsidRDefault="00DD4A6C"/>
    <w:p w14:paraId="5D6BDE49" w14:textId="77777777" w:rsidR="00DD4A6C" w:rsidRDefault="00DD4A6C"/>
    <w:p w14:paraId="1B2124A9" w14:textId="77777777" w:rsidR="00DD4A6C" w:rsidRDefault="00DD4A6C"/>
    <w:p w14:paraId="40C0290D" w14:textId="411B4A43" w:rsidR="00DD4A6C" w:rsidRDefault="00B50D0D" w:rsidP="00D06D8F">
      <w:pPr>
        <w:pStyle w:val="IntenseQuote"/>
      </w:pPr>
      <w:r>
        <w:t>STUDENT NAME: BRIDGET EDOGHOGHO ALBEERT</w:t>
      </w:r>
    </w:p>
    <w:p w14:paraId="1776FD06" w14:textId="53EAB832" w:rsidR="00B50D0D" w:rsidRDefault="00B50D0D" w:rsidP="00D06D8F">
      <w:pPr>
        <w:pStyle w:val="IntenseQuote"/>
      </w:pPr>
      <w:r>
        <w:t>STUDENT ID: 2500452</w:t>
      </w:r>
    </w:p>
    <w:p w14:paraId="1B5A9919" w14:textId="55247B80" w:rsidR="00B50D0D" w:rsidRDefault="00B50D0D" w:rsidP="00D06D8F">
      <w:pPr>
        <w:pStyle w:val="IntenseQuote"/>
      </w:pPr>
      <w:r>
        <w:t>PROGRAMME: MBA SUSTAINABILITY LEADERSHIP</w:t>
      </w:r>
    </w:p>
    <w:p w14:paraId="76496A52" w14:textId="72102FA4" w:rsidR="00B50D0D" w:rsidRDefault="00B50D0D" w:rsidP="00D06D8F">
      <w:pPr>
        <w:pStyle w:val="IntenseQuote"/>
      </w:pPr>
      <w:r>
        <w:t>MODULE: MANAGEMENT PRACTICE: A CRITICAL PERSPECTIVE</w:t>
      </w:r>
    </w:p>
    <w:p w14:paraId="5DB5E47C" w14:textId="5B4A4492" w:rsidR="00B50D0D" w:rsidRDefault="00B50D0D" w:rsidP="00D06D8F">
      <w:pPr>
        <w:pStyle w:val="IntenseQuote"/>
      </w:pPr>
      <w:r>
        <w:t xml:space="preserve">MODULE CODE: BMSP7008D </w:t>
      </w:r>
    </w:p>
    <w:p w14:paraId="626F490E" w14:textId="7247F090" w:rsidR="00B50D0D" w:rsidRDefault="00B50D0D" w:rsidP="00D06D8F">
      <w:pPr>
        <w:pStyle w:val="IntenseQuote"/>
      </w:pPr>
      <w:r>
        <w:t>LECTURER: HELEN EVANS</w:t>
      </w:r>
    </w:p>
    <w:p w14:paraId="70FCE424" w14:textId="498D2E49" w:rsidR="00B50D0D" w:rsidRDefault="00B50D0D" w:rsidP="00D06D8F">
      <w:pPr>
        <w:pStyle w:val="IntenseQuote"/>
      </w:pPr>
      <w:r>
        <w:t>ASSIGNMENT TITLE: REPOR</w:t>
      </w:r>
      <w:r w:rsidR="00D06D8F">
        <w:t>T</w:t>
      </w:r>
    </w:p>
    <w:p w14:paraId="4AF630A5" w14:textId="79785911" w:rsidR="00D06D8F" w:rsidRDefault="00D06D8F" w:rsidP="00D06D8F">
      <w:pPr>
        <w:pStyle w:val="IntenseQuote"/>
      </w:pPr>
      <w:r>
        <w:t>SUBMISSION DEADLINE 08/06/2026</w:t>
      </w:r>
    </w:p>
    <w:p w14:paraId="47D1F7DC" w14:textId="77777777" w:rsidR="00D06D8F" w:rsidRPr="00D06D8F" w:rsidRDefault="00D06D8F" w:rsidP="00D06D8F"/>
    <w:p w14:paraId="61980D1B" w14:textId="77777777" w:rsidR="00B50D0D" w:rsidRPr="00B50D0D" w:rsidRDefault="00B50D0D" w:rsidP="00B50D0D">
      <w:pPr>
        <w:rPr>
          <w:rFonts w:ascii="Arial" w:hAnsi="Arial" w:cs="Arial"/>
          <w:sz w:val="28"/>
          <w:szCs w:val="28"/>
        </w:rPr>
      </w:pPr>
    </w:p>
    <w:p w14:paraId="6C6024F5" w14:textId="77777777" w:rsidR="00DD4A6C" w:rsidRDefault="00DD4A6C"/>
    <w:p w14:paraId="0E28EC5B" w14:textId="77777777" w:rsidR="00DD4A6C" w:rsidRDefault="00DD4A6C"/>
    <w:p w14:paraId="43BFEFDB" w14:textId="77777777" w:rsidR="00DD4A6C" w:rsidRDefault="00DD4A6C"/>
    <w:p w14:paraId="79F58CCF" w14:textId="77777777" w:rsidR="00DD4A6C" w:rsidRDefault="00DD4A6C"/>
    <w:p w14:paraId="7DCEA2E4" w14:textId="77777777" w:rsidR="00DD4A6C" w:rsidRDefault="00DD4A6C"/>
    <w:p w14:paraId="2C8F8B11" w14:textId="77777777" w:rsidR="00DD4A6C" w:rsidRPr="005E1ADA" w:rsidRDefault="00DD4A6C"/>
    <w:sdt>
      <w:sdtPr>
        <w:rPr>
          <w:rFonts w:asciiTheme="minorHAnsi" w:eastAsiaTheme="minorHAnsi" w:hAnsiTheme="minorHAnsi" w:cstheme="minorBidi"/>
          <w:color w:val="auto"/>
          <w:kern w:val="2"/>
          <w:sz w:val="24"/>
          <w:szCs w:val="24"/>
          <w:lang w:val="en-GB"/>
          <w14:ligatures w14:val="standardContextual"/>
        </w:rPr>
        <w:id w:val="-1967656525"/>
        <w:docPartObj>
          <w:docPartGallery w:val="Table of Contents"/>
          <w:docPartUnique/>
        </w:docPartObj>
      </w:sdtPr>
      <w:sdtEndPr>
        <w:rPr>
          <w:b/>
          <w:bCs/>
          <w:noProof/>
        </w:rPr>
      </w:sdtEndPr>
      <w:sdtContent>
        <w:p w14:paraId="265F93D6" w14:textId="5935F76F" w:rsidR="00DD4A6C" w:rsidRPr="003345BA" w:rsidRDefault="00DD4A6C">
          <w:pPr>
            <w:pStyle w:val="TOCHeading"/>
            <w:rPr>
              <w:rFonts w:ascii="Arial" w:hAnsi="Arial" w:cs="Arial"/>
              <w:color w:val="auto"/>
            </w:rPr>
          </w:pPr>
          <w:r w:rsidRPr="003345BA">
            <w:rPr>
              <w:rFonts w:ascii="Arial" w:hAnsi="Arial" w:cs="Arial"/>
              <w:color w:val="auto"/>
            </w:rPr>
            <w:t>Contents</w:t>
          </w:r>
        </w:p>
        <w:p w14:paraId="5D196A26" w14:textId="0BB48E6F" w:rsidR="006B5E1B" w:rsidRDefault="00DD4A6C">
          <w:pPr>
            <w:pStyle w:val="TOC1"/>
            <w:rPr>
              <w:rFonts w:asciiTheme="minorHAnsi" w:eastAsiaTheme="minorEastAsia" w:hAnsiTheme="minorHAnsi" w:cstheme="minorBidi"/>
              <w:kern w:val="2"/>
              <w:lang w:eastAsia="zh-CN"/>
              <w14:ligatures w14:val="standardContextual"/>
            </w:rPr>
          </w:pPr>
          <w:r w:rsidRPr="003345BA">
            <w:rPr>
              <w:noProof w:val="0"/>
            </w:rPr>
            <w:fldChar w:fldCharType="begin"/>
          </w:r>
          <w:r w:rsidRPr="003345BA">
            <w:instrText xml:space="preserve"> TOC \o "1-3" \h \z \u </w:instrText>
          </w:r>
          <w:r w:rsidRPr="003345BA">
            <w:rPr>
              <w:noProof w:val="0"/>
            </w:rPr>
            <w:fldChar w:fldCharType="separate"/>
          </w:r>
          <w:hyperlink w:anchor="_Toc231380074" w:history="1">
            <w:r w:rsidR="006B5E1B" w:rsidRPr="00FF0586">
              <w:rPr>
                <w:rStyle w:val="Hyperlink"/>
                <w:b/>
                <w:bCs/>
              </w:rPr>
              <w:t>Introduction</w:t>
            </w:r>
            <w:r w:rsidR="006B5E1B">
              <w:rPr>
                <w:webHidden/>
              </w:rPr>
              <w:tab/>
            </w:r>
            <w:r w:rsidR="006B5E1B">
              <w:rPr>
                <w:webHidden/>
              </w:rPr>
              <w:fldChar w:fldCharType="begin"/>
            </w:r>
            <w:r w:rsidR="006B5E1B">
              <w:rPr>
                <w:webHidden/>
              </w:rPr>
              <w:instrText xml:space="preserve"> PAGEREF _Toc231380074 \h </w:instrText>
            </w:r>
            <w:r w:rsidR="006B5E1B">
              <w:rPr>
                <w:webHidden/>
              </w:rPr>
            </w:r>
            <w:r w:rsidR="006B5E1B">
              <w:rPr>
                <w:webHidden/>
              </w:rPr>
              <w:fldChar w:fldCharType="separate"/>
            </w:r>
            <w:r w:rsidR="006B5E1B">
              <w:rPr>
                <w:webHidden/>
              </w:rPr>
              <w:t>3</w:t>
            </w:r>
            <w:r w:rsidR="006B5E1B">
              <w:rPr>
                <w:webHidden/>
              </w:rPr>
              <w:fldChar w:fldCharType="end"/>
            </w:r>
          </w:hyperlink>
        </w:p>
        <w:p w14:paraId="330A1091" w14:textId="40557A46" w:rsidR="006B5E1B" w:rsidRDefault="006B5E1B">
          <w:pPr>
            <w:pStyle w:val="TOC1"/>
            <w:rPr>
              <w:rFonts w:asciiTheme="minorHAnsi" w:eastAsiaTheme="minorEastAsia" w:hAnsiTheme="minorHAnsi" w:cstheme="minorBidi"/>
              <w:kern w:val="2"/>
              <w:lang w:eastAsia="zh-CN"/>
              <w14:ligatures w14:val="standardContextual"/>
            </w:rPr>
          </w:pPr>
          <w:hyperlink w:anchor="_Toc231380075" w:history="1">
            <w:r w:rsidRPr="00FF0586">
              <w:rPr>
                <w:rStyle w:val="Hyperlink"/>
                <w:b/>
                <w:bCs/>
              </w:rPr>
              <w:t>Organisation Overview</w:t>
            </w:r>
            <w:r>
              <w:rPr>
                <w:webHidden/>
              </w:rPr>
              <w:tab/>
            </w:r>
            <w:r>
              <w:rPr>
                <w:webHidden/>
              </w:rPr>
              <w:fldChar w:fldCharType="begin"/>
            </w:r>
            <w:r>
              <w:rPr>
                <w:webHidden/>
              </w:rPr>
              <w:instrText xml:space="preserve"> PAGEREF _Toc231380075 \h </w:instrText>
            </w:r>
            <w:r>
              <w:rPr>
                <w:webHidden/>
              </w:rPr>
            </w:r>
            <w:r>
              <w:rPr>
                <w:webHidden/>
              </w:rPr>
              <w:fldChar w:fldCharType="separate"/>
            </w:r>
            <w:r>
              <w:rPr>
                <w:webHidden/>
              </w:rPr>
              <w:t>4</w:t>
            </w:r>
            <w:r>
              <w:rPr>
                <w:webHidden/>
              </w:rPr>
              <w:fldChar w:fldCharType="end"/>
            </w:r>
          </w:hyperlink>
        </w:p>
        <w:p w14:paraId="242A5F92" w14:textId="0B9105ED" w:rsidR="006B5E1B" w:rsidRDefault="006B5E1B">
          <w:pPr>
            <w:pStyle w:val="TOC1"/>
            <w:rPr>
              <w:rFonts w:asciiTheme="minorHAnsi" w:eastAsiaTheme="minorEastAsia" w:hAnsiTheme="minorHAnsi" w:cstheme="minorBidi"/>
              <w:kern w:val="2"/>
              <w:lang w:eastAsia="zh-CN"/>
              <w14:ligatures w14:val="standardContextual"/>
            </w:rPr>
          </w:pPr>
          <w:hyperlink w:anchor="_Toc231380076" w:history="1">
            <w:r w:rsidRPr="00FF0586">
              <w:rPr>
                <w:rStyle w:val="Hyperlink"/>
                <w:b/>
                <w:bCs/>
              </w:rPr>
              <w:t>Current Sustainability Strategy</w:t>
            </w:r>
            <w:r>
              <w:rPr>
                <w:webHidden/>
              </w:rPr>
              <w:tab/>
            </w:r>
            <w:r>
              <w:rPr>
                <w:webHidden/>
              </w:rPr>
              <w:fldChar w:fldCharType="begin"/>
            </w:r>
            <w:r>
              <w:rPr>
                <w:webHidden/>
              </w:rPr>
              <w:instrText xml:space="preserve"> PAGEREF _Toc231380076 \h </w:instrText>
            </w:r>
            <w:r>
              <w:rPr>
                <w:webHidden/>
              </w:rPr>
            </w:r>
            <w:r>
              <w:rPr>
                <w:webHidden/>
              </w:rPr>
              <w:fldChar w:fldCharType="separate"/>
            </w:r>
            <w:r>
              <w:rPr>
                <w:webHidden/>
              </w:rPr>
              <w:t>5</w:t>
            </w:r>
            <w:r>
              <w:rPr>
                <w:webHidden/>
              </w:rPr>
              <w:fldChar w:fldCharType="end"/>
            </w:r>
          </w:hyperlink>
        </w:p>
        <w:p w14:paraId="08A1362A" w14:textId="04CEDC09" w:rsidR="006B5E1B" w:rsidRDefault="006B5E1B">
          <w:pPr>
            <w:pStyle w:val="TOC1"/>
            <w:rPr>
              <w:rFonts w:asciiTheme="minorHAnsi" w:eastAsiaTheme="minorEastAsia" w:hAnsiTheme="minorHAnsi" w:cstheme="minorBidi"/>
              <w:kern w:val="2"/>
              <w:lang w:eastAsia="zh-CN"/>
              <w14:ligatures w14:val="standardContextual"/>
            </w:rPr>
          </w:pPr>
          <w:hyperlink w:anchor="_Toc231380077" w:history="1">
            <w:r w:rsidRPr="00FF0586">
              <w:rPr>
                <w:rStyle w:val="Hyperlink"/>
                <w:b/>
                <w:bCs/>
              </w:rPr>
              <w:t>External Environment Analysis (PESTLE)</w:t>
            </w:r>
            <w:r>
              <w:rPr>
                <w:webHidden/>
              </w:rPr>
              <w:tab/>
            </w:r>
            <w:r>
              <w:rPr>
                <w:webHidden/>
              </w:rPr>
              <w:fldChar w:fldCharType="begin"/>
            </w:r>
            <w:r>
              <w:rPr>
                <w:webHidden/>
              </w:rPr>
              <w:instrText xml:space="preserve"> PAGEREF _Toc231380077 \h </w:instrText>
            </w:r>
            <w:r>
              <w:rPr>
                <w:webHidden/>
              </w:rPr>
            </w:r>
            <w:r>
              <w:rPr>
                <w:webHidden/>
              </w:rPr>
              <w:fldChar w:fldCharType="separate"/>
            </w:r>
            <w:r>
              <w:rPr>
                <w:webHidden/>
              </w:rPr>
              <w:t>6</w:t>
            </w:r>
            <w:r>
              <w:rPr>
                <w:webHidden/>
              </w:rPr>
              <w:fldChar w:fldCharType="end"/>
            </w:r>
          </w:hyperlink>
        </w:p>
        <w:p w14:paraId="2BA79FBB" w14:textId="26BA7662" w:rsidR="006B5E1B" w:rsidRDefault="006B5E1B">
          <w:pPr>
            <w:pStyle w:val="TOC3"/>
            <w:tabs>
              <w:tab w:val="right" w:leader="dot" w:pos="9016"/>
            </w:tabs>
            <w:rPr>
              <w:rFonts w:eastAsiaTheme="minorEastAsia"/>
              <w:noProof/>
              <w:lang w:eastAsia="zh-CN"/>
            </w:rPr>
          </w:pPr>
          <w:hyperlink w:anchor="_Toc231380078" w:history="1">
            <w:r w:rsidRPr="00FF0586">
              <w:rPr>
                <w:rStyle w:val="Hyperlink"/>
                <w:rFonts w:ascii="Arial" w:eastAsia="Times New Roman" w:hAnsi="Arial" w:cs="Arial"/>
                <w:b/>
                <w:bCs/>
                <w:noProof/>
                <w:kern w:val="0"/>
                <w:lang w:eastAsia="en-GB"/>
                <w14:ligatures w14:val="none"/>
              </w:rPr>
              <w:t>Political Factors</w:t>
            </w:r>
            <w:r>
              <w:rPr>
                <w:noProof/>
                <w:webHidden/>
              </w:rPr>
              <w:tab/>
            </w:r>
            <w:r>
              <w:rPr>
                <w:noProof/>
                <w:webHidden/>
              </w:rPr>
              <w:fldChar w:fldCharType="begin"/>
            </w:r>
            <w:r>
              <w:rPr>
                <w:noProof/>
                <w:webHidden/>
              </w:rPr>
              <w:instrText xml:space="preserve"> PAGEREF _Toc231380078 \h </w:instrText>
            </w:r>
            <w:r>
              <w:rPr>
                <w:noProof/>
                <w:webHidden/>
              </w:rPr>
            </w:r>
            <w:r>
              <w:rPr>
                <w:noProof/>
                <w:webHidden/>
              </w:rPr>
              <w:fldChar w:fldCharType="separate"/>
            </w:r>
            <w:r>
              <w:rPr>
                <w:noProof/>
                <w:webHidden/>
              </w:rPr>
              <w:t>6</w:t>
            </w:r>
            <w:r>
              <w:rPr>
                <w:noProof/>
                <w:webHidden/>
              </w:rPr>
              <w:fldChar w:fldCharType="end"/>
            </w:r>
          </w:hyperlink>
        </w:p>
        <w:p w14:paraId="58A7A4CB" w14:textId="20870A73" w:rsidR="006B5E1B" w:rsidRDefault="006B5E1B">
          <w:pPr>
            <w:pStyle w:val="TOC3"/>
            <w:tabs>
              <w:tab w:val="right" w:leader="dot" w:pos="9016"/>
            </w:tabs>
            <w:rPr>
              <w:rFonts w:eastAsiaTheme="minorEastAsia"/>
              <w:noProof/>
              <w:lang w:eastAsia="zh-CN"/>
            </w:rPr>
          </w:pPr>
          <w:hyperlink w:anchor="_Toc231380079" w:history="1">
            <w:r w:rsidRPr="00FF0586">
              <w:rPr>
                <w:rStyle w:val="Hyperlink"/>
                <w:rFonts w:ascii="Arial" w:eastAsia="Times New Roman" w:hAnsi="Arial" w:cs="Arial"/>
                <w:b/>
                <w:bCs/>
                <w:noProof/>
                <w:kern w:val="0"/>
                <w:lang w:eastAsia="en-GB"/>
                <w14:ligatures w14:val="none"/>
              </w:rPr>
              <w:t>Economic Factors</w:t>
            </w:r>
            <w:r>
              <w:rPr>
                <w:noProof/>
                <w:webHidden/>
              </w:rPr>
              <w:tab/>
            </w:r>
            <w:r>
              <w:rPr>
                <w:noProof/>
                <w:webHidden/>
              </w:rPr>
              <w:fldChar w:fldCharType="begin"/>
            </w:r>
            <w:r>
              <w:rPr>
                <w:noProof/>
                <w:webHidden/>
              </w:rPr>
              <w:instrText xml:space="preserve"> PAGEREF _Toc231380079 \h </w:instrText>
            </w:r>
            <w:r>
              <w:rPr>
                <w:noProof/>
                <w:webHidden/>
              </w:rPr>
            </w:r>
            <w:r>
              <w:rPr>
                <w:noProof/>
                <w:webHidden/>
              </w:rPr>
              <w:fldChar w:fldCharType="separate"/>
            </w:r>
            <w:r>
              <w:rPr>
                <w:noProof/>
                <w:webHidden/>
              </w:rPr>
              <w:t>6</w:t>
            </w:r>
            <w:r>
              <w:rPr>
                <w:noProof/>
                <w:webHidden/>
              </w:rPr>
              <w:fldChar w:fldCharType="end"/>
            </w:r>
          </w:hyperlink>
        </w:p>
        <w:p w14:paraId="3269F41C" w14:textId="195A9678" w:rsidR="006B5E1B" w:rsidRDefault="006B5E1B">
          <w:pPr>
            <w:pStyle w:val="TOC3"/>
            <w:tabs>
              <w:tab w:val="right" w:leader="dot" w:pos="9016"/>
            </w:tabs>
            <w:rPr>
              <w:rFonts w:eastAsiaTheme="minorEastAsia"/>
              <w:noProof/>
              <w:lang w:eastAsia="zh-CN"/>
            </w:rPr>
          </w:pPr>
          <w:hyperlink w:anchor="_Toc231380080" w:history="1">
            <w:r w:rsidRPr="00FF0586">
              <w:rPr>
                <w:rStyle w:val="Hyperlink"/>
                <w:rFonts w:ascii="Arial" w:eastAsia="Times New Roman" w:hAnsi="Arial" w:cs="Arial"/>
                <w:b/>
                <w:bCs/>
                <w:noProof/>
                <w:kern w:val="0"/>
                <w:lang w:eastAsia="en-GB"/>
                <w14:ligatures w14:val="none"/>
              </w:rPr>
              <w:t>Social Factors</w:t>
            </w:r>
            <w:r>
              <w:rPr>
                <w:noProof/>
                <w:webHidden/>
              </w:rPr>
              <w:tab/>
            </w:r>
            <w:r>
              <w:rPr>
                <w:noProof/>
                <w:webHidden/>
              </w:rPr>
              <w:fldChar w:fldCharType="begin"/>
            </w:r>
            <w:r>
              <w:rPr>
                <w:noProof/>
                <w:webHidden/>
              </w:rPr>
              <w:instrText xml:space="preserve"> PAGEREF _Toc231380080 \h </w:instrText>
            </w:r>
            <w:r>
              <w:rPr>
                <w:noProof/>
                <w:webHidden/>
              </w:rPr>
            </w:r>
            <w:r>
              <w:rPr>
                <w:noProof/>
                <w:webHidden/>
              </w:rPr>
              <w:fldChar w:fldCharType="separate"/>
            </w:r>
            <w:r>
              <w:rPr>
                <w:noProof/>
                <w:webHidden/>
              </w:rPr>
              <w:t>7</w:t>
            </w:r>
            <w:r>
              <w:rPr>
                <w:noProof/>
                <w:webHidden/>
              </w:rPr>
              <w:fldChar w:fldCharType="end"/>
            </w:r>
          </w:hyperlink>
        </w:p>
        <w:p w14:paraId="25C6B362" w14:textId="36F2D2DE" w:rsidR="006B5E1B" w:rsidRDefault="006B5E1B">
          <w:pPr>
            <w:pStyle w:val="TOC3"/>
            <w:tabs>
              <w:tab w:val="right" w:leader="dot" w:pos="9016"/>
            </w:tabs>
            <w:rPr>
              <w:rFonts w:eastAsiaTheme="minorEastAsia"/>
              <w:noProof/>
              <w:lang w:eastAsia="zh-CN"/>
            </w:rPr>
          </w:pPr>
          <w:hyperlink w:anchor="_Toc231380081" w:history="1">
            <w:r w:rsidRPr="00FF0586">
              <w:rPr>
                <w:rStyle w:val="Hyperlink"/>
                <w:rFonts w:ascii="Arial" w:eastAsia="Times New Roman" w:hAnsi="Arial" w:cs="Arial"/>
                <w:b/>
                <w:bCs/>
                <w:noProof/>
                <w:kern w:val="0"/>
                <w:lang w:eastAsia="en-GB"/>
                <w14:ligatures w14:val="none"/>
              </w:rPr>
              <w:t>Technological Factors</w:t>
            </w:r>
            <w:r>
              <w:rPr>
                <w:noProof/>
                <w:webHidden/>
              </w:rPr>
              <w:tab/>
            </w:r>
            <w:r>
              <w:rPr>
                <w:noProof/>
                <w:webHidden/>
              </w:rPr>
              <w:fldChar w:fldCharType="begin"/>
            </w:r>
            <w:r>
              <w:rPr>
                <w:noProof/>
                <w:webHidden/>
              </w:rPr>
              <w:instrText xml:space="preserve"> PAGEREF _Toc231380081 \h </w:instrText>
            </w:r>
            <w:r>
              <w:rPr>
                <w:noProof/>
                <w:webHidden/>
              </w:rPr>
            </w:r>
            <w:r>
              <w:rPr>
                <w:noProof/>
                <w:webHidden/>
              </w:rPr>
              <w:fldChar w:fldCharType="separate"/>
            </w:r>
            <w:r>
              <w:rPr>
                <w:noProof/>
                <w:webHidden/>
              </w:rPr>
              <w:t>7</w:t>
            </w:r>
            <w:r>
              <w:rPr>
                <w:noProof/>
                <w:webHidden/>
              </w:rPr>
              <w:fldChar w:fldCharType="end"/>
            </w:r>
          </w:hyperlink>
        </w:p>
        <w:p w14:paraId="52DC8EF1" w14:textId="678A3D2C" w:rsidR="006B5E1B" w:rsidRDefault="006B5E1B">
          <w:pPr>
            <w:pStyle w:val="TOC3"/>
            <w:tabs>
              <w:tab w:val="right" w:leader="dot" w:pos="9016"/>
            </w:tabs>
            <w:rPr>
              <w:rFonts w:eastAsiaTheme="minorEastAsia"/>
              <w:noProof/>
              <w:lang w:eastAsia="zh-CN"/>
            </w:rPr>
          </w:pPr>
          <w:hyperlink w:anchor="_Toc231380082" w:history="1">
            <w:r w:rsidRPr="00FF0586">
              <w:rPr>
                <w:rStyle w:val="Hyperlink"/>
                <w:rFonts w:ascii="Arial" w:eastAsia="Times New Roman" w:hAnsi="Arial" w:cs="Arial"/>
                <w:b/>
                <w:bCs/>
                <w:noProof/>
                <w:kern w:val="0"/>
                <w:lang w:eastAsia="en-GB"/>
                <w14:ligatures w14:val="none"/>
              </w:rPr>
              <w:t>Legal Factors</w:t>
            </w:r>
            <w:r>
              <w:rPr>
                <w:noProof/>
                <w:webHidden/>
              </w:rPr>
              <w:tab/>
            </w:r>
            <w:r>
              <w:rPr>
                <w:noProof/>
                <w:webHidden/>
              </w:rPr>
              <w:fldChar w:fldCharType="begin"/>
            </w:r>
            <w:r>
              <w:rPr>
                <w:noProof/>
                <w:webHidden/>
              </w:rPr>
              <w:instrText xml:space="preserve"> PAGEREF _Toc231380082 \h </w:instrText>
            </w:r>
            <w:r>
              <w:rPr>
                <w:noProof/>
                <w:webHidden/>
              </w:rPr>
            </w:r>
            <w:r>
              <w:rPr>
                <w:noProof/>
                <w:webHidden/>
              </w:rPr>
              <w:fldChar w:fldCharType="separate"/>
            </w:r>
            <w:r>
              <w:rPr>
                <w:noProof/>
                <w:webHidden/>
              </w:rPr>
              <w:t>7</w:t>
            </w:r>
            <w:r>
              <w:rPr>
                <w:noProof/>
                <w:webHidden/>
              </w:rPr>
              <w:fldChar w:fldCharType="end"/>
            </w:r>
          </w:hyperlink>
        </w:p>
        <w:p w14:paraId="7264934E" w14:textId="333ECF2F" w:rsidR="006B5E1B" w:rsidRDefault="006B5E1B">
          <w:pPr>
            <w:pStyle w:val="TOC3"/>
            <w:tabs>
              <w:tab w:val="right" w:leader="dot" w:pos="9016"/>
            </w:tabs>
            <w:rPr>
              <w:rFonts w:eastAsiaTheme="minorEastAsia"/>
              <w:noProof/>
              <w:lang w:eastAsia="zh-CN"/>
            </w:rPr>
          </w:pPr>
          <w:hyperlink w:anchor="_Toc231380083" w:history="1">
            <w:r w:rsidRPr="00FF0586">
              <w:rPr>
                <w:rStyle w:val="Hyperlink"/>
                <w:rFonts w:ascii="Arial" w:eastAsia="Times New Roman" w:hAnsi="Arial" w:cs="Arial"/>
                <w:b/>
                <w:bCs/>
                <w:noProof/>
                <w:kern w:val="0"/>
                <w:lang w:eastAsia="en-GB"/>
                <w14:ligatures w14:val="none"/>
              </w:rPr>
              <w:t>Environmental Factors</w:t>
            </w:r>
            <w:r>
              <w:rPr>
                <w:noProof/>
                <w:webHidden/>
              </w:rPr>
              <w:tab/>
            </w:r>
            <w:r>
              <w:rPr>
                <w:noProof/>
                <w:webHidden/>
              </w:rPr>
              <w:fldChar w:fldCharType="begin"/>
            </w:r>
            <w:r>
              <w:rPr>
                <w:noProof/>
                <w:webHidden/>
              </w:rPr>
              <w:instrText xml:space="preserve"> PAGEREF _Toc231380083 \h </w:instrText>
            </w:r>
            <w:r>
              <w:rPr>
                <w:noProof/>
                <w:webHidden/>
              </w:rPr>
            </w:r>
            <w:r>
              <w:rPr>
                <w:noProof/>
                <w:webHidden/>
              </w:rPr>
              <w:fldChar w:fldCharType="separate"/>
            </w:r>
            <w:r>
              <w:rPr>
                <w:noProof/>
                <w:webHidden/>
              </w:rPr>
              <w:t>8</w:t>
            </w:r>
            <w:r>
              <w:rPr>
                <w:noProof/>
                <w:webHidden/>
              </w:rPr>
              <w:fldChar w:fldCharType="end"/>
            </w:r>
          </w:hyperlink>
        </w:p>
        <w:p w14:paraId="17741CC9" w14:textId="71E977BA" w:rsidR="006B5E1B" w:rsidRDefault="006B5E1B">
          <w:pPr>
            <w:pStyle w:val="TOC1"/>
            <w:rPr>
              <w:rFonts w:asciiTheme="minorHAnsi" w:eastAsiaTheme="minorEastAsia" w:hAnsiTheme="minorHAnsi" w:cstheme="minorBidi"/>
              <w:kern w:val="2"/>
              <w:lang w:eastAsia="zh-CN"/>
              <w14:ligatures w14:val="standardContextual"/>
            </w:rPr>
          </w:pPr>
          <w:hyperlink w:anchor="_Toc231380084" w:history="1">
            <w:r w:rsidRPr="00FF0586">
              <w:rPr>
                <w:rStyle w:val="Hyperlink"/>
                <w:b/>
                <w:bCs/>
              </w:rPr>
              <w:t>Internal Analysis (SWOT Analysis)</w:t>
            </w:r>
            <w:r>
              <w:rPr>
                <w:webHidden/>
              </w:rPr>
              <w:tab/>
            </w:r>
            <w:r>
              <w:rPr>
                <w:webHidden/>
              </w:rPr>
              <w:fldChar w:fldCharType="begin"/>
            </w:r>
            <w:r>
              <w:rPr>
                <w:webHidden/>
              </w:rPr>
              <w:instrText xml:space="preserve"> PAGEREF _Toc231380084 \h </w:instrText>
            </w:r>
            <w:r>
              <w:rPr>
                <w:webHidden/>
              </w:rPr>
            </w:r>
            <w:r>
              <w:rPr>
                <w:webHidden/>
              </w:rPr>
              <w:fldChar w:fldCharType="separate"/>
            </w:r>
            <w:r>
              <w:rPr>
                <w:webHidden/>
              </w:rPr>
              <w:t>8</w:t>
            </w:r>
            <w:r>
              <w:rPr>
                <w:webHidden/>
              </w:rPr>
              <w:fldChar w:fldCharType="end"/>
            </w:r>
          </w:hyperlink>
        </w:p>
        <w:p w14:paraId="5C8111D3" w14:textId="208BEC93" w:rsidR="006B5E1B" w:rsidRDefault="006B5E1B">
          <w:pPr>
            <w:pStyle w:val="TOC3"/>
            <w:tabs>
              <w:tab w:val="right" w:leader="dot" w:pos="9016"/>
            </w:tabs>
            <w:rPr>
              <w:rFonts w:eastAsiaTheme="minorEastAsia"/>
              <w:noProof/>
              <w:lang w:eastAsia="zh-CN"/>
            </w:rPr>
          </w:pPr>
          <w:hyperlink w:anchor="_Toc231380085" w:history="1">
            <w:r w:rsidRPr="00FF0586">
              <w:rPr>
                <w:rStyle w:val="Hyperlink"/>
                <w:rFonts w:ascii="Arial" w:eastAsia="Times New Roman" w:hAnsi="Arial" w:cs="Arial"/>
                <w:b/>
                <w:bCs/>
                <w:noProof/>
                <w:kern w:val="0"/>
                <w:lang w:eastAsia="en-GB"/>
                <w14:ligatures w14:val="none"/>
              </w:rPr>
              <w:t>Strengths</w:t>
            </w:r>
            <w:r>
              <w:rPr>
                <w:noProof/>
                <w:webHidden/>
              </w:rPr>
              <w:tab/>
            </w:r>
            <w:r>
              <w:rPr>
                <w:noProof/>
                <w:webHidden/>
              </w:rPr>
              <w:fldChar w:fldCharType="begin"/>
            </w:r>
            <w:r>
              <w:rPr>
                <w:noProof/>
                <w:webHidden/>
              </w:rPr>
              <w:instrText xml:space="preserve"> PAGEREF _Toc231380085 \h </w:instrText>
            </w:r>
            <w:r>
              <w:rPr>
                <w:noProof/>
                <w:webHidden/>
              </w:rPr>
            </w:r>
            <w:r>
              <w:rPr>
                <w:noProof/>
                <w:webHidden/>
              </w:rPr>
              <w:fldChar w:fldCharType="separate"/>
            </w:r>
            <w:r>
              <w:rPr>
                <w:noProof/>
                <w:webHidden/>
              </w:rPr>
              <w:t>8</w:t>
            </w:r>
            <w:r>
              <w:rPr>
                <w:noProof/>
                <w:webHidden/>
              </w:rPr>
              <w:fldChar w:fldCharType="end"/>
            </w:r>
          </w:hyperlink>
        </w:p>
        <w:p w14:paraId="5E95BE71" w14:textId="10E7603A" w:rsidR="006B5E1B" w:rsidRDefault="006B5E1B">
          <w:pPr>
            <w:pStyle w:val="TOC3"/>
            <w:tabs>
              <w:tab w:val="right" w:leader="dot" w:pos="9016"/>
            </w:tabs>
            <w:rPr>
              <w:rFonts w:eastAsiaTheme="minorEastAsia"/>
              <w:noProof/>
              <w:lang w:eastAsia="zh-CN"/>
            </w:rPr>
          </w:pPr>
          <w:hyperlink w:anchor="_Toc231380086" w:history="1">
            <w:r w:rsidRPr="00FF0586">
              <w:rPr>
                <w:rStyle w:val="Hyperlink"/>
                <w:rFonts w:ascii="Arial" w:eastAsia="Times New Roman" w:hAnsi="Arial" w:cs="Arial"/>
                <w:b/>
                <w:bCs/>
                <w:noProof/>
                <w:kern w:val="0"/>
                <w:lang w:eastAsia="en-GB"/>
                <w14:ligatures w14:val="none"/>
              </w:rPr>
              <w:t>Weaknesses</w:t>
            </w:r>
            <w:r>
              <w:rPr>
                <w:noProof/>
                <w:webHidden/>
              </w:rPr>
              <w:tab/>
            </w:r>
            <w:r>
              <w:rPr>
                <w:noProof/>
                <w:webHidden/>
              </w:rPr>
              <w:fldChar w:fldCharType="begin"/>
            </w:r>
            <w:r>
              <w:rPr>
                <w:noProof/>
                <w:webHidden/>
              </w:rPr>
              <w:instrText xml:space="preserve"> PAGEREF _Toc231380086 \h </w:instrText>
            </w:r>
            <w:r>
              <w:rPr>
                <w:noProof/>
                <w:webHidden/>
              </w:rPr>
            </w:r>
            <w:r>
              <w:rPr>
                <w:noProof/>
                <w:webHidden/>
              </w:rPr>
              <w:fldChar w:fldCharType="separate"/>
            </w:r>
            <w:r>
              <w:rPr>
                <w:noProof/>
                <w:webHidden/>
              </w:rPr>
              <w:t>9</w:t>
            </w:r>
            <w:r>
              <w:rPr>
                <w:noProof/>
                <w:webHidden/>
              </w:rPr>
              <w:fldChar w:fldCharType="end"/>
            </w:r>
          </w:hyperlink>
        </w:p>
        <w:p w14:paraId="31B7D962" w14:textId="58D0436F" w:rsidR="006B5E1B" w:rsidRDefault="006B5E1B">
          <w:pPr>
            <w:pStyle w:val="TOC3"/>
            <w:tabs>
              <w:tab w:val="right" w:leader="dot" w:pos="9016"/>
            </w:tabs>
            <w:rPr>
              <w:rFonts w:eastAsiaTheme="minorEastAsia"/>
              <w:noProof/>
              <w:lang w:eastAsia="zh-CN"/>
            </w:rPr>
          </w:pPr>
          <w:hyperlink w:anchor="_Toc231380087" w:history="1">
            <w:r w:rsidRPr="00FF0586">
              <w:rPr>
                <w:rStyle w:val="Hyperlink"/>
                <w:rFonts w:ascii="Arial" w:eastAsia="Times New Roman" w:hAnsi="Arial" w:cs="Arial"/>
                <w:b/>
                <w:bCs/>
                <w:noProof/>
                <w:kern w:val="0"/>
                <w:lang w:eastAsia="en-GB"/>
                <w14:ligatures w14:val="none"/>
              </w:rPr>
              <w:t>Opportunities</w:t>
            </w:r>
            <w:r>
              <w:rPr>
                <w:noProof/>
                <w:webHidden/>
              </w:rPr>
              <w:tab/>
            </w:r>
            <w:r>
              <w:rPr>
                <w:noProof/>
                <w:webHidden/>
              </w:rPr>
              <w:fldChar w:fldCharType="begin"/>
            </w:r>
            <w:r>
              <w:rPr>
                <w:noProof/>
                <w:webHidden/>
              </w:rPr>
              <w:instrText xml:space="preserve"> PAGEREF _Toc231380087 \h </w:instrText>
            </w:r>
            <w:r>
              <w:rPr>
                <w:noProof/>
                <w:webHidden/>
              </w:rPr>
            </w:r>
            <w:r>
              <w:rPr>
                <w:noProof/>
                <w:webHidden/>
              </w:rPr>
              <w:fldChar w:fldCharType="separate"/>
            </w:r>
            <w:r>
              <w:rPr>
                <w:noProof/>
                <w:webHidden/>
              </w:rPr>
              <w:t>9</w:t>
            </w:r>
            <w:r>
              <w:rPr>
                <w:noProof/>
                <w:webHidden/>
              </w:rPr>
              <w:fldChar w:fldCharType="end"/>
            </w:r>
          </w:hyperlink>
        </w:p>
        <w:p w14:paraId="751B4064" w14:textId="4E216FF5" w:rsidR="006B5E1B" w:rsidRDefault="006B5E1B">
          <w:pPr>
            <w:pStyle w:val="TOC1"/>
            <w:rPr>
              <w:rFonts w:asciiTheme="minorHAnsi" w:eastAsiaTheme="minorEastAsia" w:hAnsiTheme="minorHAnsi" w:cstheme="minorBidi"/>
              <w:kern w:val="2"/>
              <w:lang w:eastAsia="zh-CN"/>
              <w14:ligatures w14:val="standardContextual"/>
            </w:rPr>
          </w:pPr>
          <w:hyperlink w:anchor="_Toc231380088" w:history="1">
            <w:r w:rsidRPr="00FF0586">
              <w:rPr>
                <w:rStyle w:val="Hyperlink"/>
                <w:b/>
                <w:bCs/>
              </w:rPr>
              <w:t>Sustainability Challenges Facing IKEA</w:t>
            </w:r>
            <w:r>
              <w:rPr>
                <w:webHidden/>
              </w:rPr>
              <w:tab/>
            </w:r>
            <w:r>
              <w:rPr>
                <w:webHidden/>
              </w:rPr>
              <w:fldChar w:fldCharType="begin"/>
            </w:r>
            <w:r>
              <w:rPr>
                <w:webHidden/>
              </w:rPr>
              <w:instrText xml:space="preserve"> PAGEREF _Toc231380088 \h </w:instrText>
            </w:r>
            <w:r>
              <w:rPr>
                <w:webHidden/>
              </w:rPr>
            </w:r>
            <w:r>
              <w:rPr>
                <w:webHidden/>
              </w:rPr>
              <w:fldChar w:fldCharType="separate"/>
            </w:r>
            <w:r>
              <w:rPr>
                <w:webHidden/>
              </w:rPr>
              <w:t>10</w:t>
            </w:r>
            <w:r>
              <w:rPr>
                <w:webHidden/>
              </w:rPr>
              <w:fldChar w:fldCharType="end"/>
            </w:r>
          </w:hyperlink>
        </w:p>
        <w:p w14:paraId="31823A95" w14:textId="2FA20891" w:rsidR="006B5E1B" w:rsidRDefault="006B5E1B">
          <w:pPr>
            <w:pStyle w:val="TOC1"/>
            <w:rPr>
              <w:rFonts w:asciiTheme="minorHAnsi" w:eastAsiaTheme="minorEastAsia" w:hAnsiTheme="minorHAnsi" w:cstheme="minorBidi"/>
              <w:kern w:val="2"/>
              <w:lang w:eastAsia="zh-CN"/>
              <w14:ligatures w14:val="standardContextual"/>
            </w:rPr>
          </w:pPr>
          <w:hyperlink w:anchor="_Toc231380089" w:history="1">
            <w:r w:rsidRPr="00FF0586">
              <w:rPr>
                <w:rStyle w:val="Hyperlink"/>
                <w:b/>
                <w:bCs/>
              </w:rPr>
              <w:t>The Business Case for Sustainability</w:t>
            </w:r>
            <w:r>
              <w:rPr>
                <w:webHidden/>
              </w:rPr>
              <w:tab/>
            </w:r>
            <w:r>
              <w:rPr>
                <w:webHidden/>
              </w:rPr>
              <w:fldChar w:fldCharType="begin"/>
            </w:r>
            <w:r>
              <w:rPr>
                <w:webHidden/>
              </w:rPr>
              <w:instrText xml:space="preserve"> PAGEREF _Toc231380089 \h </w:instrText>
            </w:r>
            <w:r>
              <w:rPr>
                <w:webHidden/>
              </w:rPr>
            </w:r>
            <w:r>
              <w:rPr>
                <w:webHidden/>
              </w:rPr>
              <w:fldChar w:fldCharType="separate"/>
            </w:r>
            <w:r>
              <w:rPr>
                <w:webHidden/>
              </w:rPr>
              <w:t>12</w:t>
            </w:r>
            <w:r>
              <w:rPr>
                <w:webHidden/>
              </w:rPr>
              <w:fldChar w:fldCharType="end"/>
            </w:r>
          </w:hyperlink>
        </w:p>
        <w:p w14:paraId="6C0E4283" w14:textId="1205DC76" w:rsidR="006B5E1B" w:rsidRDefault="006B5E1B">
          <w:pPr>
            <w:pStyle w:val="TOC1"/>
            <w:rPr>
              <w:rFonts w:asciiTheme="minorHAnsi" w:eastAsiaTheme="minorEastAsia" w:hAnsiTheme="minorHAnsi" w:cstheme="minorBidi"/>
              <w:kern w:val="2"/>
              <w:lang w:eastAsia="zh-CN"/>
              <w14:ligatures w14:val="standardContextual"/>
            </w:rPr>
          </w:pPr>
          <w:hyperlink w:anchor="_Toc231380090" w:history="1">
            <w:r w:rsidRPr="00FF0586">
              <w:rPr>
                <w:rStyle w:val="Hyperlink"/>
                <w:b/>
                <w:bCs/>
              </w:rPr>
              <w:t>Strategic Vision and Recommendations</w:t>
            </w:r>
            <w:r>
              <w:rPr>
                <w:webHidden/>
              </w:rPr>
              <w:tab/>
            </w:r>
            <w:r>
              <w:rPr>
                <w:webHidden/>
              </w:rPr>
              <w:fldChar w:fldCharType="begin"/>
            </w:r>
            <w:r>
              <w:rPr>
                <w:webHidden/>
              </w:rPr>
              <w:instrText xml:space="preserve"> PAGEREF _Toc231380090 \h </w:instrText>
            </w:r>
            <w:r>
              <w:rPr>
                <w:webHidden/>
              </w:rPr>
            </w:r>
            <w:r>
              <w:rPr>
                <w:webHidden/>
              </w:rPr>
              <w:fldChar w:fldCharType="separate"/>
            </w:r>
            <w:r>
              <w:rPr>
                <w:webHidden/>
              </w:rPr>
              <w:t>13</w:t>
            </w:r>
            <w:r>
              <w:rPr>
                <w:webHidden/>
              </w:rPr>
              <w:fldChar w:fldCharType="end"/>
            </w:r>
          </w:hyperlink>
        </w:p>
        <w:p w14:paraId="7A1A9A5E" w14:textId="18CEB3F3" w:rsidR="006B5E1B" w:rsidRDefault="006B5E1B">
          <w:pPr>
            <w:pStyle w:val="TOC2"/>
            <w:tabs>
              <w:tab w:val="right" w:leader="dot" w:pos="9016"/>
            </w:tabs>
            <w:rPr>
              <w:rFonts w:eastAsiaTheme="minorEastAsia"/>
              <w:noProof/>
              <w:lang w:eastAsia="zh-CN"/>
            </w:rPr>
          </w:pPr>
          <w:hyperlink w:anchor="_Toc231380091" w:history="1">
            <w:r w:rsidRPr="00FF0586">
              <w:rPr>
                <w:rStyle w:val="Hyperlink"/>
                <w:rFonts w:ascii="Arial" w:eastAsia="Times New Roman" w:hAnsi="Arial" w:cs="Arial"/>
                <w:b/>
                <w:bCs/>
                <w:noProof/>
                <w:kern w:val="0"/>
                <w:lang w:eastAsia="en-GB"/>
                <w14:ligatures w14:val="none"/>
              </w:rPr>
              <w:t>Strategic Vision – A call for sustainability action</w:t>
            </w:r>
            <w:r>
              <w:rPr>
                <w:noProof/>
                <w:webHidden/>
              </w:rPr>
              <w:tab/>
            </w:r>
            <w:r>
              <w:rPr>
                <w:noProof/>
                <w:webHidden/>
              </w:rPr>
              <w:fldChar w:fldCharType="begin"/>
            </w:r>
            <w:r>
              <w:rPr>
                <w:noProof/>
                <w:webHidden/>
              </w:rPr>
              <w:instrText xml:space="preserve"> PAGEREF _Toc231380091 \h </w:instrText>
            </w:r>
            <w:r>
              <w:rPr>
                <w:noProof/>
                <w:webHidden/>
              </w:rPr>
            </w:r>
            <w:r>
              <w:rPr>
                <w:noProof/>
                <w:webHidden/>
              </w:rPr>
              <w:fldChar w:fldCharType="separate"/>
            </w:r>
            <w:r>
              <w:rPr>
                <w:noProof/>
                <w:webHidden/>
              </w:rPr>
              <w:t>13</w:t>
            </w:r>
            <w:r>
              <w:rPr>
                <w:noProof/>
                <w:webHidden/>
              </w:rPr>
              <w:fldChar w:fldCharType="end"/>
            </w:r>
          </w:hyperlink>
        </w:p>
        <w:p w14:paraId="69A0EEDF" w14:textId="69B4FB48" w:rsidR="006B5E1B" w:rsidRDefault="006B5E1B">
          <w:pPr>
            <w:pStyle w:val="TOC1"/>
            <w:rPr>
              <w:rFonts w:asciiTheme="minorHAnsi" w:eastAsiaTheme="minorEastAsia" w:hAnsiTheme="minorHAnsi" w:cstheme="minorBidi"/>
              <w:kern w:val="2"/>
              <w:lang w:eastAsia="zh-CN"/>
              <w14:ligatures w14:val="standardContextual"/>
            </w:rPr>
          </w:pPr>
          <w:hyperlink w:anchor="_Toc231380092" w:history="1">
            <w:r w:rsidRPr="00FF0586">
              <w:rPr>
                <w:rStyle w:val="Hyperlink"/>
                <w:b/>
                <w:bCs/>
              </w:rPr>
              <w:t>Stakeholder Considerations</w:t>
            </w:r>
            <w:r>
              <w:rPr>
                <w:webHidden/>
              </w:rPr>
              <w:tab/>
            </w:r>
            <w:r>
              <w:rPr>
                <w:webHidden/>
              </w:rPr>
              <w:fldChar w:fldCharType="begin"/>
            </w:r>
            <w:r>
              <w:rPr>
                <w:webHidden/>
              </w:rPr>
              <w:instrText xml:space="preserve"> PAGEREF _Toc231380092 \h </w:instrText>
            </w:r>
            <w:r>
              <w:rPr>
                <w:webHidden/>
              </w:rPr>
            </w:r>
            <w:r>
              <w:rPr>
                <w:webHidden/>
              </w:rPr>
              <w:fldChar w:fldCharType="separate"/>
            </w:r>
            <w:r>
              <w:rPr>
                <w:webHidden/>
              </w:rPr>
              <w:t>17</w:t>
            </w:r>
            <w:r>
              <w:rPr>
                <w:webHidden/>
              </w:rPr>
              <w:fldChar w:fldCharType="end"/>
            </w:r>
          </w:hyperlink>
        </w:p>
        <w:p w14:paraId="5DF8E269" w14:textId="58183EA6" w:rsidR="006B5E1B" w:rsidRDefault="006B5E1B">
          <w:pPr>
            <w:pStyle w:val="TOC1"/>
            <w:rPr>
              <w:rFonts w:asciiTheme="minorHAnsi" w:eastAsiaTheme="minorEastAsia" w:hAnsiTheme="minorHAnsi" w:cstheme="minorBidi"/>
              <w:kern w:val="2"/>
              <w:lang w:eastAsia="zh-CN"/>
              <w14:ligatures w14:val="standardContextual"/>
            </w:rPr>
          </w:pPr>
          <w:hyperlink w:anchor="_Toc231380093" w:history="1">
            <w:r w:rsidRPr="00FF0586">
              <w:rPr>
                <w:rStyle w:val="Hyperlink"/>
                <w:b/>
                <w:bCs/>
              </w:rPr>
              <w:t>Conclusion</w:t>
            </w:r>
            <w:r>
              <w:rPr>
                <w:webHidden/>
              </w:rPr>
              <w:tab/>
            </w:r>
            <w:r>
              <w:rPr>
                <w:webHidden/>
              </w:rPr>
              <w:fldChar w:fldCharType="begin"/>
            </w:r>
            <w:r>
              <w:rPr>
                <w:webHidden/>
              </w:rPr>
              <w:instrText xml:space="preserve"> PAGEREF _Toc231380093 \h </w:instrText>
            </w:r>
            <w:r>
              <w:rPr>
                <w:webHidden/>
              </w:rPr>
            </w:r>
            <w:r>
              <w:rPr>
                <w:webHidden/>
              </w:rPr>
              <w:fldChar w:fldCharType="separate"/>
            </w:r>
            <w:r>
              <w:rPr>
                <w:webHidden/>
              </w:rPr>
              <w:t>18</w:t>
            </w:r>
            <w:r>
              <w:rPr>
                <w:webHidden/>
              </w:rPr>
              <w:fldChar w:fldCharType="end"/>
            </w:r>
          </w:hyperlink>
        </w:p>
        <w:p w14:paraId="3012CA96" w14:textId="67FD3166" w:rsidR="006B5E1B" w:rsidRDefault="006B5E1B">
          <w:pPr>
            <w:pStyle w:val="TOC1"/>
            <w:rPr>
              <w:rFonts w:asciiTheme="minorHAnsi" w:eastAsiaTheme="minorEastAsia" w:hAnsiTheme="minorHAnsi" w:cstheme="minorBidi"/>
              <w:kern w:val="2"/>
              <w:lang w:eastAsia="zh-CN"/>
              <w14:ligatures w14:val="standardContextual"/>
            </w:rPr>
          </w:pPr>
          <w:hyperlink w:anchor="_Toc231380094" w:history="1">
            <w:r w:rsidRPr="00FF0586">
              <w:rPr>
                <w:rStyle w:val="Hyperlink"/>
                <w:b/>
                <w:bCs/>
              </w:rPr>
              <w:t>References</w:t>
            </w:r>
            <w:r>
              <w:rPr>
                <w:webHidden/>
              </w:rPr>
              <w:tab/>
            </w:r>
            <w:r>
              <w:rPr>
                <w:webHidden/>
              </w:rPr>
              <w:fldChar w:fldCharType="begin"/>
            </w:r>
            <w:r>
              <w:rPr>
                <w:webHidden/>
              </w:rPr>
              <w:instrText xml:space="preserve"> PAGEREF _Toc231380094 \h </w:instrText>
            </w:r>
            <w:r>
              <w:rPr>
                <w:webHidden/>
              </w:rPr>
            </w:r>
            <w:r>
              <w:rPr>
                <w:webHidden/>
              </w:rPr>
              <w:fldChar w:fldCharType="separate"/>
            </w:r>
            <w:r>
              <w:rPr>
                <w:webHidden/>
              </w:rPr>
              <w:t>19</w:t>
            </w:r>
            <w:r>
              <w:rPr>
                <w:webHidden/>
              </w:rPr>
              <w:fldChar w:fldCharType="end"/>
            </w:r>
          </w:hyperlink>
        </w:p>
        <w:p w14:paraId="3BB72F24" w14:textId="5BF29A4F" w:rsidR="00DD4A6C" w:rsidRDefault="00DD4A6C">
          <w:r w:rsidRPr="003345BA">
            <w:rPr>
              <w:noProof/>
            </w:rPr>
            <w:fldChar w:fldCharType="end"/>
          </w:r>
        </w:p>
      </w:sdtContent>
    </w:sdt>
    <w:p w14:paraId="648F96F3" w14:textId="77777777" w:rsidR="00DD4A6C" w:rsidRDefault="00DD4A6C"/>
    <w:p w14:paraId="30835CCA" w14:textId="77777777" w:rsidR="00DD4A6C" w:rsidRDefault="00DD4A6C"/>
    <w:p w14:paraId="4298C9F8" w14:textId="77777777" w:rsidR="00DD4A6C" w:rsidRDefault="00DD4A6C"/>
    <w:p w14:paraId="489983E3" w14:textId="77777777" w:rsidR="00D06D8F" w:rsidRDefault="00D06D8F"/>
    <w:p w14:paraId="05D3062C" w14:textId="77777777" w:rsidR="00D06D8F" w:rsidRDefault="00D06D8F"/>
    <w:p w14:paraId="26915358" w14:textId="77777777" w:rsidR="00D06D8F" w:rsidRDefault="00D06D8F"/>
    <w:p w14:paraId="4B871E5A" w14:textId="77777777" w:rsidR="00D06D8F" w:rsidRDefault="00D06D8F" w:rsidP="00AF517A">
      <w:pPr>
        <w:spacing w:line="360" w:lineRule="auto"/>
        <w:jc w:val="both"/>
      </w:pPr>
    </w:p>
    <w:p w14:paraId="55F58648" w14:textId="032150B1" w:rsidR="00DD4A6C" w:rsidRPr="00AF50F6" w:rsidRDefault="00DD4A6C" w:rsidP="00AF517A">
      <w:pPr>
        <w:pStyle w:val="Heading1"/>
        <w:spacing w:line="360" w:lineRule="auto"/>
        <w:jc w:val="both"/>
        <w:rPr>
          <w:rFonts w:ascii="Arial" w:hAnsi="Arial" w:cs="Arial"/>
          <w:b/>
          <w:bCs/>
          <w:color w:val="000000" w:themeColor="text1"/>
          <w:sz w:val="28"/>
          <w:szCs w:val="28"/>
        </w:rPr>
      </w:pPr>
      <w:bookmarkStart w:id="0" w:name="_Toc231380074"/>
      <w:r w:rsidRPr="00AF50F6">
        <w:rPr>
          <w:rFonts w:ascii="Arial" w:hAnsi="Arial" w:cs="Arial"/>
          <w:b/>
          <w:bCs/>
          <w:color w:val="000000" w:themeColor="text1"/>
          <w:sz w:val="28"/>
          <w:szCs w:val="28"/>
        </w:rPr>
        <w:lastRenderedPageBreak/>
        <w:t>Introduction</w:t>
      </w:r>
      <w:bookmarkEnd w:id="0"/>
      <w:r w:rsidRPr="00AF50F6">
        <w:rPr>
          <w:rFonts w:ascii="Arial" w:hAnsi="Arial" w:cs="Arial"/>
          <w:b/>
          <w:bCs/>
          <w:color w:val="000000" w:themeColor="text1"/>
          <w:sz w:val="28"/>
          <w:szCs w:val="28"/>
        </w:rPr>
        <w:t xml:space="preserve"> </w:t>
      </w:r>
    </w:p>
    <w:p w14:paraId="5B006DC2" w14:textId="61722105" w:rsidR="00DD4A6C" w:rsidRPr="000D1A2C" w:rsidRDefault="00DD4A6C" w:rsidP="00AF517A">
      <w:pPr>
        <w:pStyle w:val="NormalWeb"/>
        <w:spacing w:line="360" w:lineRule="auto"/>
        <w:jc w:val="both"/>
        <w:rPr>
          <w:rFonts w:ascii="Arial" w:hAnsi="Arial" w:cs="Arial"/>
        </w:rPr>
      </w:pPr>
      <w:r w:rsidRPr="000D1A2C">
        <w:rPr>
          <w:rFonts w:ascii="Arial" w:hAnsi="Arial" w:cs="Arial"/>
        </w:rPr>
        <w:t xml:space="preserve">This report critically evaluates the sustainability strategy of </w:t>
      </w:r>
      <w:r w:rsidRPr="000D1A2C">
        <w:rPr>
          <w:rStyle w:val="whitespace-normal"/>
          <w:rFonts w:ascii="Arial" w:eastAsiaTheme="majorEastAsia" w:hAnsi="Arial" w:cs="Arial"/>
        </w:rPr>
        <w:t>IKEA</w:t>
      </w:r>
      <w:r w:rsidRPr="000D1A2C">
        <w:rPr>
          <w:rFonts w:ascii="Arial" w:hAnsi="Arial" w:cs="Arial"/>
        </w:rPr>
        <w:t xml:space="preserve"> and proposes a strategic vision to enhance its contribution to global sustainability. </w:t>
      </w:r>
      <w:r w:rsidR="000D1A2C" w:rsidRPr="000D1A2C">
        <w:rPr>
          <w:rFonts w:ascii="Arial" w:hAnsi="Arial" w:cs="Arial"/>
        </w:rPr>
        <w:t>Sustainability is defined as meeting present needs without compromising the ability of future generations, highlighting its intergenerational importance</w:t>
      </w:r>
      <w:r w:rsidR="00B73A15">
        <w:rPr>
          <w:rFonts w:ascii="Arial" w:hAnsi="Arial" w:cs="Arial"/>
        </w:rPr>
        <w:t xml:space="preserve"> </w:t>
      </w:r>
      <w:r w:rsidR="00B73A15">
        <w:rPr>
          <w:rFonts w:ascii="Arial" w:hAnsi="Arial" w:cs="Arial"/>
        </w:rPr>
        <w:fldChar w:fldCharType="begin"/>
      </w:r>
      <w:r w:rsidR="00B73A15">
        <w:rPr>
          <w:rFonts w:ascii="Arial" w:hAnsi="Arial" w:cs="Arial"/>
        </w:rPr>
        <w:instrText xml:space="preserve"> ADDIN ZOTERO_ITEM CSL_CITATION {"citationID":"n1KUV6j6","properties":{"formattedCitation":"(Ukko {\\i{}et al.}, 2019)","plainCitation":"(Ukko et al., 2019)","noteIndex":0},"citationItems":[{"id":298,"uris":["http://zotero.org/users/local/bh3OqUSh/items/B9SPYZQW"],"itemData":{"id":298,"type":"article-journal","abstract":"This study deals with sustainable development from a triple bottom-line perspective, including the economic, social, and environmental dimensions. Specifically, this study investigates whether various sustainability factors are related to small businesses' intentions to exploit open sustainability, which is described as meeting sustainability challenges through the exploitation of internal and external initiatives. Empirical data were collected from 139 companies. The results show that some factors from all three sustainability dimensions affect companies' intentions to exploit open sustainability, while company size and operations type do not influence the use of open sustainability. As an emerging concept, the definition of open sustainability is presented.","container-title":"Sustainable Development","DOI":"10.1002/sd.1904","ISSN":"1099-1719","issue":"3","language":"en","note":"_eprint: https://onlinelibrary.wiley.com/doi/pdf/10.1002/sd.1904","page":"321-336","source":"Wiley Online Library","title":"Sustainable development: Implications and definition for open sustainability","title-short":"Sustainable development","volume":"27","author":[{"family":"Ukko","given":"Juhani"},{"family":"Saunila","given":"Minna"},{"family":"Rantala","given":"Tero"},{"family":"Havukainen","given":"Jouni"}],"issued":{"date-parts":[["2019"]]}}}],"schema":"https://github.com/citation-style-language/schema/raw/master/csl-citation.json"} </w:instrText>
      </w:r>
      <w:r w:rsidR="00B73A15">
        <w:rPr>
          <w:rFonts w:ascii="Arial" w:hAnsi="Arial" w:cs="Arial"/>
        </w:rPr>
        <w:fldChar w:fldCharType="separate"/>
      </w:r>
      <w:r w:rsidR="00B73A15" w:rsidRPr="00B73A15">
        <w:rPr>
          <w:rFonts w:ascii="Arial" w:hAnsi="Arial" w:cs="Arial"/>
        </w:rPr>
        <w:t xml:space="preserve">(Ukko </w:t>
      </w:r>
      <w:r w:rsidR="00B73A15" w:rsidRPr="00B73A15">
        <w:rPr>
          <w:rFonts w:ascii="Arial" w:hAnsi="Arial" w:cs="Arial"/>
          <w:i/>
          <w:iCs/>
        </w:rPr>
        <w:t>et al.</w:t>
      </w:r>
      <w:r w:rsidR="00B73A15" w:rsidRPr="00B73A15">
        <w:rPr>
          <w:rFonts w:ascii="Arial" w:hAnsi="Arial" w:cs="Arial"/>
        </w:rPr>
        <w:t>, 2019)</w:t>
      </w:r>
      <w:r w:rsidR="00B73A15">
        <w:rPr>
          <w:rFonts w:ascii="Arial" w:hAnsi="Arial" w:cs="Arial"/>
        </w:rPr>
        <w:fldChar w:fldCharType="end"/>
      </w:r>
      <w:r w:rsidR="000D1A2C" w:rsidRPr="000D1A2C">
        <w:rPr>
          <w:rFonts w:ascii="Arial" w:hAnsi="Arial" w:cs="Arial"/>
        </w:rPr>
        <w:t xml:space="preserve">. </w:t>
      </w:r>
      <w:r w:rsidRPr="000D1A2C">
        <w:rPr>
          <w:rFonts w:ascii="Arial" w:hAnsi="Arial" w:cs="Arial"/>
        </w:rPr>
        <w:t>Sustainability</w:t>
      </w:r>
      <w:r w:rsidR="008D07F8" w:rsidRPr="008D07F8">
        <w:rPr>
          <w:rFonts w:ascii="Arial" w:hAnsi="Arial" w:cs="Arial"/>
        </w:rPr>
        <w:t xml:space="preserve">, </w:t>
      </w:r>
      <w:r w:rsidRPr="000D1A2C">
        <w:rPr>
          <w:rFonts w:ascii="Arial" w:hAnsi="Arial" w:cs="Arial"/>
        </w:rPr>
        <w:t xml:space="preserve">a central concern for organisations due to increasing environmental degradation, climate change, and resource scarcity, </w:t>
      </w:r>
      <w:r w:rsidR="008D07F8">
        <w:rPr>
          <w:rFonts w:ascii="Arial" w:hAnsi="Arial" w:cs="Arial"/>
        </w:rPr>
        <w:t>has</w:t>
      </w:r>
      <w:r w:rsidRPr="008D07F8">
        <w:rPr>
          <w:rFonts w:ascii="Arial" w:hAnsi="Arial" w:cs="Arial"/>
        </w:rPr>
        <w:t xml:space="preserve"> </w:t>
      </w:r>
      <w:r w:rsidRPr="000D1A2C">
        <w:rPr>
          <w:rFonts w:ascii="Arial" w:hAnsi="Arial" w:cs="Arial"/>
        </w:rPr>
        <w:t>intensified expectations for businesses to operate responsibly</w:t>
      </w:r>
      <w:r w:rsidR="00BB7C75">
        <w:rPr>
          <w:rFonts w:ascii="Arial" w:hAnsi="Arial" w:cs="Arial"/>
        </w:rPr>
        <w:t xml:space="preserve"> </w:t>
      </w:r>
      <w:r w:rsidR="00BB7C75">
        <w:rPr>
          <w:rFonts w:ascii="Arial" w:hAnsi="Arial" w:cs="Arial"/>
        </w:rPr>
        <w:fldChar w:fldCharType="begin"/>
      </w:r>
      <w:r w:rsidR="00BB7C75">
        <w:rPr>
          <w:rFonts w:ascii="Arial" w:hAnsi="Arial" w:cs="Arial"/>
        </w:rPr>
        <w:instrText xml:space="preserve"> ADDIN ZOTERO_ITEM CSL_CITATION {"citationID":"GLj6zHmT","properties":{"formattedCitation":"(Ben-Eli, 2018)","plainCitation":"(Ben-Eli, 2018)","noteIndex":0},"citationItems":[{"id":301,"uris":["http://zotero.org/users/local/bh3OqUSh/items/F8XU5MLU"],"itemData":{"id":301,"type":"article-journal","abstract":"A systems perspective is used to discuss the concept of sustainability. From this perspective, it is argued, sustainability can be regarded as a system state that is mediated by specific structures. This is fundamentally different from regarding sustainability merely as a normative goal, as it is presently regarded by most. Insight into the kinds of structures which mediate a system’s state open the door to proactive design of new structures and mechanisms, which are necessary for yielding effective change: in this case, promoting the sustainability agenda. The kind of change required to transform the prevailing trajectory of human affairs is presented as a second order change: a change that requires a major shift, and a complete transformation of the system itself, not only in a few aspects of its behavior. A new definition of sustainability is offered, anchored in the interaction of a population and the carrying capacity of its environment. From this definition, five core sustainability principles are derived, along with their respective policy and operational implications. Together, these principles prescribe the conditions that must be met to attain sustainability as an enduring state. The principles themselves form an integrated, systemic set, which requires them to be acted on simultaneously. A piecemeal approach—focusing on one aspect while neglecting others—is not likely to yield effective results for the whole.","container-title":"Sustainability Science","DOI":"10.1007/s11625-018-0564-3","ISSN":"18624065","issue":"5","language":"English","license":"Sustainability Science is a copyright of Springer, (2018). All Rights Reserved.","note":"number-of-pages: 1337-1343\npublisher-place: Dordrecht, Netherlands\npublisher: Springer Nature B.V.","page":"1337-1343","source":"ProQuest","title":"Sustainability: definition and five core principles, a systems perspective","title-short":"Sustainability","volume":"13","author":[{"family":"Ben-Eli","given":"Michael U."}],"issued":{"date-parts":[["2018",9]]}}}],"schema":"https://github.com/citation-style-language/schema/raw/master/csl-citation.json"} </w:instrText>
      </w:r>
      <w:r w:rsidR="00BB7C75">
        <w:rPr>
          <w:rFonts w:ascii="Arial" w:hAnsi="Arial" w:cs="Arial"/>
        </w:rPr>
        <w:fldChar w:fldCharType="separate"/>
      </w:r>
      <w:r w:rsidR="00BB7C75" w:rsidRPr="00BB7C75">
        <w:rPr>
          <w:rFonts w:ascii="Arial" w:hAnsi="Arial" w:cs="Arial"/>
        </w:rPr>
        <w:t>(Ben-Eli, 2018)</w:t>
      </w:r>
      <w:r w:rsidR="00BB7C75">
        <w:rPr>
          <w:rFonts w:ascii="Arial" w:hAnsi="Arial" w:cs="Arial"/>
        </w:rPr>
        <w:fldChar w:fldCharType="end"/>
      </w:r>
      <w:r w:rsidRPr="000D1A2C">
        <w:rPr>
          <w:rFonts w:ascii="Arial" w:hAnsi="Arial" w:cs="Arial"/>
        </w:rPr>
        <w:t xml:space="preserve">. </w:t>
      </w:r>
      <w:r w:rsidR="00325DA7" w:rsidRPr="000D1A2C">
        <w:rPr>
          <w:rFonts w:ascii="Arial" w:hAnsi="Arial" w:cs="Arial"/>
        </w:rPr>
        <w:t>O</w:t>
      </w:r>
      <w:r w:rsidRPr="000D1A2C">
        <w:rPr>
          <w:rFonts w:ascii="Arial" w:hAnsi="Arial" w:cs="Arial"/>
        </w:rPr>
        <w:t>rganisations are no longer judged solely on financial performance but also on their environmental and social impact</w:t>
      </w:r>
      <w:r w:rsidR="00F85D6F">
        <w:rPr>
          <w:rFonts w:ascii="Arial" w:hAnsi="Arial" w:cs="Arial"/>
        </w:rPr>
        <w:t xml:space="preserve"> </w:t>
      </w:r>
      <w:r w:rsidR="005E1ADA">
        <w:rPr>
          <w:rFonts w:ascii="Arial" w:hAnsi="Arial" w:cs="Arial"/>
        </w:rPr>
        <w:fldChar w:fldCharType="begin"/>
      </w:r>
      <w:r w:rsidR="005E1ADA">
        <w:rPr>
          <w:rFonts w:ascii="Arial" w:hAnsi="Arial" w:cs="Arial"/>
        </w:rPr>
        <w:instrText xml:space="preserve"> ADDIN ZOTERO_ITEM CSL_CITATION {"citationID":"ydIOya7y","properties":{"formattedCitation":"(Santoso, 2024)","plainCitation":"(Santoso, 2024)","noteIndex":0},"citationItems":[{"id":487,"uris":["http://zotero.org/users/local/bh3OqUSh/items/E3SN3526"],"itemData":{"id":487,"type":"article-journal","abstract":"Sustainability, along with the increasing importance of the Sustainable Development Goals (SDGs), is collectively a booming phenomenon in good economic development. SDGs describe a universal agenda that applies and must be implemented by all countries, and Indonesia is adopting and implementing the SDG concept to achieve it by 2030. To implement SDGs in Indonesia, there are three challenges that must be faced, namely, communication strategies to the community, financing for implementing SDG programs, and strategies for preparing regions to adopt SDGs in each city. One of the efforts currently being intensified by consumers in Indonesia is consumer concern for the sustainability of the environment where they live. To date, there is still little empirical research in Indonesia about how far consumers care about the environment and their perceptions of green products. By knowing their perceptions and behaviours related to green products, companies and governments will be able to formulate appropriate strategies. The purpose of this research is to determine the impact of social sustainability and environmental sustainability on brand reputation, brand trust, and ultimately purchase intention. Using survey methods and purposive random sampling techniques to collect respondents, 196 respondents in the Special Region of Yogyakarta Province, Indonesia, were given a questionnaire on the respondents’ opinions of the five construct variables above. After applying the structural equation modelling technique, goodness of fit tests and structural relationship hypothesis tests were carried out. The results show that social sustainability affects brand reputation, but environmental sustainability does not significantly influence brand reputation. Brand Reputation positively and significantly affects Brand Trust, and ultimately, Brand Trust significantly influences Purchase Intention. The implication of this research is the need for companies to be aware of social problems in developing countries and develop strategies that pay more attention to workers, social conditions in society, and decent wages so that consumer attitudes can become more positive towards green products and their support for the SDGs becomes more real.","container-title":"Marketing and Management of Innovations","DOI":"10.21272/mmi.2024.1-17","ISSN":"22276718, 22184511","issue":"1","journalAbbreviation":"MMI","language":"en","page":"229-240","source":"DOI.org (Crossref)","title":"Consumer Behaviour: Impact of Social and Environmental Sustainability","title-short":"Consumer Behaviour","volume":"15","author":[{"family":"Santoso","given":"Singgih"}],"issued":{"date-parts":[["2024"]]}}}],"schema":"https://github.com/citation-style-language/schema/raw/master/csl-citation.json"} </w:instrText>
      </w:r>
      <w:r w:rsidR="005E1ADA">
        <w:rPr>
          <w:rFonts w:ascii="Arial" w:hAnsi="Arial" w:cs="Arial"/>
        </w:rPr>
        <w:fldChar w:fldCharType="separate"/>
      </w:r>
      <w:r w:rsidR="005E1ADA" w:rsidRPr="005E1ADA">
        <w:rPr>
          <w:rFonts w:ascii="Arial" w:hAnsi="Arial" w:cs="Arial"/>
        </w:rPr>
        <w:t>(Santoso, 2024)</w:t>
      </w:r>
      <w:r w:rsidR="005E1ADA">
        <w:rPr>
          <w:rFonts w:ascii="Arial" w:hAnsi="Arial" w:cs="Arial"/>
        </w:rPr>
        <w:fldChar w:fldCharType="end"/>
      </w:r>
      <w:r w:rsidRPr="000D1A2C">
        <w:rPr>
          <w:rFonts w:ascii="Arial" w:hAnsi="Arial" w:cs="Arial"/>
        </w:rPr>
        <w:t>.</w:t>
      </w:r>
    </w:p>
    <w:p w14:paraId="3A7F9773" w14:textId="493F7A67" w:rsidR="00DD4A6C" w:rsidRPr="000D1A2C" w:rsidRDefault="00DD4A6C" w:rsidP="00AF517A">
      <w:pPr>
        <w:pStyle w:val="NormalWeb"/>
        <w:spacing w:line="360" w:lineRule="auto"/>
        <w:jc w:val="both"/>
        <w:rPr>
          <w:rFonts w:ascii="Arial" w:hAnsi="Arial" w:cs="Arial"/>
        </w:rPr>
      </w:pPr>
      <w:r w:rsidRPr="00B63EE4">
        <w:rPr>
          <w:rFonts w:ascii="Arial" w:hAnsi="Arial" w:cs="Arial"/>
        </w:rPr>
        <w:t>IKEA has positioned itself as</w:t>
      </w:r>
      <w:r w:rsidRPr="000D1A2C">
        <w:rPr>
          <w:rFonts w:ascii="Arial" w:hAnsi="Arial" w:cs="Arial"/>
        </w:rPr>
        <w:t xml:space="preserve"> a global leader in sustainable retail through its commitment to affordability, resource efficiency, and circular economy principles</w:t>
      </w:r>
      <w:r w:rsidR="005D775F">
        <w:rPr>
          <w:rFonts w:ascii="Arial" w:hAnsi="Arial" w:cs="Arial"/>
        </w:rPr>
        <w:t xml:space="preserve"> </w:t>
      </w:r>
      <w:r w:rsidR="005D775F">
        <w:rPr>
          <w:rFonts w:ascii="Arial" w:hAnsi="Arial" w:cs="Arial"/>
        </w:rPr>
        <w:fldChar w:fldCharType="begin"/>
      </w:r>
      <w:r w:rsidR="005D775F">
        <w:rPr>
          <w:rFonts w:ascii="Arial" w:hAnsi="Arial" w:cs="Arial"/>
        </w:rPr>
        <w:instrText xml:space="preserve"> ADDIN ZOTERO_ITEM CSL_CITATION {"citationID":"QZwm7gYs","properties":{"formattedCitation":"(Walker {\\i{}et al.}, 2022)","plainCitation":"(Walker et al., 2022)","noteIndex":0},"citationItems":[{"id":490,"uris":["http://zotero.org/users/local/bh3OqUSh/items/GL4UWUAK"],"itemData":{"id":490,"type":"article-journal","abstract":"The circular economy (CE) concept has become a major interest for companies, promising new business opportunities and a decrease in environmental impacts. Though research on circular business models has recently increased, few scholars have investigated how companies engaged with CE view the connection between CE and sustainability. To address this gap, this paper uses a semi-quantitative survey and semi-structured interviews conducted with companies based in Italy and the Netherlands. Purposive sampling was employed to target firms associated with national and international CE networks, as these companies already engage with CE practices. The survey was distributed online to over 800 firms, of which 155 provided information on their understanding of the CE concept and its relationship with sustainability. The survey results are complemented through findings from 43 interviews with a subset of the survey respondents. The survey answers show that companies view CE as one of the tools to achieve sustainable development, particularly in the environmental domain, where the focus lies on environmentally friendly resource use. Yet, the respondents are less confident whether CE increases economic and social benefits of firms. Interviews show that a majority of respondents position sustainability as the overarching concept. However, most companies advocate that the private sector should strive for both sustainability and circularity, though the distinction between the two concepts in daily business operations seems synthetic and futile to some. These findings provide an important stepping stone for better understanding how firms could apply CE practices to move towards a more sustainable society.","container-title":"Circular Economy and Sustainability","DOI":"10.1007/s43615-021-00064-7","ISSN":"2730-597X","issue":"2","journalAbbreviation":"Circ Econ Sustain","note":"PMID: 34888562\nPMCID: PMC8170867","page":"731-758","source":"PubMed Central","title":"What Is the Relation between Circular Economy and Sustainability? Answers from Frontrunner Companies Engaged with Circular Economy Practices","title-short":"What Is the Relation between Circular Economy and Sustainability?","volume":"2","author":[{"family":"Walker","given":"Anna M."},{"family":"Opferkuch","given":"Katelin"},{"family":"Roos Lindgreen","given":"Erik"},{"family":"Raggi","given":"Andrea"},{"family":"Simboli","given":"Alberto"},{"family":"Vermeulen","given":"Walter J.V."},{"family":"Caeiro","given":"Sandra"},{"family":"Salomone","given":"Roberta"}],"issued":{"date-parts":[["2022"]]}}}],"schema":"https://github.com/citation-style-language/schema/raw/master/csl-citation.json"} </w:instrText>
      </w:r>
      <w:r w:rsidR="005D775F">
        <w:rPr>
          <w:rFonts w:ascii="Arial" w:hAnsi="Arial" w:cs="Arial"/>
        </w:rPr>
        <w:fldChar w:fldCharType="separate"/>
      </w:r>
      <w:r w:rsidR="005D775F" w:rsidRPr="005D775F">
        <w:rPr>
          <w:rFonts w:ascii="Arial" w:hAnsi="Arial" w:cs="Arial"/>
        </w:rPr>
        <w:t xml:space="preserve">(Walker </w:t>
      </w:r>
      <w:r w:rsidR="005D775F" w:rsidRPr="005D775F">
        <w:rPr>
          <w:rFonts w:ascii="Arial" w:hAnsi="Arial" w:cs="Arial"/>
          <w:i/>
          <w:iCs/>
        </w:rPr>
        <w:t>et al.</w:t>
      </w:r>
      <w:r w:rsidR="005D775F" w:rsidRPr="005D775F">
        <w:rPr>
          <w:rFonts w:ascii="Arial" w:hAnsi="Arial" w:cs="Arial"/>
        </w:rPr>
        <w:t>, 2022)</w:t>
      </w:r>
      <w:r w:rsidR="005D775F">
        <w:rPr>
          <w:rFonts w:ascii="Arial" w:hAnsi="Arial" w:cs="Arial"/>
        </w:rPr>
        <w:fldChar w:fldCharType="end"/>
      </w:r>
      <w:r w:rsidRPr="000D1A2C">
        <w:rPr>
          <w:rFonts w:ascii="Arial" w:hAnsi="Arial" w:cs="Arial"/>
        </w:rPr>
        <w:t xml:space="preserve">. </w:t>
      </w:r>
      <w:r w:rsidR="00B44660">
        <w:rPr>
          <w:rFonts w:ascii="Arial" w:hAnsi="Arial" w:cs="Arial"/>
        </w:rPr>
        <w:t xml:space="preserve">The </w:t>
      </w:r>
      <w:r w:rsidR="00B44660" w:rsidRPr="000D1A2C">
        <w:rPr>
          <w:rFonts w:ascii="Arial" w:hAnsi="Arial" w:cs="Arial"/>
        </w:rPr>
        <w:t>business</w:t>
      </w:r>
      <w:r w:rsidRPr="000D1A2C">
        <w:rPr>
          <w:rFonts w:ascii="Arial" w:hAnsi="Arial" w:cs="Arial"/>
        </w:rPr>
        <w:t xml:space="preserve"> model</w:t>
      </w:r>
      <w:r w:rsidR="00B44660">
        <w:rPr>
          <w:rFonts w:ascii="Arial" w:hAnsi="Arial" w:cs="Arial"/>
        </w:rPr>
        <w:t xml:space="preserve"> is </w:t>
      </w:r>
      <w:r w:rsidRPr="000D1A2C">
        <w:rPr>
          <w:rFonts w:ascii="Arial" w:hAnsi="Arial" w:cs="Arial"/>
        </w:rPr>
        <w:t>based on flat</w:t>
      </w:r>
      <w:r w:rsidR="000323E1">
        <w:rPr>
          <w:rFonts w:ascii="Arial" w:hAnsi="Arial" w:cs="Arial"/>
        </w:rPr>
        <w:t xml:space="preserve"> </w:t>
      </w:r>
      <w:r w:rsidRPr="000D1A2C">
        <w:rPr>
          <w:rFonts w:ascii="Arial" w:hAnsi="Arial" w:cs="Arial"/>
        </w:rPr>
        <w:t>pack furniture</w:t>
      </w:r>
      <w:r w:rsidR="008D07F8">
        <w:rPr>
          <w:rFonts w:ascii="Arial" w:hAnsi="Arial" w:cs="Arial"/>
        </w:rPr>
        <w:t>,</w:t>
      </w:r>
      <w:r w:rsidRPr="000D1A2C">
        <w:rPr>
          <w:rFonts w:ascii="Arial" w:hAnsi="Arial" w:cs="Arial"/>
        </w:rPr>
        <w:t xml:space="preserve"> cost efficienc</w:t>
      </w:r>
      <w:r w:rsidR="00325DA7">
        <w:rPr>
          <w:rFonts w:ascii="Arial" w:hAnsi="Arial" w:cs="Arial"/>
        </w:rPr>
        <w:t xml:space="preserve">y </w:t>
      </w:r>
      <w:r w:rsidR="008D07F8">
        <w:rPr>
          <w:rFonts w:ascii="Arial" w:hAnsi="Arial" w:cs="Arial"/>
        </w:rPr>
        <w:t xml:space="preserve">and </w:t>
      </w:r>
      <w:r w:rsidRPr="000D1A2C">
        <w:rPr>
          <w:rFonts w:ascii="Arial" w:hAnsi="Arial" w:cs="Arial"/>
        </w:rPr>
        <w:t>widespread accessibility while reducing transportation emissions. In recent years,</w:t>
      </w:r>
      <w:r w:rsidRPr="00A91FFA">
        <w:rPr>
          <w:rFonts w:ascii="Arial" w:hAnsi="Arial" w:cs="Arial"/>
          <w:color w:val="FF0000"/>
        </w:rPr>
        <w:t xml:space="preserve"> </w:t>
      </w:r>
      <w:r w:rsidR="00A91FFA" w:rsidRPr="00325DA7">
        <w:rPr>
          <w:rFonts w:ascii="Arial" w:hAnsi="Arial" w:cs="Arial"/>
          <w:color w:val="000000" w:themeColor="text1"/>
        </w:rPr>
        <w:t>IKEA</w:t>
      </w:r>
      <w:r w:rsidR="00A91FFA">
        <w:rPr>
          <w:rFonts w:ascii="Arial" w:hAnsi="Arial" w:cs="Arial"/>
        </w:rPr>
        <w:t xml:space="preserve"> </w:t>
      </w:r>
      <w:r w:rsidRPr="000D1A2C">
        <w:rPr>
          <w:rFonts w:ascii="Arial" w:hAnsi="Arial" w:cs="Arial"/>
        </w:rPr>
        <w:t>has introduced</w:t>
      </w:r>
      <w:r w:rsidR="00325DA7">
        <w:rPr>
          <w:rFonts w:ascii="Arial" w:hAnsi="Arial" w:cs="Arial"/>
        </w:rPr>
        <w:t xml:space="preserve"> </w:t>
      </w:r>
      <w:r w:rsidRPr="000D1A2C">
        <w:rPr>
          <w:rFonts w:ascii="Arial" w:hAnsi="Arial" w:cs="Arial"/>
        </w:rPr>
        <w:t xml:space="preserve">sustainability initiatives, including renewable energy investments, sustainable material sourcing, and product take-back schemes. These initiatives align with the principle of the circular economy, as promoted by </w:t>
      </w:r>
      <w:r w:rsidRPr="000D1A2C">
        <w:rPr>
          <w:rStyle w:val="whitespace-normal"/>
          <w:rFonts w:ascii="Arial" w:eastAsiaTheme="majorEastAsia" w:hAnsi="Arial" w:cs="Arial"/>
        </w:rPr>
        <w:t>Ellen MacArthur</w:t>
      </w:r>
      <w:r w:rsidRPr="000D1A2C">
        <w:rPr>
          <w:rFonts w:ascii="Arial" w:hAnsi="Arial" w:cs="Arial"/>
        </w:rPr>
        <w:t>, which emphasis</w:t>
      </w:r>
      <w:r w:rsidR="002C58C9">
        <w:rPr>
          <w:rFonts w:ascii="Arial" w:hAnsi="Arial" w:cs="Arial"/>
        </w:rPr>
        <w:t>e</w:t>
      </w:r>
      <w:r w:rsidRPr="000D1A2C">
        <w:rPr>
          <w:rFonts w:ascii="Arial" w:hAnsi="Arial" w:cs="Arial"/>
        </w:rPr>
        <w:t xml:space="preserve"> the need to minimise waste and extend product lifecycles</w:t>
      </w:r>
      <w:r w:rsidR="000323E1">
        <w:rPr>
          <w:rFonts w:ascii="Arial" w:hAnsi="Arial" w:cs="Arial"/>
        </w:rPr>
        <w:t xml:space="preserve"> </w:t>
      </w:r>
      <w:r w:rsidR="000323E1">
        <w:rPr>
          <w:rFonts w:ascii="Arial" w:hAnsi="Arial" w:cs="Arial"/>
        </w:rPr>
        <w:fldChar w:fldCharType="begin"/>
      </w:r>
      <w:r w:rsidR="00BE423B">
        <w:rPr>
          <w:rFonts w:ascii="Arial" w:hAnsi="Arial" w:cs="Arial"/>
        </w:rPr>
        <w:instrText xml:space="preserve"> ADDIN ZOTERO_ITEM CSL_CITATION {"citationID":"LnZSGIJy","properties":{"formattedCitation":"(Lehner {\\i{}et al.}, 2020a)","plainCitation":"(Lehner et al., 2020a)","noteIndex":0},"citationItems":[{"id":303,"uris":["http://zotero.org/users/local/bh3OqUSh/items/DAUB4EZW"],"itemData":{"id":303,"type":"article-journal","abstract":"(1) If policy-makers and businesses are to encourage consumers to participate in circular consumption systems, knowledge is needed about what motivates consumers to choose different disposal options. This paper aims to shed light on what motivates consumers to engage in circular home textile disposal practices. (2) Quantitative data was collected through a survey of members of the IKEA Family programme (N = 238), and logistic regressions were carried out to complement the quantitative analysis. Qualitative data was collected in semi-structured interviews with a total of 24 Swedish consumers. (3) Our findings show that donating and discarding are the most common options for handling home textiles, followed by reusing/storing, repairing, and reselling. Regression results indicate that environmental concerns, convenience, and economic reasons are the dominant motivations in choosing a disposal option. Prosocial behaviour and normative issues play a lesser role. (4) We recommend that policy-makers and businesses work to increase convenience of consumers’ participation in circular product practices, and continually communicate environmental benefits of circular disposal options. Businesses and policy-makers aiming to make circular consumption more attractive also need to ensure economic benefits for consumers.","container-title":"Sustainability","DOI":"10.3390/su12125030","issue":"12","language":"English","license":"© 2020. This work is licensed under http://creativecommons.org/licenses/by/3.0/  (the “License”).  Notwithstanding the ProQuest Terms and Conditions, you may use this content in accordance with the terms of the License.","note":"number-of-pages: 5030\npublisher-place: Basel, Switzerland\npublisher: MDPI AG","page":"5030","source":"ProQuest","title":"Circular Economy in Home Textiles: Motivations of IKEA Consumers in Sweden","title-short":"Circular Economy in Home Textiles","volume":"12","author":[{"family":"Lehner","given":"Matthias"},{"family":"Mont","given":"Oksana"},{"family":"Mariani","given":"Giulia"},{"family":"Mundaca","given":"Luis"}],"issued":{"date-parts":[["2020"]]}}}],"schema":"https://github.com/citation-style-language/schema/raw/master/csl-citation.json"} </w:instrText>
      </w:r>
      <w:r w:rsidR="000323E1">
        <w:rPr>
          <w:rFonts w:ascii="Arial" w:hAnsi="Arial" w:cs="Arial"/>
        </w:rPr>
        <w:fldChar w:fldCharType="separate"/>
      </w:r>
      <w:r w:rsidR="00BE423B" w:rsidRPr="00BE423B">
        <w:rPr>
          <w:rFonts w:ascii="Arial" w:hAnsi="Arial" w:cs="Arial"/>
        </w:rPr>
        <w:t xml:space="preserve">(Lehner </w:t>
      </w:r>
      <w:r w:rsidR="00BE423B" w:rsidRPr="00BE423B">
        <w:rPr>
          <w:rFonts w:ascii="Arial" w:hAnsi="Arial" w:cs="Arial"/>
          <w:i/>
          <w:iCs/>
        </w:rPr>
        <w:t>et al.</w:t>
      </w:r>
      <w:r w:rsidR="00BE423B" w:rsidRPr="00BE423B">
        <w:rPr>
          <w:rFonts w:ascii="Arial" w:hAnsi="Arial" w:cs="Arial"/>
        </w:rPr>
        <w:t>, 2020a)</w:t>
      </w:r>
      <w:r w:rsidR="000323E1">
        <w:rPr>
          <w:rFonts w:ascii="Arial" w:hAnsi="Arial" w:cs="Arial"/>
        </w:rPr>
        <w:fldChar w:fldCharType="end"/>
      </w:r>
      <w:r w:rsidRPr="000D1A2C">
        <w:rPr>
          <w:rFonts w:ascii="Arial" w:hAnsi="Arial" w:cs="Arial"/>
        </w:rPr>
        <w:t>.</w:t>
      </w:r>
    </w:p>
    <w:p w14:paraId="4BE1E6CD" w14:textId="1E6F43EC" w:rsidR="00DD4A6C" w:rsidRPr="000D1A2C" w:rsidRDefault="00DD4A6C" w:rsidP="00AF517A">
      <w:pPr>
        <w:pStyle w:val="NormalWeb"/>
        <w:spacing w:line="360" w:lineRule="auto"/>
        <w:jc w:val="both"/>
        <w:rPr>
          <w:rFonts w:ascii="Arial" w:hAnsi="Arial" w:cs="Arial"/>
        </w:rPr>
      </w:pPr>
      <w:r w:rsidRPr="000D1A2C">
        <w:rPr>
          <w:rFonts w:ascii="Arial" w:hAnsi="Arial" w:cs="Arial"/>
        </w:rPr>
        <w:t>However, despite these efforts, critical questions remain regarding the extent to which IKEA’s sustainability strategy addresses the broader challenges associated with high-volume consumption and global supply chain complexity</w:t>
      </w:r>
      <w:r w:rsidR="00F85D6F">
        <w:rPr>
          <w:rFonts w:ascii="Arial" w:hAnsi="Arial" w:cs="Arial"/>
        </w:rPr>
        <w:t xml:space="preserve"> </w:t>
      </w:r>
      <w:r w:rsidR="005D775F">
        <w:rPr>
          <w:rFonts w:ascii="Arial" w:hAnsi="Arial" w:cs="Arial"/>
        </w:rPr>
        <w:fldChar w:fldCharType="begin"/>
      </w:r>
      <w:r w:rsidR="005D775F">
        <w:rPr>
          <w:rFonts w:ascii="Arial" w:hAnsi="Arial" w:cs="Arial"/>
        </w:rPr>
        <w:instrText xml:space="preserve"> ADDIN ZOTERO_ITEM CSL_CITATION {"citationID":"CHhTEbGH","properties":{"formattedCitation":"(Sharma {\\i{}et al.}, 2022)","plainCitation":"(Sharma et al., 2022)","noteIndex":0},"citationItems":[{"id":493,"uris":["http://zotero.org/users/local/bh3OqUSh/items/56I3TE5Y"],"itemData":{"id":493,"type":"article-journal","abstract":"The literature on marketing, operations management, and strategy has investigated the impacts of a firm’s supplier network structure and complexity on its financial, environmental, and innovation performance. However, our understanding of how the global supply chain complexities of a multinational enterprise (MNE) affect its international business performance (IBP) is limited. We draw on both the business network theory and information search literature to propose that the various complexity dimensions (e.g., horizontal, vertical, and spatial) of an MNE’s global supply chain have different influences on its subsequent IBP. We argue – and empirically validate – that collaboration, a network orchestration mechanism, enables an MNE to leverage the benefits of complex relationships. Using a dataset of 185 firms taken from multiple industries over 6 years, we show how such complexities have differential effects. In multiple post hoc analyses, we demonstrate how an MNE’s marketing intensity, the interconnectedness among its supply members, and its top management team (TMT)’s international experience all have unique impacts. This study contributes to the existing literature on global supply chain complexity by demonstrating how it can influence MNEs’ IBP. Moreover, we contribute to the strategic IBP literature by outlining effective global supply chain improvement strategies.","container-title":"Journal of International Business Studies","DOI":"10.1057/s41267-021-00497-0","ISSN":"0047-2506","issue":"5","journalAbbreviation":"J Int Bus Stud","note":"PMID: 35280830\nPMCID: PMC8901100","page":"850-878","source":"PubMed Central","title":"Complexity in a multinational enterprise’s global supply chain and its international business performance: A bane or a boon?","title-short":"Complexity in a multinational enterprise’s global supply chain and its international business performance","volume":"53","author":[{"family":"Sharma","given":"Amalesh"},{"family":"Kumar","given":"V."},{"family":"Borah","given":"Sourav Bikash"},{"family":"Adhikary","given":"Anirban"}],"issued":{"date-parts":[["2022"]]}}}],"schema":"https://github.com/citation-style-language/schema/raw/master/csl-citation.json"} </w:instrText>
      </w:r>
      <w:r w:rsidR="005D775F">
        <w:rPr>
          <w:rFonts w:ascii="Arial" w:hAnsi="Arial" w:cs="Arial"/>
        </w:rPr>
        <w:fldChar w:fldCharType="separate"/>
      </w:r>
      <w:r w:rsidR="005D775F" w:rsidRPr="005D775F">
        <w:rPr>
          <w:rFonts w:ascii="Arial" w:hAnsi="Arial" w:cs="Arial"/>
        </w:rPr>
        <w:t xml:space="preserve">(Sharma </w:t>
      </w:r>
      <w:r w:rsidR="005D775F" w:rsidRPr="005D775F">
        <w:rPr>
          <w:rFonts w:ascii="Arial" w:hAnsi="Arial" w:cs="Arial"/>
          <w:i/>
          <w:iCs/>
        </w:rPr>
        <w:t>et al.</w:t>
      </w:r>
      <w:r w:rsidR="005D775F" w:rsidRPr="005D775F">
        <w:rPr>
          <w:rFonts w:ascii="Arial" w:hAnsi="Arial" w:cs="Arial"/>
        </w:rPr>
        <w:t>, 2022)</w:t>
      </w:r>
      <w:r w:rsidR="005D775F">
        <w:rPr>
          <w:rFonts w:ascii="Arial" w:hAnsi="Arial" w:cs="Arial"/>
        </w:rPr>
        <w:fldChar w:fldCharType="end"/>
      </w:r>
      <w:r w:rsidRPr="000D1A2C">
        <w:rPr>
          <w:rFonts w:ascii="Arial" w:hAnsi="Arial" w:cs="Arial"/>
        </w:rPr>
        <w:t xml:space="preserve">. While the organisation promotes circularity, </w:t>
      </w:r>
      <w:r w:rsidR="00B53EDB">
        <w:rPr>
          <w:rFonts w:ascii="Arial" w:hAnsi="Arial" w:cs="Arial"/>
        </w:rPr>
        <w:t>the</w:t>
      </w:r>
      <w:r w:rsidRPr="000D1A2C">
        <w:rPr>
          <w:rFonts w:ascii="Arial" w:hAnsi="Arial" w:cs="Arial"/>
        </w:rPr>
        <w:t xml:space="preserve"> business model continues to rely heavily on mass production and consumer demand, creating tension between sustainability and growth</w:t>
      </w:r>
      <w:r w:rsidR="00F85D6F">
        <w:rPr>
          <w:rFonts w:ascii="Arial" w:hAnsi="Arial" w:cs="Arial"/>
        </w:rPr>
        <w:t xml:space="preserve"> </w:t>
      </w:r>
      <w:r w:rsidR="00275942">
        <w:rPr>
          <w:rFonts w:ascii="Arial" w:hAnsi="Arial" w:cs="Arial"/>
        </w:rPr>
        <w:fldChar w:fldCharType="begin"/>
      </w:r>
      <w:r w:rsidR="00275942">
        <w:rPr>
          <w:rFonts w:ascii="Arial" w:hAnsi="Arial" w:cs="Arial"/>
        </w:rPr>
        <w:instrText xml:space="preserve"> ADDIN ZOTERO_ITEM CSL_CITATION {"citationID":"RFMhlm2E","properties":{"formattedCitation":"(Nwani {\\i{}et al.}, 2023)","plainCitation":"(Nwani et al., 2023)","noteIndex":0},"citationItems":[{"id":496,"uris":["http://zotero.org/users/local/bh3OqUSh/items/CQGKZ2WX"],"itemData":{"id":496,"type":"article-journal","container-title":"Environment, Development and Sustainability","DOI":"10.1007/s10668-023-03920-8","ISSN":"1573-2975","issue":"1","journalAbbreviation":"Environ Dev Sustain","language":"en","page":"1467-1498","source":"DOI.org (Crossref)","title":"Natural resources, technological innovation, and eco-efficiency: striking a balance between sustainability and growth in Egypt","title-short":"Natural resources, technological innovation, and eco-efficiency","volume":"27","author":[{"family":"Nwani","given":"Chinazaekpere"},{"family":"Ullah","given":"Assad"},{"family":"Ojeyinka","given":"Titus Ayobami"},{"family":"Iorember","given":"Paul Terhemba"},{"family":"Bekun","given":"Festus Victor"}],"issued":{"date-parts":[["2023",9,27]]}}}],"schema":"https://github.com/citation-style-language/schema/raw/master/csl-citation.json"} </w:instrText>
      </w:r>
      <w:r w:rsidR="00275942">
        <w:rPr>
          <w:rFonts w:ascii="Arial" w:hAnsi="Arial" w:cs="Arial"/>
        </w:rPr>
        <w:fldChar w:fldCharType="separate"/>
      </w:r>
      <w:r w:rsidR="00275942" w:rsidRPr="00275942">
        <w:rPr>
          <w:rFonts w:ascii="Arial" w:hAnsi="Arial" w:cs="Arial"/>
        </w:rPr>
        <w:t xml:space="preserve">(Nwani </w:t>
      </w:r>
      <w:r w:rsidR="00275942" w:rsidRPr="00275942">
        <w:rPr>
          <w:rFonts w:ascii="Arial" w:hAnsi="Arial" w:cs="Arial"/>
          <w:i/>
          <w:iCs/>
        </w:rPr>
        <w:t>et al.</w:t>
      </w:r>
      <w:r w:rsidR="00275942" w:rsidRPr="00275942">
        <w:rPr>
          <w:rFonts w:ascii="Arial" w:hAnsi="Arial" w:cs="Arial"/>
        </w:rPr>
        <w:t>, 2023)</w:t>
      </w:r>
      <w:r w:rsidR="00275942">
        <w:rPr>
          <w:rFonts w:ascii="Arial" w:hAnsi="Arial" w:cs="Arial"/>
        </w:rPr>
        <w:fldChar w:fldCharType="end"/>
      </w:r>
      <w:r w:rsidR="007F595B">
        <w:rPr>
          <w:rFonts w:ascii="Arial" w:hAnsi="Arial" w:cs="Arial"/>
        </w:rPr>
        <w:t xml:space="preserve">, </w:t>
      </w:r>
      <w:r w:rsidRPr="000D1A2C">
        <w:rPr>
          <w:rFonts w:ascii="Arial" w:hAnsi="Arial" w:cs="Arial"/>
        </w:rPr>
        <w:t>highlight</w:t>
      </w:r>
      <w:r w:rsidR="007F595B">
        <w:rPr>
          <w:rFonts w:ascii="Arial" w:hAnsi="Arial" w:cs="Arial"/>
        </w:rPr>
        <w:t>ing</w:t>
      </w:r>
      <w:r w:rsidRPr="000D1A2C">
        <w:rPr>
          <w:rFonts w:ascii="Arial" w:hAnsi="Arial" w:cs="Arial"/>
        </w:rPr>
        <w:t xml:space="preserve"> need for a </w:t>
      </w:r>
      <w:r w:rsidRPr="00E711B1">
        <w:rPr>
          <w:rFonts w:ascii="Arial" w:hAnsi="Arial" w:cs="Arial"/>
        </w:rPr>
        <w:t>transformative approach</w:t>
      </w:r>
      <w:r w:rsidRPr="000D1A2C">
        <w:rPr>
          <w:rFonts w:ascii="Arial" w:hAnsi="Arial" w:cs="Arial"/>
        </w:rPr>
        <w:t xml:space="preserve"> beyond incremental improvements</w:t>
      </w:r>
      <w:r w:rsidR="00F85D6F">
        <w:rPr>
          <w:rFonts w:ascii="Arial" w:hAnsi="Arial" w:cs="Arial"/>
        </w:rPr>
        <w:t xml:space="preserve"> </w:t>
      </w:r>
      <w:r w:rsidR="00E711B1">
        <w:rPr>
          <w:rFonts w:ascii="Arial" w:hAnsi="Arial" w:cs="Arial"/>
        </w:rPr>
        <w:fldChar w:fldCharType="begin"/>
      </w:r>
      <w:r w:rsidR="00E711B1">
        <w:rPr>
          <w:rFonts w:ascii="Arial" w:hAnsi="Arial" w:cs="Arial"/>
        </w:rPr>
        <w:instrText xml:space="preserve"> ADDIN ZOTERO_ITEM CSL_CITATION {"citationID":"pBUeQznO","properties":{"formattedCitation":"(George, Christie and Wehrmeyer, 2025)","plainCitation":"(George, Christie and Wehrmeyer, 2025)","noteIndex":0},"citationItems":[{"id":312,"uris":["http://zotero.org/users/local/bh3OqUSh/items/3PZE5KLI"],"itemData":{"id":312,"type":"article-journal","abstract":"This conceptual paper introduces Macro Stewardship (Ma-S) as a transformative approach in sustainable finance to challenge financial market failures that contribute to systemic collective action issues such as climate change, biodiversity loss, and inequality. It argues that traditional Environmental, Social, and Governance (ESG) strategies focus on individual corporate actions and often fail to drive systemic change. Ma-S, on the other hand, leverages the power of financial institutions to engage governments, policymakers, and stakeholders in addressing market failures tied to sustainability. Unlike Micro Stewardship (Mi-S) or ESG approach, which centers on corporate-level engagement, Ma-S promotes collaborative interventions to align the interests of businesses, governments, and society. This approach aims to influence regulatory changes, shape public policy, and support the United Nations Sustainable Development Goals (SDGs). The paper is guided by the research question: How can Macro Stewardship by financial institutions serve as a transformative approach in sustainable finance to achieve systemic change? It proposes a definition for Ma-S, outlines its practical applications, identifies implementation challenges, and presents a research agenda to evaluate its effectiveness and impact. In doing so, the paper lays a foundation for future empirical studies and calls for a shift in how financial systems contribute to global sustainability.","container-title":"Sustainability","DOI":"10.3390/su17083287","ISSN":"2071-1050","issue":"8","journalAbbreviation":"Sustainability","language":"en","page":"3287","source":"DOI.org (Crossref)","title":"Macro Stewardship: A Transformative Approach in Sustainable Finance for Achieving Sustainability","title-short":"Macro Stewardship","volume":"17","author":[{"family":"George","given":"Diana"},{"family":"Christie","given":"Ian"},{"family":"Wehrmeyer","given":"Walter"}],"issued":{"date-parts":[["2025",4,8]]}}}],"schema":"https://github.com/citation-style-language/schema/raw/master/csl-citation.json"} </w:instrText>
      </w:r>
      <w:r w:rsidR="00E711B1">
        <w:rPr>
          <w:rFonts w:ascii="Arial" w:hAnsi="Arial" w:cs="Arial"/>
        </w:rPr>
        <w:fldChar w:fldCharType="separate"/>
      </w:r>
      <w:r w:rsidR="00E711B1" w:rsidRPr="00E711B1">
        <w:rPr>
          <w:rFonts w:ascii="Arial" w:hAnsi="Arial" w:cs="Arial"/>
        </w:rPr>
        <w:t>(George, Christie and Wehrmeyer, 2025)</w:t>
      </w:r>
      <w:r w:rsidR="00E711B1">
        <w:rPr>
          <w:rFonts w:ascii="Arial" w:hAnsi="Arial" w:cs="Arial"/>
        </w:rPr>
        <w:fldChar w:fldCharType="end"/>
      </w:r>
      <w:r w:rsidR="007F595B">
        <w:rPr>
          <w:rFonts w:ascii="Arial" w:hAnsi="Arial" w:cs="Arial"/>
        </w:rPr>
        <w:t>.</w:t>
      </w:r>
    </w:p>
    <w:p w14:paraId="1649E737" w14:textId="78F265AD" w:rsidR="003D71F5" w:rsidRPr="007F595B" w:rsidRDefault="003D71F5" w:rsidP="00AF517A">
      <w:pPr>
        <w:spacing w:line="360" w:lineRule="auto"/>
        <w:jc w:val="both"/>
        <w:rPr>
          <w:rFonts w:ascii="Arial" w:hAnsi="Arial" w:cs="Arial"/>
          <w:strike/>
          <w:color w:val="FF0000"/>
        </w:rPr>
      </w:pPr>
    </w:p>
    <w:p w14:paraId="57AC97E7" w14:textId="77777777" w:rsidR="003D71F5" w:rsidRPr="00AF50F6" w:rsidRDefault="003D71F5" w:rsidP="00AF517A">
      <w:pPr>
        <w:pStyle w:val="Heading1"/>
        <w:spacing w:line="360" w:lineRule="auto"/>
        <w:jc w:val="both"/>
        <w:rPr>
          <w:rFonts w:ascii="Arial" w:eastAsia="Times New Roman" w:hAnsi="Arial" w:cs="Arial"/>
          <w:b/>
          <w:bCs/>
          <w:color w:val="auto"/>
          <w:sz w:val="28"/>
          <w:szCs w:val="28"/>
          <w:lang w:eastAsia="en-GB"/>
        </w:rPr>
      </w:pPr>
      <w:bookmarkStart w:id="1" w:name="_Toc231380075"/>
      <w:r w:rsidRPr="00AF50F6">
        <w:rPr>
          <w:rFonts w:ascii="Arial" w:eastAsia="Times New Roman" w:hAnsi="Arial" w:cs="Arial"/>
          <w:b/>
          <w:bCs/>
          <w:color w:val="auto"/>
          <w:sz w:val="28"/>
          <w:szCs w:val="28"/>
          <w:lang w:eastAsia="en-GB"/>
        </w:rPr>
        <w:lastRenderedPageBreak/>
        <w:t>Organisation Overview</w:t>
      </w:r>
      <w:bookmarkEnd w:id="1"/>
    </w:p>
    <w:p w14:paraId="134C68DD" w14:textId="2E2E0DE7" w:rsidR="003D71F5" w:rsidRPr="003D71F5" w:rsidRDefault="003D71F5" w:rsidP="00AF517A">
      <w:pPr>
        <w:spacing w:before="100" w:beforeAutospacing="1" w:after="100" w:afterAutospacing="1" w:line="360" w:lineRule="auto"/>
        <w:jc w:val="both"/>
        <w:rPr>
          <w:rFonts w:ascii="Arial" w:eastAsia="Times New Roman" w:hAnsi="Arial" w:cs="Arial"/>
          <w:kern w:val="0"/>
          <w:lang w:eastAsia="en-GB"/>
          <w14:ligatures w14:val="none"/>
        </w:rPr>
      </w:pPr>
      <w:r w:rsidRPr="003D71F5">
        <w:rPr>
          <w:rFonts w:ascii="Arial" w:eastAsia="Times New Roman" w:hAnsi="Arial" w:cs="Arial"/>
          <w:kern w:val="0"/>
          <w:lang w:eastAsia="en-GB"/>
          <w14:ligatures w14:val="none"/>
        </w:rPr>
        <w:t>IKEA is one of the world’s largest furniture retailers, operating in over 60 countries and serving millions of customers annually. Founded in Sweden in 1943,</w:t>
      </w:r>
      <w:r w:rsidRPr="00210F0B">
        <w:rPr>
          <w:rFonts w:ascii="Arial" w:eastAsia="Times New Roman" w:hAnsi="Arial" w:cs="Arial"/>
          <w:color w:val="FF0000"/>
          <w:kern w:val="0"/>
          <w:lang w:eastAsia="en-GB"/>
          <w14:ligatures w14:val="none"/>
        </w:rPr>
        <w:t xml:space="preserve"> </w:t>
      </w:r>
      <w:r w:rsidR="00210F0B">
        <w:rPr>
          <w:rFonts w:ascii="Arial" w:eastAsia="Times New Roman" w:hAnsi="Arial" w:cs="Arial"/>
          <w:kern w:val="0"/>
          <w:lang w:eastAsia="en-GB"/>
          <w14:ligatures w14:val="none"/>
        </w:rPr>
        <w:t xml:space="preserve">it </w:t>
      </w:r>
      <w:r w:rsidRPr="003D71F5">
        <w:rPr>
          <w:rFonts w:ascii="Arial" w:eastAsia="Times New Roman" w:hAnsi="Arial" w:cs="Arial"/>
          <w:kern w:val="0"/>
          <w:lang w:eastAsia="en-GB"/>
          <w14:ligatures w14:val="none"/>
        </w:rPr>
        <w:t>is best known for its flat</w:t>
      </w:r>
      <w:r>
        <w:rPr>
          <w:rFonts w:ascii="Arial" w:eastAsia="Times New Roman" w:hAnsi="Arial" w:cs="Arial"/>
          <w:kern w:val="0"/>
          <w:lang w:eastAsia="en-GB"/>
          <w14:ligatures w14:val="none"/>
        </w:rPr>
        <w:t xml:space="preserve"> </w:t>
      </w:r>
      <w:r w:rsidRPr="003D71F5">
        <w:rPr>
          <w:rFonts w:ascii="Arial" w:eastAsia="Times New Roman" w:hAnsi="Arial" w:cs="Arial"/>
          <w:kern w:val="0"/>
          <w:lang w:eastAsia="en-GB"/>
          <w14:ligatures w14:val="none"/>
        </w:rPr>
        <w:t xml:space="preserve">pack furniture model, which combines cost efficiency, functional design, and mass production to offer affordable products </w:t>
      </w:r>
      <w:r w:rsidR="00DC0E62">
        <w:rPr>
          <w:rFonts w:ascii="Arial" w:eastAsia="Times New Roman" w:hAnsi="Arial" w:cs="Arial"/>
          <w:kern w:val="0"/>
          <w:lang w:eastAsia="en-GB"/>
          <w14:ligatures w14:val="none"/>
        </w:rPr>
        <w:fldChar w:fldCharType="begin"/>
      </w:r>
      <w:r w:rsidR="00DC0E62">
        <w:rPr>
          <w:rFonts w:ascii="Arial" w:eastAsia="Times New Roman" w:hAnsi="Arial" w:cs="Arial"/>
          <w:kern w:val="0"/>
          <w:lang w:eastAsia="en-GB"/>
          <w14:ligatures w14:val="none"/>
        </w:rPr>
        <w:instrText xml:space="preserve"> ADDIN ZOTERO_ITEM CSL_CITATION {"citationID":"RQVYNrDV","properties":{"formattedCitation":"(Yun {\\i{}et al.}, 2022)","plainCitation":"(Yun et al., 2022)","noteIndex":0},"citationItems":[{"id":497,"uris":["http://zotero.org/users/local/bh3OqUSh/items/PFUAX2M5"],"itemData":{"id":497,"type":"article-journal","abstract":"Even though global markets are transferring from offline to online, offline sales are rapidly increasing in two top global furniture firms in Korea and Japan each—IKEA and Nitori. This study aims to answer the following research question: ‘What are the differences and similarities between IKEA and Nitori in the open innovation dynamics of furniture design and function?’ Diverse naturalistic qualitative research methods such as participatory observation, or focus group interviews were used. IKEA is mainly pursuing engineering open innovation strategies, including advanced furniture design with engineering knowledge, fusion with new IT and other technologies for new and innovative furniture function and design, and pursuit of creative design idea frontiers. Nitori is mainly pursuing a strategy towards customer open innovation, which is focused on domestic and regional requirements.","container-title":"Science, Technology and Society","DOI":"10.1177/09717218221074906","ISSN":"0971-7218, 0973-0796","issue":"2","journalAbbreviation":"Science, Technology and Society","language":"en","page":"172-190","source":"DOI.org (Crossref)","title":"Open Innovation Dynamics of Furniture Design and Function: The Difference between IKEA and Nitori","title-short":"Open Innovation Dynamics of Furniture Design and Function","volume":"27","author":[{"family":"Yun","given":"Jinhyo Joseph"},{"family":"Zhao","given":"Xiaofei"},{"family":"Kim","given":"Sun Ah"},{"family":"Sadoi","given":"Yuri"}],"issued":{"date-parts":[["2022",6]]}}}],"schema":"https://github.com/citation-style-language/schema/raw/master/csl-citation.json"} </w:instrText>
      </w:r>
      <w:r w:rsidR="00DC0E62">
        <w:rPr>
          <w:rFonts w:ascii="Arial" w:eastAsia="Times New Roman" w:hAnsi="Arial" w:cs="Arial"/>
          <w:kern w:val="0"/>
          <w:lang w:eastAsia="en-GB"/>
          <w14:ligatures w14:val="none"/>
        </w:rPr>
        <w:fldChar w:fldCharType="separate"/>
      </w:r>
      <w:r w:rsidR="00DC0E62" w:rsidRPr="00DC0E62">
        <w:rPr>
          <w:rFonts w:ascii="Arial" w:hAnsi="Arial" w:cs="Arial"/>
          <w:kern w:val="0"/>
        </w:rPr>
        <w:t xml:space="preserve">(Yun </w:t>
      </w:r>
      <w:r w:rsidR="00DC0E62" w:rsidRPr="00DC0E62">
        <w:rPr>
          <w:rFonts w:ascii="Arial" w:hAnsi="Arial" w:cs="Arial"/>
          <w:i/>
          <w:iCs/>
          <w:kern w:val="0"/>
        </w:rPr>
        <w:t>et al.</w:t>
      </w:r>
      <w:r w:rsidR="00DC0E62" w:rsidRPr="00DC0E62">
        <w:rPr>
          <w:rFonts w:ascii="Arial" w:hAnsi="Arial" w:cs="Arial"/>
          <w:kern w:val="0"/>
        </w:rPr>
        <w:t>, 2022)</w:t>
      </w:r>
      <w:r w:rsidR="00DC0E62">
        <w:rPr>
          <w:rFonts w:ascii="Arial" w:eastAsia="Times New Roman" w:hAnsi="Arial" w:cs="Arial"/>
          <w:kern w:val="0"/>
          <w:lang w:eastAsia="en-GB"/>
          <w14:ligatures w14:val="none"/>
        </w:rPr>
        <w:fldChar w:fldCharType="end"/>
      </w:r>
      <w:r w:rsidRPr="003D71F5">
        <w:rPr>
          <w:rFonts w:ascii="Arial" w:eastAsia="Times New Roman" w:hAnsi="Arial" w:cs="Arial"/>
          <w:kern w:val="0"/>
          <w:lang w:eastAsia="en-GB"/>
          <w14:ligatures w14:val="none"/>
        </w:rPr>
        <w:t>. IKEA’s business strategy is centred on providing affordable and well-designed home furnishings, enabling it to reach a broad customer base while maintaining strong market competitiveness</w:t>
      </w:r>
      <w:r w:rsidR="00F85D6F">
        <w:rPr>
          <w:rFonts w:ascii="Arial" w:eastAsia="Times New Roman" w:hAnsi="Arial" w:cs="Arial"/>
          <w:kern w:val="0"/>
          <w:lang w:eastAsia="en-GB"/>
          <w14:ligatures w14:val="none"/>
        </w:rPr>
        <w:t xml:space="preserve"> </w:t>
      </w:r>
      <w:r w:rsidR="00DC0E62">
        <w:rPr>
          <w:rFonts w:ascii="Arial" w:eastAsia="Times New Roman" w:hAnsi="Arial" w:cs="Arial"/>
          <w:kern w:val="0"/>
          <w:lang w:eastAsia="en-GB"/>
          <w14:ligatures w14:val="none"/>
        </w:rPr>
        <w:fldChar w:fldCharType="begin"/>
      </w:r>
      <w:r w:rsidR="00DC0E62">
        <w:rPr>
          <w:rFonts w:ascii="Arial" w:eastAsia="Times New Roman" w:hAnsi="Arial" w:cs="Arial"/>
          <w:kern w:val="0"/>
          <w:lang w:eastAsia="en-GB"/>
          <w14:ligatures w14:val="none"/>
        </w:rPr>
        <w:instrText xml:space="preserve"> ADDIN ZOTERO_ITEM CSL_CITATION {"citationID":"ALwJWufk","properties":{"formattedCitation":"(Jankov\\uc0\\u225{} {\\i{}et al.}, no date)","plainCitation":"(Janková et al., no date)","noteIndex":0},"citationItems":[{"id":498,"uris":["http://zotero.org/users/local/bh3OqUSh/items/PGWG59GV"],"itemData":{"id":498,"type":"article-journal","abstract":"Sustainability has become an important factor shaping financial markets and investor behavior. This paper examines the relationship between sustainability indices and Central European stock markets using a time–frequency approach. Wavelet coherence is employed to capture time-varying co-movements between sustainability indices and stock market returns in the Czech Republic, Poland, Hungary, and Slovakia. In addition, SHapley Additive exPlanations (SHAP) are used as a descriptive tool to summarize contemporaneous associations between sustainability indices and stock market returns. The results reveal strong regime dependence. During the COVID-19 pandemic, sustainability indices exhibited pronounced coherence with stock markets across both short- and long-term frequencies, indicating heightened interdependence. In contrast, during the period associated with the war in Ukraine, the relationship is mainly confined to high-frequency dynamics. Substantial cross-market heterogeneity is observed, with stronger linkages for the Czech, Polish, and Hungarian markets and weaker or negative associations for the Slovak market. A complementary forecasting analysis shows that sustainability-related information provides only limited short-term predictive power for daily returns once standard market-wide factors are controlled for. Overall, the findings suggest that sustainability influences stock markets primarily through time-varying and regime-dependent channels rather than through consistent short-term return predictability.","container-title":"Journal of Forecasting","DOI":"10.1002/for.70141","ISSN":"1099-131X","issue":"n/a","language":"en","note":"_eprint: https://onlinelibrary.wiley.com/doi/pdf/10.1002/for.70141","source":"Wiley Online Library","title":"Exploring the Nexus Between Sustainability Index and Central European Stock Markets Competitiveness: Evidence Through Time–Frequency Analysis and SHAP","title-short":"Exploring the Nexus Between Sustainability Index and Central European Stock Markets Competitiveness","URL":"https://onlinelibrary.wiley.com/doi/abs/10.1002/for.70141","volume":"n/a","author":[{"family":"Janková","given":"Zuzana"},{"family":"Jana","given":"Dipak Kumar"},{"family":"Páleš","given":"Michal"},{"family":"Fleaca","given":"Elena"},{"family":"Dostál","given":"Petr"}],"accessed":{"date-parts":[["2026",6,1]]}}}],"schema":"https://github.com/citation-style-language/schema/raw/master/csl-citation.json"} </w:instrText>
      </w:r>
      <w:r w:rsidR="00DC0E62">
        <w:rPr>
          <w:rFonts w:ascii="Arial" w:eastAsia="Times New Roman" w:hAnsi="Arial" w:cs="Arial"/>
          <w:kern w:val="0"/>
          <w:lang w:eastAsia="en-GB"/>
          <w14:ligatures w14:val="none"/>
        </w:rPr>
        <w:fldChar w:fldCharType="separate"/>
      </w:r>
      <w:r w:rsidR="00DC0E62" w:rsidRPr="00DC0E62">
        <w:rPr>
          <w:rFonts w:ascii="Arial" w:hAnsi="Arial" w:cs="Arial"/>
          <w:kern w:val="0"/>
        </w:rPr>
        <w:t xml:space="preserve">(Janková </w:t>
      </w:r>
      <w:r w:rsidR="00DC0E62" w:rsidRPr="00DC0E62">
        <w:rPr>
          <w:rFonts w:ascii="Arial" w:hAnsi="Arial" w:cs="Arial"/>
          <w:i/>
          <w:iCs/>
          <w:kern w:val="0"/>
        </w:rPr>
        <w:t>et al.</w:t>
      </w:r>
      <w:r w:rsidR="00DC0E62" w:rsidRPr="00DC0E62">
        <w:rPr>
          <w:rFonts w:ascii="Arial" w:hAnsi="Arial" w:cs="Arial"/>
          <w:kern w:val="0"/>
        </w:rPr>
        <w:t xml:space="preserve">, </w:t>
      </w:r>
      <w:r w:rsidR="009E3759">
        <w:rPr>
          <w:rFonts w:ascii="Arial" w:hAnsi="Arial" w:cs="Arial"/>
          <w:kern w:val="0"/>
        </w:rPr>
        <w:t>2026</w:t>
      </w:r>
      <w:r w:rsidR="00DC0E62" w:rsidRPr="00DC0E62">
        <w:rPr>
          <w:rFonts w:ascii="Arial" w:hAnsi="Arial" w:cs="Arial"/>
          <w:kern w:val="0"/>
        </w:rPr>
        <w:t>)</w:t>
      </w:r>
      <w:r w:rsidR="00DC0E62">
        <w:rPr>
          <w:rFonts w:ascii="Arial" w:eastAsia="Times New Roman" w:hAnsi="Arial" w:cs="Arial"/>
          <w:kern w:val="0"/>
          <w:lang w:eastAsia="en-GB"/>
          <w14:ligatures w14:val="none"/>
        </w:rPr>
        <w:fldChar w:fldCharType="end"/>
      </w:r>
      <w:r w:rsidRPr="003D71F5">
        <w:rPr>
          <w:rFonts w:ascii="Arial" w:eastAsia="Times New Roman" w:hAnsi="Arial" w:cs="Arial"/>
          <w:kern w:val="0"/>
          <w:lang w:eastAsia="en-GB"/>
          <w14:ligatures w14:val="none"/>
        </w:rPr>
        <w:t>.</w:t>
      </w:r>
    </w:p>
    <w:p w14:paraId="755FA7FF" w14:textId="48E8227E" w:rsidR="003D71F5" w:rsidRPr="003D71F5" w:rsidRDefault="003D71F5" w:rsidP="00AF517A">
      <w:pPr>
        <w:spacing w:before="100" w:beforeAutospacing="1" w:after="100" w:afterAutospacing="1" w:line="360" w:lineRule="auto"/>
        <w:jc w:val="both"/>
        <w:rPr>
          <w:rFonts w:ascii="Arial" w:eastAsia="Times New Roman" w:hAnsi="Arial" w:cs="Arial"/>
          <w:kern w:val="0"/>
          <w:lang w:eastAsia="en-GB"/>
          <w14:ligatures w14:val="none"/>
        </w:rPr>
      </w:pPr>
      <w:r w:rsidRPr="003D71F5">
        <w:rPr>
          <w:rFonts w:ascii="Arial" w:eastAsia="Times New Roman" w:hAnsi="Arial" w:cs="Arial"/>
          <w:kern w:val="0"/>
          <w:lang w:eastAsia="en-GB"/>
          <w14:ligatures w14:val="none"/>
        </w:rPr>
        <w:t>A key feature of IKEA’s operational model is its highly integrated global supply chain, which sources materials and manufactures products across multiple regions. This allows the company to achieve economies of scale and maintain low prices; however, it also introduces significant sustainability challenges related to resource use, carbon emissions, and ethical sourcing</w:t>
      </w:r>
      <w:r w:rsidR="00F85D6F">
        <w:rPr>
          <w:rFonts w:ascii="Arial" w:eastAsia="Times New Roman" w:hAnsi="Arial" w:cs="Arial"/>
          <w:kern w:val="0"/>
          <w:lang w:eastAsia="en-GB"/>
          <w14:ligatures w14:val="none"/>
        </w:rPr>
        <w:t xml:space="preserve"> </w:t>
      </w:r>
      <w:r w:rsidR="00A26DA3">
        <w:rPr>
          <w:rFonts w:ascii="Arial" w:eastAsia="Times New Roman" w:hAnsi="Arial" w:cs="Arial"/>
          <w:kern w:val="0"/>
          <w:lang w:eastAsia="en-GB"/>
          <w14:ligatures w14:val="none"/>
        </w:rPr>
        <w:fldChar w:fldCharType="begin"/>
      </w:r>
      <w:r w:rsidR="00A26DA3">
        <w:rPr>
          <w:rFonts w:ascii="Arial" w:eastAsia="Times New Roman" w:hAnsi="Arial" w:cs="Arial"/>
          <w:kern w:val="0"/>
          <w:lang w:eastAsia="en-GB"/>
          <w14:ligatures w14:val="none"/>
        </w:rPr>
        <w:instrText xml:space="preserve"> ADDIN ZOTERO_ITEM CSL_CITATION {"citationID":"JT8Q3ZxE","properties":{"formattedCitation":"(Xu and Reinhard, 2025)","plainCitation":"(Xu and Reinhard, 2025)","noteIndex":0},"citationItems":[{"id":501,"uris":["http://zotero.org/users/local/bh3OqUSh/items/5FM3MJ8X"],"itemData":{"id":501,"type":"article-journal","abstract":"Abstract\n            \n              Limiting anthropogenic global climate warming since the start of the industrial period to less than 2 °C will very likely require both deep and rapid reductions in anthropogenic greenhouse gas emissions and a range of approaches toward carbon dioxide removal (CDR). One prominent CDR approach is enhanced weathering (EW), in which crushed silicate rock is applied on land or in the open ocean to accelerate natural weathering processes that absorb carbon dioxide from Earth’s ocean–atmosphere system. However, in addition to a range of potential environmental, socioeconomic, and ethical issues associated with this pathway, bottlenecks in feedstock sourcing represent a key barrier for deployment of EW at scale. Here, we evaluate the potential of silicate wastes produced from industrial processes—such as steel slag and cement waste—as feedstocks for the EW process. An empirical model that links industrial alkaline waste production to gross domestic product at purchase power parity is developed to forecast waste production in the alternative futures described by the shared socioeconomic pathway (SSP) framework. By incorporating these results into an intermediate-complexity Earth system model, we also explore the impacts of EW using industrial waste on changes to global temperature, ocean pH, and ocean aragonite saturation state, while also quantifying overall CDR efficiency through the end of the century. We estimate a maximum cumulative end-of-century capture potential of </w:instrText>
      </w:r>
      <w:r w:rsidR="00A26DA3">
        <w:rPr>
          <w:rFonts w:ascii="Cambria Math" w:eastAsia="Times New Roman" w:hAnsi="Cambria Math" w:cs="Cambria Math"/>
          <w:kern w:val="0"/>
          <w:lang w:eastAsia="en-GB"/>
          <w14:ligatures w14:val="none"/>
        </w:rPr>
        <w:instrText>∼</w:instrText>
      </w:r>
      <w:r w:rsidR="00A26DA3">
        <w:rPr>
          <w:rFonts w:ascii="Arial" w:eastAsia="Times New Roman" w:hAnsi="Arial" w:cs="Arial"/>
          <w:kern w:val="0"/>
          <w:lang w:eastAsia="en-GB"/>
          <w14:ligatures w14:val="none"/>
        </w:rPr>
        <w:instrText xml:space="preserve">400 GtCO\n              2\n              for industrial waste, which could represent a significant fraction of the projected CDR requirement of many mitigation scenarios in the SSP framework. However, feedstock-dependent environmental impacts and the technoeconomics of feedstock redistribution may ultimately limit deployment scope.","container-title":"Environmental Research Letters","DOI":"10.1088/1748-9326/adc020","ISSN":"1748-9326","issue":"4","journalAbbreviation":"Environ. Res. Lett.","page":"044013","source":"DOI.org (Crossref)","title":"Evaluating the carbon capture potential of industrial waste as a feedstock for enhanced weathering","volume":"20","author":[{"family":"Xu","given":"Pengxiao"},{"family":"Reinhard","given":"Christopher T"}],"issued":{"date-parts":[["2025",4,1]]}}}],"schema":"https://github.com/citation-style-language/schema/raw/master/csl-citation.json"} </w:instrText>
      </w:r>
      <w:r w:rsidR="00A26DA3">
        <w:rPr>
          <w:rFonts w:ascii="Arial" w:eastAsia="Times New Roman" w:hAnsi="Arial" w:cs="Arial"/>
          <w:kern w:val="0"/>
          <w:lang w:eastAsia="en-GB"/>
          <w14:ligatures w14:val="none"/>
        </w:rPr>
        <w:fldChar w:fldCharType="separate"/>
      </w:r>
      <w:r w:rsidR="00A26DA3" w:rsidRPr="00A26DA3">
        <w:rPr>
          <w:rFonts w:ascii="Arial" w:hAnsi="Arial" w:cs="Arial"/>
          <w:lang w:eastAsia="en-GB"/>
        </w:rPr>
        <w:t>(Xu and Reinhard, 2025)</w:t>
      </w:r>
      <w:r w:rsidR="00A26DA3">
        <w:rPr>
          <w:rFonts w:ascii="Arial" w:eastAsia="Times New Roman" w:hAnsi="Arial" w:cs="Arial"/>
          <w:kern w:val="0"/>
          <w:lang w:eastAsia="en-GB"/>
          <w14:ligatures w14:val="none"/>
        </w:rPr>
        <w:fldChar w:fldCharType="end"/>
      </w:r>
      <w:r w:rsidRPr="003D71F5">
        <w:rPr>
          <w:rFonts w:ascii="Arial" w:eastAsia="Times New Roman" w:hAnsi="Arial" w:cs="Arial"/>
          <w:kern w:val="0"/>
          <w:lang w:eastAsia="en-GB"/>
          <w14:ligatures w14:val="none"/>
        </w:rPr>
        <w:t>. In response, IKEA has increasingly positioned itself as a sustainability</w:t>
      </w:r>
      <w:r w:rsidR="00BE423B">
        <w:rPr>
          <w:rFonts w:ascii="Arial" w:eastAsia="Times New Roman" w:hAnsi="Arial" w:cs="Arial"/>
          <w:kern w:val="0"/>
          <w:lang w:eastAsia="en-GB"/>
          <w14:ligatures w14:val="none"/>
        </w:rPr>
        <w:t xml:space="preserve"> </w:t>
      </w:r>
      <w:r w:rsidRPr="003D71F5">
        <w:rPr>
          <w:rFonts w:ascii="Arial" w:eastAsia="Times New Roman" w:hAnsi="Arial" w:cs="Arial"/>
          <w:kern w:val="0"/>
          <w:lang w:eastAsia="en-GB"/>
          <w14:ligatures w14:val="none"/>
        </w:rPr>
        <w:t>focused organisation, embedding environmental and social considerations into its corporate strategy</w:t>
      </w:r>
      <w:r w:rsidR="00BE423B">
        <w:rPr>
          <w:rFonts w:ascii="Arial" w:eastAsia="Times New Roman" w:hAnsi="Arial" w:cs="Arial"/>
          <w:kern w:val="0"/>
          <w:lang w:eastAsia="en-GB"/>
          <w14:ligatures w14:val="none"/>
        </w:rPr>
        <w:t xml:space="preserve"> </w:t>
      </w:r>
      <w:r w:rsidR="00BE423B">
        <w:rPr>
          <w:rFonts w:ascii="Arial" w:eastAsia="Times New Roman" w:hAnsi="Arial" w:cs="Arial"/>
          <w:kern w:val="0"/>
          <w:lang w:eastAsia="en-GB"/>
          <w14:ligatures w14:val="none"/>
        </w:rPr>
        <w:fldChar w:fldCharType="begin"/>
      </w:r>
      <w:r w:rsidR="009F2326">
        <w:rPr>
          <w:rFonts w:ascii="Arial" w:eastAsia="Times New Roman" w:hAnsi="Arial" w:cs="Arial"/>
          <w:kern w:val="0"/>
          <w:lang w:eastAsia="en-GB"/>
          <w14:ligatures w14:val="none"/>
        </w:rPr>
        <w:instrText xml:space="preserve"> ADDIN ZOTERO_ITEM CSL_CITATION {"citationID":"da4r6Ogn","properties":{"formattedCitation":"({\\i{}Strategic Direction}, 2021a)","plainCitation":"(Strategic Direction, 2021a)","noteIndex":0},"citationItems":[{"id":305,"uris":["http://zotero.org/users/local/bh3OqUSh/items/NKZCYFZS"],"itemData":{"id":305,"type":"article-journal","abstract":"Purpose\nThis paper aims to review the latest management developments across the globe and pinpoint practical implications from cutting-edge research and case studies.\nThis briefing is prepared by an independent writer who adds their own impartial comments and places the articles in context.\nThis research paper addresses retailer IKEA's strategic challenges surrounding corporate sustainability activity and branding across their diverse markets. The employee respondents' sustainability perceptions of IKEA included its organizational personality, the presence of competing forces in-store, and IKEA leading by example as a sustainability enabler. Varying perceptions on sustainability caused uncertainty and instability in IKEA's business model; for example, some store managers felt uncomfortable funneling sustainable messaging onto in-store customers. Therefore individual manager approaches to sustainability are a key driver in IKEA's sustainable delivery. Three change implementation phases were identified in an attempt to remedy these location-based inconsistencies.\nThe briefing saves busy executives, strategists and researchers hours of reading time by selecting only the very best, most pertinent information and presenting it in a condensed and easy-to-digest format.","container-title":"Strategic Direction","DOI":"10.1108/SD-01-2021-0003","ISSN":"02580543","issue":"4","language":"English","license":"© Emerald Publishing Limited 2021","note":"number-of-pages: 3\npublisher-place: Bradford, United Kingdom\npublisher: Emerald Group Publishing Limited","page":"31-33","source":"ProQuest","title":"IKEA's attempts to smoothly achieve corporate sustainability consistency: The deep challenges of aligning employees and customers across the globe","title-short":"IKEA's attempts to smoothly achieve corporate sustainability consistency","volume":"37","issued":{"date-parts":[["2021"]]}}}],"schema":"https://github.com/citation-style-language/schema/raw/master/csl-citation.json"} </w:instrText>
      </w:r>
      <w:r w:rsidR="00BE423B">
        <w:rPr>
          <w:rFonts w:ascii="Arial" w:eastAsia="Times New Roman" w:hAnsi="Arial" w:cs="Arial"/>
          <w:kern w:val="0"/>
          <w:lang w:eastAsia="en-GB"/>
          <w14:ligatures w14:val="none"/>
        </w:rPr>
        <w:fldChar w:fldCharType="separate"/>
      </w:r>
      <w:r w:rsidR="009F2326" w:rsidRPr="009F2326">
        <w:rPr>
          <w:rFonts w:ascii="Arial" w:hAnsi="Arial" w:cs="Arial"/>
          <w:kern w:val="0"/>
        </w:rPr>
        <w:t>(</w:t>
      </w:r>
      <w:r w:rsidR="009F2326" w:rsidRPr="009F2326">
        <w:rPr>
          <w:rFonts w:ascii="Arial" w:hAnsi="Arial" w:cs="Arial"/>
          <w:i/>
          <w:iCs/>
          <w:kern w:val="0"/>
        </w:rPr>
        <w:t>Strategic Direction</w:t>
      </w:r>
      <w:r w:rsidR="009F2326" w:rsidRPr="009F2326">
        <w:rPr>
          <w:rFonts w:ascii="Arial" w:hAnsi="Arial" w:cs="Arial"/>
          <w:kern w:val="0"/>
        </w:rPr>
        <w:t>, 2021a)</w:t>
      </w:r>
      <w:r w:rsidR="00BE423B">
        <w:rPr>
          <w:rFonts w:ascii="Arial" w:eastAsia="Times New Roman" w:hAnsi="Arial" w:cs="Arial"/>
          <w:kern w:val="0"/>
          <w:lang w:eastAsia="en-GB"/>
          <w14:ligatures w14:val="none"/>
        </w:rPr>
        <w:fldChar w:fldCharType="end"/>
      </w:r>
      <w:r w:rsidR="00FA3E5F">
        <w:rPr>
          <w:rFonts w:ascii="Arial" w:eastAsia="Times New Roman" w:hAnsi="Arial" w:cs="Arial"/>
          <w:kern w:val="0"/>
          <w:lang w:eastAsia="en-GB"/>
          <w14:ligatures w14:val="none"/>
        </w:rPr>
        <w:t>.</w:t>
      </w:r>
    </w:p>
    <w:p w14:paraId="71BCC6F0" w14:textId="02FF87ED" w:rsidR="003D71F5" w:rsidRPr="003D71F5" w:rsidRDefault="003D71F5" w:rsidP="00AF517A">
      <w:pPr>
        <w:spacing w:before="100" w:beforeAutospacing="1" w:after="100" w:afterAutospacing="1" w:line="360" w:lineRule="auto"/>
        <w:jc w:val="both"/>
        <w:rPr>
          <w:rFonts w:ascii="Arial" w:eastAsia="Times New Roman" w:hAnsi="Arial" w:cs="Arial"/>
          <w:kern w:val="0"/>
          <w:lang w:eastAsia="en-GB"/>
          <w14:ligatures w14:val="none"/>
        </w:rPr>
      </w:pPr>
      <w:r w:rsidRPr="003D71F5">
        <w:rPr>
          <w:rFonts w:ascii="Arial" w:eastAsia="Times New Roman" w:hAnsi="Arial" w:cs="Arial"/>
          <w:kern w:val="0"/>
          <w:lang w:eastAsia="en-GB"/>
          <w14:ligatures w14:val="none"/>
        </w:rPr>
        <w:t>IKEA’s sustainability agenda is guided by its People and Planet Positive strategy, which aims to reduce environmental impact while creating positive social value. The company has committed to using renewable and recycled materials, achieving climate positivity, and promoting circular product design</w:t>
      </w:r>
      <w:r w:rsidR="00BE423B">
        <w:rPr>
          <w:rFonts w:ascii="Arial" w:eastAsia="Times New Roman" w:hAnsi="Arial" w:cs="Arial"/>
          <w:kern w:val="0"/>
          <w:lang w:eastAsia="en-GB"/>
          <w14:ligatures w14:val="none"/>
        </w:rPr>
        <w:t xml:space="preserve"> </w:t>
      </w:r>
      <w:r w:rsidR="00BE423B">
        <w:rPr>
          <w:rFonts w:ascii="Arial" w:eastAsia="Times New Roman" w:hAnsi="Arial" w:cs="Arial"/>
          <w:kern w:val="0"/>
          <w:lang w:eastAsia="en-GB"/>
          <w14:ligatures w14:val="none"/>
        </w:rPr>
        <w:fldChar w:fldCharType="begin"/>
      </w:r>
      <w:r w:rsidR="00BE423B">
        <w:rPr>
          <w:rFonts w:ascii="Arial" w:eastAsia="Times New Roman" w:hAnsi="Arial" w:cs="Arial"/>
          <w:kern w:val="0"/>
          <w:lang w:eastAsia="en-GB"/>
          <w14:ligatures w14:val="none"/>
        </w:rPr>
        <w:instrText xml:space="preserve"> ADDIN ZOTERO_ITEM CSL_CITATION {"citationID":"LJnYQ0GP","properties":{"formattedCitation":"(Lehner {\\i{}et al.}, 2020b)","plainCitation":"(Lehner et al., 2020b)","noteIndex":0},"citationItems":[{"id":308,"uris":["http://zotero.org/users/local/bh3OqUSh/items/WJ439GV7"],"itemData":{"id":308,"type":"article-journal","abstract":"(1) If policy-makers and businesses are to encourage consumers to participate in circular consumption systems, knowledge is needed about what motivates consumers to choose different disposal options. This paper aims to shed light on what motivates consumers to engage in circular home textile disposal practices. (2) Quantitative data was collected through a survey of members of the IKEA Family programme (N = 238), and logistic regressions were carried out to complement the quantitative analysis. Qualitative data was collected in semi-structured interviews with a total of 24 Swedish consumers. (3) Our findings show that donating and discarding are the most common options for handling home textiles, followed by reusing/storing, repairing, and reselling. Regression results indicate that environmental concerns, convenience, and economic reasons are the dominant motivations in choosing a disposal option. Prosocial behaviour and normative issues play a lesser role. (4) We recommend that policy-makers and businesses work to increase convenience of consumers’ participation in circular product practices, and continually communicate environmental benefits of circular disposal options. Businesses and policy-makers aiming to make circular consumption more attractive also need to ensure economic benefits for consumers.","container-title":"Sustainability","DOI":"10.3390/su12125030","ISSN":"2071-1050","issue":"12","journalAbbreviation":"Sustainability","language":"en","page":"5030","source":"DOI.org (Crossref)","title":"Circular Economy in Home Textiles: Motivations of IKEA Consumers in Sweden","title-short":"Circular Economy in Home Textiles","volume":"12","author":[{"family":"Lehner","given":"Matthias"},{"family":"Mont","given":"Oksana"},{"family":"Mariani","given":"Giulia"},{"family":"Mundaca","given":"Luis"}],"issued":{"date-parts":[["2020",6,19]]}}}],"schema":"https://github.com/citation-style-language/schema/raw/master/csl-citation.json"} </w:instrText>
      </w:r>
      <w:r w:rsidR="00BE423B">
        <w:rPr>
          <w:rFonts w:ascii="Arial" w:eastAsia="Times New Roman" w:hAnsi="Arial" w:cs="Arial"/>
          <w:kern w:val="0"/>
          <w:lang w:eastAsia="en-GB"/>
          <w14:ligatures w14:val="none"/>
        </w:rPr>
        <w:fldChar w:fldCharType="separate"/>
      </w:r>
      <w:r w:rsidR="00BE423B" w:rsidRPr="00BE423B">
        <w:rPr>
          <w:rFonts w:ascii="Arial" w:hAnsi="Arial" w:cs="Arial"/>
          <w:kern w:val="0"/>
        </w:rPr>
        <w:t xml:space="preserve">(Lehner </w:t>
      </w:r>
      <w:r w:rsidR="00BE423B" w:rsidRPr="00BE423B">
        <w:rPr>
          <w:rFonts w:ascii="Arial" w:hAnsi="Arial" w:cs="Arial"/>
          <w:i/>
          <w:iCs/>
          <w:kern w:val="0"/>
        </w:rPr>
        <w:t>et al.</w:t>
      </w:r>
      <w:r w:rsidR="00BE423B" w:rsidRPr="00BE423B">
        <w:rPr>
          <w:rFonts w:ascii="Arial" w:hAnsi="Arial" w:cs="Arial"/>
          <w:kern w:val="0"/>
        </w:rPr>
        <w:t>, 2020b)</w:t>
      </w:r>
      <w:r w:rsidR="00BE423B">
        <w:rPr>
          <w:rFonts w:ascii="Arial" w:eastAsia="Times New Roman" w:hAnsi="Arial" w:cs="Arial"/>
          <w:kern w:val="0"/>
          <w:lang w:eastAsia="en-GB"/>
          <w14:ligatures w14:val="none"/>
        </w:rPr>
        <w:fldChar w:fldCharType="end"/>
      </w:r>
      <w:r w:rsidRPr="003D71F5">
        <w:rPr>
          <w:rFonts w:ascii="Arial" w:eastAsia="Times New Roman" w:hAnsi="Arial" w:cs="Arial"/>
          <w:kern w:val="0"/>
          <w:lang w:eastAsia="en-GB"/>
          <w14:ligatures w14:val="none"/>
        </w:rPr>
        <w:t>. Initiatives such as furniture take</w:t>
      </w:r>
      <w:r w:rsidR="00BE423B">
        <w:rPr>
          <w:rFonts w:ascii="Arial" w:eastAsia="Times New Roman" w:hAnsi="Arial" w:cs="Arial"/>
          <w:kern w:val="0"/>
          <w:lang w:eastAsia="en-GB"/>
          <w14:ligatures w14:val="none"/>
        </w:rPr>
        <w:t xml:space="preserve"> </w:t>
      </w:r>
      <w:r w:rsidRPr="003D71F5">
        <w:rPr>
          <w:rFonts w:ascii="Arial" w:eastAsia="Times New Roman" w:hAnsi="Arial" w:cs="Arial"/>
          <w:kern w:val="0"/>
          <w:lang w:eastAsia="en-GB"/>
          <w14:ligatures w14:val="none"/>
        </w:rPr>
        <w:t>back schemes, resale programmes, and investment in renewable energy reflect IKEA’s efforts to align its operations with circular economy principles</w:t>
      </w:r>
      <w:r w:rsidR="00210F0B">
        <w:rPr>
          <w:rFonts w:ascii="Arial" w:eastAsia="Times New Roman" w:hAnsi="Arial" w:cs="Arial"/>
          <w:kern w:val="0"/>
          <w:lang w:eastAsia="en-GB"/>
          <w14:ligatures w14:val="none"/>
        </w:rPr>
        <w:t>.</w:t>
      </w:r>
      <w:r w:rsidRPr="003D71F5">
        <w:rPr>
          <w:rFonts w:ascii="Arial" w:eastAsia="Times New Roman" w:hAnsi="Arial" w:cs="Arial"/>
          <w:kern w:val="0"/>
          <w:lang w:eastAsia="en-GB"/>
          <w14:ligatures w14:val="none"/>
        </w:rPr>
        <w:t xml:space="preserve"> </w:t>
      </w:r>
    </w:p>
    <w:p w14:paraId="7228D534" w14:textId="0503A8D1" w:rsidR="003D71F5" w:rsidRDefault="003D71F5" w:rsidP="00AF517A">
      <w:pPr>
        <w:spacing w:before="100" w:beforeAutospacing="1" w:after="100" w:afterAutospacing="1" w:line="360" w:lineRule="auto"/>
        <w:jc w:val="both"/>
        <w:rPr>
          <w:rFonts w:ascii="Arial" w:eastAsia="Times New Roman" w:hAnsi="Arial" w:cs="Arial"/>
          <w:kern w:val="0"/>
          <w:lang w:eastAsia="en-GB"/>
          <w14:ligatures w14:val="none"/>
        </w:rPr>
      </w:pPr>
      <w:r w:rsidRPr="003D71F5">
        <w:rPr>
          <w:rFonts w:ascii="Arial" w:eastAsia="Times New Roman" w:hAnsi="Arial" w:cs="Arial"/>
          <w:kern w:val="0"/>
          <w:lang w:eastAsia="en-GB"/>
          <w14:ligatures w14:val="none"/>
        </w:rPr>
        <w:t>Despite these initiatives, IKEA’s business model remains heavily dependent on high sales volumes and continuous consumption, which raises questions about the overall sustainability of its operations. While the company has made significant progress in improving resource efficiency and reducing environmental impact</w:t>
      </w:r>
      <w:r w:rsidR="00521C6D">
        <w:rPr>
          <w:rFonts w:ascii="Arial" w:eastAsia="Times New Roman" w:hAnsi="Arial" w:cs="Arial"/>
          <w:kern w:val="0"/>
          <w:lang w:eastAsia="en-GB"/>
          <w14:ligatures w14:val="none"/>
        </w:rPr>
        <w:t xml:space="preserve"> </w:t>
      </w:r>
      <w:r w:rsidR="0055096B">
        <w:rPr>
          <w:rFonts w:ascii="Arial" w:eastAsia="Times New Roman" w:hAnsi="Arial" w:cs="Arial"/>
          <w:kern w:val="0"/>
          <w:lang w:eastAsia="en-GB"/>
          <w14:ligatures w14:val="none"/>
        </w:rPr>
        <w:fldChar w:fldCharType="begin"/>
      </w:r>
      <w:r w:rsidR="0055096B">
        <w:rPr>
          <w:rFonts w:ascii="Arial" w:eastAsia="Times New Roman" w:hAnsi="Arial" w:cs="Arial"/>
          <w:kern w:val="0"/>
          <w:lang w:eastAsia="en-GB"/>
          <w14:ligatures w14:val="none"/>
        </w:rPr>
        <w:instrText xml:space="preserve"> ADDIN ZOTERO_ITEM CSL_CITATION {"citationID":"rWdbPR3d","properties":{"formattedCitation":"(Kalaitzi {\\i{}et al.}, 2019)","plainCitation":"(Kalaitzi et al., 2019)","noteIndex":0},"citationItems":[{"id":502,"uris":["http://zotero.org/users/local/bh3OqUSh/items/5SZIJ3J8"],"itemData":{"id":502,"type":"article-journal","abstract":"Purpose\nThe purpose of this paper is to investigate the implications of supply chain strategies that manufacturing companies can use to minimise or overcome natural resource scarcity, and ultimately improve resource efficiency and achieve competitive advantage. The relationship between resource efficiency and competitive advantage is also explored.\nThe proposed research model draws on resource dependence theory. Data were collected from 183 logistics, purchasing, sustainability and supply chain managers from various manufacturing companies and analysed by applying the partial least squares structural equation modelling technique.\nThe results indicate that both buffering and bridging strategies improve resource efficiency; however, only bridging strategies seem to lead to firm’s competitive advantage in terms of ownership and accessibility to resources. The relationship between resource efficiency and competitive advantage is not supported.\nFuture research could confirm the robustness of these findings by using a larger sample size and taking into account other supply chain members.\nThis research provides guidance to managers faced with the growing risk of resource scarcity to achieve a resource efficient supply chain and an advantage over competitors.\nStudies have explored the appropriate strategies for minimising dependencies caused by the scarcity of natural resources in the field of supply chain management; however, there is limited empirical work on investigating the impact of these strategies on resource efficiency and competitive advantage.","container-title":"International Journal of Operations &amp; Production Management","DOI":"10.1108/IJOPM-02-2019-0137","ISSN":"01443577","issue":"12","language":"English","license":"© Emerald Publishing Limited 2019","note":"number-of-pages: 32\npublisher-place: Bradford, United Kingdom\npublisher: Emerald Group Publishing Limited","page":"1323-1354","source":"ProQuest","title":"Supply chains under resource pressure: Strategies for improving resource efficiency and competitive advantage","title-short":"Supply chains under resource pressure","volume":"39","author":[{"family":"Kalaitzi","given":"Dimitra"},{"family":"Matopoulos","given":"Aristides"},{"family":"Bourlakis","given":"Michael"},{"family":"Tate","given":"Wendy"}],"issued":{"date-parts":[["2019"]]}}}],"schema":"https://github.com/citation-style-language/schema/raw/master/csl-citation.json"} </w:instrText>
      </w:r>
      <w:r w:rsidR="0055096B">
        <w:rPr>
          <w:rFonts w:ascii="Arial" w:eastAsia="Times New Roman" w:hAnsi="Arial" w:cs="Arial"/>
          <w:kern w:val="0"/>
          <w:lang w:eastAsia="en-GB"/>
          <w14:ligatures w14:val="none"/>
        </w:rPr>
        <w:fldChar w:fldCharType="separate"/>
      </w:r>
      <w:r w:rsidR="0055096B" w:rsidRPr="0055096B">
        <w:rPr>
          <w:rFonts w:ascii="Arial" w:hAnsi="Arial" w:cs="Arial"/>
          <w:kern w:val="0"/>
        </w:rPr>
        <w:t xml:space="preserve">(Kalaitzi </w:t>
      </w:r>
      <w:r w:rsidR="0055096B" w:rsidRPr="0055096B">
        <w:rPr>
          <w:rFonts w:ascii="Arial" w:hAnsi="Arial" w:cs="Arial"/>
          <w:i/>
          <w:iCs/>
          <w:kern w:val="0"/>
        </w:rPr>
        <w:t>et al.</w:t>
      </w:r>
      <w:r w:rsidR="0055096B" w:rsidRPr="0055096B">
        <w:rPr>
          <w:rFonts w:ascii="Arial" w:hAnsi="Arial" w:cs="Arial"/>
          <w:kern w:val="0"/>
        </w:rPr>
        <w:t>, 2019)</w:t>
      </w:r>
      <w:r w:rsidR="0055096B">
        <w:rPr>
          <w:rFonts w:ascii="Arial" w:eastAsia="Times New Roman" w:hAnsi="Arial" w:cs="Arial"/>
          <w:kern w:val="0"/>
          <w:lang w:eastAsia="en-GB"/>
          <w14:ligatures w14:val="none"/>
        </w:rPr>
        <w:fldChar w:fldCharType="end"/>
      </w:r>
      <w:r w:rsidRPr="003D71F5">
        <w:rPr>
          <w:rFonts w:ascii="Arial" w:eastAsia="Times New Roman" w:hAnsi="Arial" w:cs="Arial"/>
          <w:kern w:val="0"/>
          <w:lang w:eastAsia="en-GB"/>
          <w14:ligatures w14:val="none"/>
        </w:rPr>
        <w:t>, its reliance on large-scale production and global distribution presents ongoing challenges</w:t>
      </w:r>
      <w:r w:rsidR="00210F0B">
        <w:rPr>
          <w:rFonts w:ascii="Arial" w:eastAsia="Times New Roman" w:hAnsi="Arial" w:cs="Arial"/>
          <w:kern w:val="0"/>
          <w:lang w:eastAsia="en-GB"/>
          <w14:ligatures w14:val="none"/>
        </w:rPr>
        <w:t>.</w:t>
      </w:r>
      <w:r w:rsidR="005A5CB0">
        <w:rPr>
          <w:rFonts w:ascii="Arial" w:eastAsia="Times New Roman" w:hAnsi="Arial" w:cs="Arial"/>
          <w:kern w:val="0"/>
          <w:lang w:eastAsia="en-GB"/>
          <w14:ligatures w14:val="none"/>
        </w:rPr>
        <w:t xml:space="preserve"> </w:t>
      </w:r>
    </w:p>
    <w:p w14:paraId="7B40D6CC" w14:textId="77777777" w:rsidR="004F01EA" w:rsidRDefault="004F01EA" w:rsidP="00AF517A">
      <w:pPr>
        <w:spacing w:before="100" w:beforeAutospacing="1" w:after="100" w:afterAutospacing="1" w:line="360" w:lineRule="auto"/>
        <w:jc w:val="both"/>
        <w:rPr>
          <w:rFonts w:ascii="Arial" w:eastAsia="Times New Roman" w:hAnsi="Arial" w:cs="Arial"/>
          <w:kern w:val="0"/>
          <w:lang w:eastAsia="en-GB"/>
          <w14:ligatures w14:val="none"/>
        </w:rPr>
      </w:pPr>
    </w:p>
    <w:p w14:paraId="3E8D69AC" w14:textId="77777777" w:rsidR="004F01EA" w:rsidRDefault="004F01EA" w:rsidP="00AF517A">
      <w:pPr>
        <w:spacing w:before="100" w:beforeAutospacing="1" w:after="100" w:afterAutospacing="1" w:line="360" w:lineRule="auto"/>
        <w:jc w:val="both"/>
        <w:rPr>
          <w:rFonts w:ascii="Arial" w:eastAsia="Times New Roman" w:hAnsi="Arial" w:cs="Arial"/>
          <w:kern w:val="0"/>
          <w:lang w:eastAsia="en-GB"/>
          <w14:ligatures w14:val="none"/>
        </w:rPr>
      </w:pPr>
    </w:p>
    <w:p w14:paraId="56EDE6F8" w14:textId="6588EAE5" w:rsidR="004E50C2" w:rsidRPr="004E50C2" w:rsidRDefault="004E50C2" w:rsidP="00AF517A">
      <w:pPr>
        <w:spacing w:before="100" w:beforeAutospacing="1" w:after="100" w:afterAutospacing="1" w:line="360" w:lineRule="auto"/>
        <w:jc w:val="both"/>
        <w:outlineLvl w:val="0"/>
        <w:rPr>
          <w:rFonts w:ascii="Arial" w:eastAsia="Times New Roman" w:hAnsi="Arial" w:cs="Arial"/>
          <w:b/>
          <w:bCs/>
          <w:kern w:val="36"/>
          <w:lang w:eastAsia="en-GB"/>
          <w14:ligatures w14:val="none"/>
        </w:rPr>
      </w:pPr>
      <w:bookmarkStart w:id="2" w:name="_Toc231380076"/>
      <w:r w:rsidRPr="004E50C2">
        <w:rPr>
          <w:rFonts w:ascii="Arial" w:eastAsia="Times New Roman" w:hAnsi="Arial" w:cs="Arial"/>
          <w:b/>
          <w:bCs/>
          <w:kern w:val="36"/>
          <w:lang w:eastAsia="en-GB"/>
          <w14:ligatures w14:val="none"/>
        </w:rPr>
        <w:t>Current Sustainability Strategy</w:t>
      </w:r>
      <w:bookmarkEnd w:id="2"/>
      <w:r w:rsidRPr="004E50C2">
        <w:rPr>
          <w:rFonts w:ascii="Arial" w:eastAsia="Times New Roman" w:hAnsi="Arial" w:cs="Arial"/>
          <w:b/>
          <w:bCs/>
          <w:kern w:val="36"/>
          <w:lang w:eastAsia="en-GB"/>
          <w14:ligatures w14:val="none"/>
        </w:rPr>
        <w:t xml:space="preserve"> </w:t>
      </w:r>
    </w:p>
    <w:p w14:paraId="7FC2A5DC" w14:textId="45613AA9" w:rsidR="004E50C2" w:rsidRPr="00210F0B" w:rsidRDefault="004E50C2" w:rsidP="00AF517A">
      <w:pPr>
        <w:spacing w:before="100" w:beforeAutospacing="1" w:after="100" w:afterAutospacing="1" w:line="360" w:lineRule="auto"/>
        <w:jc w:val="both"/>
        <w:rPr>
          <w:rFonts w:ascii="Arial" w:eastAsia="Times New Roman" w:hAnsi="Arial" w:cs="Arial"/>
          <w:strike/>
          <w:color w:val="FF0000"/>
          <w:kern w:val="0"/>
          <w:lang w:eastAsia="en-GB"/>
          <w14:ligatures w14:val="none"/>
        </w:rPr>
      </w:pPr>
      <w:r w:rsidRPr="0055096B">
        <w:rPr>
          <w:rFonts w:ascii="Arial" w:eastAsia="Times New Roman" w:hAnsi="Arial" w:cs="Arial"/>
          <w:kern w:val="0"/>
          <w:lang w:eastAsia="en-GB"/>
          <w14:ligatures w14:val="none"/>
        </w:rPr>
        <w:t>IKEA</w:t>
      </w:r>
      <w:r w:rsidR="0055096B">
        <w:rPr>
          <w:rFonts w:ascii="Arial" w:eastAsia="Times New Roman" w:hAnsi="Arial" w:cs="Arial"/>
          <w:kern w:val="0"/>
          <w:lang w:eastAsia="en-GB"/>
          <w14:ligatures w14:val="none"/>
        </w:rPr>
        <w:t xml:space="preserve">’s </w:t>
      </w:r>
      <w:r w:rsidRPr="0055096B">
        <w:rPr>
          <w:rFonts w:ascii="Arial" w:eastAsia="Times New Roman" w:hAnsi="Arial" w:cs="Arial"/>
          <w:kern w:val="0"/>
          <w:lang w:eastAsia="en-GB"/>
          <w14:ligatures w14:val="none"/>
        </w:rPr>
        <w:t>People and Planet Positive strategy</w:t>
      </w:r>
      <w:r w:rsidR="0055096B">
        <w:rPr>
          <w:rFonts w:ascii="Arial" w:eastAsia="Times New Roman" w:hAnsi="Arial" w:cs="Arial"/>
          <w:kern w:val="0"/>
          <w:lang w:eastAsia="en-GB"/>
          <w14:ligatures w14:val="none"/>
        </w:rPr>
        <w:t xml:space="preserve"> anchors its position as sustainable retail leader. By</w:t>
      </w:r>
      <w:r w:rsidR="00331FC2">
        <w:rPr>
          <w:rFonts w:ascii="Arial" w:eastAsia="Times New Roman" w:hAnsi="Arial" w:cs="Arial"/>
          <w:kern w:val="0"/>
          <w:lang w:eastAsia="en-GB"/>
          <w14:ligatures w14:val="none"/>
        </w:rPr>
        <w:t xml:space="preserve"> </w:t>
      </w:r>
      <w:r w:rsidR="0055096B">
        <w:rPr>
          <w:rFonts w:ascii="Arial" w:eastAsia="Times New Roman" w:hAnsi="Arial" w:cs="Arial"/>
          <w:kern w:val="0"/>
          <w:lang w:eastAsia="en-GB"/>
          <w14:ligatures w14:val="none"/>
        </w:rPr>
        <w:t xml:space="preserve">adopting </w:t>
      </w:r>
      <w:r w:rsidRPr="004E50C2">
        <w:rPr>
          <w:rFonts w:ascii="Arial" w:eastAsia="Times New Roman" w:hAnsi="Arial" w:cs="Arial"/>
          <w:kern w:val="0"/>
          <w:lang w:eastAsia="en-GB"/>
          <w14:ligatures w14:val="none"/>
        </w:rPr>
        <w:t xml:space="preserve">circular economy principles, </w:t>
      </w:r>
      <w:r w:rsidR="0055096B">
        <w:rPr>
          <w:rFonts w:ascii="Arial" w:eastAsia="Times New Roman" w:hAnsi="Arial" w:cs="Arial"/>
          <w:kern w:val="0"/>
          <w:lang w:eastAsia="en-GB"/>
          <w14:ligatures w14:val="none"/>
        </w:rPr>
        <w:t>the company focuses</w:t>
      </w:r>
      <w:r w:rsidRPr="004E50C2">
        <w:rPr>
          <w:rFonts w:ascii="Arial" w:eastAsia="Times New Roman" w:hAnsi="Arial" w:cs="Arial"/>
          <w:kern w:val="0"/>
          <w:lang w:eastAsia="en-GB"/>
          <w14:ligatures w14:val="none"/>
        </w:rPr>
        <w:t xml:space="preserve"> </w:t>
      </w:r>
      <w:r w:rsidR="0055096B">
        <w:rPr>
          <w:rFonts w:ascii="Arial" w:eastAsia="Times New Roman" w:hAnsi="Arial" w:cs="Arial"/>
          <w:kern w:val="0"/>
          <w:lang w:eastAsia="en-GB"/>
          <w14:ligatures w14:val="none"/>
        </w:rPr>
        <w:t xml:space="preserve">on </w:t>
      </w:r>
      <w:r w:rsidRPr="004E50C2">
        <w:rPr>
          <w:rFonts w:ascii="Arial" w:eastAsia="Times New Roman" w:hAnsi="Arial" w:cs="Arial"/>
          <w:kern w:val="0"/>
          <w:lang w:eastAsia="en-GB"/>
          <w14:ligatures w14:val="none"/>
        </w:rPr>
        <w:t>reduc</w:t>
      </w:r>
      <w:r w:rsidR="0055096B">
        <w:rPr>
          <w:rFonts w:ascii="Arial" w:eastAsia="Times New Roman" w:hAnsi="Arial" w:cs="Arial"/>
          <w:kern w:val="0"/>
          <w:lang w:eastAsia="en-GB"/>
          <w14:ligatures w14:val="none"/>
        </w:rPr>
        <w:t>ing</w:t>
      </w:r>
      <w:r w:rsidRPr="004E50C2">
        <w:rPr>
          <w:rFonts w:ascii="Arial" w:eastAsia="Times New Roman" w:hAnsi="Arial" w:cs="Arial"/>
          <w:kern w:val="0"/>
          <w:lang w:eastAsia="en-GB"/>
          <w14:ligatures w14:val="none"/>
        </w:rPr>
        <w:t xml:space="preserve"> waste, extend</w:t>
      </w:r>
      <w:r w:rsidR="0055096B">
        <w:rPr>
          <w:rFonts w:ascii="Arial" w:eastAsia="Times New Roman" w:hAnsi="Arial" w:cs="Arial"/>
          <w:kern w:val="0"/>
          <w:lang w:eastAsia="en-GB"/>
          <w14:ligatures w14:val="none"/>
        </w:rPr>
        <w:t>ing</w:t>
      </w:r>
      <w:r w:rsidRPr="004E50C2">
        <w:rPr>
          <w:rFonts w:ascii="Arial" w:eastAsia="Times New Roman" w:hAnsi="Arial" w:cs="Arial"/>
          <w:kern w:val="0"/>
          <w:lang w:eastAsia="en-GB"/>
          <w14:ligatures w14:val="none"/>
        </w:rPr>
        <w:t xml:space="preserve"> product lifecycles, and reus</w:t>
      </w:r>
      <w:r w:rsidR="0055096B">
        <w:rPr>
          <w:rFonts w:ascii="Arial" w:eastAsia="Times New Roman" w:hAnsi="Arial" w:cs="Arial"/>
          <w:kern w:val="0"/>
          <w:lang w:eastAsia="en-GB"/>
          <w14:ligatures w14:val="none"/>
        </w:rPr>
        <w:t>ing</w:t>
      </w:r>
      <w:r w:rsidRPr="004E50C2">
        <w:rPr>
          <w:rFonts w:ascii="Arial" w:eastAsia="Times New Roman" w:hAnsi="Arial" w:cs="Arial"/>
          <w:kern w:val="0"/>
          <w:lang w:eastAsia="en-GB"/>
          <w14:ligatures w14:val="none"/>
        </w:rPr>
        <w:t xml:space="preserve"> of materials</w:t>
      </w:r>
      <w:r w:rsidR="007A154F">
        <w:rPr>
          <w:rFonts w:ascii="Arial" w:eastAsia="Times New Roman" w:hAnsi="Arial" w:cs="Arial"/>
          <w:kern w:val="0"/>
          <w:lang w:eastAsia="en-GB"/>
          <w14:ligatures w14:val="none"/>
        </w:rPr>
        <w:t xml:space="preserve"> </w:t>
      </w:r>
      <w:r w:rsidR="007A154F">
        <w:rPr>
          <w:rFonts w:ascii="Arial" w:eastAsia="Times New Roman" w:hAnsi="Arial" w:cs="Arial"/>
          <w:kern w:val="0"/>
          <w:lang w:eastAsia="en-GB"/>
          <w14:ligatures w14:val="none"/>
        </w:rPr>
        <w:fldChar w:fldCharType="begin"/>
      </w:r>
      <w:r w:rsidR="007A154F">
        <w:rPr>
          <w:rFonts w:ascii="Arial" w:eastAsia="Times New Roman" w:hAnsi="Arial" w:cs="Arial"/>
          <w:kern w:val="0"/>
          <w:lang w:eastAsia="en-GB"/>
          <w14:ligatures w14:val="none"/>
        </w:rPr>
        <w:instrText xml:space="preserve"> ADDIN ZOTERO_ITEM CSL_CITATION {"citationID":"CUbbveys","properties":{"formattedCitation":"(Lehner {\\i{}et al.}, 2020c)","plainCitation":"(Lehner et al., 2020c)","noteIndex":0},"citationItems":[{"id":322,"uris":["http://zotero.org/users/local/bh3OqUSh/items/VEMDBLIB"],"itemData":{"id":322,"type":"article-journal","abstract":"(1) If policy-makers and businesses are to encourage consumers to participate in circular consumption systems, knowledge is needed about what motivates consumers to choose different disposal options. This paper aims to shed light on what motivates consumers to engage in circular home textile disposal practices. (2) Quantitative data was collected through a survey of members of the IKEA Family programme (N = 238), and logistic regressions were carried out to complement the quantitative analysis. Qualitative data was collected in semi-structured interviews with a total of 24 Swedish consumers. (3) Our findings show that donating and discarding are the most common options for handling home textiles, followed by reusing/storing, repairing, and reselling. Regression results indicate that environmental concerns, convenience, and economic reasons are the dominant motivations in choosing a disposal option. Prosocial behaviour and normative issues play a lesser role. (4) We recommend that policy-makers and businesses work to increase convenience of consumers’ participation in circular product practices, and continually communicate environmental benefits of circular disposal options. Businesses and policy-makers aiming to make circular consumption more attractive also need to ensure economic benefits for consumers.","container-title":"Sustainability","DOI":"10.3390/su12125030","ISSN":"2071-1050","issue":"12","journalAbbreviation":"Sustainability","language":"en","page":"5030","source":"DOI.org (Crossref)","title":"Circular Economy in Home Textiles: Motivations of IKEA Consumers in Sweden","title-short":"Circular Economy in Home Textiles","volume":"12","author":[{"family":"Lehner","given":"Matthias"},{"family":"Mont","given":"Oksana"},{"family":"Mariani","given":"Giulia"},{"family":"Mundaca","given":"Luis"}],"issued":{"date-parts":[["2020",6,19]]}}}],"schema":"https://github.com/citation-style-language/schema/raw/master/csl-citation.json"} </w:instrText>
      </w:r>
      <w:r w:rsidR="007A154F">
        <w:rPr>
          <w:rFonts w:ascii="Arial" w:eastAsia="Times New Roman" w:hAnsi="Arial" w:cs="Arial"/>
          <w:kern w:val="0"/>
          <w:lang w:eastAsia="en-GB"/>
          <w14:ligatures w14:val="none"/>
        </w:rPr>
        <w:fldChar w:fldCharType="separate"/>
      </w:r>
      <w:r w:rsidR="007A154F" w:rsidRPr="007A154F">
        <w:rPr>
          <w:rFonts w:ascii="Arial" w:hAnsi="Arial" w:cs="Arial"/>
          <w:kern w:val="0"/>
        </w:rPr>
        <w:t xml:space="preserve">(Lehner </w:t>
      </w:r>
      <w:r w:rsidR="007A154F" w:rsidRPr="007A154F">
        <w:rPr>
          <w:rFonts w:ascii="Arial" w:hAnsi="Arial" w:cs="Arial"/>
          <w:i/>
          <w:iCs/>
          <w:kern w:val="0"/>
        </w:rPr>
        <w:t>et al.</w:t>
      </w:r>
      <w:r w:rsidR="007A154F" w:rsidRPr="007A154F">
        <w:rPr>
          <w:rFonts w:ascii="Arial" w:hAnsi="Arial" w:cs="Arial"/>
          <w:kern w:val="0"/>
        </w:rPr>
        <w:t>, 2020c)</w:t>
      </w:r>
      <w:r w:rsidR="007A154F">
        <w:rPr>
          <w:rFonts w:ascii="Arial" w:eastAsia="Times New Roman" w:hAnsi="Arial" w:cs="Arial"/>
          <w:kern w:val="0"/>
          <w:lang w:eastAsia="en-GB"/>
          <w14:ligatures w14:val="none"/>
        </w:rPr>
        <w:fldChar w:fldCharType="end"/>
      </w:r>
      <w:r w:rsidR="007A154F">
        <w:rPr>
          <w:rFonts w:ascii="Arial" w:eastAsia="Times New Roman" w:hAnsi="Arial" w:cs="Arial"/>
          <w:kern w:val="0"/>
          <w:lang w:eastAsia="en-GB"/>
          <w14:ligatures w14:val="none"/>
        </w:rPr>
        <w:t>.</w:t>
      </w:r>
      <w:r w:rsidRPr="004E50C2">
        <w:rPr>
          <w:rFonts w:ascii="Arial" w:eastAsia="Times New Roman" w:hAnsi="Arial" w:cs="Arial"/>
          <w:kern w:val="0"/>
          <w:lang w:eastAsia="en-GB"/>
          <w14:ligatures w14:val="none"/>
        </w:rPr>
        <w:t xml:space="preserve"> IKEA </w:t>
      </w:r>
      <w:r w:rsidR="0055096B">
        <w:rPr>
          <w:rFonts w:ascii="Arial" w:eastAsia="Times New Roman" w:hAnsi="Arial" w:cs="Arial"/>
          <w:kern w:val="0"/>
          <w:lang w:eastAsia="en-GB"/>
          <w14:ligatures w14:val="none"/>
        </w:rPr>
        <w:t xml:space="preserve">aims to transition into a completely </w:t>
      </w:r>
      <w:r w:rsidRPr="004E50C2">
        <w:rPr>
          <w:rFonts w:ascii="Arial" w:eastAsia="Times New Roman" w:hAnsi="Arial" w:cs="Arial"/>
          <w:kern w:val="0"/>
          <w:lang w:eastAsia="en-GB"/>
          <w14:ligatures w14:val="none"/>
        </w:rPr>
        <w:t xml:space="preserve">circular business by designing products </w:t>
      </w:r>
      <w:r w:rsidR="0055096B">
        <w:rPr>
          <w:rFonts w:ascii="Arial" w:eastAsia="Times New Roman" w:hAnsi="Arial" w:cs="Arial"/>
          <w:kern w:val="0"/>
          <w:lang w:eastAsia="en-GB"/>
          <w14:ligatures w14:val="none"/>
        </w:rPr>
        <w:t>speci</w:t>
      </w:r>
      <w:r w:rsidR="00331FC2">
        <w:rPr>
          <w:rFonts w:ascii="Arial" w:eastAsia="Times New Roman" w:hAnsi="Arial" w:cs="Arial"/>
          <w:kern w:val="0"/>
          <w:lang w:eastAsia="en-GB"/>
          <w14:ligatures w14:val="none"/>
        </w:rPr>
        <w:t>fically</w:t>
      </w:r>
      <w:r w:rsidRPr="004E50C2">
        <w:rPr>
          <w:rFonts w:ascii="Arial" w:eastAsia="Times New Roman" w:hAnsi="Arial" w:cs="Arial"/>
          <w:kern w:val="0"/>
          <w:lang w:eastAsia="en-GB"/>
          <w14:ligatures w14:val="none"/>
        </w:rPr>
        <w:t xml:space="preserve"> </w:t>
      </w:r>
      <w:r w:rsidR="00331FC2">
        <w:rPr>
          <w:rFonts w:ascii="Arial" w:eastAsia="Times New Roman" w:hAnsi="Arial" w:cs="Arial"/>
          <w:kern w:val="0"/>
          <w:lang w:eastAsia="en-GB"/>
          <w14:ligatures w14:val="none"/>
        </w:rPr>
        <w:t xml:space="preserve">for </w:t>
      </w:r>
      <w:r w:rsidRPr="004E50C2">
        <w:rPr>
          <w:rFonts w:ascii="Arial" w:eastAsia="Times New Roman" w:hAnsi="Arial" w:cs="Arial"/>
          <w:kern w:val="0"/>
          <w:lang w:eastAsia="en-GB"/>
          <w14:ligatures w14:val="none"/>
        </w:rPr>
        <w:t>reuse, repair, remanufactur</w:t>
      </w:r>
      <w:r w:rsidR="00331FC2">
        <w:rPr>
          <w:rFonts w:ascii="Arial" w:eastAsia="Times New Roman" w:hAnsi="Arial" w:cs="Arial"/>
          <w:kern w:val="0"/>
          <w:lang w:eastAsia="en-GB"/>
          <w14:ligatures w14:val="none"/>
        </w:rPr>
        <w:t>ing</w:t>
      </w:r>
      <w:r w:rsidRPr="004E50C2">
        <w:rPr>
          <w:rFonts w:ascii="Arial" w:eastAsia="Times New Roman" w:hAnsi="Arial" w:cs="Arial"/>
          <w:kern w:val="0"/>
          <w:lang w:eastAsia="en-GB"/>
          <w14:ligatures w14:val="none"/>
        </w:rPr>
        <w:t xml:space="preserve">, </w:t>
      </w:r>
      <w:r w:rsidR="00331FC2">
        <w:rPr>
          <w:rFonts w:ascii="Arial" w:eastAsia="Times New Roman" w:hAnsi="Arial" w:cs="Arial"/>
          <w:kern w:val="0"/>
          <w:lang w:eastAsia="en-GB"/>
          <w14:ligatures w14:val="none"/>
        </w:rPr>
        <w:t xml:space="preserve">and </w:t>
      </w:r>
      <w:r w:rsidRPr="004E50C2">
        <w:rPr>
          <w:rFonts w:ascii="Arial" w:eastAsia="Times New Roman" w:hAnsi="Arial" w:cs="Arial"/>
          <w:kern w:val="0"/>
          <w:lang w:eastAsia="en-GB"/>
          <w14:ligatures w14:val="none"/>
        </w:rPr>
        <w:t>recycl</w:t>
      </w:r>
      <w:r w:rsidR="00331FC2">
        <w:rPr>
          <w:rFonts w:ascii="Arial" w:eastAsia="Times New Roman" w:hAnsi="Arial" w:cs="Arial"/>
          <w:kern w:val="0"/>
          <w:lang w:eastAsia="en-GB"/>
          <w14:ligatures w14:val="none"/>
        </w:rPr>
        <w:t>ing.</w:t>
      </w:r>
      <w:r w:rsidRPr="004E50C2">
        <w:rPr>
          <w:rFonts w:ascii="Arial" w:eastAsia="Times New Roman" w:hAnsi="Arial" w:cs="Arial"/>
          <w:kern w:val="0"/>
          <w:lang w:eastAsia="en-GB"/>
          <w14:ligatures w14:val="none"/>
        </w:rPr>
        <w:t xml:space="preserve"> In addition, the company has invested significantly in renewable energy, with ambitions to achieve climate positivity by reducing more greenhouse gas emissions than it produces. </w:t>
      </w:r>
    </w:p>
    <w:p w14:paraId="6961ED18" w14:textId="11DD4088" w:rsidR="004E50C2" w:rsidRPr="004E50C2" w:rsidRDefault="004E50C2" w:rsidP="00AF517A">
      <w:pPr>
        <w:spacing w:before="100" w:beforeAutospacing="1" w:after="100" w:afterAutospacing="1" w:line="360" w:lineRule="auto"/>
        <w:jc w:val="both"/>
        <w:rPr>
          <w:rFonts w:ascii="Arial" w:eastAsia="Times New Roman" w:hAnsi="Arial" w:cs="Arial"/>
          <w:kern w:val="0"/>
          <w:lang w:eastAsia="en-GB"/>
          <w14:ligatures w14:val="none"/>
        </w:rPr>
      </w:pPr>
      <w:r w:rsidRPr="004E50C2">
        <w:rPr>
          <w:rFonts w:ascii="Arial" w:eastAsia="Times New Roman" w:hAnsi="Arial" w:cs="Arial"/>
          <w:kern w:val="0"/>
          <w:lang w:eastAsia="en-GB"/>
          <w14:ligatures w14:val="none"/>
        </w:rPr>
        <w:t>Furthermore, IKEA has implemented several practical initiatives to support its sustainability goals. These include sustainable sourcing of raw materials such as wood and cotton, the use of recycled materials in product design, and the introduction of furniture take-back and resale programmes</w:t>
      </w:r>
      <w:r w:rsidR="00213191">
        <w:rPr>
          <w:rFonts w:ascii="Arial" w:eastAsia="Times New Roman" w:hAnsi="Arial" w:cs="Arial"/>
          <w:kern w:val="0"/>
          <w:lang w:eastAsia="en-GB"/>
          <w14:ligatures w14:val="none"/>
        </w:rPr>
        <w:t xml:space="preserve"> </w:t>
      </w:r>
      <w:r w:rsidR="00331FC2">
        <w:rPr>
          <w:rFonts w:ascii="Arial" w:eastAsia="Times New Roman" w:hAnsi="Arial" w:cs="Arial"/>
          <w:kern w:val="0"/>
          <w:lang w:eastAsia="en-GB"/>
          <w14:ligatures w14:val="none"/>
        </w:rPr>
        <w:fldChar w:fldCharType="begin"/>
      </w:r>
      <w:r w:rsidR="00331FC2">
        <w:rPr>
          <w:rFonts w:ascii="Arial" w:eastAsia="Times New Roman" w:hAnsi="Arial" w:cs="Arial"/>
          <w:kern w:val="0"/>
          <w:lang w:eastAsia="en-GB"/>
          <w14:ligatures w14:val="none"/>
        </w:rPr>
        <w:instrText xml:space="preserve"> ADDIN ZOTERO_ITEM CSL_CITATION {"citationID":"H4gteXwp","properties":{"formattedCitation":"(Chen, Kucukyazici and Saenz, 2019)","plainCitation":"(Chen, Kucukyazici and Saenz, 2019)","noteIndex":0},"citationItems":[{"id":505,"uris":["http://zotero.org/users/local/bh3OqUSh/items/UDG5I5SI"],"itemData":{"id":505,"type":"article-journal","abstract":"The aim of this paper is to help regulators develop efficient recovery targets, to deliver desirable economic and environmental outcomes for collective product take-back systems. Two environmental measures—waste generation and energy consumption—are utilized jointly to evaluate the environmental performance of the legislation, whereas economic surplus is used to indicate the economic outcome. We develop a bi-level multi-objective formulation to capture the dynamics between a regulator, a producer, consumers, and the environment. A case study based on BSH Bosch and Siemens Home Appliances and Germany's WEEE take-back scheme is used for deriving policy and managerial insights. We find that the optimal waste generation is robust among all the Pareto solutions in every tested scenarios, as long as recycling is cheaper than landfilling. Our findings also hint the potential benefits of using subsidiary tools, such as a landfill tax and an energy cap, to enhance the overall environmental performance of take-back legislation. From a methodology perspective, a unique feature of the paper is the use of a multi-objective framework for take-back legislation that enables us to characterize the Pareto frontier. Secondly, from the practical perspective, this paper can help regulators with a policy design decision support tool that gradually guides to the most preferable policy, balancing the trade-offs between the three objectives.","container-title":"International Journal of Production Economics","DOI":"10.1016/j.ijpe.2019.04.028","ISSN":"09255273","journalAbbreviation":"International Journal of Production Economics","language":"en","page":"228-244","source":"DOI.org (Crossref)","title":"On the joint dynamics of the economic and environmental performances for collective take-back systems","volume":"218","author":[{"family":"Chen","given":"Wenyi"},{"family":"Kucukyazici","given":"Beste"},{"family":"Saenz","given":"Maria Jesus"}],"issued":{"date-parts":[["2019",12]]}}}],"schema":"https://github.com/citation-style-language/schema/raw/master/csl-citation.json"} </w:instrText>
      </w:r>
      <w:r w:rsidR="00331FC2">
        <w:rPr>
          <w:rFonts w:ascii="Arial" w:eastAsia="Times New Roman" w:hAnsi="Arial" w:cs="Arial"/>
          <w:kern w:val="0"/>
          <w:lang w:eastAsia="en-GB"/>
          <w14:ligatures w14:val="none"/>
        </w:rPr>
        <w:fldChar w:fldCharType="separate"/>
      </w:r>
      <w:r w:rsidR="00331FC2" w:rsidRPr="00331FC2">
        <w:rPr>
          <w:rFonts w:ascii="Arial" w:hAnsi="Arial" w:cs="Arial"/>
          <w:lang w:eastAsia="en-GB"/>
        </w:rPr>
        <w:t>(Chen, Kucukyazici and Saenz, 2019)</w:t>
      </w:r>
      <w:r w:rsidR="00331FC2">
        <w:rPr>
          <w:rFonts w:ascii="Arial" w:eastAsia="Times New Roman" w:hAnsi="Arial" w:cs="Arial"/>
          <w:kern w:val="0"/>
          <w:lang w:eastAsia="en-GB"/>
          <w14:ligatures w14:val="none"/>
        </w:rPr>
        <w:fldChar w:fldCharType="end"/>
      </w:r>
      <w:r w:rsidRPr="004E50C2">
        <w:rPr>
          <w:rFonts w:ascii="Arial" w:eastAsia="Times New Roman" w:hAnsi="Arial" w:cs="Arial"/>
          <w:kern w:val="0"/>
          <w:lang w:eastAsia="en-GB"/>
          <w14:ligatures w14:val="none"/>
        </w:rPr>
        <w:t>. The company has also focused on improving energy efficiency within its operations and supply chain, alongside investing in renewable energy projects such as wind and solar power. From a strategic perspective, these initiatives indicate that IKEA has integrated sustainability into its core business model rather than treating it as a peripheral activity</w:t>
      </w:r>
      <w:r w:rsidR="00071AB8">
        <w:rPr>
          <w:rFonts w:ascii="Arial" w:eastAsia="Times New Roman" w:hAnsi="Arial" w:cs="Arial"/>
          <w:kern w:val="0"/>
          <w:lang w:eastAsia="en-GB"/>
          <w14:ligatures w14:val="none"/>
        </w:rPr>
        <w:t xml:space="preserve"> </w:t>
      </w:r>
      <w:r w:rsidR="00071AB8">
        <w:rPr>
          <w:rFonts w:ascii="Arial" w:eastAsia="Times New Roman" w:hAnsi="Arial" w:cs="Arial"/>
          <w:kern w:val="0"/>
          <w:lang w:eastAsia="en-GB"/>
          <w14:ligatures w14:val="none"/>
        </w:rPr>
        <w:fldChar w:fldCharType="begin"/>
      </w:r>
      <w:r w:rsidR="00071AB8">
        <w:rPr>
          <w:rFonts w:ascii="Arial" w:eastAsia="Times New Roman" w:hAnsi="Arial" w:cs="Arial"/>
          <w:kern w:val="0"/>
          <w:lang w:eastAsia="en-GB"/>
          <w14:ligatures w14:val="none"/>
        </w:rPr>
        <w:instrText xml:space="preserve"> ADDIN ZOTERO_ITEM CSL_CITATION {"citationID":"82I32thY","properties":{"formattedCitation":"(Lazurko {\\i{}et al.}, 2025)","plainCitation":"(Lazurko et al., 2025)","noteIndex":0},"citationItems":[{"id":327,"uris":["http://zotero.org/users/local/bh3OqUSh/items/3ERL6CW9"],"itemData":{"id":327,"type":"article-journal","abstract":"Transdisciplinary sustainability scientists work with many different actors in pursuit of change. In so doing they make choices about why and how to engage with different perspectives in their research. Reflexivity – active individual and collective critical reflection – is considered an important capacity for researchers to address the resulting ethical and practical challenges. We developed a framework for reflexivity as a transformative capacity in sustainability science through a critical systems approach, which helps make any decisions that influence which perspectives are included or excluded in research explicit. We suggest that transdisciplinary sustainability research can become more transformative by nurturing reflexivity.\nTransdisciplinary sustainability science is increasingly applied to study transformative change. Yet, transdisciplinary research involves diverse actors who hold contrasting and sometimes conflicting perspectives and worldviews. Reflexivity is cited as a crucial capacity for navigating the resulting challenges, yet notions of reflexivity are often focused on individual researcher reflections that lack explicit links to the collective transdisciplinary research process and predominant modes of inquiry in the field. This gap presents the risk that reflexivity remains on the periphery of sustainability science and becomes ‘unreflexive’, as crucial dimensions are left unacknowledged. Our objective was to establish a framework for reflexivity as a transformative capacity in sustainability science through a critical systems approach. We developed and refined the framework through a rapid scoping review of literature on transdisciplinarity, transformation, and reflexivity, and reflection on a scenario study in the Red River Basin (US, Canada). The framework characterizes reflexivity as the capacity to nurture a dynamic, embedded, and collective process of self-scrutiny and mutual learning in service of transformative change, which manifests through interacting boundary processes – boundary delineation, interaction, and transformation. The case study reflection suggests how embedding this framework in research can expose boundary processes that block transformation and nurture more reflexive and transformative research.\nTransdisciplinary sustainability research may become more transformative by nurturing reflexivity as a dynamic, embedded, and collective learning process.","container-title":"Global Sustainability","DOI":"10.1017/sus.2024.49","language":"English","license":"Copyright © The Author(s), 2025. Published by Cambridge University Press. This work is licensed under the Creative Commons Attribution License This is an Open Access article, distributed under the terms of the Creative Commons Attribution licence (http://creativecommons.org/licenses/by/4.0/), which permits unrestricted re-use, distribution and reproduction, provided the original article is properly cited. (the “License”).  Notwithstanding the ProQuest Terms and Conditions, you may use this content in accordance with the terms of the License.","note":"publisher-place: Cambridge, United Kingdom\npublisher: Cambridge University Press","source":"ProQuest","title":"Reflexivity as a transformative capacity for sustainability science: introducing a critical systems approach","title-short":"Reflexivity as a transformative capacity for sustainability science","URL":"https://www.proquest.com/docview/3153495154/abstract/44D5B2E333F04B73PQ/1","volume":"8","author":[{"family":"Lazurko","given":"Anita"},{"family":"Michele-Lee","given":"Moore"},{"family":"Haider","given":"L. Jamila"},{"family":"West","given":"Simon"},{"family":"McCarthy","given":"Daniel D. P."}],"accessed":{"date-parts":[["2026",5,7]]},"issued":{"date-parts":[["2025",1]]}}}],"schema":"https://github.com/citation-style-language/schema/raw/master/csl-citation.json"} </w:instrText>
      </w:r>
      <w:r w:rsidR="00071AB8">
        <w:rPr>
          <w:rFonts w:ascii="Arial" w:eastAsia="Times New Roman" w:hAnsi="Arial" w:cs="Arial"/>
          <w:kern w:val="0"/>
          <w:lang w:eastAsia="en-GB"/>
          <w14:ligatures w14:val="none"/>
        </w:rPr>
        <w:fldChar w:fldCharType="separate"/>
      </w:r>
      <w:r w:rsidR="00071AB8" w:rsidRPr="00071AB8">
        <w:rPr>
          <w:rFonts w:ascii="Arial" w:hAnsi="Arial" w:cs="Arial"/>
          <w:kern w:val="0"/>
        </w:rPr>
        <w:t xml:space="preserve">(Lazurko </w:t>
      </w:r>
      <w:r w:rsidR="00071AB8" w:rsidRPr="00071AB8">
        <w:rPr>
          <w:rFonts w:ascii="Arial" w:hAnsi="Arial" w:cs="Arial"/>
          <w:i/>
          <w:iCs/>
          <w:kern w:val="0"/>
        </w:rPr>
        <w:t>et al.</w:t>
      </w:r>
      <w:r w:rsidR="00071AB8" w:rsidRPr="00071AB8">
        <w:rPr>
          <w:rFonts w:ascii="Arial" w:hAnsi="Arial" w:cs="Arial"/>
          <w:kern w:val="0"/>
        </w:rPr>
        <w:t>, 2025)</w:t>
      </w:r>
      <w:r w:rsidR="00071AB8">
        <w:rPr>
          <w:rFonts w:ascii="Arial" w:eastAsia="Times New Roman" w:hAnsi="Arial" w:cs="Arial"/>
          <w:kern w:val="0"/>
          <w:lang w:eastAsia="en-GB"/>
          <w14:ligatures w14:val="none"/>
        </w:rPr>
        <w:fldChar w:fldCharType="end"/>
      </w:r>
      <w:r w:rsidR="00071AB8">
        <w:rPr>
          <w:rFonts w:ascii="Arial" w:eastAsia="Times New Roman" w:hAnsi="Arial" w:cs="Arial"/>
          <w:kern w:val="0"/>
          <w:lang w:eastAsia="en-GB"/>
          <w14:ligatures w14:val="none"/>
        </w:rPr>
        <w:t>.</w:t>
      </w:r>
    </w:p>
    <w:p w14:paraId="2B0796F8" w14:textId="6FC3DBC5" w:rsidR="004E50C2" w:rsidRPr="004E50C2" w:rsidRDefault="004E50C2" w:rsidP="00AF517A">
      <w:pPr>
        <w:pStyle w:val="NormalWeb"/>
        <w:spacing w:line="360" w:lineRule="auto"/>
        <w:jc w:val="both"/>
        <w:rPr>
          <w:rFonts w:ascii="Arial" w:hAnsi="Arial" w:cs="Arial"/>
        </w:rPr>
      </w:pPr>
      <w:r w:rsidRPr="004E50C2">
        <w:rPr>
          <w:rFonts w:ascii="Arial" w:hAnsi="Arial" w:cs="Arial"/>
        </w:rPr>
        <w:t>However, despite these strengths, significant limitations remain. One of the most critical issues is the inherent tension between IKEA’s sustainability ambitions and its high-volume, low-cost business model</w:t>
      </w:r>
      <w:r w:rsidR="00071AB8">
        <w:rPr>
          <w:rFonts w:ascii="Arial" w:hAnsi="Arial" w:cs="Arial"/>
        </w:rPr>
        <w:t xml:space="preserve"> </w:t>
      </w:r>
      <w:r w:rsidR="00071AB8">
        <w:rPr>
          <w:rFonts w:ascii="Arial" w:hAnsi="Arial" w:cs="Arial"/>
        </w:rPr>
        <w:fldChar w:fldCharType="begin"/>
      </w:r>
      <w:r w:rsidR="00071AB8">
        <w:rPr>
          <w:rFonts w:ascii="Arial" w:hAnsi="Arial" w:cs="Arial"/>
        </w:rPr>
        <w:instrText xml:space="preserve"> ADDIN ZOTERO_ITEM CSL_CITATION {"citationID":"rrt2vZx7","properties":{"formattedCitation":"(Bocken and Konietzko, 2022)","plainCitation":"(Bocken and Konietzko, 2022)","noteIndex":0},"citationItems":[{"id":330,"uris":["http://zotero.org/users/local/bh3OqUSh/items/848UVRR3"],"itemData":{"id":330,"type":"article-journal","abstract":"Consumer-facing corporations have started setting ambitious circular economy goals. However, it is unclear what innovators in corporations do to help meet these targets. The literature on circular business model innovation (CBMI) has focused on business-to-business contexts, efficiency, and recycling, but lacks insight into the innovation activities within consumer-facing corporations to pursue higher strategies in the waste hierarchy such as repair and reuse. Because of the size and potential impact of such organizations, it is important to better understand these activities. The aim of this study is to investigate the essential activities innovators in consumerfacing corporations carry out as part of CBMI. We use a dynamic capabilities lens to review the literature on innovation activities according to the CBMI stages of visioning, sensing, seizing and transforming. The following research question is investigated: What practices and tools help corporations build dynamic capabilities during the CBMI process? We conduct in-depth interviews with key informants dealing with CBMI in three corporations (H&amp;M, IKEA, and Philips), and use thematic analysis to analyze and map the data to the four stages. We thereby add a range of CBMI innovation activities to the current literature and provide additional guidance for practitioners in large corporations.","container-title":"Technological Forecasting and Social Change","DOI":"10.1016/j.techfore.2022.122076","ISSN":"00401625","journalAbbreviation":"Technological Forecasting and Social Change","language":"en","page":"122076","source":"DOI.org (Crossref)","title":"Circular business model innovation in consumer-facing corporations","volume":"185","author":[{"family":"Bocken","given":"Nancy"},{"family":"Konietzko","given":"Jan"}],"issued":{"date-parts":[["2022",12]]}}}],"schema":"https://github.com/citation-style-language/schema/raw/master/csl-citation.json"} </w:instrText>
      </w:r>
      <w:r w:rsidR="00071AB8">
        <w:rPr>
          <w:rFonts w:ascii="Arial" w:hAnsi="Arial" w:cs="Arial"/>
        </w:rPr>
        <w:fldChar w:fldCharType="separate"/>
      </w:r>
      <w:r w:rsidR="00071AB8" w:rsidRPr="00071AB8">
        <w:rPr>
          <w:rFonts w:ascii="Arial" w:hAnsi="Arial" w:cs="Arial"/>
        </w:rPr>
        <w:t>(Bocken and Konietzko, 2022)</w:t>
      </w:r>
      <w:r w:rsidR="00071AB8">
        <w:rPr>
          <w:rFonts w:ascii="Arial" w:hAnsi="Arial" w:cs="Arial"/>
        </w:rPr>
        <w:fldChar w:fldCharType="end"/>
      </w:r>
      <w:r w:rsidR="00071AB8">
        <w:rPr>
          <w:rFonts w:ascii="Arial" w:hAnsi="Arial" w:cs="Arial"/>
        </w:rPr>
        <w:t xml:space="preserve">. </w:t>
      </w:r>
      <w:r w:rsidRPr="004E50C2">
        <w:rPr>
          <w:rFonts w:ascii="Arial" w:hAnsi="Arial" w:cs="Arial"/>
        </w:rPr>
        <w:t xml:space="preserve">The company’s success is built on mass production and continuous consumption, which fundamentally contradicts the </w:t>
      </w:r>
      <w:r w:rsidRPr="001B33DC">
        <w:rPr>
          <w:rFonts w:ascii="Arial" w:hAnsi="Arial" w:cs="Arial"/>
        </w:rPr>
        <w:t>principles of sustainability</w:t>
      </w:r>
      <w:r w:rsidR="001B33DC">
        <w:rPr>
          <w:rFonts w:ascii="Arial" w:hAnsi="Arial" w:cs="Arial"/>
        </w:rPr>
        <w:t xml:space="preserve"> </w:t>
      </w:r>
      <w:r w:rsidR="00417702">
        <w:rPr>
          <w:rFonts w:ascii="Arial" w:hAnsi="Arial" w:cs="Arial"/>
        </w:rPr>
        <w:t>(Ruggerio, 2021)</w:t>
      </w:r>
      <w:r w:rsidRPr="004E50C2">
        <w:rPr>
          <w:rFonts w:ascii="Arial" w:hAnsi="Arial" w:cs="Arial"/>
        </w:rPr>
        <w:t xml:space="preserve"> that emphasise reduced resource use and longer product lifecycles. While IKEA promotes circular practices, its business model continues to encourage frequent purchasing and replacement of products, raising concerns about the overall environmental impact of its operations</w:t>
      </w:r>
      <w:r w:rsidR="00F3351D">
        <w:rPr>
          <w:rFonts w:ascii="Arial" w:hAnsi="Arial" w:cs="Arial"/>
        </w:rPr>
        <w:t xml:space="preserve"> </w:t>
      </w:r>
      <w:r w:rsidR="00F3351D">
        <w:rPr>
          <w:rFonts w:ascii="Arial" w:hAnsi="Arial" w:cs="Arial"/>
        </w:rPr>
        <w:fldChar w:fldCharType="begin"/>
      </w:r>
      <w:r w:rsidR="00F3351D">
        <w:rPr>
          <w:rFonts w:ascii="Arial" w:hAnsi="Arial" w:cs="Arial"/>
        </w:rPr>
        <w:instrText xml:space="preserve"> ADDIN ZOTERO_ITEM CSL_CITATION {"citationID":"tdhId35L","properties":{"formattedCitation":"(Juin, Georget and Rayna, 2025)","plainCitation":"(Juin, Georget and Rayna, 2025)","noteIndex":0},"citationItems":[{"id":331,"uris":["http://zotero.org/users/local/bh3OqUSh/items/4DKTWUVW"],"itemData":{"id":331,"type":"article-journal","abstract":"Abstract\n            \n              Business models\n              and\n              sustainability\n              are at the heart of most company strategy. Raising environmental awareness together with worldwide ecological controversies prompted companies’ sustainability integration into their business models. The\n              purpose\n              of this paper is to define how sustainable are impact-driven business models, and the logical path for that will be to analyse three best-in-class companies, Patagonia, Ikea and Unilever, sitting on the podium of sustainability rankings. The\n              methodology\n              and approach used was a qualitative literature review based on 38 references, that supported the emergence of a new theoretical concept: the Sustainability Mirror Framework. This model was applied to the equivalent of over 250 pages of web-scrapped materials from the three companies’ websites. The main\n              findings\n              indicated that while a company might have an impact, it doesn’t necessarily mean that it is sustainable for itself and its environment. Integrating impact into business models poses both challenges and opportunities, it emerges as pivotal in addressing contemporary challenges, but clashes with entrenched strategic imperatives, necessitating a paradigm shift.\n              Further studies\n              were identified such as the integration of interviews to confront the collected data with an inner-view point, as well as implementing the developed theoretical framework on a larger scale to confirm its cross-industry applicability. Addressing these themes will contribute valuable insights to academia, policymakers, and practitioners, fostering sustainable and impact-driven practices in business.","container-title":"Circular Economy and Sustainability","DOI":"10.1007/s43615-025-00565-9","ISSN":"2730-597X, 2730-5988","issue":"7","journalAbbreviation":"Circ.Econ.Sust.","language":"en","page":"6411-6433","source":"DOI.org (Crossref)","title":"Business Model Innovation: a Framework for Assessing Corporate Engagement with Sustainability","title-short":"Business Model Innovation","volume":"5","author":[{"family":"Juin","given":"Corentin"},{"family":"Georget","given":"Valentine"},{"family":"Rayna","given":"Thierry"}],"issued":{"date-parts":[["2025",12]]}}}],"schema":"https://github.com/citation-style-language/schema/raw/master/csl-citation.json"} </w:instrText>
      </w:r>
      <w:r w:rsidR="00F3351D">
        <w:rPr>
          <w:rFonts w:ascii="Arial" w:hAnsi="Arial" w:cs="Arial"/>
        </w:rPr>
        <w:fldChar w:fldCharType="separate"/>
      </w:r>
      <w:r w:rsidR="00F3351D" w:rsidRPr="00F3351D">
        <w:rPr>
          <w:rFonts w:ascii="Arial" w:hAnsi="Arial" w:cs="Arial"/>
        </w:rPr>
        <w:t>(Juin, Georget and Rayna, 2025)</w:t>
      </w:r>
      <w:r w:rsidR="00F3351D">
        <w:rPr>
          <w:rFonts w:ascii="Arial" w:hAnsi="Arial" w:cs="Arial"/>
        </w:rPr>
        <w:fldChar w:fldCharType="end"/>
      </w:r>
      <w:r w:rsidR="00F3351D">
        <w:rPr>
          <w:rFonts w:ascii="Arial" w:hAnsi="Arial" w:cs="Arial"/>
        </w:rPr>
        <w:t>.</w:t>
      </w:r>
    </w:p>
    <w:p w14:paraId="5D37793D" w14:textId="1A8B5C92" w:rsidR="004E50C2" w:rsidRPr="004E50C2" w:rsidRDefault="004E50C2" w:rsidP="00AF517A">
      <w:pPr>
        <w:pStyle w:val="NormalWeb"/>
        <w:spacing w:line="360" w:lineRule="auto"/>
        <w:jc w:val="both"/>
        <w:rPr>
          <w:rFonts w:ascii="Arial" w:hAnsi="Arial" w:cs="Arial"/>
        </w:rPr>
      </w:pPr>
      <w:r w:rsidRPr="004E50C2">
        <w:rPr>
          <w:rFonts w:ascii="Arial" w:hAnsi="Arial" w:cs="Arial"/>
        </w:rPr>
        <w:t xml:space="preserve">In addition, many of IKEA’s circular initiatives rely heavily on consumer participation, which can be inconsistent and difficult to control. Research suggests that consumer behaviour is influenced by factors such as convenience, cost, and awareness, </w:t>
      </w:r>
      <w:r w:rsidRPr="004E50C2">
        <w:rPr>
          <w:rFonts w:ascii="Arial" w:hAnsi="Arial" w:cs="Arial"/>
        </w:rPr>
        <w:lastRenderedPageBreak/>
        <w:t>meaning that take-back schemes and recycling programmes may not achieve their intended impact if participation remains low</w:t>
      </w:r>
      <w:r w:rsidR="00731048">
        <w:rPr>
          <w:rFonts w:ascii="Arial" w:hAnsi="Arial" w:cs="Arial"/>
        </w:rPr>
        <w:t xml:space="preserve"> </w:t>
      </w:r>
      <w:r w:rsidR="00731048">
        <w:rPr>
          <w:rFonts w:ascii="Arial" w:hAnsi="Arial" w:cs="Arial"/>
        </w:rPr>
        <w:fldChar w:fldCharType="begin"/>
      </w:r>
      <w:r w:rsidR="00731048">
        <w:rPr>
          <w:rFonts w:ascii="Arial" w:hAnsi="Arial" w:cs="Arial"/>
        </w:rPr>
        <w:instrText xml:space="preserve"> ADDIN ZOTERO_ITEM CSL_CITATION {"citationID":"GKydZ75H","properties":{"formattedCitation":"(Gupta {\\i{}et al.}, 2023)","plainCitation":"(Gupta et al., 2023)","noteIndex":0},"citationItems":[{"id":337,"uris":["http://zotero.org/users/local/bh3OqUSh/items/RPY3C5EK"],"itemData":{"id":337,"type":"article-journal","abstract":"Purpose\nThis study aims to find out the influence of green practices used by the five-star hotels on the guest’s online hotel assessment and their revisit intentions. It also evaluated how the use of green practices by the hotels influenced the guest’s willingness to pay a premium price. Apart from the conventional hotel service attributes, this study also identified some new and innovative services offered by the hotels which have an overall effect on the guest’s revisit intentions.\nDesign/methodology/approach\nThis study applied focus group interviews from 12 hotel managers and accessed the hotel’s internal database to identify the latest and innovative service attributes offered by the hotels. The information regarding the green practices offered by the hotels was collected through TripAdvisor and LEED-IGBC website. It identified 10 independent and four dependent variables based on previous literature. Guest’s revisit intentions were measured on a five-point Likert scale. Data was analysed using a multi-step hierarchical regression model.\nFindings\nThe use of green practices by the hotels revealed a positive and significant influence on the guest’s revisit-intentions and their intention to pay a premium price. It was also found that the use of new and innovative green practices has a positive influence on the guest’s overall online evaluation of the hotel.\nPractical implications\nThis study suggests that the amalgamation of green practices along with the conventional service attributes may help in the incremental revisit and online hotel assessment intentions, which might be of use for the managers and hotel policymakers.\nOriginality/value\nAlthough previous studies have explored the conventional hotel service attributes in the context of Indian Hotel industry, this is one of the first studies which discussed the influence of recent and emerging hotel service attributes on the guest’s revisit and pay a premium price intention. Moreover, the influence of green practices on the guest’s overall online evaluation of the five-star hotels in Delhi was discussed in this study which was not performed before.","container-title":"International Journal of Tourism Cities","DOI":"10.1108/IJTC-05-2022-0131","ISSN":"2056-5607","issue":"1","language":"English","license":"© Emerald Publishing Limited.","note":"number-of-pages: 23\npublisher-place: Abingdon, United Kingdom\npublisher: Taylor &amp; Francis Ltd.","page":"159-181","source":"ProQuest","title":"Are consumers influenced by the use of green practices in five-star hotels: an assessment of guest's revisit intentions, inclusive ratings and hotel performance","title-short":"Are consumers influenced by the use of green practices in five-star hotels","volume":"9","author":[{"family":"Gupta","given":"Vikas"},{"family":"Sajnani","given":"Manohar"},{"family":"Dixit","given":"Saurabh Kumar"},{"family":"Mishra","given":"Abhinav"},{"family":"Gani","given":"Mohammad Osman"}],"issued":{"date-parts":[["2023"]]}}}],"schema":"https://github.com/citation-style-language/schema/raw/master/csl-citation.json"} </w:instrText>
      </w:r>
      <w:r w:rsidR="00731048">
        <w:rPr>
          <w:rFonts w:ascii="Arial" w:hAnsi="Arial" w:cs="Arial"/>
        </w:rPr>
        <w:fldChar w:fldCharType="separate"/>
      </w:r>
      <w:r w:rsidR="00731048" w:rsidRPr="00731048">
        <w:rPr>
          <w:rFonts w:ascii="Arial" w:hAnsi="Arial" w:cs="Arial"/>
        </w:rPr>
        <w:t xml:space="preserve">(Gupta </w:t>
      </w:r>
      <w:r w:rsidR="00731048" w:rsidRPr="00731048">
        <w:rPr>
          <w:rFonts w:ascii="Arial" w:hAnsi="Arial" w:cs="Arial"/>
          <w:i/>
          <w:iCs/>
        </w:rPr>
        <w:t>et al.</w:t>
      </w:r>
      <w:r w:rsidR="00731048" w:rsidRPr="00731048">
        <w:rPr>
          <w:rFonts w:ascii="Arial" w:hAnsi="Arial" w:cs="Arial"/>
        </w:rPr>
        <w:t>, 2023)</w:t>
      </w:r>
      <w:r w:rsidR="00731048">
        <w:rPr>
          <w:rFonts w:ascii="Arial" w:hAnsi="Arial" w:cs="Arial"/>
        </w:rPr>
        <w:fldChar w:fldCharType="end"/>
      </w:r>
      <w:r w:rsidR="00731048">
        <w:rPr>
          <w:rFonts w:ascii="Arial" w:hAnsi="Arial" w:cs="Arial"/>
        </w:rPr>
        <w:t>.</w:t>
      </w:r>
      <w:r w:rsidRPr="004E50C2">
        <w:rPr>
          <w:rFonts w:ascii="Arial" w:hAnsi="Arial" w:cs="Arial"/>
        </w:rPr>
        <w:t xml:space="preserve"> This highlights a key limitation of IKEA’s approach, as responsibility for sustainability is partially shifted onto consumers rather than being fully addressed at the production and system level.</w:t>
      </w:r>
    </w:p>
    <w:p w14:paraId="34330E80" w14:textId="1C80E107" w:rsidR="004E50C2" w:rsidRDefault="004E50C2" w:rsidP="00AF517A">
      <w:pPr>
        <w:pStyle w:val="NormalWeb"/>
        <w:spacing w:line="360" w:lineRule="auto"/>
        <w:jc w:val="both"/>
        <w:rPr>
          <w:rFonts w:ascii="Arial" w:hAnsi="Arial" w:cs="Arial"/>
        </w:rPr>
      </w:pPr>
      <w:r w:rsidRPr="004E50C2">
        <w:rPr>
          <w:rFonts w:ascii="Arial" w:hAnsi="Arial" w:cs="Arial"/>
        </w:rPr>
        <w:t>Another area of concern is the complexity of IKEA’s global supply chain. Although the company has made commitments to ethical sourcing and transparency, managing sustainability across a vast network of suppliers remains challenging. Issues such as deforestation, labour conditions, and environmental compliance can be difficult to monitor consistently, particularly in regions with weaker regulatory frameworks</w:t>
      </w:r>
      <w:r w:rsidR="00713908">
        <w:rPr>
          <w:rFonts w:ascii="Arial" w:hAnsi="Arial" w:cs="Arial"/>
        </w:rPr>
        <w:t xml:space="preserve"> </w:t>
      </w:r>
      <w:r w:rsidR="00713908">
        <w:rPr>
          <w:rFonts w:ascii="Arial" w:hAnsi="Arial" w:cs="Arial"/>
        </w:rPr>
        <w:fldChar w:fldCharType="begin"/>
      </w:r>
      <w:r w:rsidR="00713908">
        <w:rPr>
          <w:rFonts w:ascii="Arial" w:hAnsi="Arial" w:cs="Arial"/>
        </w:rPr>
        <w:instrText xml:space="preserve"> ADDIN ZOTERO_ITEM CSL_CITATION {"citationID":"tKJkDQqm","properties":{"formattedCitation":"(Raschio {\\i{}et al.}, 2018)","plainCitation":"(Raschio et al., 2018)","noteIndex":0},"citationItems":[{"id":339,"uris":["http://zotero.org/users/local/bh3OqUSh/items/ITDIPH5Q"],"itemData":{"id":339,"type":"article-journal","abstract":"The application of spatially and temporally explicit information to increase result precision is gaining momentum in Life Cycle Assessment (LCA) studies. It is vital for the assessment of environmental impact of perennial crops with non-productive years, grown in combination with shade crops. Available studies rely on differentiated life cycle inventory data for the inputs in LCA or application of adapted impact assessment methodologies. This study uses the identification of greenhouse gas emissions (GHG) hotspots (statistically significant clusters of farms with either high or low GHG emission values) estimated from average LCA results and assesses a relative deforestation risk in such hotspots. A total of 1892 farms in the Tocache province of San Martin region of Peru were evaluated between the year 2008 and 2010. Combination of average LCA results with farm size, age and deforestation progression allowed for the identification of areas and farms with a high relative risk of environmental impacts and potential deforestation. It was estimated that farms belonging to high-GHG emission hotspots were twice more likely to expand their agricultural frontier and cause deforestation than farms in low-GHG emission hotspots. Combining LCA with geo-information systems and geostatistics is a viable path to explore the differentiation of assessment results, which might lead to faster, more accurate, and resource-efficient ways to tackle environmental impacts while also accounting for important environmental impacts such as deforestation. Further research on the application of suggested approaches with other perennial crops and other geographical areas is needed.","container-title":"Journal of Industrial Ecology","DOI":"10.1111/jiec.12692","ISSN":"1530-9290","issue":"6","language":"en","note":"_eprint: https://onlinelibrary.wiley.com/doi/pdf/10.1111/jiec.12692","page":"1378-1388","source":"Wiley Online Library","title":"Spatio-Temporal Differentiation of Life Cycle Assessment Results for Average Perennial Crop Farm: A Case Study of Peruvian Cocoa Progression and Deforestation Issues","title-short":"Spatio-Temporal Differentiation of Life Cycle Assessment Results for Average Perennial Crop Farm","volume":"22","author":[{"family":"Raschio","given":"Giancarlo"},{"family":"Smetana","given":"Sergiy"},{"family":"Contreras","given":"Christian"},{"family":"Heinz","given":"Volker"},{"family":"Mathys","given":"Alexander"}],"issued":{"date-parts":[["2018"]]}}}],"schema":"https://github.com/citation-style-language/schema/raw/master/csl-citation.json"} </w:instrText>
      </w:r>
      <w:r w:rsidR="00713908">
        <w:rPr>
          <w:rFonts w:ascii="Arial" w:hAnsi="Arial" w:cs="Arial"/>
        </w:rPr>
        <w:fldChar w:fldCharType="separate"/>
      </w:r>
      <w:r w:rsidR="00713908" w:rsidRPr="00713908">
        <w:rPr>
          <w:rFonts w:ascii="Arial" w:hAnsi="Arial" w:cs="Arial"/>
        </w:rPr>
        <w:t xml:space="preserve">(Raschio </w:t>
      </w:r>
      <w:r w:rsidR="00713908" w:rsidRPr="00713908">
        <w:rPr>
          <w:rFonts w:ascii="Arial" w:hAnsi="Arial" w:cs="Arial"/>
          <w:i/>
          <w:iCs/>
        </w:rPr>
        <w:t>et al.</w:t>
      </w:r>
      <w:r w:rsidR="00713908" w:rsidRPr="00713908">
        <w:rPr>
          <w:rFonts w:ascii="Arial" w:hAnsi="Arial" w:cs="Arial"/>
        </w:rPr>
        <w:t>, 2018)</w:t>
      </w:r>
      <w:r w:rsidR="00713908">
        <w:rPr>
          <w:rFonts w:ascii="Arial" w:hAnsi="Arial" w:cs="Arial"/>
        </w:rPr>
        <w:fldChar w:fldCharType="end"/>
      </w:r>
      <w:r w:rsidR="00713908">
        <w:rPr>
          <w:rFonts w:ascii="Arial" w:hAnsi="Arial" w:cs="Arial"/>
        </w:rPr>
        <w:t>.</w:t>
      </w:r>
      <w:r w:rsidRPr="004E50C2">
        <w:rPr>
          <w:rFonts w:ascii="Arial" w:hAnsi="Arial" w:cs="Arial"/>
        </w:rPr>
        <w:t xml:space="preserve"> This creates potential risks for both environmental sustainability and corporate reputation.</w:t>
      </w:r>
    </w:p>
    <w:p w14:paraId="79ADEF25" w14:textId="77777777" w:rsidR="00327705" w:rsidRPr="00327705" w:rsidRDefault="00327705" w:rsidP="00AF517A">
      <w:pPr>
        <w:spacing w:before="100" w:beforeAutospacing="1" w:after="100" w:afterAutospacing="1" w:line="360" w:lineRule="auto"/>
        <w:jc w:val="both"/>
        <w:outlineLvl w:val="0"/>
        <w:rPr>
          <w:rFonts w:ascii="Arial" w:eastAsia="Times New Roman" w:hAnsi="Arial" w:cs="Arial"/>
          <w:b/>
          <w:bCs/>
          <w:kern w:val="36"/>
          <w:lang w:eastAsia="en-GB"/>
          <w14:ligatures w14:val="none"/>
        </w:rPr>
      </w:pPr>
      <w:bookmarkStart w:id="3" w:name="_Toc231380077"/>
      <w:r w:rsidRPr="00327705">
        <w:rPr>
          <w:rFonts w:ascii="Arial" w:eastAsia="Times New Roman" w:hAnsi="Arial" w:cs="Arial"/>
          <w:b/>
          <w:bCs/>
          <w:kern w:val="36"/>
          <w:lang w:eastAsia="en-GB"/>
          <w14:ligatures w14:val="none"/>
        </w:rPr>
        <w:t>External Environment Analysis (PESTLE)</w:t>
      </w:r>
      <w:bookmarkEnd w:id="3"/>
    </w:p>
    <w:p w14:paraId="20BC482B" w14:textId="6DBD3CC8" w:rsidR="00327705" w:rsidRPr="00327705" w:rsidRDefault="00327705" w:rsidP="00AF517A">
      <w:pPr>
        <w:spacing w:before="100" w:beforeAutospacing="1" w:after="100" w:afterAutospacing="1" w:line="360" w:lineRule="auto"/>
        <w:jc w:val="both"/>
        <w:rPr>
          <w:rFonts w:ascii="Arial" w:eastAsia="Times New Roman" w:hAnsi="Arial" w:cs="Arial"/>
          <w:kern w:val="0"/>
          <w:lang w:eastAsia="en-GB"/>
          <w14:ligatures w14:val="none"/>
        </w:rPr>
      </w:pPr>
      <w:r w:rsidRPr="00327705">
        <w:rPr>
          <w:rFonts w:ascii="Arial" w:eastAsia="Times New Roman" w:hAnsi="Arial" w:cs="Arial"/>
          <w:kern w:val="0"/>
          <w:lang w:eastAsia="en-GB"/>
          <w14:ligatures w14:val="none"/>
        </w:rPr>
        <w:t>The sustainability strategy of IKEA is significantly influenced by external environmental factors. A P</w:t>
      </w:r>
      <w:r w:rsidR="00ED7139">
        <w:rPr>
          <w:rFonts w:ascii="Arial" w:eastAsia="Times New Roman" w:hAnsi="Arial" w:cs="Arial"/>
          <w:kern w:val="0"/>
          <w:lang w:eastAsia="en-GB"/>
          <w14:ligatures w14:val="none"/>
        </w:rPr>
        <w:t>estle</w:t>
      </w:r>
      <w:r w:rsidRPr="00327705">
        <w:rPr>
          <w:rFonts w:ascii="Arial" w:eastAsia="Times New Roman" w:hAnsi="Arial" w:cs="Arial"/>
          <w:kern w:val="0"/>
          <w:lang w:eastAsia="en-GB"/>
          <w14:ligatures w14:val="none"/>
        </w:rPr>
        <w:t xml:space="preserve"> analysis provides a structured framework to evaluate the political, economic, social, technological, legal, and environmental forces shaping IKEA’s sustainability performance and strategic direction</w:t>
      </w:r>
      <w:r w:rsidR="00010F1A">
        <w:rPr>
          <w:rFonts w:ascii="Arial" w:eastAsia="Times New Roman" w:hAnsi="Arial" w:cs="Arial"/>
          <w:kern w:val="0"/>
          <w:lang w:eastAsia="en-GB"/>
          <w14:ligatures w14:val="none"/>
        </w:rPr>
        <w:t xml:space="preserve"> </w:t>
      </w:r>
      <w:r w:rsidR="00010F1A">
        <w:rPr>
          <w:rFonts w:ascii="Arial" w:eastAsia="Times New Roman" w:hAnsi="Arial" w:cs="Arial"/>
          <w:kern w:val="0"/>
          <w:lang w:eastAsia="en-GB"/>
          <w14:ligatures w14:val="none"/>
        </w:rPr>
        <w:fldChar w:fldCharType="begin"/>
      </w:r>
      <w:r w:rsidR="00010F1A">
        <w:rPr>
          <w:rFonts w:ascii="Arial" w:eastAsia="Times New Roman" w:hAnsi="Arial" w:cs="Arial"/>
          <w:kern w:val="0"/>
          <w:lang w:eastAsia="en-GB"/>
          <w14:ligatures w14:val="none"/>
        </w:rPr>
        <w:instrText xml:space="preserve"> ADDIN ZOTERO_ITEM CSL_CITATION {"citationID":"JMfiFr8b","properties":{"formattedCitation":"(Ulubeyli and Kazanci, 2018)","plainCitation":"(Ulubeyli and Kazanci, 2018)","noteIndex":0},"citationItems":[{"id":357,"uris":["http://zotero.org/users/local/bh3OqUSh/items/2M5DFNJY"],"itemData":{"id":357,"type":"article-journal","abstract":"In the Turkish green building industry, ﬁrms need to do an industrial analysis as this market has an emerging nature and potentially unstable business environment. By performing such a strategic analysis, they may determine their own holistic sustainability approaches and thereby become long-lasting enterprises. Therefore, this paper presents a fuzzy model of the macro-environmental assessment (FMMA) in the green building industry in Turkey through PESTLE (political, economic, social, technical, legal, and environmental) framework. To achieve this objective, fuzzy synthetic evaluation was used in quantifying macro-environmental conditions (MECs). The required data for this analysis were obtained from professionals working in the national industry. To illustrate how FMMA works, the current case of the industry was presented. As a result, FMMA offers a comprehensive and practical tool. Given empirical ﬁndings, the effect of MECs on the industry was found to be medium-to-high. Also, technological factors were identiﬁed as the most effective group, followed by environmental, economic, legal, political, and social factors, respectively. Subsequent researches may examine other regions and industries by modifying the existing criteria and weights. Similarly, the green building industry may be investigated from the viewpoint of other parties in the market. Consequently, this study is ﬁrst to offer a structured PESTLE quantiﬁcation model and to evaluate MECs in this emerging industry.","container-title":"Journal of Cleaner Production","DOI":"10.1016/j.jclepro.2018.08.111","ISSN":"09596526","journalAbbreviation":"Journal of Cleaner Production","language":"en","page":"197-212","source":"DOI.org (Crossref)","title":"Holistic sustainability assessment of green building industry in Turkey","volume":"202","author":[{"family":"Ulubeyli","given":"Serdar"},{"family":"Kazanci","given":"Oguzhan"}],"issued":{"date-parts":[["2018",11]]}}}],"schema":"https://github.com/citation-style-language/schema/raw/master/csl-citation.json"} </w:instrText>
      </w:r>
      <w:r w:rsidR="00010F1A">
        <w:rPr>
          <w:rFonts w:ascii="Arial" w:eastAsia="Times New Roman" w:hAnsi="Arial" w:cs="Arial"/>
          <w:kern w:val="0"/>
          <w:lang w:eastAsia="en-GB"/>
          <w14:ligatures w14:val="none"/>
        </w:rPr>
        <w:fldChar w:fldCharType="separate"/>
      </w:r>
      <w:r w:rsidR="00010F1A" w:rsidRPr="00010F1A">
        <w:rPr>
          <w:rFonts w:ascii="Arial" w:hAnsi="Arial" w:cs="Arial"/>
          <w:lang w:eastAsia="en-GB"/>
        </w:rPr>
        <w:t>(Ulubeyli and Kazanci, 2018)</w:t>
      </w:r>
      <w:r w:rsidR="00010F1A">
        <w:rPr>
          <w:rFonts w:ascii="Arial" w:eastAsia="Times New Roman" w:hAnsi="Arial" w:cs="Arial"/>
          <w:kern w:val="0"/>
          <w:lang w:eastAsia="en-GB"/>
          <w14:ligatures w14:val="none"/>
        </w:rPr>
        <w:fldChar w:fldCharType="end"/>
      </w:r>
      <w:r w:rsidR="00010F1A">
        <w:rPr>
          <w:rFonts w:ascii="Arial" w:eastAsia="Times New Roman" w:hAnsi="Arial" w:cs="Arial"/>
          <w:kern w:val="0"/>
          <w:lang w:eastAsia="en-GB"/>
          <w14:ligatures w14:val="none"/>
        </w:rPr>
        <w:t>.</w:t>
      </w:r>
    </w:p>
    <w:p w14:paraId="7229587C" w14:textId="77777777" w:rsidR="00327705" w:rsidRPr="00327705" w:rsidRDefault="00327705" w:rsidP="00AF517A">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4" w:name="_Toc231380078"/>
      <w:r w:rsidRPr="00327705">
        <w:rPr>
          <w:rFonts w:ascii="Arial" w:eastAsia="Times New Roman" w:hAnsi="Arial" w:cs="Arial"/>
          <w:b/>
          <w:bCs/>
          <w:kern w:val="0"/>
          <w:lang w:eastAsia="en-GB"/>
          <w14:ligatures w14:val="none"/>
        </w:rPr>
        <w:t>Political Factors</w:t>
      </w:r>
      <w:bookmarkEnd w:id="4"/>
    </w:p>
    <w:p w14:paraId="37347619" w14:textId="6FCD9CFE" w:rsidR="00327705" w:rsidRDefault="00327705" w:rsidP="00AF517A">
      <w:pPr>
        <w:spacing w:before="100" w:beforeAutospacing="1" w:after="100" w:afterAutospacing="1" w:line="360" w:lineRule="auto"/>
        <w:jc w:val="both"/>
        <w:rPr>
          <w:rFonts w:ascii="Arial" w:eastAsia="Times New Roman" w:hAnsi="Arial" w:cs="Arial"/>
          <w:kern w:val="0"/>
          <w:lang w:eastAsia="en-GB"/>
          <w14:ligatures w14:val="none"/>
        </w:rPr>
      </w:pPr>
      <w:r w:rsidRPr="00327705">
        <w:rPr>
          <w:rFonts w:ascii="Arial" w:eastAsia="Times New Roman" w:hAnsi="Arial" w:cs="Arial"/>
          <w:kern w:val="0"/>
          <w:lang w:eastAsia="en-GB"/>
          <w14:ligatures w14:val="none"/>
        </w:rPr>
        <w:t>Government policies and international agreements play a crucial role in driving sustainability practices</w:t>
      </w:r>
      <w:r w:rsidR="00544561">
        <w:rPr>
          <w:rFonts w:ascii="Arial" w:eastAsia="Times New Roman" w:hAnsi="Arial" w:cs="Arial"/>
          <w:kern w:val="0"/>
          <w:lang w:eastAsia="en-GB"/>
          <w14:ligatures w14:val="none"/>
        </w:rPr>
        <w:t xml:space="preserve"> </w:t>
      </w:r>
      <w:r w:rsidR="00544561">
        <w:rPr>
          <w:rFonts w:ascii="Arial" w:eastAsia="Times New Roman" w:hAnsi="Arial" w:cs="Arial"/>
          <w:kern w:val="0"/>
          <w:lang w:eastAsia="en-GB"/>
          <w14:ligatures w14:val="none"/>
        </w:rPr>
        <w:fldChar w:fldCharType="begin"/>
      </w:r>
      <w:r w:rsidR="00544561">
        <w:rPr>
          <w:rFonts w:ascii="Arial" w:eastAsia="Times New Roman" w:hAnsi="Arial" w:cs="Arial"/>
          <w:kern w:val="0"/>
          <w:lang w:eastAsia="en-GB"/>
          <w14:ligatures w14:val="none"/>
        </w:rPr>
        <w:instrText xml:space="preserve"> ADDIN ZOTERO_ITEM CSL_CITATION {"citationID":"OMlhRzfC","properties":{"formattedCitation":"(Tanna and Chugh, 2026)","plainCitation":"(Tanna and Chugh, 2026)","noteIndex":0},"citationItems":[{"id":354,"uris":["http://zotero.org/users/local/bh3OqUSh/items/9F5IY35T"],"itemData":{"id":354,"type":"article-journal","container-title":"Policy Reviews in Higher Education","DOI":"10.1080/23322969.2025.2604500","ISSN":"2332-2969, 2332-2950","issue":"1","journalAbbreviation":"Policy Reviews in Higher Education","language":"en","page":"180-197","source":"DOI.org (Crossref)","title":"Unveiling the ivory tower: an analysis of Australian university annual reports using the PESTLE framework","title-short":"Unveiling the ivory tower","volume":"10","author":[{"family":"Tanna","given":"Dushyant"},{"family":"Chugh","given":"Ritesh"}],"issued":{"date-parts":[["2026",1,2]]}}}],"schema":"https://github.com/citation-style-language/schema/raw/master/csl-citation.json"} </w:instrText>
      </w:r>
      <w:r w:rsidR="00544561">
        <w:rPr>
          <w:rFonts w:ascii="Arial" w:eastAsia="Times New Roman" w:hAnsi="Arial" w:cs="Arial"/>
          <w:kern w:val="0"/>
          <w:lang w:eastAsia="en-GB"/>
          <w14:ligatures w14:val="none"/>
        </w:rPr>
        <w:fldChar w:fldCharType="separate"/>
      </w:r>
      <w:r w:rsidR="00544561" w:rsidRPr="004E2A4A">
        <w:rPr>
          <w:rFonts w:ascii="Arial" w:hAnsi="Arial" w:cs="Arial"/>
          <w:lang w:eastAsia="en-GB"/>
        </w:rPr>
        <w:t>(Tanna and Chugh, 2026)</w:t>
      </w:r>
      <w:r w:rsidR="00544561">
        <w:rPr>
          <w:rFonts w:ascii="Arial" w:eastAsia="Times New Roman" w:hAnsi="Arial" w:cs="Arial"/>
          <w:kern w:val="0"/>
          <w:lang w:eastAsia="en-GB"/>
          <w14:ligatures w14:val="none"/>
        </w:rPr>
        <w:fldChar w:fldCharType="end"/>
      </w:r>
      <w:r w:rsidRPr="00327705">
        <w:rPr>
          <w:rFonts w:ascii="Arial" w:eastAsia="Times New Roman" w:hAnsi="Arial" w:cs="Arial"/>
          <w:kern w:val="0"/>
          <w:lang w:eastAsia="en-GB"/>
          <w14:ligatures w14:val="none"/>
        </w:rPr>
        <w:t xml:space="preserve">. Increasing global commitments to climate targets and carbon reduction place pressure on organisations like IKEA to </w:t>
      </w:r>
      <w:r w:rsidRPr="004F01EA">
        <w:rPr>
          <w:rFonts w:ascii="Arial" w:eastAsia="Times New Roman" w:hAnsi="Arial" w:cs="Arial"/>
          <w:color w:val="000000" w:themeColor="text1"/>
          <w:kern w:val="0"/>
          <w:lang w:eastAsia="en-GB"/>
          <w14:ligatures w14:val="none"/>
        </w:rPr>
        <w:t>align with environmental standards</w:t>
      </w:r>
      <w:r w:rsidR="007F595B" w:rsidRPr="004F01EA">
        <w:rPr>
          <w:rFonts w:ascii="Arial" w:eastAsia="Times New Roman" w:hAnsi="Arial" w:cs="Arial"/>
          <w:color w:val="000000" w:themeColor="text1"/>
          <w:kern w:val="0"/>
          <w:lang w:eastAsia="en-GB"/>
          <w14:ligatures w14:val="none"/>
        </w:rPr>
        <w:t xml:space="preserve"> such as UN Sustainability Goals (Saxena </w:t>
      </w:r>
      <w:r w:rsidR="007F595B" w:rsidRPr="00FA3E5F">
        <w:rPr>
          <w:rFonts w:ascii="Arial" w:eastAsia="Times New Roman" w:hAnsi="Arial" w:cs="Arial"/>
          <w:i/>
          <w:iCs/>
          <w:color w:val="000000" w:themeColor="text1"/>
          <w:kern w:val="0"/>
          <w:lang w:eastAsia="en-GB"/>
          <w14:ligatures w14:val="none"/>
        </w:rPr>
        <w:t>et al.,</w:t>
      </w:r>
      <w:r w:rsidR="007F595B" w:rsidRPr="004F01EA">
        <w:rPr>
          <w:rFonts w:ascii="Arial" w:eastAsia="Times New Roman" w:hAnsi="Arial" w:cs="Arial"/>
          <w:color w:val="000000" w:themeColor="text1"/>
          <w:kern w:val="0"/>
          <w:lang w:eastAsia="en-GB"/>
          <w14:ligatures w14:val="none"/>
        </w:rPr>
        <w:t xml:space="preserve"> 2021)</w:t>
      </w:r>
      <w:r w:rsidRPr="004F01EA">
        <w:rPr>
          <w:rFonts w:ascii="Arial" w:eastAsia="Times New Roman" w:hAnsi="Arial" w:cs="Arial"/>
          <w:color w:val="000000" w:themeColor="text1"/>
          <w:kern w:val="0"/>
          <w:lang w:eastAsia="en-GB"/>
          <w14:ligatures w14:val="none"/>
        </w:rPr>
        <w:t xml:space="preserve">. </w:t>
      </w:r>
      <w:r w:rsidRPr="00327705">
        <w:rPr>
          <w:rFonts w:ascii="Arial" w:eastAsia="Times New Roman" w:hAnsi="Arial" w:cs="Arial"/>
          <w:kern w:val="0"/>
          <w:lang w:eastAsia="en-GB"/>
          <w14:ligatures w14:val="none"/>
        </w:rPr>
        <w:t>Policies promoting renewable energy, circular economy initiatives, and sustainable resource</w:t>
      </w:r>
      <w:r w:rsidR="00401D5F">
        <w:rPr>
          <w:rFonts w:ascii="Arial" w:eastAsia="Times New Roman" w:hAnsi="Arial" w:cs="Arial"/>
          <w:kern w:val="0"/>
          <w:lang w:eastAsia="en-GB"/>
          <w14:ligatures w14:val="none"/>
        </w:rPr>
        <w:t xml:space="preserve">s are </w:t>
      </w:r>
      <w:r w:rsidR="00A9327E" w:rsidRPr="00327705">
        <w:rPr>
          <w:rFonts w:ascii="Arial" w:eastAsia="Times New Roman" w:hAnsi="Arial" w:cs="Arial"/>
          <w:kern w:val="0"/>
          <w:lang w:eastAsia="en-GB"/>
          <w14:ligatures w14:val="none"/>
        </w:rPr>
        <w:t>used</w:t>
      </w:r>
      <w:r w:rsidR="00401D5F">
        <w:rPr>
          <w:rFonts w:ascii="Arial" w:eastAsia="Times New Roman" w:hAnsi="Arial" w:cs="Arial"/>
          <w:kern w:val="0"/>
          <w:lang w:eastAsia="en-GB"/>
          <w14:ligatures w14:val="none"/>
        </w:rPr>
        <w:t xml:space="preserve"> to</w:t>
      </w:r>
      <w:r w:rsidRPr="00327705">
        <w:rPr>
          <w:rFonts w:ascii="Arial" w:eastAsia="Times New Roman" w:hAnsi="Arial" w:cs="Arial"/>
          <w:kern w:val="0"/>
          <w:lang w:eastAsia="en-GB"/>
          <w14:ligatures w14:val="none"/>
        </w:rPr>
        <w:t xml:space="preserve"> create both opportunities and compliance requirements</w:t>
      </w:r>
      <w:r w:rsidR="004E2A4A">
        <w:rPr>
          <w:rFonts w:ascii="Arial" w:eastAsia="Times New Roman" w:hAnsi="Arial" w:cs="Arial"/>
          <w:kern w:val="0"/>
          <w:lang w:eastAsia="en-GB"/>
          <w14:ligatures w14:val="none"/>
        </w:rPr>
        <w:t xml:space="preserve"> </w:t>
      </w:r>
      <w:r w:rsidR="004E2A4A">
        <w:rPr>
          <w:rFonts w:ascii="Arial" w:eastAsia="Times New Roman" w:hAnsi="Arial" w:cs="Arial"/>
          <w:kern w:val="0"/>
          <w:lang w:eastAsia="en-GB"/>
          <w14:ligatures w14:val="none"/>
        </w:rPr>
        <w:fldChar w:fldCharType="begin"/>
      </w:r>
      <w:r w:rsidR="004E2A4A">
        <w:rPr>
          <w:rFonts w:ascii="Arial" w:eastAsia="Times New Roman" w:hAnsi="Arial" w:cs="Arial"/>
          <w:kern w:val="0"/>
          <w:lang w:eastAsia="en-GB"/>
          <w14:ligatures w14:val="none"/>
        </w:rPr>
        <w:instrText xml:space="preserve"> ADDIN ZOTERO_ITEM CSL_CITATION {"citationID":"4lMZLtIm","properties":{"formattedCitation":"(Syafrudin {\\i{}et al.}, 2024)","plainCitation":"(Syafrudin et al., 2024)","noteIndex":0},"citationItems":[{"id":347,"uris":["http://zotero.org/users/local/bh3OqUSh/items/882WTFBH"],"itemData":{"id":347,"type":"article-journal","abstract":"Batang Regency encountered persistent waste management challenges, requiring effective mitigation strategies. This study evaluated residential waste management utilizing life cycle assessment (LCA) and material flow analysis (MFA) to propose sustainable plans. Three scenarios were compared: the current conditions (Scenario 1) had the highest environmental impact. In contrast, Scenarios 2 and 3, which included sorting and recycling processes, demonstrated improved energy and product recovery, making them more sustainable. The results indicated that Scenario 1 had a global warming potential (GWP) of up to 1.65E+04 CO2 eq/t MSW, Scenario 2 had up to 2.88E+03 CO2 eq/t MSW, and Scenario 3 had up to 3.08E+03 03 CO2 eq/t MSW. Scenario 2 exhibited a lower GWP than Scenario 1, while Scenario 3, although higher in GWP, was recommended for excluding landfills. These findings highlighted the potential for waste sorting improvements and adjustments to classified waste treatment with environmental regulations, supporting sustainability in Batang Regency’s waste management.","container-title":"Journal of Open Innovation: Technology, Market, and Complexity","DOI":"10.1016/j.joitmc.2024.100437","ISSN":"21998531","issue":"4","journalAbbreviation":"Journal of Open Innovation: Technology, Market, and Complexity","language":"en","page":"100437","source":"DOI.org (Crossref)","title":"Enhancing waste management in batang regency: Integrating circular economy principles with life cycle assessment and material flow analysis","title-short":"Enhancing waste management in batang regency","volume":"10","author":[{"literal":"Syafrudin"},{"family":"Budihardjo","given":"Mochamad Arief"},{"family":"Wahyuningrum","given":"Indah Fajarini Sri"},{"family":"Chegenizadeh","given":"Amin"},{"family":"Puspita","given":"Annisa Sila"},{"family":"Qadar","given":"Syahrul Al"}],"issued":{"date-parts":[["2024",12]]}}}],"schema":"https://github.com/citation-style-language/schema/raw/master/csl-citation.json"} </w:instrText>
      </w:r>
      <w:r w:rsidR="004E2A4A">
        <w:rPr>
          <w:rFonts w:ascii="Arial" w:eastAsia="Times New Roman" w:hAnsi="Arial" w:cs="Arial"/>
          <w:kern w:val="0"/>
          <w:lang w:eastAsia="en-GB"/>
          <w14:ligatures w14:val="none"/>
        </w:rPr>
        <w:fldChar w:fldCharType="separate"/>
      </w:r>
      <w:r w:rsidR="004E2A4A" w:rsidRPr="004E2A4A">
        <w:rPr>
          <w:rFonts w:ascii="Arial" w:hAnsi="Arial" w:cs="Arial"/>
          <w:kern w:val="0"/>
        </w:rPr>
        <w:t xml:space="preserve">(Syafrudin </w:t>
      </w:r>
      <w:r w:rsidR="004E2A4A" w:rsidRPr="004E2A4A">
        <w:rPr>
          <w:rFonts w:ascii="Arial" w:hAnsi="Arial" w:cs="Arial"/>
          <w:i/>
          <w:iCs/>
          <w:kern w:val="0"/>
        </w:rPr>
        <w:t>et al.</w:t>
      </w:r>
      <w:r w:rsidR="004E2A4A" w:rsidRPr="004E2A4A">
        <w:rPr>
          <w:rFonts w:ascii="Arial" w:hAnsi="Arial" w:cs="Arial"/>
          <w:kern w:val="0"/>
        </w:rPr>
        <w:t>, 2024)</w:t>
      </w:r>
      <w:r w:rsidR="004E2A4A">
        <w:rPr>
          <w:rFonts w:ascii="Arial" w:eastAsia="Times New Roman" w:hAnsi="Arial" w:cs="Arial"/>
          <w:kern w:val="0"/>
          <w:lang w:eastAsia="en-GB"/>
          <w14:ligatures w14:val="none"/>
        </w:rPr>
        <w:fldChar w:fldCharType="end"/>
      </w:r>
      <w:r w:rsidR="004E2A4A">
        <w:rPr>
          <w:rFonts w:ascii="Arial" w:eastAsia="Times New Roman" w:hAnsi="Arial" w:cs="Arial"/>
          <w:kern w:val="0"/>
          <w:lang w:eastAsia="en-GB"/>
          <w14:ligatures w14:val="none"/>
        </w:rPr>
        <w:t>.</w:t>
      </w:r>
      <w:r w:rsidRPr="00327705">
        <w:rPr>
          <w:rFonts w:ascii="Arial" w:eastAsia="Times New Roman" w:hAnsi="Arial" w:cs="Arial"/>
          <w:kern w:val="0"/>
          <w:lang w:eastAsia="en-GB"/>
          <w14:ligatures w14:val="none"/>
        </w:rPr>
        <w:t xml:space="preserve"> However, variations in political priorities across different countries can create inconsistencies in implementation, making it difficult for IKEA to maintain uniform sustainability standards globally.</w:t>
      </w:r>
    </w:p>
    <w:p w14:paraId="72A36A08" w14:textId="77777777" w:rsidR="00327705" w:rsidRPr="00327705" w:rsidRDefault="00327705" w:rsidP="00AF517A">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5" w:name="_Toc231380079"/>
      <w:r w:rsidRPr="00327705">
        <w:rPr>
          <w:rFonts w:ascii="Arial" w:eastAsia="Times New Roman" w:hAnsi="Arial" w:cs="Arial"/>
          <w:b/>
          <w:bCs/>
          <w:kern w:val="0"/>
          <w:lang w:eastAsia="en-GB"/>
          <w14:ligatures w14:val="none"/>
        </w:rPr>
        <w:t>Economic Factors</w:t>
      </w:r>
      <w:bookmarkEnd w:id="5"/>
    </w:p>
    <w:p w14:paraId="0227A3A8" w14:textId="6AB20C71" w:rsidR="00327705" w:rsidRPr="00327705" w:rsidRDefault="00327705" w:rsidP="00AF517A">
      <w:pPr>
        <w:spacing w:before="100" w:beforeAutospacing="1" w:after="100" w:afterAutospacing="1" w:line="360" w:lineRule="auto"/>
        <w:jc w:val="both"/>
        <w:rPr>
          <w:rFonts w:ascii="Arial" w:eastAsia="Times New Roman" w:hAnsi="Arial" w:cs="Arial"/>
          <w:kern w:val="0"/>
          <w:lang w:eastAsia="en-GB"/>
          <w14:ligatures w14:val="none"/>
        </w:rPr>
      </w:pPr>
      <w:r w:rsidRPr="00327705">
        <w:rPr>
          <w:rFonts w:ascii="Arial" w:eastAsia="Times New Roman" w:hAnsi="Arial" w:cs="Arial"/>
          <w:kern w:val="0"/>
          <w:lang w:eastAsia="en-GB"/>
          <w14:ligatures w14:val="none"/>
        </w:rPr>
        <w:t xml:space="preserve">Economic conditions strongly influence IKEA’s sustainability strategy. While sustainability initiatives can lead to long-term cost savings through energy efficiency </w:t>
      </w:r>
      <w:r w:rsidRPr="00327705">
        <w:rPr>
          <w:rFonts w:ascii="Arial" w:eastAsia="Times New Roman" w:hAnsi="Arial" w:cs="Arial"/>
          <w:kern w:val="0"/>
          <w:lang w:eastAsia="en-GB"/>
          <w14:ligatures w14:val="none"/>
        </w:rPr>
        <w:lastRenderedPageBreak/>
        <w:t>and resource optimisation, they often require significant upfront investment. At the same time, IKEA’s low-cost business model means it must balance affordability with sustainability, creating tension between cost reduction and environmental responsibility. Economic uncertainty may also limit consumer willingness to pay for sustainable products, reinforcing demand for cheaper alternatives</w:t>
      </w:r>
      <w:r w:rsidR="00882147">
        <w:rPr>
          <w:rFonts w:ascii="Arial" w:eastAsia="Times New Roman" w:hAnsi="Arial" w:cs="Arial"/>
          <w:kern w:val="0"/>
          <w:lang w:eastAsia="en-GB"/>
          <w14:ligatures w14:val="none"/>
        </w:rPr>
        <w:t xml:space="preserve"> </w:t>
      </w:r>
      <w:r w:rsidR="003B7D00">
        <w:rPr>
          <w:rFonts w:ascii="Arial" w:eastAsia="Times New Roman" w:hAnsi="Arial" w:cs="Arial"/>
          <w:kern w:val="0"/>
          <w:lang w:eastAsia="en-GB"/>
          <w14:ligatures w14:val="none"/>
        </w:rPr>
        <w:t>(</w:t>
      </w:r>
      <w:r w:rsidR="00882147">
        <w:rPr>
          <w:rFonts w:ascii="Arial" w:eastAsia="Times New Roman" w:hAnsi="Arial" w:cs="Arial"/>
          <w:kern w:val="0"/>
          <w:lang w:eastAsia="en-GB"/>
          <w14:ligatures w14:val="none"/>
        </w:rPr>
        <w:fldChar w:fldCharType="begin"/>
      </w:r>
      <w:r w:rsidR="009F2326">
        <w:rPr>
          <w:rFonts w:ascii="Arial" w:eastAsia="Times New Roman" w:hAnsi="Arial" w:cs="Arial"/>
          <w:kern w:val="0"/>
          <w:lang w:eastAsia="en-GB"/>
          <w14:ligatures w14:val="none"/>
        </w:rPr>
        <w:instrText xml:space="preserve"> ADDIN ZOTERO_ITEM CSL_CITATION {"citationID":"KlxgcZO2","properties":{"formattedCitation":"(Eierle {\\i{}et al.}, 2022)","plainCitation":"(Eierle et al., 2022)","dontUpdate":true,"noteIndex":0},"citationItems":[{"id":360,"uris":["http://zotero.org/users/local/bh3OqUSh/items/8PC34CR6"],"itemData":{"id":360,"type":"article-journal","abstract":"SUMMARY: Client- and auditor-related attributes are well-documented determinants of audit pricing, but the number of empirical archival studies investigating the effects of external factors on audit pricing has grown rapidly in recent years. We extend the traditional framework used to classify audit fee research by adding a novel structure that focuses on political, economic, social, technological, legal, and environmental/ecological factors (a PESTLE analysis). We provide a systematic review of the literature on external factors and audit pricing, and we suggest opportunities for future research. Our review reveals that audit researchers focus on legal factors in terms of regulatory changes, and we find increased attention to political, economic, and social factors. However, despite increased public scrutiny, technological and environmental/ecological factors remain under-researched. Overall, our review demonstrates the importance of considering external factors to gain a more complete understanding of the audit pricing framework, especially in terms of global and regional variations. JEL Classifications: M40; M42.","archive_location":"158812697","container-title":"Auditing: A Journal of Practice &amp; Theory","DOI":"10.2308/AJPT-2019-510","ISSN":"0278-0380","issue":"3","journalAbbreviation":"Auditing: A Journal of Practice &amp; Theory","language":"eng","note":"publisher: American Accounting Association","page":"95-119","source":"EBSCOhost","title":"External Factors and the Pricing of Audit Services: A Systematic Review of the Archival Literature Using a PESTLE Analysis.","title-short":"External Factors and the Pricing of Audit Services","volume":"41","author":[{"family":"Eierle","given":"Brigitte"},{"family":"Hartlieb","given":"Sven"},{"family":"Hay","given":"David C."},{"family":"Niemi","given":"Lasse"},{"family":"Ojala","given":"Hannu"}],"issued":{"date-parts":[["2022",8,1]]}}}],"schema":"https://github.com/citation-style-language/schema/raw/master/csl-citation.json"} </w:instrText>
      </w:r>
      <w:r w:rsidR="00882147">
        <w:rPr>
          <w:rFonts w:ascii="Arial" w:eastAsia="Times New Roman" w:hAnsi="Arial" w:cs="Arial"/>
          <w:kern w:val="0"/>
          <w:lang w:eastAsia="en-GB"/>
          <w14:ligatures w14:val="none"/>
        </w:rPr>
        <w:fldChar w:fldCharType="separate"/>
      </w:r>
      <w:r w:rsidR="00882147" w:rsidRPr="00882147">
        <w:rPr>
          <w:rFonts w:ascii="Arial" w:hAnsi="Arial" w:cs="Arial"/>
          <w:kern w:val="0"/>
        </w:rPr>
        <w:t xml:space="preserve">Eierle </w:t>
      </w:r>
      <w:r w:rsidR="00882147" w:rsidRPr="00882147">
        <w:rPr>
          <w:rFonts w:ascii="Arial" w:hAnsi="Arial" w:cs="Arial"/>
          <w:i/>
          <w:iCs/>
          <w:kern w:val="0"/>
        </w:rPr>
        <w:t>et al.</w:t>
      </w:r>
      <w:r w:rsidR="00882147" w:rsidRPr="00882147">
        <w:rPr>
          <w:rFonts w:ascii="Arial" w:hAnsi="Arial" w:cs="Arial"/>
          <w:kern w:val="0"/>
        </w:rPr>
        <w:t>, 2022)</w:t>
      </w:r>
      <w:r w:rsidR="00882147">
        <w:rPr>
          <w:rFonts w:ascii="Arial" w:eastAsia="Times New Roman" w:hAnsi="Arial" w:cs="Arial"/>
          <w:kern w:val="0"/>
          <w:lang w:eastAsia="en-GB"/>
          <w14:ligatures w14:val="none"/>
        </w:rPr>
        <w:fldChar w:fldCharType="end"/>
      </w:r>
      <w:r w:rsidR="00882147">
        <w:rPr>
          <w:rFonts w:ascii="Arial" w:eastAsia="Times New Roman" w:hAnsi="Arial" w:cs="Arial"/>
          <w:kern w:val="0"/>
          <w:lang w:eastAsia="en-GB"/>
          <w14:ligatures w14:val="none"/>
        </w:rPr>
        <w:t>.</w:t>
      </w:r>
    </w:p>
    <w:p w14:paraId="2277CBE7" w14:textId="77777777" w:rsidR="00327705" w:rsidRPr="00327705" w:rsidRDefault="00327705" w:rsidP="00AF517A">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6" w:name="_Toc231380080"/>
      <w:r w:rsidRPr="00327705">
        <w:rPr>
          <w:rFonts w:ascii="Arial" w:eastAsia="Times New Roman" w:hAnsi="Arial" w:cs="Arial"/>
          <w:b/>
          <w:bCs/>
          <w:kern w:val="0"/>
          <w:lang w:eastAsia="en-GB"/>
          <w14:ligatures w14:val="none"/>
        </w:rPr>
        <w:t>Social Factors</w:t>
      </w:r>
      <w:bookmarkEnd w:id="6"/>
    </w:p>
    <w:p w14:paraId="68D61915" w14:textId="29244E04" w:rsidR="00327705" w:rsidRPr="00327705" w:rsidRDefault="00327705" w:rsidP="00AF517A">
      <w:pPr>
        <w:spacing w:before="100" w:beforeAutospacing="1" w:after="100" w:afterAutospacing="1" w:line="360" w:lineRule="auto"/>
        <w:jc w:val="both"/>
        <w:rPr>
          <w:rFonts w:ascii="Arial" w:eastAsia="Times New Roman" w:hAnsi="Arial" w:cs="Arial"/>
          <w:kern w:val="0"/>
          <w:lang w:eastAsia="en-GB"/>
          <w14:ligatures w14:val="none"/>
        </w:rPr>
      </w:pPr>
      <w:r w:rsidRPr="00327705">
        <w:rPr>
          <w:rFonts w:ascii="Arial" w:eastAsia="Times New Roman" w:hAnsi="Arial" w:cs="Arial"/>
          <w:kern w:val="0"/>
          <w:lang w:eastAsia="en-GB"/>
          <w14:ligatures w14:val="none"/>
        </w:rPr>
        <w:t>Social expectations regarding sustainability have increased significantly, with consumers becoming more aware of environmental and ethical issues</w:t>
      </w:r>
      <w:r w:rsidR="00810C44">
        <w:rPr>
          <w:rFonts w:ascii="Arial" w:eastAsia="Times New Roman" w:hAnsi="Arial" w:cs="Arial"/>
          <w:kern w:val="0"/>
          <w:lang w:eastAsia="en-GB"/>
          <w14:ligatures w14:val="none"/>
        </w:rPr>
        <w:t xml:space="preserve"> </w:t>
      </w:r>
      <w:r w:rsidR="00810C44">
        <w:rPr>
          <w:rFonts w:ascii="Arial" w:eastAsia="Times New Roman" w:hAnsi="Arial" w:cs="Arial"/>
          <w:kern w:val="0"/>
          <w:lang w:eastAsia="en-GB"/>
          <w14:ligatures w14:val="none"/>
        </w:rPr>
        <w:fldChar w:fldCharType="begin"/>
      </w:r>
      <w:r w:rsidR="00810C44">
        <w:rPr>
          <w:rFonts w:ascii="Arial" w:eastAsia="Times New Roman" w:hAnsi="Arial" w:cs="Arial"/>
          <w:kern w:val="0"/>
          <w:lang w:eastAsia="en-GB"/>
          <w14:ligatures w14:val="none"/>
        </w:rPr>
        <w:instrText xml:space="preserve"> ADDIN ZOTERO_ITEM CSL_CITATION {"citationID":"BTLi3f9I","properties":{"formattedCitation":"(Eichhorn {\\i{}et al.}, 2024)","plainCitation":"(Eichhorn et al., 2024)","noteIndex":0},"citationItems":[{"id":362,"uris":["http://zotero.org/users/local/bh3OqUSh/items/9ZCMEUNA"],"itemData":{"id":362,"type":"article-journal","abstract":"To promote more environmentally friendly and cost-effective agri-environmental-climate measures in the European Union, novel approaches such as result-based and collective schemes are advocated. This study explores macro-environmental factors facilitating or impeding the adoption of such schemes. By means of a PESTLE analysis and based on a survey of 85 stakeholders from Austria and Germany, we identify major adoption factors within the political, economic, social, technological, legal, and environmental domains. Our results indicate that economic, legal, and social factors are the most influential, with fair payment, clear contract design, and social relations being the most commonly mentioned. Moreover, the unpredictability of nature is a major impediment to the adoption of result-based schemes, while social dynamics and farmers’ attitudes are key factors for a successful implementation of collective contracts. Overall, the study provides strategic and practical insights that can support the design and implementation of novel agri-environmental-climate measures under the Common Agricultural Policy","container-title":"Bio - Based and Applied Economics","DOI":"10.36253/bae-14489","ISSN":"22806180","issue":"1","language":"English","license":"© 2024. This work is published under https://creativecommons.org/licenses/by/4.0/  (the “License”).  Notwithstanding the ProQuest Terms and Conditions, you may use this content in accordance with the terms of the License.","note":"number-of-pages: 49-71\npublisher-place: Firenze, Italy\npublisher: Firenze University Press Università degli Studi di Firenze\nsection: Full Research Articles","page":"49-71","source":"ProQuest","title":"Exploring macro-environmental factors influencing adoption of result-based and collective agri-environmental measures: a PESTLE approach based on stakeholder statements","title-short":"Exploring macro-environmental factors influencing adoption of result-based and collective agri-environmental measures","volume":"13","author":[{"family":"Eichhorn","given":"Theresa"},{"family":"Schaller","given":"Lena"},{"family":"Hamunen","given":"Katri"},{"family":"Runge","given":"Tania"}],"issued":{"date-parts":[["2024",5]]}}}],"schema":"https://github.com/citation-style-language/schema/raw/master/csl-citation.json"} </w:instrText>
      </w:r>
      <w:r w:rsidR="00810C44">
        <w:rPr>
          <w:rFonts w:ascii="Arial" w:eastAsia="Times New Roman" w:hAnsi="Arial" w:cs="Arial"/>
          <w:kern w:val="0"/>
          <w:lang w:eastAsia="en-GB"/>
          <w14:ligatures w14:val="none"/>
        </w:rPr>
        <w:fldChar w:fldCharType="separate"/>
      </w:r>
      <w:r w:rsidR="00810C44" w:rsidRPr="00810C44">
        <w:rPr>
          <w:rFonts w:ascii="Arial" w:hAnsi="Arial" w:cs="Arial"/>
          <w:kern w:val="0"/>
        </w:rPr>
        <w:t xml:space="preserve">(Eichhorn </w:t>
      </w:r>
      <w:r w:rsidR="00810C44" w:rsidRPr="00810C44">
        <w:rPr>
          <w:rFonts w:ascii="Arial" w:hAnsi="Arial" w:cs="Arial"/>
          <w:i/>
          <w:iCs/>
          <w:kern w:val="0"/>
        </w:rPr>
        <w:t>et al.</w:t>
      </w:r>
      <w:r w:rsidR="00810C44" w:rsidRPr="00810C44">
        <w:rPr>
          <w:rFonts w:ascii="Arial" w:hAnsi="Arial" w:cs="Arial"/>
          <w:kern w:val="0"/>
        </w:rPr>
        <w:t>, 2024)</w:t>
      </w:r>
      <w:r w:rsidR="00810C44">
        <w:rPr>
          <w:rFonts w:ascii="Arial" w:eastAsia="Times New Roman" w:hAnsi="Arial" w:cs="Arial"/>
          <w:kern w:val="0"/>
          <w:lang w:eastAsia="en-GB"/>
          <w14:ligatures w14:val="none"/>
        </w:rPr>
        <w:fldChar w:fldCharType="end"/>
      </w:r>
      <w:r w:rsidR="00810C44">
        <w:rPr>
          <w:rFonts w:ascii="Arial" w:eastAsia="Times New Roman" w:hAnsi="Arial" w:cs="Arial"/>
          <w:kern w:val="0"/>
          <w:lang w:eastAsia="en-GB"/>
          <w14:ligatures w14:val="none"/>
        </w:rPr>
        <w:t>.</w:t>
      </w:r>
      <w:r w:rsidRPr="00327705">
        <w:rPr>
          <w:rFonts w:ascii="Arial" w:eastAsia="Times New Roman" w:hAnsi="Arial" w:cs="Arial"/>
          <w:kern w:val="0"/>
          <w:lang w:eastAsia="en-GB"/>
          <w14:ligatures w14:val="none"/>
        </w:rPr>
        <w:t xml:space="preserve"> This creates opportunities for IKEA to strengthen its brand through responsible practices. However, consumer behaviour remains inconsistent, as purchasing decisions are often driven by price and convenience rather than sustainability. This creates a challenge for IKEA, particularly as many of its circular initiatives rely on active consumer participation.</w:t>
      </w:r>
    </w:p>
    <w:p w14:paraId="788D355C" w14:textId="77777777" w:rsidR="00327705" w:rsidRPr="00327705" w:rsidRDefault="00327705" w:rsidP="00AF517A">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7" w:name="_Toc231380081"/>
      <w:r w:rsidRPr="00327705">
        <w:rPr>
          <w:rFonts w:ascii="Arial" w:eastAsia="Times New Roman" w:hAnsi="Arial" w:cs="Arial"/>
          <w:b/>
          <w:bCs/>
          <w:kern w:val="0"/>
          <w:lang w:eastAsia="en-GB"/>
          <w14:ligatures w14:val="none"/>
        </w:rPr>
        <w:t>Technological Factors</w:t>
      </w:r>
      <w:bookmarkEnd w:id="7"/>
    </w:p>
    <w:p w14:paraId="5C44F87D" w14:textId="62A21AC4" w:rsidR="00327705" w:rsidRPr="00327705" w:rsidRDefault="00327705" w:rsidP="00AF517A">
      <w:pPr>
        <w:spacing w:before="100" w:beforeAutospacing="1" w:after="100" w:afterAutospacing="1" w:line="360" w:lineRule="auto"/>
        <w:jc w:val="both"/>
        <w:rPr>
          <w:rFonts w:ascii="Arial" w:eastAsia="Times New Roman" w:hAnsi="Arial" w:cs="Arial"/>
          <w:kern w:val="0"/>
          <w:lang w:eastAsia="en-GB"/>
          <w14:ligatures w14:val="none"/>
        </w:rPr>
      </w:pPr>
      <w:r w:rsidRPr="00327705">
        <w:rPr>
          <w:rFonts w:ascii="Arial" w:eastAsia="Times New Roman" w:hAnsi="Arial" w:cs="Arial"/>
          <w:kern w:val="0"/>
          <w:lang w:eastAsia="en-GB"/>
          <w14:ligatures w14:val="none"/>
        </w:rPr>
        <w:t>Technological advancements provide important opportunities for IKEA to improve sustainability performance. Innovations in sustainable materials, digital tracking systems, and supply chain transparency can enhance efficiency and reduce environmental impact. For example, digital platforms can support product lifecycle tracking and resale markets. However, implementing such technologies requires investment and organisational adaptation, which may present operational challenges</w:t>
      </w:r>
      <w:r w:rsidR="00166F79">
        <w:rPr>
          <w:rFonts w:ascii="Arial" w:eastAsia="Times New Roman" w:hAnsi="Arial" w:cs="Arial"/>
          <w:kern w:val="0"/>
          <w:lang w:eastAsia="en-GB"/>
          <w14:ligatures w14:val="none"/>
        </w:rPr>
        <w:t xml:space="preserve"> </w:t>
      </w:r>
      <w:r w:rsidR="00166F79">
        <w:rPr>
          <w:rFonts w:ascii="Arial" w:eastAsia="Times New Roman" w:hAnsi="Arial" w:cs="Arial"/>
          <w:kern w:val="0"/>
          <w:lang w:eastAsia="en-GB"/>
          <w14:ligatures w14:val="none"/>
        </w:rPr>
        <w:fldChar w:fldCharType="begin"/>
      </w:r>
      <w:r w:rsidR="00166F79">
        <w:rPr>
          <w:rFonts w:ascii="Arial" w:eastAsia="Times New Roman" w:hAnsi="Arial" w:cs="Arial"/>
          <w:kern w:val="0"/>
          <w:lang w:eastAsia="en-GB"/>
          <w14:ligatures w14:val="none"/>
        </w:rPr>
        <w:instrText xml:space="preserve"> ADDIN ZOTERO_ITEM CSL_CITATION {"citationID":"WgERrUoN","properties":{"formattedCitation":"(Irfan and Tang, 2025)","plainCitation":"(Irfan and Tang, 2025)","noteIndex":0},"citationItems":[{"id":365,"uris":["http://zotero.org/users/local/bh3OqUSh/items/WGGKX6NG"],"itemData":{"id":365,"type":"article-journal","abstract":"The electric vehicle (EV) business model integrates advanced battery technology, dynamic power train architectures, and intelligent energy management systems with ecosystem strategies and digital services. It incorporates environmental sustainability through lifecycle analysis and renewable energy integration. China, with 9.49 million EV sales in 2023 (33% market share), faces infrastructure gaps constraining further growth. China is strategically mitigating CO2 emissions while fostering economic expansion, notwithstanding constraints such as suboptimal battery technology advancements, elevated production expenditure, and enduring ecological impacts. This Political, Economic, Social, Technological, Legal, Environmental (PESTLE) assessment, operationalized through a survey of 800 stakeholders and Statistical Package for the Social Sciences IBM SPSS SPSS (Version 28) quantitative analysis (factor loading = 0.73 for Technology; eigenvalue = 4.12), identifies infrastructure gaps as the dominant barrier (72% of stakeholders). Political factors (β = 0.82) emerged as the strongest adoption predictor, outweighing economic subsidies in significance. The adoption of EVs in China presents a significant prospect for reducing CO2 emissions and advancing technology. However, economic barriers, market dynamics, inadequate infrastructure, regulatory uncertainty, and social acceptance issues are addressed in the assessment. The study recommends prioritizing infrastructure investment (e.g., 500 K fast-charging stations by 2027) and policy stability to overcome adoption barriers. This study provides three key advances: (1) quantification of PESTLE factor weights via factor analysis, revealing technological (infrastructure) and political factors as dominant; (2) identification of infrastructure gaps, not subsidies, as the primary adoption barrier; and (3) demonstration of infrastructure’s persistence post-subsidy cuts. These insights redefine EV adoption priorities in China.","container-title":"Sustainability","DOI":"10.3390/su17146258","ISSN":"2071-1050","issue":"14","journalAbbreviation":"Sustainability","language":"en","page":"6258","source":"DOI.org (Crossref)","title":"Evaluating China’s Electric Vehicle Adoption with PESTLE: Stakeholder Perspectives on Sustainability and Adoption Barriers","title-short":"Evaluating China’s Electric Vehicle Adoption with PESTLE","volume":"17","author":[{"family":"Irfan","given":"Daniyal"},{"family":"Tang","given":"Xuan"}],"issued":{"date-parts":[["2025",7,8]]}}}],"schema":"https://github.com/citation-style-language/schema/raw/master/csl-citation.json"} </w:instrText>
      </w:r>
      <w:r w:rsidR="00166F79">
        <w:rPr>
          <w:rFonts w:ascii="Arial" w:eastAsia="Times New Roman" w:hAnsi="Arial" w:cs="Arial"/>
          <w:kern w:val="0"/>
          <w:lang w:eastAsia="en-GB"/>
          <w14:ligatures w14:val="none"/>
        </w:rPr>
        <w:fldChar w:fldCharType="separate"/>
      </w:r>
      <w:r w:rsidR="00166F79" w:rsidRPr="00166F79">
        <w:rPr>
          <w:rFonts w:ascii="Arial" w:hAnsi="Arial" w:cs="Arial"/>
          <w:lang w:eastAsia="en-GB"/>
        </w:rPr>
        <w:t>(Irfan and Tang, 2025)</w:t>
      </w:r>
      <w:r w:rsidR="00166F79">
        <w:rPr>
          <w:rFonts w:ascii="Arial" w:eastAsia="Times New Roman" w:hAnsi="Arial" w:cs="Arial"/>
          <w:kern w:val="0"/>
          <w:lang w:eastAsia="en-GB"/>
          <w14:ligatures w14:val="none"/>
        </w:rPr>
        <w:fldChar w:fldCharType="end"/>
      </w:r>
      <w:r w:rsidR="00166F79">
        <w:rPr>
          <w:rFonts w:ascii="Arial" w:eastAsia="Times New Roman" w:hAnsi="Arial" w:cs="Arial"/>
          <w:kern w:val="0"/>
          <w:lang w:eastAsia="en-GB"/>
          <w14:ligatures w14:val="none"/>
        </w:rPr>
        <w:t>.</w:t>
      </w:r>
    </w:p>
    <w:p w14:paraId="5CFDCD2B" w14:textId="77777777" w:rsidR="00327705" w:rsidRPr="00327705" w:rsidRDefault="00327705" w:rsidP="00AF517A">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8" w:name="_Toc231380082"/>
      <w:r w:rsidRPr="00327705">
        <w:rPr>
          <w:rFonts w:ascii="Arial" w:eastAsia="Times New Roman" w:hAnsi="Arial" w:cs="Arial"/>
          <w:b/>
          <w:bCs/>
          <w:kern w:val="0"/>
          <w:lang w:eastAsia="en-GB"/>
          <w14:ligatures w14:val="none"/>
        </w:rPr>
        <w:t>Legal Factors</w:t>
      </w:r>
      <w:bookmarkEnd w:id="8"/>
    </w:p>
    <w:p w14:paraId="0FB4CAD5" w14:textId="2D6F0C0A" w:rsidR="00327705" w:rsidRDefault="00327705" w:rsidP="00AF517A">
      <w:pPr>
        <w:spacing w:before="100" w:beforeAutospacing="1" w:after="100" w:afterAutospacing="1" w:line="360" w:lineRule="auto"/>
        <w:jc w:val="both"/>
        <w:rPr>
          <w:rFonts w:ascii="Arial" w:eastAsia="Times New Roman" w:hAnsi="Arial" w:cs="Arial"/>
          <w:kern w:val="0"/>
          <w:lang w:eastAsia="en-GB"/>
          <w14:ligatures w14:val="none"/>
        </w:rPr>
      </w:pPr>
      <w:r w:rsidRPr="00327705">
        <w:rPr>
          <w:rFonts w:ascii="Arial" w:eastAsia="Times New Roman" w:hAnsi="Arial" w:cs="Arial"/>
          <w:kern w:val="0"/>
          <w:lang w:eastAsia="en-GB"/>
          <w14:ligatures w14:val="none"/>
        </w:rPr>
        <w:t>Legal frameworks, particularly those related to environmental protection and supply chain transparency, are becoming increasingly stringent</w:t>
      </w:r>
      <w:r w:rsidR="00A12457">
        <w:rPr>
          <w:rFonts w:ascii="Arial" w:eastAsia="Times New Roman" w:hAnsi="Arial" w:cs="Arial"/>
          <w:kern w:val="0"/>
          <w:lang w:eastAsia="en-GB"/>
          <w14:ligatures w14:val="none"/>
        </w:rPr>
        <w:t xml:space="preserve"> </w:t>
      </w:r>
      <w:r w:rsidR="00A12457">
        <w:rPr>
          <w:rFonts w:ascii="Arial" w:eastAsia="Times New Roman" w:hAnsi="Arial" w:cs="Arial"/>
          <w:kern w:val="0"/>
          <w:lang w:eastAsia="en-GB"/>
          <w14:ligatures w14:val="none"/>
        </w:rPr>
        <w:fldChar w:fldCharType="begin"/>
      </w:r>
      <w:r w:rsidR="00A12457">
        <w:rPr>
          <w:rFonts w:ascii="Arial" w:eastAsia="Times New Roman" w:hAnsi="Arial" w:cs="Arial"/>
          <w:kern w:val="0"/>
          <w:lang w:eastAsia="en-GB"/>
          <w14:ligatures w14:val="none"/>
        </w:rPr>
        <w:instrText xml:space="preserve"> ADDIN ZOTERO_ITEM CSL_CITATION {"citationID":"tHOsIbcv","properties":{"formattedCitation":"(Soares {\\i{}et al.}, 2023)","plainCitation":"(Soares et al., 2023)","noteIndex":0},"citationItems":[{"id":367,"uris":["http://zotero.org/users/local/bh3OqUSh/items/I7EAQFWJ"],"itemData":{"id":367,"type":"article-journal","abstract":"Electricity is crucial for each country’s economic and social development. More than half of the population in Sub-Saharan African (SSA) lack access to energy, which has dire consequences for the local population’s living conditions, as well as affecting the local economy and increasing poverty. Renewable energy-based mini-grid (REBM) systems are the promising solution to mitigate the issue of energy access in rural areas, however, the expansion of renewable energy (RE) systems and the rate of energy access are both advancing at a slow pace. This study used PESTLE analysis (Political, Economic, Social, Technological, Legal, and Environmental) in the context of Mozambique, a SSA country, to identify the most important categories and factors to support decision-making processes by breaking down existing barriers and hurdles in the energy sector enabling them to plan and implement measures, subdivided in primary, secondary and tertiary for the development of REBM in remote settlements. Even though PESTLE analysis is rather often worldwide applied to the energy sector, its application to the Sub-Saharan context is rare, while its application to the Mozambique energy sector is absent in scientific literature. Besides, within our study, energy experts from different professional backgrounds and nationalities have been interviewed using an online questionnaire: 62 energy experts (48 Africans, and 14 Non-African) from 14 different countries assessed the categories and factors. The experts questioned identified the political category as the most crucial for policy-makers to prioritize, with the top three global weighting factors being, Clear Government policies (plan, regulation, priority, strategy) 5.79%, National financial scheme for RES investments 4.93%, and cost of investment 4.86%. The findings can support policy-makers breakdown barriers in the energy sector, planning and implementing measures for the REBM development, and contribute to achieving the SDG7 target.","container-title":"Energy Strategy Reviews","DOI":"10.1016/j.esr.2022.101040","ISSN":"2211467X","journalAbbreviation":"Energy Strategy Reviews","language":"en","page":"101040","source":"DOI.org (Crossref)","title":"Enabling factors for the development of mini-grid solutions in Mozambique: A PESTLE-based analysis","title-short":"Enabling factors for the development of mini-grid solutions in Mozambique","volume":"45","author":[{"family":"Soares","given":"Castro Antonio"},{"family":"Shendrikova","given":"Diana"},{"family":"Crevani","given":"Giacomo"},{"family":"Silinto","given":"Berino"},{"family":"Colombo","given":"Emanuela"}],"issued":{"date-parts":[["2023",1]]}}}],"schema":"https://github.com/citation-style-language/schema/raw/master/csl-citation.json"} </w:instrText>
      </w:r>
      <w:r w:rsidR="00A12457">
        <w:rPr>
          <w:rFonts w:ascii="Arial" w:eastAsia="Times New Roman" w:hAnsi="Arial" w:cs="Arial"/>
          <w:kern w:val="0"/>
          <w:lang w:eastAsia="en-GB"/>
          <w14:ligatures w14:val="none"/>
        </w:rPr>
        <w:fldChar w:fldCharType="separate"/>
      </w:r>
      <w:r w:rsidR="00A12457" w:rsidRPr="00A12457">
        <w:rPr>
          <w:rFonts w:ascii="Arial" w:hAnsi="Arial" w:cs="Arial"/>
          <w:kern w:val="0"/>
        </w:rPr>
        <w:t xml:space="preserve">(Soares </w:t>
      </w:r>
      <w:r w:rsidR="00A12457" w:rsidRPr="00A12457">
        <w:rPr>
          <w:rFonts w:ascii="Arial" w:hAnsi="Arial" w:cs="Arial"/>
          <w:i/>
          <w:iCs/>
          <w:kern w:val="0"/>
        </w:rPr>
        <w:t>et al.</w:t>
      </w:r>
      <w:r w:rsidR="00A12457" w:rsidRPr="00A12457">
        <w:rPr>
          <w:rFonts w:ascii="Arial" w:hAnsi="Arial" w:cs="Arial"/>
          <w:kern w:val="0"/>
        </w:rPr>
        <w:t>, 2023)</w:t>
      </w:r>
      <w:r w:rsidR="00A12457">
        <w:rPr>
          <w:rFonts w:ascii="Arial" w:eastAsia="Times New Roman" w:hAnsi="Arial" w:cs="Arial"/>
          <w:kern w:val="0"/>
          <w:lang w:eastAsia="en-GB"/>
          <w14:ligatures w14:val="none"/>
        </w:rPr>
        <w:fldChar w:fldCharType="end"/>
      </w:r>
      <w:r w:rsidR="00A12457">
        <w:rPr>
          <w:rFonts w:ascii="Arial" w:eastAsia="Times New Roman" w:hAnsi="Arial" w:cs="Arial"/>
          <w:kern w:val="0"/>
          <w:lang w:eastAsia="en-GB"/>
          <w14:ligatures w14:val="none"/>
        </w:rPr>
        <w:t>.</w:t>
      </w:r>
      <w:r w:rsidRPr="00327705">
        <w:rPr>
          <w:rFonts w:ascii="Arial" w:eastAsia="Times New Roman" w:hAnsi="Arial" w:cs="Arial"/>
          <w:kern w:val="0"/>
          <w:lang w:eastAsia="en-GB"/>
          <w14:ligatures w14:val="none"/>
        </w:rPr>
        <w:t xml:space="preserve"> Regulations such as modern slavery legislation and sustainability reporting requirements require IKEA to demonstrate accountability across its operations. While these regulations promote ethical practices, compliance can be complex and resource-intensive, particularly within global supply chains.</w:t>
      </w:r>
      <w:r w:rsidR="00A9327E">
        <w:rPr>
          <w:rFonts w:ascii="Arial" w:eastAsia="Times New Roman" w:hAnsi="Arial" w:cs="Arial"/>
          <w:kern w:val="0"/>
          <w:lang w:eastAsia="en-GB"/>
          <w14:ligatures w14:val="none"/>
        </w:rPr>
        <w:t xml:space="preserve"> </w:t>
      </w:r>
    </w:p>
    <w:p w14:paraId="5B27372F" w14:textId="77777777" w:rsidR="004F01EA" w:rsidRDefault="004F01EA" w:rsidP="00AF517A">
      <w:pPr>
        <w:spacing w:before="100" w:beforeAutospacing="1" w:after="100" w:afterAutospacing="1" w:line="360" w:lineRule="auto"/>
        <w:jc w:val="both"/>
        <w:rPr>
          <w:rFonts w:ascii="Arial" w:eastAsia="Times New Roman" w:hAnsi="Arial" w:cs="Arial"/>
          <w:kern w:val="0"/>
          <w:lang w:eastAsia="en-GB"/>
          <w14:ligatures w14:val="none"/>
        </w:rPr>
      </w:pPr>
    </w:p>
    <w:p w14:paraId="7686C492" w14:textId="77777777" w:rsidR="004F01EA" w:rsidRPr="00327705" w:rsidRDefault="004F01EA" w:rsidP="00AF517A">
      <w:pPr>
        <w:spacing w:before="100" w:beforeAutospacing="1" w:after="100" w:afterAutospacing="1" w:line="360" w:lineRule="auto"/>
        <w:jc w:val="both"/>
        <w:rPr>
          <w:rFonts w:ascii="Arial" w:eastAsia="Times New Roman" w:hAnsi="Arial" w:cs="Arial"/>
          <w:kern w:val="0"/>
          <w:lang w:eastAsia="en-GB"/>
          <w14:ligatures w14:val="none"/>
        </w:rPr>
      </w:pPr>
    </w:p>
    <w:p w14:paraId="1BA5BBAD" w14:textId="77777777" w:rsidR="00327705" w:rsidRPr="00327705" w:rsidRDefault="00327705" w:rsidP="00AF517A">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9" w:name="_Toc231380083"/>
      <w:r w:rsidRPr="00327705">
        <w:rPr>
          <w:rFonts w:ascii="Arial" w:eastAsia="Times New Roman" w:hAnsi="Arial" w:cs="Arial"/>
          <w:b/>
          <w:bCs/>
          <w:kern w:val="0"/>
          <w:lang w:eastAsia="en-GB"/>
          <w14:ligatures w14:val="none"/>
        </w:rPr>
        <w:t>Environmental Factors</w:t>
      </w:r>
      <w:bookmarkEnd w:id="9"/>
    </w:p>
    <w:p w14:paraId="6C3B13E2" w14:textId="44036CF9" w:rsidR="00327705" w:rsidRPr="00544561" w:rsidRDefault="00327705" w:rsidP="00AF517A">
      <w:pPr>
        <w:spacing w:before="100" w:beforeAutospacing="1" w:after="100" w:afterAutospacing="1" w:line="360" w:lineRule="auto"/>
        <w:jc w:val="both"/>
        <w:rPr>
          <w:rFonts w:ascii="Arial" w:eastAsia="Times New Roman" w:hAnsi="Arial" w:cs="Arial"/>
          <w:kern w:val="0"/>
          <w:lang w:eastAsia="en-GB"/>
          <w14:ligatures w14:val="none"/>
        </w:rPr>
      </w:pPr>
      <w:r w:rsidRPr="00327705">
        <w:rPr>
          <w:rFonts w:ascii="Arial" w:eastAsia="Times New Roman" w:hAnsi="Arial" w:cs="Arial"/>
          <w:kern w:val="0"/>
          <w:lang w:eastAsia="en-GB"/>
          <w14:ligatures w14:val="none"/>
        </w:rPr>
        <w:t>Environmental pressures represent one of the most significant drivers of IKEA’s sustainability strategy. Issues such as climate change, deforestation, and resource depletion directly affect the availability of raw materials and increase operational risks</w:t>
      </w:r>
      <w:r w:rsidR="00544561">
        <w:rPr>
          <w:rFonts w:ascii="Arial" w:eastAsia="Times New Roman" w:hAnsi="Arial" w:cs="Arial"/>
          <w:kern w:val="0"/>
          <w:lang w:eastAsia="en-GB"/>
          <w14:ligatures w14:val="none"/>
        </w:rPr>
        <w:t xml:space="preserve"> </w:t>
      </w:r>
      <w:r w:rsidR="00544561">
        <w:rPr>
          <w:rFonts w:ascii="Arial" w:eastAsia="Times New Roman" w:hAnsi="Arial" w:cs="Arial"/>
          <w:kern w:val="0"/>
          <w:lang w:eastAsia="en-GB"/>
          <w14:ligatures w14:val="none"/>
        </w:rPr>
        <w:fldChar w:fldCharType="begin"/>
      </w:r>
      <w:r w:rsidR="00544561">
        <w:rPr>
          <w:rFonts w:ascii="Arial" w:eastAsia="Times New Roman" w:hAnsi="Arial" w:cs="Arial"/>
          <w:kern w:val="0"/>
          <w:lang w:eastAsia="en-GB"/>
          <w14:ligatures w14:val="none"/>
        </w:rPr>
        <w:instrText xml:space="preserve"> ADDIN ZOTERO_ITEM CSL_CITATION {"citationID":"AejiXnMv","properties":{"formattedCitation":"(Capobianco {\\i{}et al.}, 2021)","plainCitation":"(Capobianco et al., 2021)","noteIndex":0},"citationItems":[{"id":369,"uris":["http://zotero.org/users/local/bh3OqUSh/items/WN29K4WZ"],"itemData":{"id":369,"type":"article-journal","abstract":"The growing complexity of environmental challenges has progressively led to the emergence of Sustainable Business Models (SBMs) able to embed economic, environmental, and social ﬂows in a uniﬁed value network. All sectors are demanding innovative and sustainable solutions, including the oil and gas industry, which aims to address the issues about the decommissioning of offshore platforms. However, although the relevant literature highlighted the potentialities related to a multi-reuse of these structures, the effect of Sustainable Decommissioning (SD) on macroenvironmental factors is still an open question. Based on these considerations, this study follows a Political, Economic, Social, Technological, Legal, and Environmental (PESTLE) analysis according to semi-structured interviews conducted with oil and gas key informants and stakeholders in the Italian context. The results of the analysis can provide a novel thinking for addressing the challenges related to a sustainable decommissioning of offshore platforms and shed light on the importance of synergistic efforts by local entrepreneurship and institutional arrangements to combine economic and environmental sustainability with social needs. This paper can contribute to the emerging ﬁeld of sustainable business models related to the decommissioning of offshore platforms and suggests avenues for future research.","container-title":"Sustainability","DOI":"10.3390/su13116266","ISSN":"2071-1050","issue":"11","journalAbbreviation":"Sustainability","language":"en","page":"6266","source":"DOI.org (Crossref)","title":"Toward a Sustainable Decommissioning of Offshore Platforms in the Oil and Gas Industry: A PESTLE Analysis","title-short":"Toward a Sustainable Decommissioning of Offshore Platforms in the Oil and Gas Industry","volume":"13","author":[{"family":"Capobianco","given":"Nunzia"},{"family":"Basile","given":"Vincenzo"},{"family":"Loia","given":"Francesca"},{"family":"Vona","given":"Roberto"}],"issued":{"date-parts":[["2021",6,1]]}}}],"schema":"https://github.com/citation-style-language/schema/raw/master/csl-citation.json"} </w:instrText>
      </w:r>
      <w:r w:rsidR="00544561">
        <w:rPr>
          <w:rFonts w:ascii="Arial" w:eastAsia="Times New Roman" w:hAnsi="Arial" w:cs="Arial"/>
          <w:kern w:val="0"/>
          <w:lang w:eastAsia="en-GB"/>
          <w14:ligatures w14:val="none"/>
        </w:rPr>
        <w:fldChar w:fldCharType="separate"/>
      </w:r>
      <w:r w:rsidR="00544561" w:rsidRPr="00544561">
        <w:rPr>
          <w:rFonts w:ascii="Arial" w:hAnsi="Arial" w:cs="Arial"/>
          <w:kern w:val="0"/>
        </w:rPr>
        <w:t xml:space="preserve">(Capobianco </w:t>
      </w:r>
      <w:r w:rsidR="00544561" w:rsidRPr="00544561">
        <w:rPr>
          <w:rFonts w:ascii="Arial" w:hAnsi="Arial" w:cs="Arial"/>
          <w:i/>
          <w:iCs/>
          <w:kern w:val="0"/>
        </w:rPr>
        <w:t>et al.</w:t>
      </w:r>
      <w:r w:rsidR="00544561" w:rsidRPr="00544561">
        <w:rPr>
          <w:rFonts w:ascii="Arial" w:hAnsi="Arial" w:cs="Arial"/>
          <w:kern w:val="0"/>
        </w:rPr>
        <w:t>, 2021)</w:t>
      </w:r>
      <w:r w:rsidR="00544561">
        <w:rPr>
          <w:rFonts w:ascii="Arial" w:eastAsia="Times New Roman" w:hAnsi="Arial" w:cs="Arial"/>
          <w:kern w:val="0"/>
          <w:lang w:eastAsia="en-GB"/>
          <w14:ligatures w14:val="none"/>
        </w:rPr>
        <w:fldChar w:fldCharType="end"/>
      </w:r>
      <w:r w:rsidR="00544561">
        <w:rPr>
          <w:rFonts w:ascii="Arial" w:eastAsia="Times New Roman" w:hAnsi="Arial" w:cs="Arial"/>
          <w:kern w:val="0"/>
          <w:lang w:eastAsia="en-GB"/>
          <w14:ligatures w14:val="none"/>
        </w:rPr>
        <w:t>.</w:t>
      </w:r>
      <w:r w:rsidRPr="00327705">
        <w:rPr>
          <w:rFonts w:ascii="Arial" w:eastAsia="Times New Roman" w:hAnsi="Arial" w:cs="Arial"/>
          <w:kern w:val="0"/>
          <w:lang w:eastAsia="en-GB"/>
          <w14:ligatures w14:val="none"/>
        </w:rPr>
        <w:t xml:space="preserve"> </w:t>
      </w:r>
      <w:r w:rsidR="00946BBF">
        <w:rPr>
          <w:rFonts w:ascii="Arial" w:eastAsia="Times New Roman" w:hAnsi="Arial" w:cs="Arial"/>
          <w:kern w:val="0"/>
          <w:lang w:eastAsia="en-GB"/>
          <w14:ligatures w14:val="none"/>
        </w:rPr>
        <w:t>H</w:t>
      </w:r>
      <w:r w:rsidRPr="00327705">
        <w:rPr>
          <w:rFonts w:ascii="Arial" w:eastAsia="Times New Roman" w:hAnsi="Arial" w:cs="Arial"/>
          <w:kern w:val="0"/>
          <w:lang w:eastAsia="en-GB"/>
          <w14:ligatures w14:val="none"/>
        </w:rPr>
        <w:t xml:space="preserve">eavily reliant on natural resources such as wood and textiles, </w:t>
      </w:r>
      <w:r w:rsidRPr="004F01EA">
        <w:rPr>
          <w:rFonts w:ascii="Arial" w:eastAsia="Times New Roman" w:hAnsi="Arial" w:cs="Arial"/>
          <w:color w:val="000000" w:themeColor="text1"/>
          <w:kern w:val="0"/>
          <w:lang w:eastAsia="en-GB"/>
          <w14:ligatures w14:val="none"/>
        </w:rPr>
        <w:t xml:space="preserve">IKEA </w:t>
      </w:r>
      <w:r w:rsidR="00946BBF" w:rsidRPr="004F01EA">
        <w:rPr>
          <w:rFonts w:ascii="Arial" w:eastAsia="Times New Roman" w:hAnsi="Arial" w:cs="Arial"/>
          <w:color w:val="000000" w:themeColor="text1"/>
          <w:kern w:val="0"/>
          <w:lang w:eastAsia="en-GB"/>
          <w14:ligatures w14:val="none"/>
        </w:rPr>
        <w:t xml:space="preserve">must </w:t>
      </w:r>
      <w:r w:rsidRPr="004F01EA">
        <w:rPr>
          <w:rFonts w:ascii="Arial" w:eastAsia="Times New Roman" w:hAnsi="Arial" w:cs="Arial"/>
          <w:color w:val="000000" w:themeColor="text1"/>
          <w:kern w:val="0"/>
          <w:lang w:eastAsia="en-GB"/>
          <w14:ligatures w14:val="none"/>
        </w:rPr>
        <w:t xml:space="preserve">adopt </w:t>
      </w:r>
      <w:r w:rsidRPr="00327705">
        <w:rPr>
          <w:rFonts w:ascii="Arial" w:eastAsia="Times New Roman" w:hAnsi="Arial" w:cs="Arial"/>
          <w:kern w:val="0"/>
          <w:lang w:eastAsia="en-GB"/>
          <w14:ligatures w14:val="none"/>
        </w:rPr>
        <w:t>sustainable sourcing and reduce its environmental footprint</w:t>
      </w:r>
      <w:r w:rsidR="00946BBF">
        <w:rPr>
          <w:rFonts w:ascii="Arial" w:eastAsia="Times New Roman" w:hAnsi="Arial" w:cs="Arial"/>
          <w:kern w:val="0"/>
          <w:lang w:eastAsia="en-GB"/>
          <w14:ligatures w14:val="none"/>
        </w:rPr>
        <w:t xml:space="preserve">, </w:t>
      </w:r>
      <w:r w:rsidR="00946BBF" w:rsidRPr="004F01EA">
        <w:rPr>
          <w:rFonts w:ascii="Arial" w:eastAsia="Times New Roman" w:hAnsi="Arial" w:cs="Arial"/>
          <w:color w:val="000000" w:themeColor="text1"/>
          <w:kern w:val="0"/>
          <w:lang w:eastAsia="en-GB"/>
          <w14:ligatures w14:val="none"/>
        </w:rPr>
        <w:t>as</w:t>
      </w:r>
      <w:r w:rsidR="00946BBF">
        <w:rPr>
          <w:rFonts w:ascii="Arial" w:eastAsia="Times New Roman" w:hAnsi="Arial" w:cs="Arial"/>
          <w:kern w:val="0"/>
          <w:lang w:eastAsia="en-GB"/>
          <w14:ligatures w14:val="none"/>
        </w:rPr>
        <w:t xml:space="preserve"> f</w:t>
      </w:r>
      <w:r w:rsidRPr="00327705">
        <w:rPr>
          <w:rFonts w:ascii="Arial" w:eastAsia="Times New Roman" w:hAnsi="Arial" w:cs="Arial"/>
          <w:kern w:val="0"/>
          <w:lang w:eastAsia="en-GB"/>
          <w14:ligatures w14:val="none"/>
        </w:rPr>
        <w:t>ailure could undermine long-term business viability and stakeholder trust.</w:t>
      </w:r>
    </w:p>
    <w:p w14:paraId="3176C7ED" w14:textId="69596E11" w:rsidR="00327705" w:rsidRPr="003D2BAA" w:rsidRDefault="00946BBF" w:rsidP="00AF517A">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T</w:t>
      </w:r>
      <w:r w:rsidR="00327705" w:rsidRPr="00327705">
        <w:rPr>
          <w:rFonts w:ascii="Arial" w:eastAsia="Times New Roman" w:hAnsi="Arial" w:cs="Arial"/>
          <w:kern w:val="0"/>
          <w:lang w:eastAsia="en-GB"/>
          <w14:ligatures w14:val="none"/>
        </w:rPr>
        <w:t>he external environment presents</w:t>
      </w:r>
      <w:r w:rsidR="004F01EA">
        <w:rPr>
          <w:rFonts w:ascii="Arial" w:eastAsia="Times New Roman" w:hAnsi="Arial" w:cs="Arial"/>
          <w:kern w:val="0"/>
          <w:lang w:eastAsia="en-GB"/>
          <w14:ligatures w14:val="none"/>
        </w:rPr>
        <w:t xml:space="preserve"> </w:t>
      </w:r>
      <w:r w:rsidR="00327705" w:rsidRPr="00327705">
        <w:rPr>
          <w:rFonts w:ascii="Arial" w:eastAsia="Times New Roman" w:hAnsi="Arial" w:cs="Arial"/>
          <w:kern w:val="0"/>
          <w:lang w:eastAsia="en-GB"/>
          <w14:ligatures w14:val="none"/>
        </w:rPr>
        <w:t xml:space="preserve">opportunities and constraints for IKEA’s sustainability strategy. While increasing regulatory pressure, technological innovation, and social awareness support the transition towards sustainability, </w:t>
      </w:r>
      <w:r w:rsidR="00327705" w:rsidRPr="003D2BAA">
        <w:rPr>
          <w:rFonts w:ascii="Arial" w:eastAsia="Times New Roman" w:hAnsi="Arial" w:cs="Arial"/>
          <w:kern w:val="0"/>
          <w:lang w:eastAsia="en-GB"/>
          <w14:ligatures w14:val="none"/>
        </w:rPr>
        <w:t>economic constraints and inconsistent consumer behaviour continue to limit progress</w:t>
      </w:r>
      <w:r w:rsidR="003D2BAA" w:rsidRPr="003D2BAA">
        <w:rPr>
          <w:rFonts w:ascii="Arial" w:eastAsia="Times New Roman" w:hAnsi="Arial" w:cs="Arial"/>
          <w:kern w:val="0"/>
          <w:lang w:eastAsia="en-GB"/>
          <w14:ligatures w14:val="none"/>
        </w:rPr>
        <w:t xml:space="preserve"> </w:t>
      </w:r>
      <w:r w:rsidR="003D2BAA" w:rsidRPr="003D2BAA">
        <w:rPr>
          <w:rFonts w:ascii="Arial" w:eastAsia="Times New Roman" w:hAnsi="Arial" w:cs="Arial"/>
          <w:kern w:val="0"/>
          <w:lang w:eastAsia="en-GB"/>
          <w14:ligatures w14:val="none"/>
        </w:rPr>
        <w:fldChar w:fldCharType="begin"/>
      </w:r>
      <w:r w:rsidR="003D2BAA" w:rsidRPr="003D2BAA">
        <w:rPr>
          <w:rFonts w:ascii="Arial" w:eastAsia="Times New Roman" w:hAnsi="Arial" w:cs="Arial"/>
          <w:kern w:val="0"/>
          <w:lang w:eastAsia="en-GB"/>
          <w14:ligatures w14:val="none"/>
        </w:rPr>
        <w:instrText xml:space="preserve"> ADDIN ZOTERO_ITEM CSL_CITATION {"citationID":"qRQhhnDg","properties":{"formattedCitation":"(Amega {\\i{}et al.}, 2024)","plainCitation":"(Amega et al., 2024)","noteIndex":0},"citationItems":[{"id":373,"uris":["http://zotero.org/users/local/bh3OqUSh/items/AFMZHX66"],"itemData":{"id":373,"type":"article-journal","abstract":"Most developing countries’ electric power system is stressed by an unprecedented demand growth as well as obstacles that call for urgent actions. Therefore, tackling the present-day power-related challenges and ensure dependable and safe electricity may result in improving living conditions. This research aims to comprehend the primary factors that impede power companies in emerging economies and propose ways of addressing them with a focus on Togolese electricity system as a case study., The methodology utilized to study a complex and dynamic system like electricity sector is an integrated model composed of a survey and review of available literature, an interview with energy experts and the SWOT/PESTLE analysis to perform an in-depth and allencompassing analysis. The study revealed that the electrification poverty was 39.47 % at countrywide level that requires an additional power of 220.95 MW to that of 2021 to achieve 100 % of electricity access by 2030. Moreover, the system’s performance is hindered by a number of internal and external bottlenecks. They include but not limited to limitations in policies and regulations; technical difficulties in the transmission, distribution and off-grid subsystems; insufficient investments; and a lack of incentives and taxes rebates. In light of these findings, a model prioritizing a resilient power system was proposed for transforming the outdated power infrastructure in developing countries laying stress upon energy mix planning, transmission and distribution subsectors innovation and effective regional collaboration.","container-title":"Heliyon","DOI":"10.1016/j.heliyon.2024.e33018","ISSN":"24058440","issue":"12","journalAbbreviation":"Heliyon","language":"en","page":"e33018","source":"DOI.org (Crossref)","title":"Power system transformation in emerging countries: A SWOT/PESTLE analysis approach towards resiliency and reliability","title-short":"Power system transformation in emerging countries","volume":"10","author":[{"family":"Amega","given":"Kokou"},{"family":"Moumouni","given":"Yacouba"},{"family":"Laré","given":"Yendoubé"},{"family":"Bhandari","given":"Ramchandra"},{"family":"Takouda","given":"Pidename"},{"family":"Madougou","given":"Saidou"}],"issued":{"date-parts":[["2024",6]]}}}],"schema":"https://github.com/citation-style-language/schema/raw/master/csl-citation.json"} </w:instrText>
      </w:r>
      <w:r w:rsidR="003D2BAA" w:rsidRPr="003D2BAA">
        <w:rPr>
          <w:rFonts w:ascii="Arial" w:eastAsia="Times New Roman" w:hAnsi="Arial" w:cs="Arial"/>
          <w:kern w:val="0"/>
          <w:lang w:eastAsia="en-GB"/>
          <w14:ligatures w14:val="none"/>
        </w:rPr>
        <w:fldChar w:fldCharType="separate"/>
      </w:r>
      <w:r w:rsidR="003D2BAA" w:rsidRPr="003D2BAA">
        <w:rPr>
          <w:rFonts w:ascii="Arial" w:hAnsi="Arial" w:cs="Arial"/>
          <w:kern w:val="0"/>
        </w:rPr>
        <w:t xml:space="preserve">(Amega </w:t>
      </w:r>
      <w:r w:rsidR="003D2BAA" w:rsidRPr="003D2BAA">
        <w:rPr>
          <w:rFonts w:ascii="Arial" w:hAnsi="Arial" w:cs="Arial"/>
          <w:i/>
          <w:iCs/>
          <w:kern w:val="0"/>
        </w:rPr>
        <w:t>et al.</w:t>
      </w:r>
      <w:r w:rsidR="003D2BAA" w:rsidRPr="003D2BAA">
        <w:rPr>
          <w:rFonts w:ascii="Arial" w:hAnsi="Arial" w:cs="Arial"/>
          <w:kern w:val="0"/>
        </w:rPr>
        <w:t>, 2024)</w:t>
      </w:r>
      <w:r w:rsidR="003D2BAA" w:rsidRPr="003D2BAA">
        <w:rPr>
          <w:rFonts w:ascii="Arial" w:eastAsia="Times New Roman" w:hAnsi="Arial" w:cs="Arial"/>
          <w:kern w:val="0"/>
          <w:lang w:eastAsia="en-GB"/>
          <w14:ligatures w14:val="none"/>
        </w:rPr>
        <w:fldChar w:fldCharType="end"/>
      </w:r>
      <w:r w:rsidR="003D2BAA" w:rsidRPr="003D2BAA">
        <w:rPr>
          <w:rFonts w:ascii="Arial" w:eastAsia="Times New Roman" w:hAnsi="Arial" w:cs="Arial"/>
          <w:kern w:val="0"/>
          <w:lang w:eastAsia="en-GB"/>
          <w14:ligatures w14:val="none"/>
        </w:rPr>
        <w:t xml:space="preserve">. </w:t>
      </w:r>
      <w:r w:rsidR="00327705" w:rsidRPr="003D2BAA">
        <w:rPr>
          <w:rFonts w:ascii="Arial" w:eastAsia="Times New Roman" w:hAnsi="Arial" w:cs="Arial"/>
          <w:kern w:val="0"/>
          <w:lang w:eastAsia="en-GB"/>
          <w14:ligatures w14:val="none"/>
        </w:rPr>
        <w:t>This highlights the need for IKEA to adopt a more resilient and adaptive strategy that balances external pressures with long-term sustainability objectives.</w:t>
      </w:r>
      <w:r w:rsidR="003D2BAA" w:rsidRPr="003D2BAA">
        <w:rPr>
          <w:rFonts w:ascii="Arial" w:eastAsia="Times New Roman" w:hAnsi="Arial" w:cs="Arial"/>
          <w:kern w:val="0"/>
          <w:lang w:eastAsia="en-GB"/>
          <w14:ligatures w14:val="none"/>
        </w:rPr>
        <w:t xml:space="preserve"> </w:t>
      </w:r>
      <w:r w:rsidR="003D2BAA" w:rsidRPr="003D2BAA">
        <w:rPr>
          <w:rFonts w:ascii="Arial" w:hAnsi="Arial" w:cs="Arial"/>
        </w:rPr>
        <w:t>These external pressures demonstrate that IKEA’s sustainability strategy is not solely internally driven but shaped by regulatory, economic, and social forces, requiring adaptive and flexible strategic responses.</w:t>
      </w:r>
    </w:p>
    <w:p w14:paraId="0EF3B770" w14:textId="77777777" w:rsidR="003D2BAA" w:rsidRPr="003D2BAA" w:rsidRDefault="003D2BAA" w:rsidP="00AF517A">
      <w:pPr>
        <w:spacing w:before="100" w:beforeAutospacing="1" w:after="100" w:afterAutospacing="1" w:line="360" w:lineRule="auto"/>
        <w:jc w:val="both"/>
        <w:outlineLvl w:val="0"/>
        <w:rPr>
          <w:rFonts w:ascii="Arial" w:eastAsia="Times New Roman" w:hAnsi="Arial" w:cs="Arial"/>
          <w:b/>
          <w:bCs/>
          <w:kern w:val="36"/>
          <w:lang w:eastAsia="en-GB"/>
          <w14:ligatures w14:val="none"/>
        </w:rPr>
      </w:pPr>
      <w:bookmarkStart w:id="10" w:name="_Toc231380084"/>
      <w:r w:rsidRPr="003D2BAA">
        <w:rPr>
          <w:rFonts w:ascii="Arial" w:eastAsia="Times New Roman" w:hAnsi="Arial" w:cs="Arial"/>
          <w:b/>
          <w:bCs/>
          <w:kern w:val="36"/>
          <w:lang w:eastAsia="en-GB"/>
          <w14:ligatures w14:val="none"/>
        </w:rPr>
        <w:t>Internal Analysis (SWOT Analysis)</w:t>
      </w:r>
      <w:bookmarkEnd w:id="10"/>
    </w:p>
    <w:p w14:paraId="36D0F3DE" w14:textId="303DFE49" w:rsidR="003D2BAA" w:rsidRPr="003D2BAA" w:rsidRDefault="00771E19" w:rsidP="00AF517A">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A</w:t>
      </w:r>
      <w:r w:rsidR="003D2BAA" w:rsidRPr="003D2BAA">
        <w:rPr>
          <w:rFonts w:ascii="Arial" w:eastAsia="Times New Roman" w:hAnsi="Arial" w:cs="Arial"/>
          <w:kern w:val="0"/>
          <w:lang w:eastAsia="en-GB"/>
          <w14:ligatures w14:val="none"/>
        </w:rPr>
        <w:t xml:space="preserve"> SWOT </w:t>
      </w:r>
      <w:r w:rsidR="00B20762">
        <w:rPr>
          <w:rFonts w:ascii="Arial" w:eastAsia="Times New Roman" w:hAnsi="Arial" w:cs="Arial"/>
          <w:kern w:val="0"/>
          <w:lang w:eastAsia="en-GB"/>
          <w14:ligatures w14:val="none"/>
        </w:rPr>
        <w:t>analysis</w:t>
      </w:r>
      <w:r w:rsidR="003D2BAA" w:rsidRPr="003D2BAA">
        <w:rPr>
          <w:rFonts w:ascii="Arial" w:eastAsia="Times New Roman" w:hAnsi="Arial" w:cs="Arial"/>
          <w:kern w:val="0"/>
          <w:lang w:eastAsia="en-GB"/>
          <w14:ligatures w14:val="none"/>
        </w:rPr>
        <w:t xml:space="preserve"> enables</w:t>
      </w:r>
      <w:r w:rsidR="003D2BAA" w:rsidRPr="004F01EA">
        <w:rPr>
          <w:rFonts w:ascii="Arial" w:eastAsia="Times New Roman" w:hAnsi="Arial" w:cs="Arial"/>
          <w:color w:val="000000" w:themeColor="text1"/>
          <w:kern w:val="0"/>
          <w:lang w:eastAsia="en-GB"/>
          <w14:ligatures w14:val="none"/>
        </w:rPr>
        <w:t xml:space="preserve"> </w:t>
      </w:r>
      <w:r w:rsidR="003D2BAA" w:rsidRPr="004F01EA">
        <w:rPr>
          <w:rFonts w:ascii="Arial" w:eastAsia="Times New Roman" w:hAnsi="Arial" w:cs="Arial"/>
          <w:strike/>
          <w:color w:val="000000" w:themeColor="text1"/>
          <w:kern w:val="0"/>
          <w:lang w:eastAsia="en-GB"/>
          <w14:ligatures w14:val="none"/>
        </w:rPr>
        <w:t>a</w:t>
      </w:r>
      <w:r w:rsidR="003D2BAA" w:rsidRPr="004F01EA">
        <w:rPr>
          <w:rFonts w:ascii="Arial" w:eastAsia="Times New Roman" w:hAnsi="Arial" w:cs="Arial"/>
          <w:color w:val="000000" w:themeColor="text1"/>
          <w:kern w:val="0"/>
          <w:lang w:eastAsia="en-GB"/>
          <w14:ligatures w14:val="none"/>
        </w:rPr>
        <w:t xml:space="preserve"> </w:t>
      </w:r>
      <w:r w:rsidR="003D2BAA" w:rsidRPr="003D2BAA">
        <w:rPr>
          <w:rFonts w:ascii="Arial" w:eastAsia="Times New Roman" w:hAnsi="Arial" w:cs="Arial"/>
          <w:kern w:val="0"/>
          <w:lang w:eastAsia="en-GB"/>
          <w14:ligatures w14:val="none"/>
        </w:rPr>
        <w:t>critical evaluation of IKEA’s internal capabilities and external positioning in relation to sustainability</w:t>
      </w:r>
      <w:r w:rsidR="00946BBF">
        <w:rPr>
          <w:rFonts w:ascii="Arial" w:eastAsia="Times New Roman" w:hAnsi="Arial" w:cs="Arial"/>
          <w:kern w:val="0"/>
          <w:lang w:eastAsia="en-GB"/>
          <w14:ligatures w14:val="none"/>
        </w:rPr>
        <w:t>,</w:t>
      </w:r>
      <w:r w:rsidR="003D2BAA" w:rsidRPr="003D2BAA">
        <w:rPr>
          <w:rFonts w:ascii="Arial" w:eastAsia="Times New Roman" w:hAnsi="Arial" w:cs="Arial"/>
          <w:kern w:val="0"/>
          <w:lang w:eastAsia="en-GB"/>
          <w14:ligatures w14:val="none"/>
        </w:rPr>
        <w:t xml:space="preserve"> highligh</w:t>
      </w:r>
      <w:r w:rsidR="003D2BAA" w:rsidRPr="004F01EA">
        <w:rPr>
          <w:rFonts w:ascii="Arial" w:eastAsia="Times New Roman" w:hAnsi="Arial" w:cs="Arial"/>
          <w:color w:val="000000" w:themeColor="text1"/>
          <w:kern w:val="0"/>
          <w:lang w:eastAsia="en-GB"/>
          <w14:ligatures w14:val="none"/>
        </w:rPr>
        <w:t>t</w:t>
      </w:r>
      <w:r w:rsidR="00B20762" w:rsidRPr="004F01EA">
        <w:rPr>
          <w:rFonts w:ascii="Arial" w:eastAsia="Times New Roman" w:hAnsi="Arial" w:cs="Arial"/>
          <w:color w:val="000000" w:themeColor="text1"/>
          <w:kern w:val="0"/>
          <w:lang w:eastAsia="en-GB"/>
          <w14:ligatures w14:val="none"/>
        </w:rPr>
        <w:t>ing</w:t>
      </w:r>
      <w:r w:rsidR="003D2BAA" w:rsidRPr="004F01EA">
        <w:rPr>
          <w:rFonts w:ascii="Arial" w:eastAsia="Times New Roman" w:hAnsi="Arial" w:cs="Arial"/>
          <w:color w:val="000000" w:themeColor="text1"/>
          <w:kern w:val="0"/>
          <w:lang w:eastAsia="en-GB"/>
          <w14:ligatures w14:val="none"/>
        </w:rPr>
        <w:t xml:space="preserve"> </w:t>
      </w:r>
      <w:r w:rsidR="003D2BAA" w:rsidRPr="003D2BAA">
        <w:rPr>
          <w:rFonts w:ascii="Arial" w:eastAsia="Times New Roman" w:hAnsi="Arial" w:cs="Arial"/>
          <w:kern w:val="0"/>
          <w:lang w:eastAsia="en-GB"/>
          <w14:ligatures w14:val="none"/>
        </w:rPr>
        <w:t>how IKEA’s strengths and weaknesses interact with emerging opportunities and threats within the global business environment</w:t>
      </w:r>
      <w:r w:rsidR="00F019DA">
        <w:rPr>
          <w:rFonts w:ascii="Arial" w:eastAsia="Times New Roman" w:hAnsi="Arial" w:cs="Arial"/>
          <w:kern w:val="0"/>
          <w:lang w:eastAsia="en-GB"/>
          <w14:ligatures w14:val="none"/>
        </w:rPr>
        <w:t xml:space="preserve"> </w:t>
      </w:r>
      <w:r w:rsidR="00B20762" w:rsidRPr="00B20762">
        <w:rPr>
          <w:rFonts w:ascii="Arial" w:eastAsia="Times New Roman" w:hAnsi="Arial" w:cs="Arial"/>
          <w:kern w:val="0"/>
          <w:lang w:eastAsia="en-GB"/>
          <w14:ligatures w14:val="none"/>
        </w:rPr>
        <w:t>(</w:t>
      </w:r>
      <w:r w:rsidR="00F019DA">
        <w:rPr>
          <w:rFonts w:ascii="Arial" w:eastAsia="Times New Roman" w:hAnsi="Arial" w:cs="Arial"/>
          <w:kern w:val="0"/>
          <w:lang w:eastAsia="en-GB"/>
          <w14:ligatures w14:val="none"/>
        </w:rPr>
        <w:fldChar w:fldCharType="begin"/>
      </w:r>
      <w:r w:rsidR="009F2326">
        <w:rPr>
          <w:rFonts w:ascii="Arial" w:eastAsia="Times New Roman" w:hAnsi="Arial" w:cs="Arial"/>
          <w:kern w:val="0"/>
          <w:lang w:eastAsia="en-GB"/>
          <w14:ligatures w14:val="none"/>
        </w:rPr>
        <w:instrText xml:space="preserve"> ADDIN ZOTERO_ITEM CSL_CITATION {"citationID":"WIKxJD9z","properties":{"formattedCitation":"(Magondu {\\i{}et al.}, 2025)","plainCitation":"(Magondu et al., 2025)","dontUpdate":true,"noteIndex":0},"citationItems":[{"id":374,"uris":["http://zotero.org/users/local/bh3OqUSh/items/PGFHZ2G5"],"itemData":{"id":374,"type":"article-journal","abstract":"Global demand for seafood continues to rise, positioning aquaculture as a critical pathway for improving food security, nutrition, and rural livelihoods. In Kenya, the aquaculture sector remains constrained by structural challenges, with fish feed accounting for 60%–70% of production costs and limiting sectoral growth, particularly for smallholder farmers. This review critically analyzes Kenya's fish feed sector through an integrated PES</w:instrText>
      </w:r>
      <w:r w:rsidR="009F2326">
        <w:rPr>
          <w:rFonts w:ascii="Cambria Math" w:eastAsia="Times New Roman" w:hAnsi="Cambria Math" w:cs="Cambria Math"/>
          <w:kern w:val="0"/>
          <w:lang w:eastAsia="en-GB"/>
          <w14:ligatures w14:val="none"/>
        </w:rPr>
        <w:instrText>℡</w:instrText>
      </w:r>
      <w:r w:rsidR="009F2326">
        <w:rPr>
          <w:rFonts w:ascii="Arial" w:eastAsia="Times New Roman" w:hAnsi="Arial" w:cs="Arial"/>
          <w:kern w:val="0"/>
          <w:lang w:eastAsia="en-GB"/>
          <w14:ligatures w14:val="none"/>
        </w:rPr>
        <w:instrText>-SWOT framework, drawing on a scoping review of academic literature, policy reports, and sector development studies. The paper highlights key macro-level drivers, including fragmented policy implementation, dependency on imported ingredients, and climate-related risks, and connects these with internal industry dynamics such as innovation gaps and regional disparities in aquafeed accessibility. It presents a conceptual model illustrating how external and internal factors interact to shape aquafeed sector outcomes, positioning Kenya's experience within a broader Sub-Saharan Africa aquaculture context. The review identifies missed opportunities in scaling insect- and microalgae-based feed innovations, constrained by regulatory, technical, and market barriers. The discussion offers actionable recommendations for researchers, policymakers, donors, investors, and industry stakeholders, emphasizing the importance of integrated policy reforms, investment in local aquafeed technology development, and regional collaboration to strengthen feed supply resilience and address production bottlenecks.","container-title":"Reviews in Aquaculture","DOI":"10.1111/raq.70081","ISSN":"1753-5131","issue":"4","language":"en","note":"_eprint: https://onlinelibrary.wiley.com/doi/pdf/10.1111/raq.70081","page":"e70081","source":"Wiley Online Library","title":"A PES</w:instrText>
      </w:r>
      <w:r w:rsidR="009F2326">
        <w:rPr>
          <w:rFonts w:ascii="Cambria Math" w:eastAsia="Times New Roman" w:hAnsi="Cambria Math" w:cs="Cambria Math"/>
          <w:kern w:val="0"/>
          <w:lang w:eastAsia="en-GB"/>
          <w14:ligatures w14:val="none"/>
        </w:rPr>
        <w:instrText>℡</w:instrText>
      </w:r>
      <w:r w:rsidR="009F2326">
        <w:rPr>
          <w:rFonts w:ascii="Arial" w:eastAsia="Times New Roman" w:hAnsi="Arial" w:cs="Arial"/>
          <w:kern w:val="0"/>
          <w:lang w:eastAsia="en-GB"/>
          <w14:ligatures w14:val="none"/>
        </w:rPr>
        <w:instrText>-SWOT Matrix Analysis of Sustainable Aquafeed Sector: A Case of Kenya's Fish Feed Sector","title-short":"A PES</w:instrText>
      </w:r>
      <w:r w:rsidR="009F2326">
        <w:rPr>
          <w:rFonts w:ascii="Cambria Math" w:eastAsia="Times New Roman" w:hAnsi="Cambria Math" w:cs="Cambria Math"/>
          <w:kern w:val="0"/>
          <w:lang w:eastAsia="en-GB"/>
          <w14:ligatures w14:val="none"/>
        </w:rPr>
        <w:instrText>℡</w:instrText>
      </w:r>
      <w:r w:rsidR="009F2326">
        <w:rPr>
          <w:rFonts w:ascii="Arial" w:eastAsia="Times New Roman" w:hAnsi="Arial" w:cs="Arial"/>
          <w:kern w:val="0"/>
          <w:lang w:eastAsia="en-GB"/>
          <w14:ligatures w14:val="none"/>
        </w:rPr>
        <w:instrText xml:space="preserve">-SWOT Matrix Analysis of Sustainable Aquafeed Sector","volume":"17","author":[{"family":"Magondu","given":"Esther"},{"family":"Njogu","given":"Lucy"},{"family":"Ouko","given":"Kevin"},{"family":"Mboya","given":"Jimmy B."},{"family":"Muthoka","given":"Mavindu"},{"family":"Yossa","given":"Rodrigue"},{"family":"Munguti","given":"Jonathan"},{"family":"Opiyo","given":"Mary A."},{"family":"Meenakshisundaram","given":"Menaga"},{"family":"Tanga","given":"Chrysantus M."},{"family":"Obiero","given":"Kevin"}],"issued":{"date-parts":[["2025"]]}}}],"schema":"https://github.com/citation-style-language/schema/raw/master/csl-citation.json"} </w:instrText>
      </w:r>
      <w:r w:rsidR="00F019DA">
        <w:rPr>
          <w:rFonts w:ascii="Arial" w:eastAsia="Times New Roman" w:hAnsi="Arial" w:cs="Arial"/>
          <w:kern w:val="0"/>
          <w:lang w:eastAsia="en-GB"/>
          <w14:ligatures w14:val="none"/>
        </w:rPr>
        <w:fldChar w:fldCharType="separate"/>
      </w:r>
      <w:r w:rsidR="00F019DA" w:rsidRPr="00F019DA">
        <w:rPr>
          <w:rFonts w:ascii="Arial" w:hAnsi="Arial" w:cs="Arial"/>
          <w:kern w:val="0"/>
        </w:rPr>
        <w:t xml:space="preserve">Magondu </w:t>
      </w:r>
      <w:r w:rsidR="00F019DA" w:rsidRPr="00F019DA">
        <w:rPr>
          <w:rFonts w:ascii="Arial" w:hAnsi="Arial" w:cs="Arial"/>
          <w:i/>
          <w:iCs/>
          <w:kern w:val="0"/>
        </w:rPr>
        <w:t>et al.</w:t>
      </w:r>
      <w:r w:rsidR="00F019DA" w:rsidRPr="00F019DA">
        <w:rPr>
          <w:rFonts w:ascii="Arial" w:hAnsi="Arial" w:cs="Arial"/>
          <w:kern w:val="0"/>
        </w:rPr>
        <w:t>, 2025)</w:t>
      </w:r>
      <w:r w:rsidR="00F019DA">
        <w:rPr>
          <w:rFonts w:ascii="Arial" w:eastAsia="Times New Roman" w:hAnsi="Arial" w:cs="Arial"/>
          <w:kern w:val="0"/>
          <w:lang w:eastAsia="en-GB"/>
          <w14:ligatures w14:val="none"/>
        </w:rPr>
        <w:fldChar w:fldCharType="end"/>
      </w:r>
      <w:r w:rsidR="00F019DA">
        <w:rPr>
          <w:rFonts w:ascii="Arial" w:eastAsia="Times New Roman" w:hAnsi="Arial" w:cs="Arial"/>
          <w:kern w:val="0"/>
          <w:lang w:eastAsia="en-GB"/>
          <w14:ligatures w14:val="none"/>
        </w:rPr>
        <w:t>.</w:t>
      </w:r>
    </w:p>
    <w:p w14:paraId="09285DA0" w14:textId="77777777" w:rsidR="003D2BAA" w:rsidRPr="003D2BAA" w:rsidRDefault="003D2BAA" w:rsidP="00AF517A">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11" w:name="_Toc231380085"/>
      <w:r w:rsidRPr="003D2BAA">
        <w:rPr>
          <w:rFonts w:ascii="Arial" w:eastAsia="Times New Roman" w:hAnsi="Arial" w:cs="Arial"/>
          <w:b/>
          <w:bCs/>
          <w:kern w:val="0"/>
          <w:lang w:eastAsia="en-GB"/>
          <w14:ligatures w14:val="none"/>
        </w:rPr>
        <w:t>Strengths</w:t>
      </w:r>
      <w:bookmarkEnd w:id="11"/>
    </w:p>
    <w:p w14:paraId="6C9C6BA9" w14:textId="576E6A75" w:rsidR="003D2BAA" w:rsidRPr="003D2BAA" w:rsidRDefault="003D2BAA" w:rsidP="00AF517A">
      <w:pPr>
        <w:spacing w:before="100" w:beforeAutospacing="1" w:after="100" w:afterAutospacing="1" w:line="360" w:lineRule="auto"/>
        <w:jc w:val="both"/>
        <w:rPr>
          <w:rFonts w:ascii="Arial" w:eastAsia="Times New Roman" w:hAnsi="Arial" w:cs="Arial"/>
          <w:kern w:val="0"/>
          <w:lang w:eastAsia="en-GB"/>
          <w14:ligatures w14:val="none"/>
        </w:rPr>
      </w:pPr>
      <w:r w:rsidRPr="003D2BAA">
        <w:rPr>
          <w:rFonts w:ascii="Arial" w:eastAsia="Times New Roman" w:hAnsi="Arial" w:cs="Arial"/>
          <w:kern w:val="0"/>
          <w:lang w:eastAsia="en-GB"/>
          <w14:ligatures w14:val="none"/>
        </w:rPr>
        <w:t>IKEA possesses several key strengths support</w:t>
      </w:r>
      <w:r w:rsidR="00B20762">
        <w:rPr>
          <w:rFonts w:ascii="Arial" w:eastAsia="Times New Roman" w:hAnsi="Arial" w:cs="Arial"/>
          <w:kern w:val="0"/>
          <w:lang w:eastAsia="en-GB"/>
          <w14:ligatures w14:val="none"/>
        </w:rPr>
        <w:t>ing</w:t>
      </w:r>
      <w:r w:rsidRPr="003D2BAA">
        <w:rPr>
          <w:rFonts w:ascii="Arial" w:eastAsia="Times New Roman" w:hAnsi="Arial" w:cs="Arial"/>
          <w:kern w:val="0"/>
          <w:lang w:eastAsia="en-GB"/>
          <w14:ligatures w14:val="none"/>
        </w:rPr>
        <w:t xml:space="preserve"> its sustainability strateg</w:t>
      </w:r>
      <w:r w:rsidR="004F01EA">
        <w:rPr>
          <w:rFonts w:ascii="Arial" w:eastAsia="Times New Roman" w:hAnsi="Arial" w:cs="Arial"/>
          <w:kern w:val="0"/>
          <w:lang w:eastAsia="en-GB"/>
          <w14:ligatures w14:val="none"/>
        </w:rPr>
        <w:t xml:space="preserve">y </w:t>
      </w:r>
      <w:r w:rsidR="00B20762">
        <w:rPr>
          <w:rFonts w:ascii="Arial" w:eastAsia="Times New Roman" w:hAnsi="Arial" w:cs="Arial"/>
          <w:kern w:val="0"/>
          <w:lang w:eastAsia="en-GB"/>
          <w14:ligatures w14:val="none"/>
        </w:rPr>
        <w:t xml:space="preserve">with its </w:t>
      </w:r>
      <w:r w:rsidRPr="004F01EA">
        <w:rPr>
          <w:rFonts w:ascii="Arial" w:eastAsia="Times New Roman" w:hAnsi="Arial" w:cs="Arial"/>
          <w:color w:val="000000" w:themeColor="text1"/>
          <w:kern w:val="0"/>
          <w:lang w:eastAsia="en-GB"/>
          <w14:ligatures w14:val="none"/>
        </w:rPr>
        <w:t xml:space="preserve">established strong </w:t>
      </w:r>
      <w:r w:rsidRPr="003D2BAA">
        <w:rPr>
          <w:rFonts w:ascii="Arial" w:eastAsia="Times New Roman" w:hAnsi="Arial" w:cs="Arial"/>
          <w:kern w:val="0"/>
          <w:lang w:eastAsia="en-GB"/>
          <w14:ligatures w14:val="none"/>
        </w:rPr>
        <w:t>global brand associated with affordability, innovation, and increasing environmental responsibility</w:t>
      </w:r>
      <w:r w:rsidR="00D54A6F">
        <w:rPr>
          <w:rFonts w:ascii="Arial" w:eastAsia="Times New Roman" w:hAnsi="Arial" w:cs="Arial"/>
          <w:kern w:val="0"/>
          <w:lang w:eastAsia="en-GB"/>
          <w14:ligatures w14:val="none"/>
        </w:rPr>
        <w:t xml:space="preserve"> </w:t>
      </w:r>
      <w:r w:rsidR="00D54A6F">
        <w:rPr>
          <w:rFonts w:ascii="Arial" w:eastAsia="Times New Roman" w:hAnsi="Arial" w:cs="Arial"/>
          <w:kern w:val="0"/>
          <w:lang w:eastAsia="en-GB"/>
          <w14:ligatures w14:val="none"/>
        </w:rPr>
        <w:fldChar w:fldCharType="begin"/>
      </w:r>
      <w:r w:rsidR="009F2326">
        <w:rPr>
          <w:rFonts w:ascii="Arial" w:eastAsia="Times New Roman" w:hAnsi="Arial" w:cs="Arial"/>
          <w:kern w:val="0"/>
          <w:lang w:eastAsia="en-GB"/>
          <w14:ligatures w14:val="none"/>
        </w:rPr>
        <w:instrText xml:space="preserve"> ADDIN ZOTERO_ITEM CSL_CITATION {"citationID":"eTvNx36Z","properties":{"formattedCitation":"({\\i{}Our sustainability strategy}, no date)","plainCitation":"(Our sustainability strategy, no date)","dontUpdate":true,"noteIndex":0},"citationItems":[{"id":378,"uris":["http://zotero.org/users/local/bh3OqUSh/items/7Y6CEPHD"],"itemData":{"id":378,"type":"webpage","abstract":"Find out how IKEA is doing its part to tackle climate change, unsustainable consumption, and inequality by strategically targeting three primary areas.","language":"en-GB","title":"Our sustainability strategy","URL":"https://www.ikea.com/gb/en/this-is-ikea/climate-environment/the-ikea-sustainability-strategy-pubfea4c210/","accessed":{"date-parts":[["2026",5,14]]}}}],"schema":"https://github.com/citation-style-language/schema/raw/master/csl-citation.json"} </w:instrText>
      </w:r>
      <w:r w:rsidR="00D54A6F">
        <w:rPr>
          <w:rFonts w:ascii="Arial" w:eastAsia="Times New Roman" w:hAnsi="Arial" w:cs="Arial"/>
          <w:kern w:val="0"/>
          <w:lang w:eastAsia="en-GB"/>
          <w14:ligatures w14:val="none"/>
        </w:rPr>
        <w:fldChar w:fldCharType="separate"/>
      </w:r>
      <w:r w:rsidR="00D54A6F" w:rsidRPr="00D54A6F">
        <w:rPr>
          <w:rFonts w:ascii="Arial" w:hAnsi="Arial" w:cs="Arial"/>
          <w:kern w:val="0"/>
        </w:rPr>
        <w:t>(</w:t>
      </w:r>
      <w:r w:rsidR="00D54A6F" w:rsidRPr="00D54A6F">
        <w:rPr>
          <w:rFonts w:ascii="Arial" w:hAnsi="Arial" w:cs="Arial"/>
          <w:i/>
          <w:iCs/>
          <w:kern w:val="0"/>
        </w:rPr>
        <w:t>Our sustainability strategy</w:t>
      </w:r>
      <w:r w:rsidR="00D54A6F" w:rsidRPr="00D54A6F">
        <w:rPr>
          <w:rFonts w:ascii="Arial" w:hAnsi="Arial" w:cs="Arial"/>
          <w:kern w:val="0"/>
        </w:rPr>
        <w:t xml:space="preserve">, </w:t>
      </w:r>
      <w:r w:rsidR="00D54A6F">
        <w:rPr>
          <w:rFonts w:ascii="Arial" w:hAnsi="Arial" w:cs="Arial"/>
          <w:kern w:val="0"/>
        </w:rPr>
        <w:t>2026</w:t>
      </w:r>
      <w:r w:rsidR="00D54A6F" w:rsidRPr="00D54A6F">
        <w:rPr>
          <w:rFonts w:ascii="Arial" w:hAnsi="Arial" w:cs="Arial"/>
          <w:kern w:val="0"/>
        </w:rPr>
        <w:t>)</w:t>
      </w:r>
      <w:r w:rsidR="00D54A6F">
        <w:rPr>
          <w:rFonts w:ascii="Arial" w:eastAsia="Times New Roman" w:hAnsi="Arial" w:cs="Arial"/>
          <w:kern w:val="0"/>
          <w:lang w:eastAsia="en-GB"/>
          <w14:ligatures w14:val="none"/>
        </w:rPr>
        <w:fldChar w:fldCharType="end"/>
      </w:r>
      <w:r w:rsidR="00D54A6F">
        <w:rPr>
          <w:rFonts w:ascii="Arial" w:eastAsia="Times New Roman" w:hAnsi="Arial" w:cs="Arial"/>
          <w:kern w:val="0"/>
          <w:lang w:eastAsia="en-GB"/>
          <w14:ligatures w14:val="none"/>
        </w:rPr>
        <w:t>.</w:t>
      </w:r>
      <w:r w:rsidRPr="003D2BAA">
        <w:rPr>
          <w:rFonts w:ascii="Arial" w:eastAsia="Times New Roman" w:hAnsi="Arial" w:cs="Arial"/>
          <w:kern w:val="0"/>
          <w:lang w:eastAsia="en-GB"/>
          <w14:ligatures w14:val="none"/>
        </w:rPr>
        <w:t xml:space="preserve"> Its People and Planet Positive strategy demonstrates a clear commitment to sustainability, supported by investments in renewable energy, sustainable sourcing, and circular product design. Additionally, IKEA’s scale and resources enable it to invest in </w:t>
      </w:r>
      <w:r w:rsidRPr="003D2BAA">
        <w:rPr>
          <w:rFonts w:ascii="Arial" w:eastAsia="Times New Roman" w:hAnsi="Arial" w:cs="Arial"/>
          <w:kern w:val="0"/>
          <w:lang w:eastAsia="en-GB"/>
          <w14:ligatures w14:val="none"/>
        </w:rPr>
        <w:lastRenderedPageBreak/>
        <w:t>sustainability innovation, such as the development of recyclable materials and energy-efficient production processes. Its integrated supply chain and global reach also provide the ability to influence suppliers and promote sustainability standards across its network</w:t>
      </w:r>
      <w:r w:rsidR="00D54A6F">
        <w:rPr>
          <w:rFonts w:ascii="Arial" w:eastAsia="Times New Roman" w:hAnsi="Arial" w:cs="Arial"/>
          <w:kern w:val="0"/>
          <w:lang w:eastAsia="en-GB"/>
          <w14:ligatures w14:val="none"/>
        </w:rPr>
        <w:t xml:space="preserve"> </w:t>
      </w:r>
      <w:r w:rsidR="00D54A6F">
        <w:rPr>
          <w:rFonts w:ascii="Arial" w:eastAsia="Times New Roman" w:hAnsi="Arial" w:cs="Arial"/>
          <w:kern w:val="0"/>
          <w:lang w:eastAsia="en-GB"/>
          <w14:ligatures w14:val="none"/>
        </w:rPr>
        <w:fldChar w:fldCharType="begin"/>
      </w:r>
      <w:r w:rsidR="00F53F4C">
        <w:rPr>
          <w:rFonts w:ascii="Arial" w:eastAsia="Times New Roman" w:hAnsi="Arial" w:cs="Arial"/>
          <w:kern w:val="0"/>
          <w:lang w:eastAsia="en-GB"/>
          <w14:ligatures w14:val="none"/>
        </w:rPr>
        <w:instrText xml:space="preserve"> ADDIN ZOTERO_ITEM CSL_CITATION {"citationID":"AiPyzZhA","properties":{"formattedCitation":"(Laurin and Fantazy, 2017a)","plainCitation":"(Laurin and Fantazy, 2017a)","noteIndex":0},"citationItems":[{"id":380,"uris":["http://zotero.org/users/local/bh3OqUSh/items/DCM2PIGM"],"itemData":{"id":380,"type":"article-journal","abstract":"While sustainability is central to research on supply chains, there has been relatively little research on diversity and impact on supply chain sustainability performance. Such practices, also called sustainable plans, are the ones that improve not only supply chain economic performance, but also their environmental and social performances. Stakeholders are increasingly exerting pressure on organisations to adopt sustainable practices within their firm and across their supply chain. This one case pilot study explores the extent to which IKEA has successfully integrated sustainability practices into the management of the supply chain. We analyse sustainability practices using data gathered from IKEA as a global case study. Our research findings reveal that sustainability practices can be successfully implemented across an organisation’s entire supply chain, including second and third tier suppliers to gain positive environmental and social impacts while still promoting a strong economic bottom line. The article wraps up with a general discussion, limitations, as well as opportunities for future research, and lastly with concluding remarks.","container-title":"Transnational Corporations Review","DOI":"10.1080/19186444.2017.1401208","ISSN":"19252099","issue":"4","journalAbbreviation":"Transnational Corporations Review","language":"en","page":"309-318","source":"DOI.org (Crossref)","title":"Sustainable supply chain management: a case study at IKEA","title-short":"Sustainable supply chain management","volume":"9","author":[{"family":"Laurin","given":"Francine"},{"family":"Fantazy","given":"Kamel"}],"issued":{"date-parts":[["2017",12]]}}}],"schema":"https://github.com/citation-style-language/schema/raw/master/csl-citation.json"} </w:instrText>
      </w:r>
      <w:r w:rsidR="00D54A6F">
        <w:rPr>
          <w:rFonts w:ascii="Arial" w:eastAsia="Times New Roman" w:hAnsi="Arial" w:cs="Arial"/>
          <w:kern w:val="0"/>
          <w:lang w:eastAsia="en-GB"/>
          <w14:ligatures w14:val="none"/>
        </w:rPr>
        <w:fldChar w:fldCharType="separate"/>
      </w:r>
      <w:r w:rsidR="00F53F4C" w:rsidRPr="00F53F4C">
        <w:rPr>
          <w:rFonts w:ascii="Arial" w:hAnsi="Arial" w:cs="Arial"/>
          <w:lang w:eastAsia="en-GB"/>
        </w:rPr>
        <w:t>(Laurin and Fantazy, 2017a)</w:t>
      </w:r>
      <w:r w:rsidR="00D54A6F">
        <w:rPr>
          <w:rFonts w:ascii="Arial" w:eastAsia="Times New Roman" w:hAnsi="Arial" w:cs="Arial"/>
          <w:kern w:val="0"/>
          <w:lang w:eastAsia="en-GB"/>
          <w14:ligatures w14:val="none"/>
        </w:rPr>
        <w:fldChar w:fldCharType="end"/>
      </w:r>
      <w:r w:rsidR="00D54A6F">
        <w:rPr>
          <w:rFonts w:ascii="Arial" w:eastAsia="Times New Roman" w:hAnsi="Arial" w:cs="Arial"/>
          <w:kern w:val="0"/>
          <w:lang w:eastAsia="en-GB"/>
          <w14:ligatures w14:val="none"/>
        </w:rPr>
        <w:t>.</w:t>
      </w:r>
    </w:p>
    <w:p w14:paraId="47DB1680" w14:textId="77777777" w:rsidR="003D2BAA" w:rsidRPr="003D2BAA" w:rsidRDefault="003D2BAA" w:rsidP="00AF517A">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12" w:name="_Toc231380086"/>
      <w:r w:rsidRPr="003D2BAA">
        <w:rPr>
          <w:rFonts w:ascii="Arial" w:eastAsia="Times New Roman" w:hAnsi="Arial" w:cs="Arial"/>
          <w:b/>
          <w:bCs/>
          <w:kern w:val="0"/>
          <w:lang w:eastAsia="en-GB"/>
          <w14:ligatures w14:val="none"/>
        </w:rPr>
        <w:t>Weaknesses</w:t>
      </w:r>
      <w:bookmarkEnd w:id="12"/>
    </w:p>
    <w:p w14:paraId="3AFAF9C0" w14:textId="2EFC026A" w:rsidR="003D2BAA" w:rsidRPr="003D2BAA" w:rsidRDefault="003D2BAA" w:rsidP="00AF517A">
      <w:pPr>
        <w:spacing w:before="100" w:beforeAutospacing="1" w:after="100" w:afterAutospacing="1" w:line="360" w:lineRule="auto"/>
        <w:jc w:val="both"/>
        <w:rPr>
          <w:rFonts w:ascii="Arial" w:eastAsia="Times New Roman" w:hAnsi="Arial" w:cs="Arial"/>
          <w:kern w:val="0"/>
          <w:lang w:eastAsia="en-GB"/>
          <w14:ligatures w14:val="none"/>
        </w:rPr>
      </w:pPr>
      <w:r w:rsidRPr="003D2BAA">
        <w:rPr>
          <w:rFonts w:ascii="Arial" w:eastAsia="Times New Roman" w:hAnsi="Arial" w:cs="Arial"/>
          <w:kern w:val="0"/>
          <w:lang w:eastAsia="en-GB"/>
          <w14:ligatures w14:val="none"/>
        </w:rPr>
        <w:t>Despite these strengths, IKEA faces significant internal</w:t>
      </w:r>
      <w:r w:rsidR="00B20762">
        <w:rPr>
          <w:rFonts w:ascii="Arial" w:eastAsia="Times New Roman" w:hAnsi="Arial" w:cs="Arial"/>
          <w:kern w:val="0"/>
          <w:lang w:eastAsia="en-GB"/>
          <w14:ligatures w14:val="none"/>
        </w:rPr>
        <w:t xml:space="preserve"> </w:t>
      </w:r>
      <w:r w:rsidR="00B20762" w:rsidRPr="004F01EA">
        <w:rPr>
          <w:rFonts w:ascii="Arial" w:eastAsia="Times New Roman" w:hAnsi="Arial" w:cs="Arial"/>
          <w:color w:val="000000" w:themeColor="text1"/>
          <w:kern w:val="0"/>
          <w:lang w:eastAsia="en-GB"/>
          <w14:ligatures w14:val="none"/>
        </w:rPr>
        <w:t>weaknesses</w:t>
      </w:r>
      <w:r w:rsidRPr="004F01EA">
        <w:rPr>
          <w:rFonts w:ascii="Arial" w:eastAsia="Times New Roman" w:hAnsi="Arial" w:cs="Arial"/>
          <w:color w:val="000000" w:themeColor="text1"/>
          <w:kern w:val="0"/>
          <w:lang w:eastAsia="en-GB"/>
          <w14:ligatures w14:val="none"/>
        </w:rPr>
        <w:t xml:space="preserve"> in </w:t>
      </w:r>
      <w:r w:rsidR="00B20762" w:rsidRPr="004F01EA">
        <w:rPr>
          <w:rFonts w:ascii="Arial" w:eastAsia="Times New Roman" w:hAnsi="Arial" w:cs="Arial"/>
          <w:color w:val="000000" w:themeColor="text1"/>
          <w:kern w:val="0"/>
          <w:lang w:eastAsia="en-GB"/>
          <w14:ligatures w14:val="none"/>
        </w:rPr>
        <w:t xml:space="preserve">particular </w:t>
      </w:r>
      <w:r w:rsidRPr="004F01EA">
        <w:rPr>
          <w:rFonts w:ascii="Arial" w:eastAsia="Times New Roman" w:hAnsi="Arial" w:cs="Arial"/>
          <w:color w:val="000000" w:themeColor="text1"/>
          <w:kern w:val="0"/>
          <w:lang w:eastAsia="en-GB"/>
          <w14:ligatures w14:val="none"/>
        </w:rPr>
        <w:t xml:space="preserve">its </w:t>
      </w:r>
      <w:r w:rsidRPr="003D2BAA">
        <w:rPr>
          <w:rFonts w:ascii="Arial" w:eastAsia="Times New Roman" w:hAnsi="Arial" w:cs="Arial"/>
          <w:kern w:val="0"/>
          <w:lang w:eastAsia="en-GB"/>
          <w14:ligatures w14:val="none"/>
        </w:rPr>
        <w:t>reliance on a high-volume, low-cost business model, which encourages frequent consumption and product turnover</w:t>
      </w:r>
      <w:r w:rsidR="00785E18">
        <w:rPr>
          <w:rFonts w:ascii="Arial" w:eastAsia="Times New Roman" w:hAnsi="Arial" w:cs="Arial"/>
          <w:kern w:val="0"/>
          <w:lang w:eastAsia="en-GB"/>
          <w14:ligatures w14:val="none"/>
        </w:rPr>
        <w:t xml:space="preserve"> </w:t>
      </w:r>
      <w:r w:rsidR="00785E18">
        <w:rPr>
          <w:rFonts w:ascii="Arial" w:eastAsia="Times New Roman" w:hAnsi="Arial" w:cs="Arial"/>
          <w:kern w:val="0"/>
          <w:lang w:eastAsia="en-GB"/>
          <w14:ligatures w14:val="none"/>
        </w:rPr>
        <w:fldChar w:fldCharType="begin"/>
      </w:r>
      <w:r w:rsidR="00785E18">
        <w:rPr>
          <w:rFonts w:ascii="Arial" w:eastAsia="Times New Roman" w:hAnsi="Arial" w:cs="Arial"/>
          <w:kern w:val="0"/>
          <w:lang w:eastAsia="en-GB"/>
          <w14:ligatures w14:val="none"/>
        </w:rPr>
        <w:instrText xml:space="preserve"> ADDIN ZOTERO_ITEM CSL_CITATION {"citationID":"OTKoAfFl","properties":{"formattedCitation":"(Jiang, Jia and Gong, 2018)","plainCitation":"(Jiang, Jia and Gong, 2018)","noteIndex":0},"citationItems":[{"id":386,"uris":["http://zotero.org/users/local/bh3OqUSh/items/JUKXVJQM"],"itemData":{"id":386,"type":"article-journal","abstract":"The leather industry has traditionally been characterized by global operations across both developed and developing countries. Due to the long distance and contextual differences, there are numerous sustainability issues occurring along the global leather supply chain. Addressing these issues is both a responsibility and a challenge for multinational companies, especially in their global sourcing (GS) activities. This teaching case provides an example of implementing the sustainable leather initiative in the global sourcing process at IKEA. The case demonstrates IKEA’s sustainable leather initiative supported by its tailored GS strategy and GS structure and provides a benchmark of Sustainable GS for multinational companies and allows for a thorough discussion of how to implement a sustainability initiative while conducting GS. The case can be used to teach graduate/postgraduate in agricultural business, MBA and executive students on sustainable supply chain management and corporate social responsibility.","container-title":"International Food and Agribusiness Management Review","DOI":"10.22434/IFAMR2017.0109","issue":"5","language":"eng","note":"publisher: Wageningen Academic","page":"627-640","source":"brill.com","title":"IKEA: global sourcing and the sustainable leather initiative","title-short":"IKEA","volume":"21","author":[{"family":"Jiang","given":"Yan"},{"family":"Jia","given":"Fu"},{"family":"Gong","given":"Yu"}],"issued":{"date-parts":[["2018",6,15]]}}}],"schema":"https://github.com/citation-style-language/schema/raw/master/csl-citation.json"} </w:instrText>
      </w:r>
      <w:r w:rsidR="00785E18">
        <w:rPr>
          <w:rFonts w:ascii="Arial" w:eastAsia="Times New Roman" w:hAnsi="Arial" w:cs="Arial"/>
          <w:kern w:val="0"/>
          <w:lang w:eastAsia="en-GB"/>
          <w14:ligatures w14:val="none"/>
        </w:rPr>
        <w:fldChar w:fldCharType="separate"/>
      </w:r>
      <w:r w:rsidR="00785E18" w:rsidRPr="00785E18">
        <w:rPr>
          <w:rFonts w:ascii="Arial" w:hAnsi="Arial" w:cs="Arial"/>
          <w:lang w:eastAsia="en-GB"/>
        </w:rPr>
        <w:t>(Jiang, Jia and Gong, 2018)</w:t>
      </w:r>
      <w:r w:rsidR="00785E18">
        <w:rPr>
          <w:rFonts w:ascii="Arial" w:eastAsia="Times New Roman" w:hAnsi="Arial" w:cs="Arial"/>
          <w:kern w:val="0"/>
          <w:lang w:eastAsia="en-GB"/>
          <w14:ligatures w14:val="none"/>
        </w:rPr>
        <w:fldChar w:fldCharType="end"/>
      </w:r>
      <w:r w:rsidR="00785E18">
        <w:rPr>
          <w:rFonts w:ascii="Arial" w:eastAsia="Times New Roman" w:hAnsi="Arial" w:cs="Arial"/>
          <w:kern w:val="0"/>
          <w:lang w:eastAsia="en-GB"/>
          <w14:ligatures w14:val="none"/>
        </w:rPr>
        <w:t>.</w:t>
      </w:r>
      <w:r w:rsidRPr="003D2BAA">
        <w:rPr>
          <w:rFonts w:ascii="Arial" w:eastAsia="Times New Roman" w:hAnsi="Arial" w:cs="Arial"/>
          <w:kern w:val="0"/>
          <w:lang w:eastAsia="en-GB"/>
          <w14:ligatures w14:val="none"/>
        </w:rPr>
        <w:t xml:space="preserve"> This model conflicts with sustainability principles that prioritise reduced consumption and extended product lifecycles. Furthermore, while IKEA promotes circular initiatives, many of these depend on consumer engagement, which is often inconsistent. The complexity of its global supply chain also creates challenges in ensuring full transparency and consistent ethical standards across all suppliers</w:t>
      </w:r>
      <w:r w:rsidR="00877FD8">
        <w:rPr>
          <w:rFonts w:ascii="Arial" w:eastAsia="Times New Roman" w:hAnsi="Arial" w:cs="Arial"/>
          <w:kern w:val="0"/>
          <w:lang w:eastAsia="en-GB"/>
          <w14:ligatures w14:val="none"/>
        </w:rPr>
        <w:t xml:space="preserve"> </w:t>
      </w:r>
      <w:r w:rsidR="00877FD8">
        <w:rPr>
          <w:rFonts w:ascii="Arial" w:eastAsia="Times New Roman" w:hAnsi="Arial" w:cs="Arial"/>
          <w:kern w:val="0"/>
          <w:lang w:eastAsia="en-GB"/>
          <w14:ligatures w14:val="none"/>
        </w:rPr>
        <w:fldChar w:fldCharType="begin"/>
      </w:r>
      <w:r w:rsidR="00877FD8">
        <w:rPr>
          <w:rFonts w:ascii="Arial" w:eastAsia="Times New Roman" w:hAnsi="Arial" w:cs="Arial"/>
          <w:kern w:val="0"/>
          <w:lang w:eastAsia="en-GB"/>
          <w14:ligatures w14:val="none"/>
        </w:rPr>
        <w:instrText xml:space="preserve"> ADDIN ZOTERO_ITEM CSL_CITATION {"citationID":"rOTNeEbH","properties":{"formattedCitation":"(Gong {\\i{}et al.}, 2019)","plainCitation":"(Gong et al., 2019)","noteIndex":0},"citationItems":[{"id":381,"uris":["http://zotero.org/users/local/bh3OqUSh/items/D7TW32RM"],"itemData":{"id":381,"type":"article-journal","abstract":"This case presents an industry leading company — IKEA's multi-tier sustainable cotton initiative in China. The case begins with the background information of IKEA, cotton production in China and cotton-textile supply chain. It then presents IKEA's sustainable cotton practice globally. This is followed by IKEA China's motivation to implement sustainable cotton initiatives, its processes and the impacts on its cotton-textile supply chain. Finally, it ends with the case summary.","archive_location":"142723770","container-title":"Asian Case Research Journal","DOI":"10.1142/S0218927519500202","ISSN":"0218-9275","issue":"2","journalAbbreviation":"Asian Case Research Journal","language":"eng","note":"publisher: World Scientific Publishing Company","page":"491-518","source":"EBSCOhost","title":"IKEA: Sustainable Cotton Initiative in China.","title-short":"IKEA","volume":"23","author":[{"family":"Gong","given":"Yu"},{"family":"Brown","given":"Steve"},{"family":"Jia","given":"Fu"},{"family":"Duan","given":"Jiang"}],"issued":{"date-parts":[["2019",12,1]]}}}],"schema":"https://github.com/citation-style-language/schema/raw/master/csl-citation.json"} </w:instrText>
      </w:r>
      <w:r w:rsidR="00877FD8">
        <w:rPr>
          <w:rFonts w:ascii="Arial" w:eastAsia="Times New Roman" w:hAnsi="Arial" w:cs="Arial"/>
          <w:kern w:val="0"/>
          <w:lang w:eastAsia="en-GB"/>
          <w14:ligatures w14:val="none"/>
        </w:rPr>
        <w:fldChar w:fldCharType="separate"/>
      </w:r>
      <w:r w:rsidR="00877FD8" w:rsidRPr="00877FD8">
        <w:rPr>
          <w:rFonts w:ascii="Arial" w:hAnsi="Arial" w:cs="Arial"/>
          <w:kern w:val="0"/>
        </w:rPr>
        <w:t xml:space="preserve">(Gong </w:t>
      </w:r>
      <w:r w:rsidR="00877FD8" w:rsidRPr="00877FD8">
        <w:rPr>
          <w:rFonts w:ascii="Arial" w:hAnsi="Arial" w:cs="Arial"/>
          <w:i/>
          <w:iCs/>
          <w:kern w:val="0"/>
        </w:rPr>
        <w:t>et al.</w:t>
      </w:r>
      <w:r w:rsidR="00877FD8" w:rsidRPr="00877FD8">
        <w:rPr>
          <w:rFonts w:ascii="Arial" w:hAnsi="Arial" w:cs="Arial"/>
          <w:kern w:val="0"/>
        </w:rPr>
        <w:t>, 2019)</w:t>
      </w:r>
      <w:r w:rsidR="00877FD8">
        <w:rPr>
          <w:rFonts w:ascii="Arial" w:eastAsia="Times New Roman" w:hAnsi="Arial" w:cs="Arial"/>
          <w:kern w:val="0"/>
          <w:lang w:eastAsia="en-GB"/>
          <w14:ligatures w14:val="none"/>
        </w:rPr>
        <w:fldChar w:fldCharType="end"/>
      </w:r>
      <w:r w:rsidR="00877FD8">
        <w:rPr>
          <w:rFonts w:ascii="Arial" w:eastAsia="Times New Roman" w:hAnsi="Arial" w:cs="Arial"/>
          <w:kern w:val="0"/>
          <w:lang w:eastAsia="en-GB"/>
          <w14:ligatures w14:val="none"/>
        </w:rPr>
        <w:t>.</w:t>
      </w:r>
      <w:r w:rsidRPr="003D2BAA">
        <w:rPr>
          <w:rFonts w:ascii="Arial" w:eastAsia="Times New Roman" w:hAnsi="Arial" w:cs="Arial"/>
          <w:kern w:val="0"/>
          <w:lang w:eastAsia="en-GB"/>
          <w14:ligatures w14:val="none"/>
        </w:rPr>
        <w:t xml:space="preserve"> These weaknesses highlight structural constraints within IKEA’s current approach to sustainability.</w:t>
      </w:r>
    </w:p>
    <w:p w14:paraId="494C1F01" w14:textId="77777777" w:rsidR="003D2BAA" w:rsidRPr="003D2BAA" w:rsidRDefault="003D2BAA" w:rsidP="00AF517A">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13" w:name="_Toc231380087"/>
      <w:r w:rsidRPr="003D2BAA">
        <w:rPr>
          <w:rFonts w:ascii="Arial" w:eastAsia="Times New Roman" w:hAnsi="Arial" w:cs="Arial"/>
          <w:b/>
          <w:bCs/>
          <w:kern w:val="0"/>
          <w:lang w:eastAsia="en-GB"/>
          <w14:ligatures w14:val="none"/>
        </w:rPr>
        <w:t>Opportunities</w:t>
      </w:r>
      <w:bookmarkEnd w:id="13"/>
    </w:p>
    <w:p w14:paraId="0B92CD03" w14:textId="77777777" w:rsidR="00FD71A1" w:rsidRDefault="003D2BAA" w:rsidP="00AF517A">
      <w:pPr>
        <w:spacing w:before="100" w:beforeAutospacing="1" w:after="100" w:afterAutospacing="1" w:line="360" w:lineRule="auto"/>
        <w:jc w:val="both"/>
        <w:rPr>
          <w:rFonts w:ascii="Arial" w:eastAsia="Times New Roman" w:hAnsi="Arial" w:cs="Arial"/>
          <w:kern w:val="0"/>
          <w:lang w:eastAsia="en-GB"/>
          <w14:ligatures w14:val="none"/>
        </w:rPr>
      </w:pPr>
      <w:r w:rsidRPr="003D2BAA">
        <w:rPr>
          <w:rFonts w:ascii="Arial" w:eastAsia="Times New Roman" w:hAnsi="Arial" w:cs="Arial"/>
          <w:kern w:val="0"/>
          <w:lang w:eastAsia="en-GB"/>
          <w14:ligatures w14:val="none"/>
        </w:rPr>
        <w:t>The external environment presents several opportunities for IKEA to strengthen its sustainability strategy. Growing consumer awareness of environmental issues creates demand for sustainable products and services, allowing IKEA to differentiate itself further as a responsible brand. Advancements in technology, such as digital platforms and sustainable materials, provide opportunities to enhance circular economy initiatives, including resale, repair, and product tracking systems</w:t>
      </w:r>
      <w:r w:rsidR="00576452">
        <w:rPr>
          <w:rFonts w:ascii="Arial" w:eastAsia="Times New Roman" w:hAnsi="Arial" w:cs="Arial"/>
          <w:kern w:val="0"/>
          <w:lang w:eastAsia="en-GB"/>
          <w14:ligatures w14:val="none"/>
        </w:rPr>
        <w:t xml:space="preserve"> </w:t>
      </w:r>
      <w:r w:rsidR="00576452">
        <w:rPr>
          <w:rFonts w:ascii="Arial" w:eastAsia="Times New Roman" w:hAnsi="Arial" w:cs="Arial"/>
          <w:kern w:val="0"/>
          <w:lang w:eastAsia="en-GB"/>
          <w14:ligatures w14:val="none"/>
        </w:rPr>
        <w:fldChar w:fldCharType="begin"/>
      </w:r>
      <w:r w:rsidR="00576452">
        <w:rPr>
          <w:rFonts w:ascii="Arial" w:eastAsia="Times New Roman" w:hAnsi="Arial" w:cs="Arial"/>
          <w:kern w:val="0"/>
          <w:lang w:eastAsia="en-GB"/>
          <w14:ligatures w14:val="none"/>
        </w:rPr>
        <w:instrText xml:space="preserve"> ADDIN ZOTERO_ITEM CSL_CITATION {"citationID":"39JbktEb","properties":{"formattedCitation":"(Cannava {\\i{}et al.}, 2025)","plainCitation":"(Cannava et al., 2025)","noteIndex":0},"citationItems":[{"id":391,"uris":["http://zotero.org/users/local/bh3OqUSh/items/YIPLDXIU"],"itemData":{"id":391,"type":"article-journal","abstract":"Given the relevance of warehouse sustainability in the realm of the Logistics 5.0 paradigm, this study evaluates the environmental and economic impacts of green warehousing (GW) measures and provides a practical application to a real business case. A discrete-event simulation approach is applied to the IKEA distribution centre located in Northern Italy to assess strategies for optimizing energy selfconsumption from on-site photovoltaic (PV) systems. Three scenarios are identified and investigated: substituting the current mobile material handling equipment (mMHE) fleet with forklifts fully powered by Li-Ion batteries charged through opportunity charging, replacing old PV panels with high-efficiency models, and the combination of both measures. Results are provided in terms of energy, environmental and economic impact, and demonstrate that implementing a Li-Ion mMHE fleet improves energy efficiency and environmental sustainability, achieving a return on investment (ROI) of 26% with a payback period (PBP) of 4 years. Additionally, replacing PV panels increases renewable energy generation by 47%, although some inefficiencies were noted due to on-site energy demand/supply mismatch. Finally, the integration of both GW measures significantly enhances energy and environmental performance, leading to savings that exceed those observed in both scenarios previously evaluated. Findings are discussed and future research directions are outlined.","container-title":"IFAC-PapersOnLine","DOI":"10.1016/j.ifacol.2025.09.136","ISSN":"24058963","issue":"10","journalAbbreviation":"IFAC-PapersOnLine","language":"en","page":"799-804","source":"DOI.org (Crossref)","title":"A Simulation-Based Approach to Improve Energy Efficiency and Environmental Performance in Warehouses: The Case of IKEA","title-short":"A Simulation-Based Approach to Improve Energy Efficiency and Environmental Performance in Warehouses","volume":"59","author":[{"family":"Cannava","given":"Luca"},{"family":"Perotti","given":"Sara"},{"family":"Najafi","given":"Behzad"},{"family":"Rinaldi","given":"Fabio"}],"issued":{"date-parts":[["2025"]]}}}],"schema":"https://github.com/citation-style-language/schema/raw/master/csl-citation.json"} </w:instrText>
      </w:r>
      <w:r w:rsidR="00576452">
        <w:rPr>
          <w:rFonts w:ascii="Arial" w:eastAsia="Times New Roman" w:hAnsi="Arial" w:cs="Arial"/>
          <w:kern w:val="0"/>
          <w:lang w:eastAsia="en-GB"/>
          <w14:ligatures w14:val="none"/>
        </w:rPr>
        <w:fldChar w:fldCharType="separate"/>
      </w:r>
      <w:r w:rsidR="00576452" w:rsidRPr="00576452">
        <w:rPr>
          <w:rFonts w:ascii="Arial" w:hAnsi="Arial" w:cs="Arial"/>
          <w:kern w:val="0"/>
        </w:rPr>
        <w:t xml:space="preserve">(Cannava </w:t>
      </w:r>
      <w:r w:rsidR="00576452" w:rsidRPr="00576452">
        <w:rPr>
          <w:rFonts w:ascii="Arial" w:hAnsi="Arial" w:cs="Arial"/>
          <w:i/>
          <w:iCs/>
          <w:kern w:val="0"/>
        </w:rPr>
        <w:t>et al.</w:t>
      </w:r>
      <w:r w:rsidR="00576452" w:rsidRPr="00576452">
        <w:rPr>
          <w:rFonts w:ascii="Arial" w:hAnsi="Arial" w:cs="Arial"/>
          <w:kern w:val="0"/>
        </w:rPr>
        <w:t>, 2025)</w:t>
      </w:r>
      <w:r w:rsidR="00576452">
        <w:rPr>
          <w:rFonts w:ascii="Arial" w:eastAsia="Times New Roman" w:hAnsi="Arial" w:cs="Arial"/>
          <w:kern w:val="0"/>
          <w:lang w:eastAsia="en-GB"/>
          <w14:ligatures w14:val="none"/>
        </w:rPr>
        <w:fldChar w:fldCharType="end"/>
      </w:r>
      <w:r w:rsidR="00576452">
        <w:rPr>
          <w:rFonts w:ascii="Arial" w:eastAsia="Times New Roman" w:hAnsi="Arial" w:cs="Arial"/>
          <w:kern w:val="0"/>
          <w:lang w:eastAsia="en-GB"/>
          <w14:ligatures w14:val="none"/>
        </w:rPr>
        <w:t>.</w:t>
      </w:r>
      <w:r w:rsidRPr="003D2BAA">
        <w:rPr>
          <w:rFonts w:ascii="Arial" w:eastAsia="Times New Roman" w:hAnsi="Arial" w:cs="Arial"/>
          <w:kern w:val="0"/>
          <w:lang w:eastAsia="en-GB"/>
          <w14:ligatures w14:val="none"/>
        </w:rPr>
        <w:t xml:space="preserve"> Additionally, increasing regulatory pressure on sustainability and supply chain transparency can encourage innovation and provide a competitive advantage for organisations that adopt proactive strategies</w:t>
      </w:r>
      <w:r w:rsidR="009F2326">
        <w:rPr>
          <w:rFonts w:ascii="Arial" w:eastAsia="Times New Roman" w:hAnsi="Arial" w:cs="Arial"/>
          <w:kern w:val="0"/>
          <w:lang w:eastAsia="en-GB"/>
          <w14:ligatures w14:val="none"/>
        </w:rPr>
        <w:t xml:space="preserve"> </w:t>
      </w:r>
      <w:r w:rsidR="009F2326">
        <w:rPr>
          <w:rFonts w:ascii="Arial" w:eastAsia="Times New Roman" w:hAnsi="Arial" w:cs="Arial"/>
          <w:kern w:val="0"/>
          <w:lang w:eastAsia="en-GB"/>
          <w14:ligatures w14:val="none"/>
        </w:rPr>
        <w:fldChar w:fldCharType="begin"/>
      </w:r>
      <w:r w:rsidR="004A758C">
        <w:rPr>
          <w:rFonts w:ascii="Arial" w:eastAsia="Times New Roman" w:hAnsi="Arial" w:cs="Arial"/>
          <w:kern w:val="0"/>
          <w:lang w:eastAsia="en-GB"/>
          <w14:ligatures w14:val="none"/>
        </w:rPr>
        <w:instrText xml:space="preserve"> ADDIN ZOTERO_ITEM CSL_CITATION {"citationID":"NWCsIx2Y","properties":{"formattedCitation":"(Sch\\uc0\\u228{}fer, 2023a)","plainCitation":"(Schäfer, 2023a)","noteIndex":0},"citationItems":[{"id":398,"uris":["http://zotero.org/users/local/bh3OqUSh/items/X4ZQKSJF"],"itemData":{"id":398,"type":"article-journal","abstract":"Abstract\n            Supply chain transparency and its connection to sustainability is a current topic in supply chain management research. The term supply chain transparency is used very loosely in this discourse. Therefore, this article aims to clarify the understanding of supply chain transparency in the context of sustainability to enable future research. In a content analysis-based literature review, 92 peer-reviewed articles were identified in the intersection of sustainability, supply chains, and transparency. Only 30 articles contained a definition of transparency. Supply chain transparency was used and defined very differently among the researchers. By providing a general definition and framework of sustainable supply chain transparency, the term “supply chain transparency” gains more clarity. Three dimensions of transparency were identified: sustainable supply chain information, involved stakeholders, and perspective. The supply chain transparency research was conducted primarily in the context of the food and apparel industry. Transparency was characterized differently among the industries and was studied with different foci. Furthermore, the review revealed a focus of supply chain transparency research on the social dimension of sustainability. Additionally, a wide range of topics on supply chain transparency has been covered in the existing literature, and opportunities for future research are outlined. Future researchers are also encouraged to define transparency more clearly.","container-title":"Management Review Quarterly","DOI":"10.1007/s11301-021-00252-7","ISSN":"2198-1620, 2198-1639","issue":"2","journalAbbreviation":"Manag Rev Q","language":"en","page":"579-604","source":"DOI.org (Crossref)","title":"Making transparency transparent: a systematic literature review to define and frame supply chain transparency in the context of sustainability","title-short":"Making transparency transparent","volume":"73","author":[{"family":"Schäfer","given":"Naemi"}],"issued":{"date-parts":[["2023",6]]}}}],"schema":"https://github.com/citation-style-language/schema/raw/master/csl-citation.json"} </w:instrText>
      </w:r>
      <w:r w:rsidR="009F2326">
        <w:rPr>
          <w:rFonts w:ascii="Arial" w:eastAsia="Times New Roman" w:hAnsi="Arial" w:cs="Arial"/>
          <w:kern w:val="0"/>
          <w:lang w:eastAsia="en-GB"/>
          <w14:ligatures w14:val="none"/>
        </w:rPr>
        <w:fldChar w:fldCharType="separate"/>
      </w:r>
      <w:r w:rsidR="004A758C" w:rsidRPr="004A758C">
        <w:rPr>
          <w:rFonts w:ascii="Arial" w:hAnsi="Arial" w:cs="Arial"/>
          <w:kern w:val="0"/>
        </w:rPr>
        <w:t>(Schäfer, 2023a)</w:t>
      </w:r>
      <w:r w:rsidR="009F2326">
        <w:rPr>
          <w:rFonts w:ascii="Arial" w:eastAsia="Times New Roman" w:hAnsi="Arial" w:cs="Arial"/>
          <w:kern w:val="0"/>
          <w:lang w:eastAsia="en-GB"/>
          <w14:ligatures w14:val="none"/>
        </w:rPr>
        <w:fldChar w:fldCharType="end"/>
      </w:r>
      <w:r w:rsidR="009F2326">
        <w:rPr>
          <w:rFonts w:ascii="Arial" w:eastAsia="Times New Roman" w:hAnsi="Arial" w:cs="Arial"/>
          <w:kern w:val="0"/>
          <w:lang w:eastAsia="en-GB"/>
          <w14:ligatures w14:val="none"/>
        </w:rPr>
        <w:t xml:space="preserve">. </w:t>
      </w:r>
      <w:r w:rsidRPr="003D2BAA">
        <w:rPr>
          <w:rFonts w:ascii="Arial" w:eastAsia="Times New Roman" w:hAnsi="Arial" w:cs="Arial"/>
          <w:kern w:val="0"/>
          <w:lang w:eastAsia="en-GB"/>
          <w14:ligatures w14:val="none"/>
        </w:rPr>
        <w:t>IKEA also has the opportunity to transition towards service-based models, such as furniture leasing or subscription services, which align more closely with circular economy principles</w:t>
      </w:r>
      <w:r w:rsidR="00AF50F6">
        <w:rPr>
          <w:rFonts w:ascii="Arial" w:eastAsia="Times New Roman" w:hAnsi="Arial" w:cs="Arial"/>
          <w:kern w:val="0"/>
          <w:lang w:eastAsia="en-GB"/>
          <w14:ligatures w14:val="none"/>
        </w:rPr>
        <w:t xml:space="preserve"> </w:t>
      </w:r>
      <w:r w:rsidR="009F2326">
        <w:rPr>
          <w:rFonts w:ascii="Arial" w:eastAsia="Times New Roman" w:hAnsi="Arial" w:cs="Arial"/>
          <w:kern w:val="0"/>
          <w:lang w:eastAsia="en-GB"/>
          <w14:ligatures w14:val="none"/>
        </w:rPr>
        <w:fldChar w:fldCharType="begin"/>
      </w:r>
      <w:r w:rsidR="009F2326">
        <w:rPr>
          <w:rFonts w:ascii="Arial" w:eastAsia="Times New Roman" w:hAnsi="Arial" w:cs="Arial"/>
          <w:kern w:val="0"/>
          <w:lang w:eastAsia="en-GB"/>
          <w14:ligatures w14:val="none"/>
        </w:rPr>
        <w:instrText xml:space="preserve"> ADDIN ZOTERO_ITEM CSL_CITATION {"citationID":"d4LYiDX1","properties":{"formattedCitation":"({\\i{}Strategic Direction}, 2021b)","plainCitation":"(Strategic Direction, 2021b)","noteIndex":0},"citationItems":[{"id":396,"uris":["http://zotero.org/users/local/bh3OqUSh/items/U55C7WM3"],"itemData":{"id":396,"type":"article-journal","abstract":"Purpose\nThis paper aims to review the latest management developments across the globe and pinpoint practical implications from cutting-edge research and case studies.\nThis briefing is prepared by an independent writer who adds their own impartial comments and places the articles in context.\nThis research paper addresses retailer IKEA's strategic challenges surrounding corporate sustainability activity and branding across their diverse markets. The employee respondents' sustainability perceptions of IKEA included its organizational personality, the presence of competing forces in-store, and IKEA leading by example as a sustainability enabler. Varying perceptions on sustainability caused uncertainty and instability in IKEA's business model; for example, some store managers felt uncomfortable funneling sustainable messaging onto in-store customers. Therefore individual manager approaches to sustainability are a key driver in IKEA's sustainable delivery. Three change implementation phases were identified in an attempt to remedy these location-based inconsistencies.\nThe briefing saves busy executives, strategists and researchers hours of reading time by selecting only the very best, most pertinent information and presenting it in a condensed and easy-to-digest format.","container-title":"Strategic Direction","DOI":"10.1108/SD-01-2021-0003","ISSN":"02580543","issue":"4","language":"English","license":"© Emerald Publishing Limited 2021","note":"number-of-pages: 3\npublisher-place: Bradford, United Kingdom\npublisher: Emerald Group Publishing Limited","page":"31-33","source":"ProQuest","title":"IKEA's attempts to smoothly achieve corporate sustainability consistency: The deep challenges of aligning employees and customers across the globe","title-short":"IKEA's attempts to smoothly achieve corporate sustainability consistency","volume":"37","issued":{"date-parts":[["2021"]]}}}],"schema":"https://github.com/citation-style-language/schema/raw/master/csl-citation.json"} </w:instrText>
      </w:r>
      <w:r w:rsidR="009F2326">
        <w:rPr>
          <w:rFonts w:ascii="Arial" w:eastAsia="Times New Roman" w:hAnsi="Arial" w:cs="Arial"/>
          <w:kern w:val="0"/>
          <w:lang w:eastAsia="en-GB"/>
          <w14:ligatures w14:val="none"/>
        </w:rPr>
        <w:fldChar w:fldCharType="separate"/>
      </w:r>
      <w:r w:rsidR="009F2326" w:rsidRPr="009F2326">
        <w:rPr>
          <w:rFonts w:ascii="Arial" w:hAnsi="Arial" w:cs="Arial"/>
          <w:kern w:val="0"/>
        </w:rPr>
        <w:t>(</w:t>
      </w:r>
      <w:r w:rsidR="009F2326" w:rsidRPr="009F2326">
        <w:rPr>
          <w:rFonts w:ascii="Arial" w:hAnsi="Arial" w:cs="Arial"/>
          <w:i/>
          <w:iCs/>
          <w:kern w:val="0"/>
        </w:rPr>
        <w:t>Strategic Direction</w:t>
      </w:r>
      <w:r w:rsidR="009F2326" w:rsidRPr="009F2326">
        <w:rPr>
          <w:rFonts w:ascii="Arial" w:hAnsi="Arial" w:cs="Arial"/>
          <w:kern w:val="0"/>
        </w:rPr>
        <w:t>, 2021b)</w:t>
      </w:r>
      <w:r w:rsidR="009F2326">
        <w:rPr>
          <w:rFonts w:ascii="Arial" w:eastAsia="Times New Roman" w:hAnsi="Arial" w:cs="Arial"/>
          <w:kern w:val="0"/>
          <w:lang w:eastAsia="en-GB"/>
          <w14:ligatures w14:val="none"/>
        </w:rPr>
        <w:fldChar w:fldCharType="end"/>
      </w:r>
      <w:r w:rsidR="009F2326">
        <w:rPr>
          <w:rFonts w:ascii="Arial" w:eastAsia="Times New Roman" w:hAnsi="Arial" w:cs="Arial"/>
          <w:kern w:val="0"/>
          <w:lang w:eastAsia="en-GB"/>
          <w14:ligatures w14:val="none"/>
        </w:rPr>
        <w:t>.</w:t>
      </w:r>
    </w:p>
    <w:p w14:paraId="3DA8B13C" w14:textId="7029B85D" w:rsidR="003D2BAA" w:rsidRPr="00FD71A1" w:rsidRDefault="003D2BAA" w:rsidP="00AF517A">
      <w:pPr>
        <w:spacing w:before="100" w:beforeAutospacing="1" w:after="100" w:afterAutospacing="1" w:line="360" w:lineRule="auto"/>
        <w:jc w:val="both"/>
        <w:rPr>
          <w:rFonts w:ascii="Arial" w:eastAsia="Times New Roman" w:hAnsi="Arial" w:cs="Arial"/>
          <w:kern w:val="0"/>
          <w:lang w:eastAsia="en-GB"/>
          <w14:ligatures w14:val="none"/>
        </w:rPr>
      </w:pPr>
      <w:r w:rsidRPr="003D2BAA">
        <w:rPr>
          <w:rFonts w:ascii="Arial" w:eastAsia="Times New Roman" w:hAnsi="Arial" w:cs="Arial"/>
          <w:b/>
          <w:bCs/>
          <w:kern w:val="0"/>
          <w:lang w:eastAsia="en-GB"/>
          <w14:ligatures w14:val="none"/>
        </w:rPr>
        <w:t>Threats</w:t>
      </w:r>
    </w:p>
    <w:p w14:paraId="70D204EA" w14:textId="730BEA42" w:rsidR="006E781B" w:rsidRPr="00576452" w:rsidRDefault="00E54A21" w:rsidP="00AF517A">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lastRenderedPageBreak/>
        <w:t>E</w:t>
      </w:r>
      <w:r w:rsidR="003D2BAA" w:rsidRPr="003D2BAA">
        <w:rPr>
          <w:rFonts w:ascii="Arial" w:eastAsia="Times New Roman" w:hAnsi="Arial" w:cs="Arial"/>
          <w:kern w:val="0"/>
          <w:lang w:eastAsia="en-GB"/>
          <w14:ligatures w14:val="none"/>
        </w:rPr>
        <w:t xml:space="preserve">xternal threats that may hinder </w:t>
      </w:r>
      <w:r>
        <w:rPr>
          <w:rFonts w:ascii="Arial" w:eastAsia="Times New Roman" w:hAnsi="Arial" w:cs="Arial"/>
          <w:kern w:val="0"/>
          <w:lang w:eastAsia="en-GB"/>
          <w14:ligatures w14:val="none"/>
        </w:rPr>
        <w:t xml:space="preserve">IKEA’s </w:t>
      </w:r>
      <w:r w:rsidR="003D2BAA" w:rsidRPr="003D2BAA">
        <w:rPr>
          <w:rFonts w:ascii="Arial" w:eastAsia="Times New Roman" w:hAnsi="Arial" w:cs="Arial"/>
          <w:kern w:val="0"/>
          <w:lang w:eastAsia="en-GB"/>
          <w14:ligatures w14:val="none"/>
        </w:rPr>
        <w:t>sustainability progress</w:t>
      </w:r>
      <w:r w:rsidR="00E20ADB">
        <w:rPr>
          <w:rFonts w:ascii="Arial" w:eastAsia="Times New Roman" w:hAnsi="Arial" w:cs="Arial"/>
          <w:kern w:val="0"/>
          <w:lang w:eastAsia="en-GB"/>
          <w14:ligatures w14:val="none"/>
        </w:rPr>
        <w:t xml:space="preserve"> include</w:t>
      </w:r>
      <w:r w:rsidR="003D2BAA" w:rsidRPr="003D2BAA">
        <w:rPr>
          <w:rFonts w:ascii="Arial" w:eastAsia="Times New Roman" w:hAnsi="Arial" w:cs="Arial"/>
          <w:kern w:val="0"/>
          <w:lang w:eastAsia="en-GB"/>
          <w14:ligatures w14:val="none"/>
        </w:rPr>
        <w:t xml:space="preserve"> </w:t>
      </w:r>
      <w:r w:rsidR="00E20ADB">
        <w:rPr>
          <w:rFonts w:ascii="Arial" w:eastAsia="Times New Roman" w:hAnsi="Arial" w:cs="Arial"/>
          <w:kern w:val="0"/>
          <w:lang w:eastAsia="en-GB"/>
          <w14:ligatures w14:val="none"/>
        </w:rPr>
        <w:t>e</w:t>
      </w:r>
      <w:r w:rsidR="003D2BAA" w:rsidRPr="003D2BAA">
        <w:rPr>
          <w:rFonts w:ascii="Arial" w:eastAsia="Times New Roman" w:hAnsi="Arial" w:cs="Arial"/>
          <w:kern w:val="0"/>
          <w:lang w:eastAsia="en-GB"/>
          <w14:ligatures w14:val="none"/>
        </w:rPr>
        <w:t>conomic pressures and consumer price sensitivity</w:t>
      </w:r>
      <w:r w:rsidR="003D2BAA" w:rsidRPr="009A3F59">
        <w:rPr>
          <w:rFonts w:ascii="Arial" w:eastAsia="Times New Roman" w:hAnsi="Arial" w:cs="Arial"/>
          <w:color w:val="000000" w:themeColor="text1"/>
          <w:kern w:val="0"/>
          <w:lang w:eastAsia="en-GB"/>
          <w14:ligatures w14:val="none"/>
        </w:rPr>
        <w:t xml:space="preserve"> </w:t>
      </w:r>
      <w:r w:rsidR="00E20ADB" w:rsidRPr="009A3F59">
        <w:rPr>
          <w:rFonts w:ascii="Arial" w:eastAsia="Times New Roman" w:hAnsi="Arial" w:cs="Arial"/>
          <w:color w:val="000000" w:themeColor="text1"/>
          <w:kern w:val="0"/>
          <w:lang w:eastAsia="en-GB"/>
          <w14:ligatures w14:val="none"/>
        </w:rPr>
        <w:t xml:space="preserve">which </w:t>
      </w:r>
      <w:r w:rsidR="003D2BAA" w:rsidRPr="003D2BAA">
        <w:rPr>
          <w:rFonts w:ascii="Arial" w:eastAsia="Times New Roman" w:hAnsi="Arial" w:cs="Arial"/>
          <w:kern w:val="0"/>
          <w:lang w:eastAsia="en-GB"/>
          <w14:ligatures w14:val="none"/>
        </w:rPr>
        <w:t>may limit demand for more sustainable, and potentially higher-cost, products</w:t>
      </w:r>
      <w:r w:rsidR="006E781B">
        <w:rPr>
          <w:rFonts w:ascii="Arial" w:eastAsia="Times New Roman" w:hAnsi="Arial" w:cs="Arial"/>
          <w:kern w:val="0"/>
          <w:lang w:eastAsia="en-GB"/>
          <w14:ligatures w14:val="none"/>
        </w:rPr>
        <w:t xml:space="preserve"> </w:t>
      </w:r>
      <w:r w:rsidR="006E781B">
        <w:rPr>
          <w:rFonts w:ascii="Arial" w:eastAsia="Times New Roman" w:hAnsi="Arial" w:cs="Arial"/>
          <w:kern w:val="0"/>
          <w:lang w:eastAsia="en-GB"/>
          <w14:ligatures w14:val="none"/>
        </w:rPr>
        <w:fldChar w:fldCharType="begin"/>
      </w:r>
      <w:r w:rsidR="006E781B">
        <w:rPr>
          <w:rFonts w:ascii="Arial" w:eastAsia="Times New Roman" w:hAnsi="Arial" w:cs="Arial"/>
          <w:kern w:val="0"/>
          <w:lang w:eastAsia="en-GB"/>
          <w14:ligatures w14:val="none"/>
        </w:rPr>
        <w:instrText xml:space="preserve"> ADDIN ZOTERO_ITEM CSL_CITATION {"citationID":"UwE1XBMS","properties":{"formattedCitation":"(Huang, Lanzrath and Homburg, 2026)","plainCitation":"(Huang, Lanzrath and Homburg, 2026)","noteIndex":0},"citationItems":[{"id":418,"uris":["http://zotero.org/users/local/bh3OqUSh/items/P5MULN7E"],"itemData":{"id":418,"type":"article-journal","abstract":"Amid increasing economic pressures, business-to-business (B2B) buyers face intensified challenges in reconciling sustainability commitments with cost constraints, making price and sustainability two increasingly critical yet often conflicting priorities in purchasing decisions. As a result, effective pricing strategies have become essential for driving the adoption of sustainable products. Using a multimethod approach—combining qualitative expert interviews and a scenario-based experimental study—this research delineates two information-processing stages (inference-making and intention-forming) to examine how B2B buyers navigate price–sustainability trade-offs in product evaluations. Drawing upon expectancy-disconfirmation theory, we show that buyers' product inferences depend on the (dis)confirmation of their expected price–sustainability fit—an anticipated alignment between a product's price and its sustainability level. The study further identifies contingency factors at the individual (price consciousness and green consumption values) and organizational (the weight of price in incentive schemes and firm sustainability orientation) levels that shape buyer responses to sustainable products across the information-processing stages. The findings offer guidance for selling firms on pricing and sales strategies for sustainable products, and for buying firms on fostering buyer-level implementation of sustainable purchasing strategies.","container-title":"Industrial Marketing Management","DOI":"10.1016/j.indmarman.2026.02.012","ISSN":"00198501","journalAbbreviation":"Industrial Marketing Management","language":"en","page":"172-185","source":"DOI.org (Crossref)","title":"When do high prices sell better for sustainable products in business-to-business markets? The role of price–sustainability fit","title-short":"When do high prices sell better for sustainable products in business-to-business markets?","volume":"134","author":[{"family":"Huang","given":"Guzi"},{"family":"Lanzrath","given":"Aline Isabelle"},{"family":"Homburg","given":"Christian"}],"issued":{"date-parts":[["2026",4]]}}}],"schema":"https://github.com/citation-style-language/schema/raw/master/csl-citation.json"} </w:instrText>
      </w:r>
      <w:r w:rsidR="006E781B">
        <w:rPr>
          <w:rFonts w:ascii="Arial" w:eastAsia="Times New Roman" w:hAnsi="Arial" w:cs="Arial"/>
          <w:kern w:val="0"/>
          <w:lang w:eastAsia="en-GB"/>
          <w14:ligatures w14:val="none"/>
        </w:rPr>
        <w:fldChar w:fldCharType="separate"/>
      </w:r>
      <w:r w:rsidR="006E781B" w:rsidRPr="006E781B">
        <w:rPr>
          <w:rFonts w:ascii="Arial" w:hAnsi="Arial" w:cs="Arial"/>
          <w:lang w:eastAsia="en-GB"/>
        </w:rPr>
        <w:t>(Huang, Lanzrath and Homburg, 2026)</w:t>
      </w:r>
      <w:r w:rsidR="006E781B">
        <w:rPr>
          <w:rFonts w:ascii="Arial" w:eastAsia="Times New Roman" w:hAnsi="Arial" w:cs="Arial"/>
          <w:kern w:val="0"/>
          <w:lang w:eastAsia="en-GB"/>
          <w14:ligatures w14:val="none"/>
        </w:rPr>
        <w:fldChar w:fldCharType="end"/>
      </w:r>
      <w:r w:rsidR="006E781B">
        <w:rPr>
          <w:rFonts w:ascii="Arial" w:eastAsia="Times New Roman" w:hAnsi="Arial" w:cs="Arial"/>
          <w:kern w:val="0"/>
          <w:lang w:eastAsia="en-GB"/>
          <w14:ligatures w14:val="none"/>
        </w:rPr>
        <w:t xml:space="preserve">. </w:t>
      </w:r>
      <w:r w:rsidR="003D2BAA" w:rsidRPr="003D2BAA">
        <w:rPr>
          <w:rFonts w:ascii="Arial" w:eastAsia="Times New Roman" w:hAnsi="Arial" w:cs="Arial"/>
          <w:kern w:val="0"/>
          <w:lang w:eastAsia="en-GB"/>
          <w14:ligatures w14:val="none"/>
        </w:rPr>
        <w:t>Regulatory requirements across different regions can create complexity and increase operational costs. Furthermore, reputational risks remain significant, particularly if sustainability claims are perceived as insufficient or inconsistent, raising concerns about greenwashing</w:t>
      </w:r>
      <w:r w:rsidR="00E20ADB">
        <w:rPr>
          <w:rFonts w:ascii="Arial" w:eastAsia="Times New Roman" w:hAnsi="Arial" w:cs="Arial"/>
          <w:kern w:val="0"/>
          <w:lang w:eastAsia="en-GB"/>
          <w14:ligatures w14:val="none"/>
        </w:rPr>
        <w:t xml:space="preserve"> (</w:t>
      </w:r>
      <w:proofErr w:type="spellStart"/>
      <w:r w:rsidR="00E20ADB">
        <w:rPr>
          <w:rFonts w:ascii="Arial" w:eastAsia="Times New Roman" w:hAnsi="Arial" w:cs="Arial"/>
          <w:kern w:val="0"/>
          <w:lang w:eastAsia="en-GB"/>
          <w14:ligatures w14:val="none"/>
        </w:rPr>
        <w:t>Zolio</w:t>
      </w:r>
      <w:proofErr w:type="spellEnd"/>
      <w:r w:rsidR="00E20ADB">
        <w:rPr>
          <w:rFonts w:ascii="Arial" w:eastAsia="Times New Roman" w:hAnsi="Arial" w:cs="Arial"/>
          <w:kern w:val="0"/>
          <w:lang w:eastAsia="en-GB"/>
          <w14:ligatures w14:val="none"/>
        </w:rPr>
        <w:t xml:space="preserve"> et al</w:t>
      </w:r>
      <w:r w:rsidR="003D2BAA" w:rsidRPr="003D2BAA">
        <w:rPr>
          <w:rFonts w:ascii="Arial" w:eastAsia="Times New Roman" w:hAnsi="Arial" w:cs="Arial"/>
          <w:kern w:val="0"/>
          <w:lang w:eastAsia="en-GB"/>
          <w14:ligatures w14:val="none"/>
        </w:rPr>
        <w:t>.</w:t>
      </w:r>
      <w:r w:rsidR="00E20ADB">
        <w:rPr>
          <w:rFonts w:ascii="Arial" w:eastAsia="Times New Roman" w:hAnsi="Arial" w:cs="Arial"/>
          <w:kern w:val="0"/>
          <w:lang w:eastAsia="en-GB"/>
          <w14:ligatures w14:val="none"/>
        </w:rPr>
        <w:t>,2024).</w:t>
      </w:r>
      <w:r w:rsidR="003D2BAA" w:rsidRPr="003D2BAA">
        <w:rPr>
          <w:rFonts w:ascii="Arial" w:eastAsia="Times New Roman" w:hAnsi="Arial" w:cs="Arial"/>
          <w:kern w:val="0"/>
          <w:lang w:eastAsia="en-GB"/>
          <w14:ligatures w14:val="none"/>
        </w:rPr>
        <w:t xml:space="preserve"> Environmental challenges such as resource scarcity and climate change also pose long-term risks to IKEA’s supply chain and production processes</w:t>
      </w:r>
      <w:r w:rsidR="0048609C">
        <w:rPr>
          <w:rFonts w:ascii="Arial" w:eastAsia="Times New Roman" w:hAnsi="Arial" w:cs="Arial"/>
          <w:kern w:val="0"/>
          <w:lang w:eastAsia="en-GB"/>
          <w14:ligatures w14:val="none"/>
        </w:rPr>
        <w:t xml:space="preserve"> </w:t>
      </w:r>
      <w:r w:rsidR="0048609C">
        <w:rPr>
          <w:rFonts w:ascii="Arial" w:eastAsia="Times New Roman" w:hAnsi="Arial" w:cs="Arial"/>
          <w:kern w:val="0"/>
          <w:lang w:eastAsia="en-GB"/>
          <w14:ligatures w14:val="none"/>
        </w:rPr>
        <w:fldChar w:fldCharType="begin"/>
      </w:r>
      <w:r w:rsidR="0048609C">
        <w:rPr>
          <w:rFonts w:ascii="Arial" w:eastAsia="Times New Roman" w:hAnsi="Arial" w:cs="Arial"/>
          <w:kern w:val="0"/>
          <w:lang w:eastAsia="en-GB"/>
          <w14:ligatures w14:val="none"/>
        </w:rPr>
        <w:instrText xml:space="preserve"> ADDIN ZOTERO_ITEM CSL_CITATION {"citationID":"CLjl50o5","properties":{"formattedCitation":"(Kumar {\\i{}et al.}, 2019)","plainCitation":"(Kumar et al., 2019)","noteIndex":0},"citationItems":[{"id":419,"uris":["http://zotero.org/users/local/bh3OqUSh/items/KUQDCUA9"],"itemData":{"id":419,"type":"article-journal","abstract":"Purpose\nThe purpose of this paper is to measure the influence of peers, and the Government and non-governmental organization (NGO) initiatives on an individual’s attitudinal drivers such as environmental knowledge and environmental concern, which are the reasons for their green purchasing intentions. This concept was applied among the Indian young consumers.\nDesign/methodology/approach\nFor the research, a structured online questionnaire was used to obtain responses from 342 Indians from various cities. The participants were 20-25 years of age. SPSS software package was used to refine the data while SmartPLS was used to test the validity of the hypotheses.\nFindings\nThe findings revealed that the Government and NGO initiatives along with peer influence do have a significant effect on a consumer’s environmental knowledge and environmental concerns. Further, this study found a significant positive effect of environmental knowledge and environmental concern on perceived value. In turn, the perceived value had a direct positive impact on green attitude leading to green purchase intention.\nPractical implications\nThis paper provides critical insights for marketers, as well as for governmental agencies and NGOs promoting the conservation of the environment through environmental-friendly practices. These parties aim to generate greater awareness among consumers and impart knowledge about the benefits of green practices.\nOriginality/value\nThe studies measuring the impact of external factors on green consumption are scarce. Even the few studies available have measured the direct impact of external factors on green purchase intention. Governmental and NGO initiatives along with peer influence are the stimuli impacting operational factors such as environmental knowledge, environmental concern, perceived value, and green attitude, which, in turn, lead to the response of green purchase intention. This study provides new insights to this relationship by using a stimulus – organism – response framework.","container-title":"Young Consumers","DOI":"10.1108/YC-12-2018-0921","ISSN":"17473616","issue":"4","language":"English","license":"© Emerald Publishing Limited.","note":"number-of-pages: 19\npublisher-place: Bradford, United Kingdom\npublisher: Emerald Group Publishing Limited","page":"380-398","source":"ProQuest","title":"Examining the role of external factors in influencing green behaviour among young Indian consumers","volume":"20","author":[{"family":"Kumar","given":"Ramesh"},{"family":"Saha","given":"Raiswa"},{"family":"Sekar","given":"P. C."},{"family":"Dahiya","given":"Richa"}],"issued":{"date-parts":[["2019"]]}}}],"schema":"https://github.com/citation-style-language/schema/raw/master/csl-citation.json"} </w:instrText>
      </w:r>
      <w:r w:rsidR="0048609C">
        <w:rPr>
          <w:rFonts w:ascii="Arial" w:eastAsia="Times New Roman" w:hAnsi="Arial" w:cs="Arial"/>
          <w:kern w:val="0"/>
          <w:lang w:eastAsia="en-GB"/>
          <w14:ligatures w14:val="none"/>
        </w:rPr>
        <w:fldChar w:fldCharType="separate"/>
      </w:r>
      <w:r w:rsidR="0048609C" w:rsidRPr="0048609C">
        <w:rPr>
          <w:rFonts w:ascii="Arial" w:hAnsi="Arial" w:cs="Arial"/>
          <w:kern w:val="0"/>
        </w:rPr>
        <w:t xml:space="preserve">(Kumar </w:t>
      </w:r>
      <w:r w:rsidR="0048609C" w:rsidRPr="0048609C">
        <w:rPr>
          <w:rFonts w:ascii="Arial" w:hAnsi="Arial" w:cs="Arial"/>
          <w:i/>
          <w:iCs/>
          <w:kern w:val="0"/>
        </w:rPr>
        <w:t>et al.</w:t>
      </w:r>
      <w:r w:rsidR="0048609C" w:rsidRPr="0048609C">
        <w:rPr>
          <w:rFonts w:ascii="Arial" w:hAnsi="Arial" w:cs="Arial"/>
          <w:kern w:val="0"/>
        </w:rPr>
        <w:t>, 2019)</w:t>
      </w:r>
      <w:r w:rsidR="0048609C">
        <w:rPr>
          <w:rFonts w:ascii="Arial" w:eastAsia="Times New Roman" w:hAnsi="Arial" w:cs="Arial"/>
          <w:kern w:val="0"/>
          <w:lang w:eastAsia="en-GB"/>
          <w14:ligatures w14:val="none"/>
        </w:rPr>
        <w:fldChar w:fldCharType="end"/>
      </w:r>
      <w:r w:rsidR="00E20ADB">
        <w:rPr>
          <w:rFonts w:ascii="Arial" w:eastAsia="Times New Roman" w:hAnsi="Arial" w:cs="Arial"/>
          <w:kern w:val="0"/>
          <w:lang w:eastAsia="en-GB"/>
          <w14:ligatures w14:val="none"/>
        </w:rPr>
        <w:t xml:space="preserve">, </w:t>
      </w:r>
      <w:r w:rsidR="003D2BAA" w:rsidRPr="003D2BAA">
        <w:rPr>
          <w:rFonts w:ascii="Arial" w:eastAsia="Times New Roman" w:hAnsi="Arial" w:cs="Arial"/>
          <w:kern w:val="0"/>
          <w:lang w:eastAsia="en-GB"/>
          <w14:ligatures w14:val="none"/>
        </w:rPr>
        <w:t>highlig</w:t>
      </w:r>
      <w:r w:rsidR="003D2BAA" w:rsidRPr="009A3F59">
        <w:rPr>
          <w:rFonts w:ascii="Arial" w:eastAsia="Times New Roman" w:hAnsi="Arial" w:cs="Arial"/>
          <w:color w:val="000000" w:themeColor="text1"/>
          <w:kern w:val="0"/>
          <w:lang w:eastAsia="en-GB"/>
          <w14:ligatures w14:val="none"/>
        </w:rPr>
        <w:t>ht</w:t>
      </w:r>
      <w:r w:rsidR="00E20ADB" w:rsidRPr="009A3F59">
        <w:rPr>
          <w:rFonts w:ascii="Arial" w:eastAsia="Times New Roman" w:hAnsi="Arial" w:cs="Arial"/>
          <w:color w:val="000000" w:themeColor="text1"/>
          <w:kern w:val="0"/>
          <w:lang w:eastAsia="en-GB"/>
          <w14:ligatures w14:val="none"/>
        </w:rPr>
        <w:t>ing</w:t>
      </w:r>
      <w:r w:rsidR="003D2BAA" w:rsidRPr="003D2BAA">
        <w:rPr>
          <w:rFonts w:ascii="Arial" w:eastAsia="Times New Roman" w:hAnsi="Arial" w:cs="Arial"/>
          <w:kern w:val="0"/>
          <w:lang w:eastAsia="en-GB"/>
          <w14:ligatures w14:val="none"/>
        </w:rPr>
        <w:t xml:space="preserve"> the need for a resilient and adaptive sustainability strategy.</w:t>
      </w:r>
    </w:p>
    <w:p w14:paraId="7FB31075" w14:textId="035B0430" w:rsidR="003D2BAA" w:rsidRPr="00AC2AF1" w:rsidRDefault="003D2BAA" w:rsidP="00AF517A">
      <w:pPr>
        <w:spacing w:before="100" w:beforeAutospacing="1" w:after="100" w:afterAutospacing="1" w:line="360" w:lineRule="auto"/>
        <w:jc w:val="both"/>
        <w:rPr>
          <w:rFonts w:ascii="Arial" w:hAnsi="Arial" w:cs="Arial"/>
        </w:rPr>
      </w:pPr>
      <w:r w:rsidRPr="003D2BAA">
        <w:rPr>
          <w:rFonts w:ascii="Arial" w:eastAsia="Times New Roman" w:hAnsi="Arial" w:cs="Arial"/>
          <w:kern w:val="0"/>
          <w:lang w:eastAsia="en-GB"/>
          <w14:ligatures w14:val="none"/>
        </w:rPr>
        <w:t xml:space="preserve">The SWOT analysis demonstrates that while IKEA has strong capabilities and clear sustainability ambitions, its current business model presents inherent contradictions. Its strengths and opportunities position it well to lead in sustainability; however, its weaknesses and threats highlight the limitations of incremental change. This reinforces the need for a more transformative strategy that aligns business growth with </w:t>
      </w:r>
      <w:r w:rsidRPr="00AC2AF1">
        <w:rPr>
          <w:rFonts w:ascii="Arial" w:eastAsia="Times New Roman" w:hAnsi="Arial" w:cs="Arial"/>
          <w:kern w:val="0"/>
          <w:lang w:eastAsia="en-GB"/>
          <w14:ligatures w14:val="none"/>
        </w:rPr>
        <w:t>genuinely sustainable consumption patterns</w:t>
      </w:r>
      <w:r w:rsidR="00EB3B00">
        <w:rPr>
          <w:rFonts w:ascii="Arial" w:eastAsia="Times New Roman" w:hAnsi="Arial" w:cs="Arial"/>
          <w:kern w:val="0"/>
          <w:lang w:eastAsia="en-GB"/>
          <w14:ligatures w14:val="none"/>
        </w:rPr>
        <w:t xml:space="preserve"> </w:t>
      </w:r>
      <w:r w:rsidR="00EB3B00">
        <w:rPr>
          <w:rFonts w:ascii="Arial" w:eastAsia="Times New Roman" w:hAnsi="Arial" w:cs="Arial"/>
          <w:kern w:val="0"/>
          <w:lang w:eastAsia="en-GB"/>
          <w14:ligatures w14:val="none"/>
        </w:rPr>
        <w:fldChar w:fldCharType="begin"/>
      </w:r>
      <w:r w:rsidR="00EB3B00">
        <w:rPr>
          <w:rFonts w:ascii="Arial" w:eastAsia="Times New Roman" w:hAnsi="Arial" w:cs="Arial"/>
          <w:kern w:val="0"/>
          <w:lang w:eastAsia="en-GB"/>
          <w14:ligatures w14:val="none"/>
        </w:rPr>
        <w:instrText xml:space="preserve"> ADDIN ZOTERO_ITEM CSL_CITATION {"citationID":"eVvZxPCi","properties":{"formattedCitation":"(Termeer, Dewulf and Biesbroek, 2024)","plainCitation":"(Termeer, Dewulf and Biesbroek, 2024)","noteIndex":0},"citationItems":[{"id":424,"uris":["http://zotero.org/users/local/bh3OqUSh/items/KEZS52T3"],"itemData":{"id":424,"type":"article-journal","container-title":"Current Opinion in Environmental Sustainability","DOI":"10.1016/j.cosust.2024.101479","ISSN":"18773435","journalAbbreviation":"Current Opinion in Environmental Sustainability","language":"en","page":"101479","source":"DOI.org (Crossref)","title":"Three archetypical governance pathways for transformative change toward sustainability","volume":"71","author":[{"family":"Termeer","given":"Katrien"},{"family":"Dewulf","given":"Art"},{"family":"Biesbroek","given":"Robbert"}],"issued":{"date-parts":[["2024",12]]}}}],"schema":"https://github.com/citation-style-language/schema/raw/master/csl-citation.json"} </w:instrText>
      </w:r>
      <w:r w:rsidR="00EB3B00">
        <w:rPr>
          <w:rFonts w:ascii="Arial" w:eastAsia="Times New Roman" w:hAnsi="Arial" w:cs="Arial"/>
          <w:kern w:val="0"/>
          <w:lang w:eastAsia="en-GB"/>
          <w14:ligatures w14:val="none"/>
        </w:rPr>
        <w:fldChar w:fldCharType="separate"/>
      </w:r>
      <w:r w:rsidR="00EB3B00" w:rsidRPr="00EB3B00">
        <w:rPr>
          <w:rFonts w:ascii="Arial" w:hAnsi="Arial" w:cs="Arial"/>
          <w:lang w:eastAsia="en-GB"/>
        </w:rPr>
        <w:t>(Termeer, Dewulf and Biesbroek, 2024)</w:t>
      </w:r>
      <w:r w:rsidR="00EB3B00">
        <w:rPr>
          <w:rFonts w:ascii="Arial" w:eastAsia="Times New Roman" w:hAnsi="Arial" w:cs="Arial"/>
          <w:kern w:val="0"/>
          <w:lang w:eastAsia="en-GB"/>
          <w14:ligatures w14:val="none"/>
        </w:rPr>
        <w:fldChar w:fldCharType="end"/>
      </w:r>
      <w:r w:rsidR="00EB3B00">
        <w:rPr>
          <w:rFonts w:ascii="Arial" w:eastAsia="Times New Roman" w:hAnsi="Arial" w:cs="Arial"/>
          <w:kern w:val="0"/>
          <w:lang w:eastAsia="en-GB"/>
          <w14:ligatures w14:val="none"/>
        </w:rPr>
        <w:t>.</w:t>
      </w:r>
      <w:r w:rsidRPr="00AC2AF1">
        <w:rPr>
          <w:rFonts w:ascii="Arial" w:eastAsia="Times New Roman" w:hAnsi="Arial" w:cs="Arial"/>
          <w:kern w:val="0"/>
          <w:lang w:eastAsia="en-GB"/>
          <w14:ligatures w14:val="none"/>
        </w:rPr>
        <w:t xml:space="preserve"> </w:t>
      </w:r>
    </w:p>
    <w:p w14:paraId="52BD3718" w14:textId="77777777" w:rsidR="00543993" w:rsidRPr="00AC2AF1" w:rsidRDefault="00543993" w:rsidP="00AF517A">
      <w:pPr>
        <w:spacing w:before="100" w:beforeAutospacing="1" w:after="100" w:afterAutospacing="1" w:line="360" w:lineRule="auto"/>
        <w:jc w:val="both"/>
        <w:outlineLvl w:val="0"/>
        <w:rPr>
          <w:rFonts w:ascii="Arial" w:eastAsia="Times New Roman" w:hAnsi="Arial" w:cs="Arial"/>
          <w:b/>
          <w:bCs/>
          <w:kern w:val="36"/>
          <w:lang w:eastAsia="en-GB"/>
          <w14:ligatures w14:val="none"/>
        </w:rPr>
      </w:pPr>
      <w:bookmarkStart w:id="14" w:name="_Toc231380088"/>
      <w:r w:rsidRPr="00AC2AF1">
        <w:rPr>
          <w:rFonts w:ascii="Arial" w:eastAsia="Times New Roman" w:hAnsi="Arial" w:cs="Arial"/>
          <w:b/>
          <w:bCs/>
          <w:kern w:val="36"/>
          <w:lang w:eastAsia="en-GB"/>
          <w14:ligatures w14:val="none"/>
        </w:rPr>
        <w:t>Sustainability Challenges Facing IKEA</w:t>
      </w:r>
      <w:bookmarkEnd w:id="14"/>
    </w:p>
    <w:p w14:paraId="3FF779EC" w14:textId="089FFD07" w:rsidR="00543993" w:rsidRPr="00AC2AF1" w:rsidRDefault="00543993" w:rsidP="00AF517A">
      <w:pPr>
        <w:spacing w:before="100" w:beforeAutospacing="1" w:after="100" w:afterAutospacing="1" w:line="360" w:lineRule="auto"/>
        <w:jc w:val="both"/>
        <w:rPr>
          <w:rFonts w:ascii="Arial" w:eastAsia="Times New Roman" w:hAnsi="Arial" w:cs="Arial"/>
          <w:kern w:val="0"/>
          <w:lang w:eastAsia="en-GB"/>
          <w14:ligatures w14:val="none"/>
        </w:rPr>
      </w:pPr>
      <w:r w:rsidRPr="00AC2AF1">
        <w:rPr>
          <w:rFonts w:ascii="Arial" w:eastAsia="Times New Roman" w:hAnsi="Arial" w:cs="Arial"/>
          <w:kern w:val="0"/>
          <w:lang w:eastAsia="en-GB"/>
          <w14:ligatures w14:val="none"/>
        </w:rPr>
        <w:t>Despite its commitment to sustainability, IKEA faces</w:t>
      </w:r>
      <w:r w:rsidR="00CA695B">
        <w:rPr>
          <w:rFonts w:ascii="Arial" w:eastAsia="Times New Roman" w:hAnsi="Arial" w:cs="Arial"/>
          <w:kern w:val="0"/>
          <w:lang w:eastAsia="en-GB"/>
          <w14:ligatures w14:val="none"/>
        </w:rPr>
        <w:t xml:space="preserve"> </w:t>
      </w:r>
      <w:r w:rsidRPr="00AC2AF1">
        <w:rPr>
          <w:rFonts w:ascii="Arial" w:eastAsia="Times New Roman" w:hAnsi="Arial" w:cs="Arial"/>
          <w:kern w:val="0"/>
          <w:lang w:eastAsia="en-GB"/>
          <w14:ligatures w14:val="none"/>
        </w:rPr>
        <w:t>challenges that limit the effectiveness of its sustainability strategy. These challenges arise from both internal structural constraints and external environmental pressures, highlighting the complexity of implementing sustainable practices within a global business mode</w:t>
      </w:r>
      <w:r w:rsidR="00764F21">
        <w:rPr>
          <w:rFonts w:ascii="Arial" w:eastAsia="Times New Roman" w:hAnsi="Arial" w:cs="Arial"/>
          <w:kern w:val="0"/>
          <w:lang w:eastAsia="en-GB"/>
          <w14:ligatures w14:val="none"/>
        </w:rPr>
        <w:t xml:space="preserve">l </w:t>
      </w:r>
      <w:r w:rsidR="00764F21">
        <w:rPr>
          <w:rFonts w:ascii="Arial" w:eastAsia="Times New Roman" w:hAnsi="Arial" w:cs="Arial"/>
          <w:kern w:val="0"/>
          <w:lang w:eastAsia="en-GB"/>
          <w14:ligatures w14:val="none"/>
        </w:rPr>
        <w:fldChar w:fldCharType="begin"/>
      </w:r>
      <w:r w:rsidR="00764F21">
        <w:rPr>
          <w:rFonts w:ascii="Arial" w:eastAsia="Times New Roman" w:hAnsi="Arial" w:cs="Arial"/>
          <w:kern w:val="0"/>
          <w:lang w:eastAsia="en-GB"/>
          <w14:ligatures w14:val="none"/>
        </w:rPr>
        <w:instrText xml:space="preserve"> ADDIN ZOTERO_ITEM CSL_CITATION {"citationID":"oa3OmQyy","properties":{"formattedCitation":"(Chen {\\i{}et al.}, 2022)","plainCitation":"(Chen et al., 2022)","noteIndex":0},"citationItems":[{"id":443,"uris":["http://zotero.org/users/local/bh3OqUSh/items/LNWJZG68"],"itemData":{"id":443,"type":"article-journal","abstract":"This paper synthesizes the contemporary challenges for the sustainability of the social-environmental system (SES) across a geographically, environmentally, and geopolitically diverse region—the Asian Drylands Belt (ADB). This region includes 18 political entities, covering 10.3% of global land area and 30% of total global drylands. At the present time, the ADB is confronted with a unique set of environmental and socioeconomic changes including water shortage-related environmental challenges and dramatic institutional changes since the collapse of the Union of Soviet Socialist Republics. The SES of the ADB is assessed using a conceptual framework rooted in the three pillars of sustainability science: social, economic, and ecological systems. The complex dynamics are explored with biophysical, socioeconomic, institutional, and local context-dependent mechanisms with a focus on institutions and land use and land cover change (LULCC) as important drivers of SES dynamics. This paper also discusses the following five pressing, practical challenges for the sustainability of the ADB SES: (a) reduced water quantity and quality under warming, drying, and escalating extreme events, (b) continued, if not intensifying, geopolitical conflicts, (c) volatile, uncertain, and shifting socioeconomic structures, (d) globalization and cross-country influences, and (e) intensification and shifts in LULCC. To meet the varied challenges across the region, place-based, context-dependent transdisciplinary approaches are needed to focus on the human-environment interactions within and between regional landscapes with explicit consideration of specific forcings and regulatory mechanisms. Future work focused on this region should also assess the role of the following mechanisms that may moderate SES dynamics: socioeconomic regulating mechanisms, biophysical regulating mechanisms, regional and national institutional regulating mechanisms, and localized institutional regulating mechanisms.","container-title":"Environmental Research Letters","DOI":"10.1088/1748-9326/ac472f","ISSN":"1748-9326","issue":"2","journalAbbreviation":"Environ. Res. Lett.","language":"en","note":"publisher: IOP Publishing","page":"023001","source":"Institute of Physics","title":"Sustainability challenges for the social-environmental systems across the Asian Drylands Belt","volume":"17","author":[{"family":"Chen","given":"Jiquan"},{"family":"John","given":"Ranjeet"},{"family":"Yuan","given":"Jing"},{"family":"Mack","given":"Elizabeth A"},{"family":"Groisman","given":"Pavel"},{"family":"Allington","given":"Ginger"},{"family":"Wu","given":"Jianguo"},{"family":"Fan","given":"Peilei"},{"family":"Beurs","given":"Kirsten M","non-dropping-particle":"de"},{"family":"Karnieli","given":"Arnon"},{"family":"Gutman","given":"Garik"},{"family":"Kappas","given":"Martin"},{"family":"Dong","given":"Gang"},{"family":"Zhao","given":"Fangyuan"},{"family":"Ouyang","given":"Zutao"},{"family":"Pearson","given":"Amber L"},{"family":"Şat","given":"Beyza"},{"family":"Graham","given":"Norman A"},{"family":"Shao","given":"Changliang"},{"family":"Graham","given":"Anna K"},{"family":"Henebry","given":"Geoffrey M"},{"family":"Xue","given":"Zhichao"},{"family":"Amartuvshin","given":"Amarjargal"},{"family":"Qu","given":"Luping"},{"family":"Park","given":"Hogeun"},{"family":"Xin","given":"Xiaoping"},{"family":"Chen","given":"Jingyan"},{"family":"Tian","given":"Li"},{"family":"Knight","given":"Colt"},{"family":"Kussainova","given":"Maira"},{"family":"Li","given":"Fei"},{"family":"Fürst","given":"Christine"},{"family":"Qi","given":"Jiaguo"}],"issued":{"date-parts":[["2022",1]]}}}],"schema":"https://github.com/citation-style-language/schema/raw/master/csl-citation.json"} </w:instrText>
      </w:r>
      <w:r w:rsidR="00764F21">
        <w:rPr>
          <w:rFonts w:ascii="Arial" w:eastAsia="Times New Roman" w:hAnsi="Arial" w:cs="Arial"/>
          <w:kern w:val="0"/>
          <w:lang w:eastAsia="en-GB"/>
          <w14:ligatures w14:val="none"/>
        </w:rPr>
        <w:fldChar w:fldCharType="separate"/>
      </w:r>
      <w:r w:rsidR="00764F21" w:rsidRPr="00764F21">
        <w:rPr>
          <w:rFonts w:ascii="Arial" w:hAnsi="Arial" w:cs="Arial"/>
          <w:kern w:val="0"/>
        </w:rPr>
        <w:t xml:space="preserve">(Chen </w:t>
      </w:r>
      <w:r w:rsidR="00764F21" w:rsidRPr="00764F21">
        <w:rPr>
          <w:rFonts w:ascii="Arial" w:hAnsi="Arial" w:cs="Arial"/>
          <w:i/>
          <w:iCs/>
          <w:kern w:val="0"/>
        </w:rPr>
        <w:t>et al.</w:t>
      </w:r>
      <w:r w:rsidR="00764F21" w:rsidRPr="00764F21">
        <w:rPr>
          <w:rFonts w:ascii="Arial" w:hAnsi="Arial" w:cs="Arial"/>
          <w:kern w:val="0"/>
        </w:rPr>
        <w:t>, 2022)</w:t>
      </w:r>
      <w:r w:rsidR="00764F21">
        <w:rPr>
          <w:rFonts w:ascii="Arial" w:eastAsia="Times New Roman" w:hAnsi="Arial" w:cs="Arial"/>
          <w:kern w:val="0"/>
          <w:lang w:eastAsia="en-GB"/>
          <w14:ligatures w14:val="none"/>
        </w:rPr>
        <w:fldChar w:fldCharType="end"/>
      </w:r>
      <w:r w:rsidR="00764F21">
        <w:rPr>
          <w:rFonts w:ascii="Arial" w:eastAsia="Times New Roman" w:hAnsi="Arial" w:cs="Arial"/>
          <w:kern w:val="0"/>
          <w:lang w:eastAsia="en-GB"/>
          <w14:ligatures w14:val="none"/>
        </w:rPr>
        <w:t>.</w:t>
      </w:r>
    </w:p>
    <w:p w14:paraId="140D2349" w14:textId="3E192C62" w:rsidR="00543993" w:rsidRPr="00AC2AF1" w:rsidRDefault="00543993" w:rsidP="00AF517A">
      <w:pPr>
        <w:spacing w:before="100" w:beforeAutospacing="1" w:after="100" w:afterAutospacing="1" w:line="360" w:lineRule="auto"/>
        <w:jc w:val="both"/>
        <w:rPr>
          <w:rFonts w:ascii="Arial" w:eastAsia="Times New Roman" w:hAnsi="Arial" w:cs="Arial"/>
          <w:kern w:val="0"/>
          <w:lang w:eastAsia="en-GB"/>
          <w14:ligatures w14:val="none"/>
        </w:rPr>
      </w:pPr>
      <w:r w:rsidRPr="00AC2AF1">
        <w:rPr>
          <w:rFonts w:ascii="Arial" w:eastAsia="Times New Roman" w:hAnsi="Arial" w:cs="Arial"/>
          <w:kern w:val="0"/>
          <w:lang w:eastAsia="en-GB"/>
          <w14:ligatures w14:val="none"/>
        </w:rPr>
        <w:t>One of the most critical challenges is the inherent tension between IKEA’s low-cost, high-volume business model and the principles of sustainability. The company’s success is built on affordability and mass production, which encourages frequent consumption and product replacement. However, sustainability frameworks, particularly the circular economy, emphasise reducing consumption and extending product lifecycles</w:t>
      </w:r>
      <w:r w:rsidR="008C2BB6">
        <w:rPr>
          <w:rFonts w:ascii="Arial" w:eastAsia="Times New Roman" w:hAnsi="Arial" w:cs="Arial"/>
          <w:kern w:val="0"/>
          <w:lang w:eastAsia="en-GB"/>
          <w14:ligatures w14:val="none"/>
        </w:rPr>
        <w:t xml:space="preserve"> </w:t>
      </w:r>
      <w:r w:rsidR="008C2BB6">
        <w:rPr>
          <w:rFonts w:ascii="Arial" w:eastAsia="Times New Roman" w:hAnsi="Arial" w:cs="Arial"/>
          <w:kern w:val="0"/>
          <w:lang w:eastAsia="en-GB"/>
          <w14:ligatures w14:val="none"/>
        </w:rPr>
        <w:fldChar w:fldCharType="begin"/>
      </w:r>
      <w:r w:rsidR="008C2BB6">
        <w:rPr>
          <w:rFonts w:ascii="Arial" w:eastAsia="Times New Roman" w:hAnsi="Arial" w:cs="Arial"/>
          <w:kern w:val="0"/>
          <w:lang w:eastAsia="en-GB"/>
          <w14:ligatures w14:val="none"/>
        </w:rPr>
        <w:instrText xml:space="preserve"> ADDIN ZOTERO_ITEM CSL_CITATION {"citationID":"n6YXOMe9","properties":{"formattedCitation":"(Pieroni, McAloone and Pigosso, 2019)","plainCitation":"(Pieroni, McAloone and Pigosso, 2019)","noteIndex":0},"citationItems":[{"id":433,"uris":["http://zotero.org/users/local/bh3OqUSh/items/XSCVZCZC"],"itemData":{"id":433,"type":"article-journal","abstract":"As circular economy and sustainability gain greater attention of governments, industry and academia, business model innovation for circularity and/or sustainability is becoming fundamental to sustain companies' competitive advantage. A variety of business model innovation approaches have been proposed to suit circular economy or sustainability principles. Although they largely have been addressed independently as two separate knowledge areas, there is an opportunity to seize synergies from the intersection of both streams. This paper provides a review of approaches for business model innovation for circular economy and/or sustainability, based on a systematic review of academic literature and practitioner-based methodologies. The systematic literature review identiﬁed 94 publications and 92 approaches (including conceptual models, methods or tools). The different approaches were categorized according to the business model innovation process, following a three stage dynamic capability view. Subsequently they were compared based on ﬁve characteristics (nature of data, boundaries of analysis, level of abstraction, time-based view, and representation style), to allow for a better understanding of how to use the approaches in research and practice. Based on the review, key ﬁndings outlining trends and a reﬂection about the interface of the scopes of circular economy-oriented and sustainabilityoriented business model innovation are presented. Moreover, a number of gaps are identiﬁed and a framework that maps a future research agenda to simultaneously advance both streams is outlined.","container-title":"Journal of Cleaner Production","DOI":"10.1016/j.jclepro.2019.01.036","ISSN":"09596526","journalAbbreviation":"Journal of Cleaner Production","language":"en","page":"198-216","source":"DOI.org (Crossref)","title":"Business model innovation for circular economy and sustainability: A review of approaches","title-short":"Business model innovation for circular economy and sustainability","volume":"215","author":[{"family":"Pieroni","given":"Marina P.P."},{"family":"McAloone","given":"Tim C."},{"family":"Pigosso","given":"Daniela C.A."}],"issued":{"date-parts":[["2019",4]]}}}],"schema":"https://github.com/citation-style-language/schema/raw/master/csl-citation.json"} </w:instrText>
      </w:r>
      <w:r w:rsidR="008C2BB6">
        <w:rPr>
          <w:rFonts w:ascii="Arial" w:eastAsia="Times New Roman" w:hAnsi="Arial" w:cs="Arial"/>
          <w:kern w:val="0"/>
          <w:lang w:eastAsia="en-GB"/>
          <w14:ligatures w14:val="none"/>
        </w:rPr>
        <w:fldChar w:fldCharType="separate"/>
      </w:r>
      <w:r w:rsidR="008C2BB6" w:rsidRPr="008C2BB6">
        <w:rPr>
          <w:rFonts w:ascii="Arial" w:hAnsi="Arial" w:cs="Arial"/>
          <w:lang w:eastAsia="en-GB"/>
        </w:rPr>
        <w:t>(Pieroni, McAloone and Pigosso, 2019)</w:t>
      </w:r>
      <w:r w:rsidR="008C2BB6">
        <w:rPr>
          <w:rFonts w:ascii="Arial" w:eastAsia="Times New Roman" w:hAnsi="Arial" w:cs="Arial"/>
          <w:kern w:val="0"/>
          <w:lang w:eastAsia="en-GB"/>
          <w14:ligatures w14:val="none"/>
        </w:rPr>
        <w:fldChar w:fldCharType="end"/>
      </w:r>
      <w:r w:rsidRPr="00AC2AF1">
        <w:rPr>
          <w:rFonts w:ascii="Arial" w:eastAsia="Times New Roman" w:hAnsi="Arial" w:cs="Arial"/>
          <w:kern w:val="0"/>
          <w:lang w:eastAsia="en-GB"/>
          <w14:ligatures w14:val="none"/>
        </w:rPr>
        <w:t>. This creates a structural contradiction, as IKEA must balance economic growth with environmental responsibility. As a result, sustainability initiatives may be limited if they do not fundamentally address consumption patterns.</w:t>
      </w:r>
    </w:p>
    <w:p w14:paraId="570F651C" w14:textId="2175187E" w:rsidR="00543993" w:rsidRPr="00AC2AF1" w:rsidRDefault="00543993" w:rsidP="00AF517A">
      <w:pPr>
        <w:spacing w:before="100" w:beforeAutospacing="1" w:after="100" w:afterAutospacing="1" w:line="360" w:lineRule="auto"/>
        <w:jc w:val="both"/>
        <w:rPr>
          <w:rFonts w:ascii="Arial" w:eastAsia="Times New Roman" w:hAnsi="Arial" w:cs="Arial"/>
          <w:kern w:val="0"/>
          <w:lang w:eastAsia="en-GB"/>
          <w14:ligatures w14:val="none"/>
        </w:rPr>
      </w:pPr>
      <w:r w:rsidRPr="00AC2AF1">
        <w:rPr>
          <w:rFonts w:ascii="Arial" w:eastAsia="Times New Roman" w:hAnsi="Arial" w:cs="Arial"/>
          <w:kern w:val="0"/>
          <w:lang w:eastAsia="en-GB"/>
          <w14:ligatures w14:val="none"/>
        </w:rPr>
        <w:lastRenderedPageBreak/>
        <w:t>Another key challenge is the reliance on consumer behaviour to support circular initiatives</w:t>
      </w:r>
      <w:r w:rsidR="008C2BB6">
        <w:rPr>
          <w:rFonts w:ascii="Arial" w:eastAsia="Times New Roman" w:hAnsi="Arial" w:cs="Arial"/>
          <w:kern w:val="0"/>
          <w:lang w:eastAsia="en-GB"/>
          <w14:ligatures w14:val="none"/>
        </w:rPr>
        <w:t xml:space="preserve"> </w:t>
      </w:r>
      <w:r w:rsidR="008C2BB6">
        <w:rPr>
          <w:rFonts w:ascii="Arial" w:eastAsia="Times New Roman" w:hAnsi="Arial" w:cs="Arial"/>
          <w:kern w:val="0"/>
          <w:lang w:eastAsia="en-GB"/>
          <w14:ligatures w14:val="none"/>
        </w:rPr>
        <w:fldChar w:fldCharType="begin"/>
      </w:r>
      <w:r w:rsidR="008C2BB6">
        <w:rPr>
          <w:rFonts w:ascii="Arial" w:eastAsia="Times New Roman" w:hAnsi="Arial" w:cs="Arial"/>
          <w:kern w:val="0"/>
          <w:lang w:eastAsia="en-GB"/>
          <w14:ligatures w14:val="none"/>
        </w:rPr>
        <w:instrText xml:space="preserve"> ADDIN ZOTERO_ITEM CSL_CITATION {"citationID":"Yq0G7VRe","properties":{"formattedCitation":"(Salesa, Le\\uc0\\u243{}n and Moneva, 2025)","plainCitation":"(Salesa, León and Moneva, 2025)","noteIndex":0},"citationItems":[{"id":434,"uris":["http://zotero.org/users/local/bh3OqUSh/items/MB8HGE55"],"itemData":{"id":434,"type":"article-journal","abstract":"The aircraft manufacturing industry faces a critical juncture due to the necessity to replace ageing fleets and address the environmental impact of the industry dimension. The high demand for new aircraft and limited production capacity has driven industry leaders to integrate Circular Economy (CE) principles into their manufacturing and maintenance strategies, trying to increase aircraft lifespan. This study examines the specific CE actions implemented by aircraft manufacturers and assesses their impact on sustainability performance. Sustainability reports and non-financial disclosures were analysed using a taxonomy tailored to the industry to identify CE actions. Econometric models were then employed to analyse the relationship between the number of CE actions adopted and sustainability performance, using REFINITIV's sustainability performance scores as dependent variables. Results indicate that companies are starting to adopt CE actions focused on product life extension and repairability. Furthermore, the analysis demonstrates that companies with more declared CE actions exhibit higher environmental and corporate governance performance. Hence, this study empirically validates the link between adopting CE actions and improved sustainability performance, offering practical guidance for aircraft manufacturers and informing policymakers, investors, and other stakeholders on the benefits of CE actions in the industry.","container-title":"Business Strategy and the Environment","DOI":"10.1002/bse.4235","ISSN":"1099-0836","issue":"4","language":"en","note":"_eprint: https://onlinelibrary.wiley.com/doi/pdf/10.1002/bse.4235","page":"4766-4784","source":"Wiley Online Library","title":"Aero-Circularity: Charting the Flight Path Between Circular Economy and Sustainability Performance","title-short":"Aero-Circularity","volume":"34","author":[{"family":"Salesa","given":"Aitor"},{"family":"León","given":"Raúl"},{"family":"Moneva","given":"Jose M."}],"issued":{"date-parts":[["2025"]]}}}],"schema":"https://github.com/citation-style-language/schema/raw/master/csl-citation.json"} </w:instrText>
      </w:r>
      <w:r w:rsidR="008C2BB6">
        <w:rPr>
          <w:rFonts w:ascii="Arial" w:eastAsia="Times New Roman" w:hAnsi="Arial" w:cs="Arial"/>
          <w:kern w:val="0"/>
          <w:lang w:eastAsia="en-GB"/>
          <w14:ligatures w14:val="none"/>
        </w:rPr>
        <w:fldChar w:fldCharType="separate"/>
      </w:r>
      <w:r w:rsidR="008C2BB6" w:rsidRPr="008C2BB6">
        <w:rPr>
          <w:rFonts w:ascii="Arial" w:hAnsi="Arial" w:cs="Arial"/>
          <w:kern w:val="0"/>
        </w:rPr>
        <w:t>(Salesa, León and Moneva, 2025)</w:t>
      </w:r>
      <w:r w:rsidR="008C2BB6">
        <w:rPr>
          <w:rFonts w:ascii="Arial" w:eastAsia="Times New Roman" w:hAnsi="Arial" w:cs="Arial"/>
          <w:kern w:val="0"/>
          <w:lang w:eastAsia="en-GB"/>
          <w14:ligatures w14:val="none"/>
        </w:rPr>
        <w:fldChar w:fldCharType="end"/>
      </w:r>
      <w:r w:rsidRPr="00AC2AF1">
        <w:rPr>
          <w:rFonts w:ascii="Arial" w:eastAsia="Times New Roman" w:hAnsi="Arial" w:cs="Arial"/>
          <w:kern w:val="0"/>
          <w:lang w:eastAsia="en-GB"/>
          <w14:ligatures w14:val="none"/>
        </w:rPr>
        <w:t>. Programmes such as furniture take-back, recycling, and resale depend heavily on customers’ willingness to participate. However, consumer decisions are often influenced by convenience, cost, and awareness, meaning that participation levels can be inconsistent. This limits the effectiveness of circular strategies and suggests that IKEA’s approach may place too much responsibility on consumers rather than addressing sustainability at the system level.</w:t>
      </w:r>
    </w:p>
    <w:p w14:paraId="4C603F44" w14:textId="356180FB" w:rsidR="00543993" w:rsidRPr="00AC2AF1" w:rsidRDefault="00543993" w:rsidP="00AF517A">
      <w:pPr>
        <w:pStyle w:val="NormalWeb"/>
        <w:spacing w:line="360" w:lineRule="auto"/>
        <w:jc w:val="both"/>
        <w:rPr>
          <w:rFonts w:ascii="Arial" w:hAnsi="Arial" w:cs="Arial"/>
        </w:rPr>
      </w:pPr>
      <w:r w:rsidRPr="00AC2AF1">
        <w:rPr>
          <w:rFonts w:ascii="Arial" w:hAnsi="Arial" w:cs="Arial"/>
        </w:rPr>
        <w:t>The complexity of IKEA’s global supply chain also presents a significant challenge. The company operates across multiple regions with varying environmental regulations, labour standards, and governance systems. Ensuring consistent sustainability practices across all suppliers is difficult, particularly in areas where monitoring and enforcement are limited</w:t>
      </w:r>
      <w:r w:rsidR="00874EB6">
        <w:rPr>
          <w:rFonts w:ascii="Arial" w:hAnsi="Arial" w:cs="Arial"/>
        </w:rPr>
        <w:t xml:space="preserve"> </w:t>
      </w:r>
      <w:r w:rsidR="00874EB6">
        <w:rPr>
          <w:rFonts w:ascii="Arial" w:hAnsi="Arial" w:cs="Arial"/>
        </w:rPr>
        <w:fldChar w:fldCharType="begin"/>
      </w:r>
      <w:r w:rsidR="00874EB6">
        <w:rPr>
          <w:rFonts w:ascii="Arial" w:hAnsi="Arial" w:cs="Arial"/>
        </w:rPr>
        <w:instrText xml:space="preserve"> ADDIN ZOTERO_ITEM CSL_CITATION {"citationID":"DQ3fHTpB","properties":{"formattedCitation":"(Singh {\\i{}et al.}, 2023)","plainCitation":"(Singh et al., 2023)","noteIndex":0},"citationItems":[{"id":416,"uris":["http://zotero.org/users/local/bh3OqUSh/items/8QXU6BUM"],"itemData":{"id":416,"type":"article-journal","abstract":"Blockchain technology has emerged as a promising solution to enhance supply chain transparency and sustainability in the construction industry. However, the widespread adoption of blockchain faces several barriers that need to be identiﬁed and understood. The construction industry faces signiﬁcant challenges regarding supply chain transparency and sustainability. Current practices lack visibility, leading to difﬁculties in tracing material origins, tracking movement, and ensuring compliance. To ﬁll this gap, this study employed a three-phase approach. In the ﬁrst phase, a comprehensive literature review identiﬁed 37 potential barriers. Subsequently, expert discussions were held to reﬁne the list, ultimately selecting 15 barriers of utmost importance. In the second phase, data were collected from 17 experts representing academia and industry. Finally, in the last phase, the collected data were analyzed using the Pythagorean fuzzy analytical hierarchical process (AHP) methodology. The ﬁndings revealed that the “transparency range” category was the most critical barrier, closely followed by “inadequate access to institutional ﬁnance”. Surprisingly, the study identiﬁed the “security environment” as the most signiﬁcant barrier. These results offer construction companies, policymakers, and other industry stakeholders a comprehensive understanding of blockchain adoption’s challenges. With this knowledge, stakeholders can design effective strategies and policies to address these barriers. Moreover, the research highlights the importance of considering uncertainty in decision making when assessing technology adoption, making the ﬁndings applicable beyond the construction industry.","container-title":"Sustainability","DOI":"10.3390/su151310681","ISSN":"2071-1050","issue":"13","journalAbbreviation":"Sustainability","language":"en","page":"10681","source":"DOI.org (Crossref)","title":"Revealing the Barriers of Blockchain Technology for Supply Chain Transparency and Sustainability in the Construction Industry: An Application of Pythagorean FAHP Methods","title-short":"Revealing the Barriers of Blockchain Technology for Supply Chain Transparency and Sustainability in the Construction Industry","volume":"15","author":[{"family":"Singh","given":"Atul Kumar"},{"family":"Kumar","given":"V. R. Prasath"},{"family":"Irfan","given":"Muhammad"},{"family":"Mohandes","given":"Saeed Reza"},{"family":"Awan","given":"Usama"}],"issued":{"date-parts":[["2023",7,6]]}}}],"schema":"https://github.com/citation-style-language/schema/raw/master/csl-citation.json"} </w:instrText>
      </w:r>
      <w:r w:rsidR="00874EB6">
        <w:rPr>
          <w:rFonts w:ascii="Arial" w:hAnsi="Arial" w:cs="Arial"/>
        </w:rPr>
        <w:fldChar w:fldCharType="separate"/>
      </w:r>
      <w:r w:rsidR="00874EB6" w:rsidRPr="00874EB6">
        <w:rPr>
          <w:rFonts w:ascii="Arial" w:hAnsi="Arial" w:cs="Arial"/>
        </w:rPr>
        <w:t xml:space="preserve">(Singh </w:t>
      </w:r>
      <w:r w:rsidR="00874EB6" w:rsidRPr="00874EB6">
        <w:rPr>
          <w:rFonts w:ascii="Arial" w:hAnsi="Arial" w:cs="Arial"/>
          <w:i/>
          <w:iCs/>
        </w:rPr>
        <w:t>et al.</w:t>
      </w:r>
      <w:r w:rsidR="00874EB6" w:rsidRPr="00874EB6">
        <w:rPr>
          <w:rFonts w:ascii="Arial" w:hAnsi="Arial" w:cs="Arial"/>
        </w:rPr>
        <w:t>, 2023)</w:t>
      </w:r>
      <w:r w:rsidR="00874EB6">
        <w:rPr>
          <w:rFonts w:ascii="Arial" w:hAnsi="Arial" w:cs="Arial"/>
        </w:rPr>
        <w:fldChar w:fldCharType="end"/>
      </w:r>
      <w:r w:rsidR="00874EB6">
        <w:rPr>
          <w:rFonts w:ascii="Arial" w:hAnsi="Arial" w:cs="Arial"/>
        </w:rPr>
        <w:t>.</w:t>
      </w:r>
      <w:r w:rsidRPr="00AC2AF1">
        <w:rPr>
          <w:rFonts w:ascii="Arial" w:hAnsi="Arial" w:cs="Arial"/>
        </w:rPr>
        <w:t xml:space="preserve"> This increases the risk of environmental harm and unethical labour practices, which can undermine IKEA’s sustainability commitments and damage its reputation.</w:t>
      </w:r>
    </w:p>
    <w:p w14:paraId="2367F3EA" w14:textId="77777777" w:rsidR="00543993" w:rsidRPr="00AC2AF1" w:rsidRDefault="00543993" w:rsidP="00AF517A">
      <w:pPr>
        <w:pStyle w:val="NormalWeb"/>
        <w:spacing w:line="360" w:lineRule="auto"/>
        <w:jc w:val="both"/>
        <w:rPr>
          <w:rFonts w:ascii="Arial" w:hAnsi="Arial" w:cs="Arial"/>
        </w:rPr>
      </w:pPr>
      <w:r w:rsidRPr="00AC2AF1">
        <w:rPr>
          <w:rFonts w:ascii="Arial" w:hAnsi="Arial" w:cs="Arial"/>
        </w:rPr>
        <w:t>In addition, financial pressures and cost constraints represent an ongoing challenge. While sustainability initiatives can generate long-term benefits, they often require significant upfront investment. IKEA’s commitment to maintaining low prices may limit its ability to invest in more advanced sustainable technologies or materials, particularly in highly competitive markets where consumers prioritise affordability.</w:t>
      </w:r>
    </w:p>
    <w:p w14:paraId="3115419C" w14:textId="36BAB5BC" w:rsidR="00543993" w:rsidRPr="00AC2AF1" w:rsidRDefault="00543993" w:rsidP="00AF517A">
      <w:pPr>
        <w:pStyle w:val="NormalWeb"/>
        <w:spacing w:line="360" w:lineRule="auto"/>
        <w:jc w:val="both"/>
        <w:rPr>
          <w:rFonts w:ascii="Arial" w:hAnsi="Arial" w:cs="Arial"/>
        </w:rPr>
      </w:pPr>
      <w:r w:rsidRPr="00AC2AF1">
        <w:rPr>
          <w:rFonts w:ascii="Arial" w:hAnsi="Arial" w:cs="Arial"/>
        </w:rPr>
        <w:t>Finally, regulatory uncertainty and evolving sustainability standards create additional complexity. Governments are increasingly introducing stricter environmental and social regulations</w:t>
      </w:r>
      <w:r w:rsidR="008C2BB6">
        <w:rPr>
          <w:rFonts w:ascii="Arial" w:hAnsi="Arial" w:cs="Arial"/>
        </w:rPr>
        <w:t xml:space="preserve"> </w:t>
      </w:r>
      <w:r w:rsidR="008C2BB6">
        <w:rPr>
          <w:rFonts w:ascii="Arial" w:hAnsi="Arial" w:cs="Arial"/>
        </w:rPr>
        <w:fldChar w:fldCharType="begin"/>
      </w:r>
      <w:r w:rsidR="008C2BB6">
        <w:rPr>
          <w:rFonts w:ascii="Arial" w:hAnsi="Arial" w:cs="Arial"/>
        </w:rPr>
        <w:instrText xml:space="preserve"> ADDIN ZOTERO_ITEM CSL_CITATION {"citationID":"h10iT1wS","properties":{"formattedCitation":"(Duan, Aloysius and Mollenkopf, 2022)","plainCitation":"(Duan, Aloysius and Mollenkopf, 2022)","noteIndex":0},"citationItems":[{"id":403,"uris":["http://zotero.org/users/local/bh3OqUSh/items/9RNJN75J"],"itemData":{"id":403,"type":"article-journal","abstract":"Purpose\nFirms employ various forms of disclosure to demonstrate commitment to and involvement in sustainable supply chain management (SSCM) practices. This research provides guidance to firms employing framing strategies when communicating their SSCM with external stakeholders like consumers as part of their supply chain transparency efforts.\nThe authors employed a middle-range theorizing approach to understand the context of SSCM practices and mechanisms of variously framed communication methods to disclose sustainability information to consumers. The authors conducted two experiments in an e-waste recycling context, studying how sustainable information disclosed to consumers using attribute framing and goal framing can affect consumers' attitudes. The authors also examined the moderating role of consumers' environmental involvement.\nResults suggest that when attribute framing is used, firms should avoid framing the attribute from a negative valence. When goal framing is used, messages with consequences stated as “avoid loss” yield the most substantial effect. Additionally, framing effects are more significant for consumers with higher-than-average environmental involvement.\nThe authors’ results contribute to the ongoing theorization of SSCM by providing contextual understanding of how to communicate sustainability information. Corroborating evidence from marketing, framing effects are found to be context specific, thereby elucidating the framing literature more fully to the SSCM context. The authors extend this literature by studying attribute framing and comparing the effectiveness of all possible goal framing combinations of valence and gain/loss perspective in the SSCM communication context.","container-title":"International Journal of Physical Distribution &amp; Logistics Management","DOI":"10.1108/IJPDLM-04-2020-0107","ISSN":"09600035","issue":"1","language":"English","license":"© Emerald Publishing Limited 2021","note":"number-of-pages: 20\npublisher-place: Bradford, United Kingdom\npublisher: Emerald Group Publishing Limited","page":"68-87","source":"ProQuest","title":"Communicating supply chain sustainability: transparency and framing effects","title-short":"Communicating supply chain sustainability","volume":"52","author":[{"family":"Duan","given":"Yanji"},{"family":"Aloysius","given":"John A."},{"family":"Mollenkopf","given":"Diane A."}],"issued":{"date-parts":[["2022"]]}}}],"schema":"https://github.com/citation-style-language/schema/raw/master/csl-citation.json"} </w:instrText>
      </w:r>
      <w:r w:rsidR="008C2BB6">
        <w:rPr>
          <w:rFonts w:ascii="Arial" w:hAnsi="Arial" w:cs="Arial"/>
        </w:rPr>
        <w:fldChar w:fldCharType="separate"/>
      </w:r>
      <w:r w:rsidR="008C2BB6" w:rsidRPr="008C2BB6">
        <w:rPr>
          <w:rFonts w:ascii="Arial" w:hAnsi="Arial" w:cs="Arial"/>
        </w:rPr>
        <w:t>(Duan, Aloysius and Mollenkopf, 2022)</w:t>
      </w:r>
      <w:r w:rsidR="008C2BB6">
        <w:rPr>
          <w:rFonts w:ascii="Arial" w:hAnsi="Arial" w:cs="Arial"/>
        </w:rPr>
        <w:fldChar w:fldCharType="end"/>
      </w:r>
      <w:r w:rsidR="008C2BB6">
        <w:rPr>
          <w:rFonts w:ascii="Arial" w:hAnsi="Arial" w:cs="Arial"/>
        </w:rPr>
        <w:t>.</w:t>
      </w:r>
      <w:r w:rsidRPr="00AC2AF1">
        <w:rPr>
          <w:rFonts w:ascii="Arial" w:hAnsi="Arial" w:cs="Arial"/>
        </w:rPr>
        <w:t xml:space="preserve"> </w:t>
      </w:r>
      <w:r w:rsidR="008C2BB6">
        <w:rPr>
          <w:rFonts w:ascii="Arial" w:hAnsi="Arial" w:cs="Arial"/>
        </w:rPr>
        <w:t>Ho</w:t>
      </w:r>
      <w:r w:rsidRPr="00AC2AF1">
        <w:rPr>
          <w:rFonts w:ascii="Arial" w:hAnsi="Arial" w:cs="Arial"/>
        </w:rPr>
        <w:t>wever, these policies often vary across regions and may change over time. This makes it difficult for IKEA to develop consistent long-term sustainability strategies and increases compliance challenges.</w:t>
      </w:r>
      <w:r w:rsidR="00AF50F6">
        <w:rPr>
          <w:rFonts w:ascii="Arial" w:hAnsi="Arial" w:cs="Arial"/>
        </w:rPr>
        <w:t xml:space="preserve"> </w:t>
      </w:r>
      <w:r w:rsidRPr="00AC2AF1">
        <w:rPr>
          <w:rFonts w:ascii="Arial" w:hAnsi="Arial" w:cs="Arial"/>
        </w:rPr>
        <w:t>These challenges highlight a broader systemic issue within sustainable business models, where organisations must balance competing priorities between profitability, consumer demand, and environmental responsibility</w:t>
      </w:r>
      <w:r w:rsidR="00764F21">
        <w:rPr>
          <w:rFonts w:ascii="Arial" w:hAnsi="Arial" w:cs="Arial"/>
        </w:rPr>
        <w:t xml:space="preserve"> </w:t>
      </w:r>
      <w:r w:rsidR="00764F21">
        <w:rPr>
          <w:rFonts w:ascii="Arial" w:hAnsi="Arial" w:cs="Arial"/>
        </w:rPr>
        <w:fldChar w:fldCharType="begin"/>
      </w:r>
      <w:r w:rsidR="00764F21">
        <w:rPr>
          <w:rFonts w:ascii="Arial" w:hAnsi="Arial" w:cs="Arial"/>
        </w:rPr>
        <w:instrText xml:space="preserve"> ADDIN ZOTERO_ITEM CSL_CITATION {"citationID":"tFSIVxOz","properties":{"formattedCitation":"(Sierra and Su\\uc0\\u225{}rez-Collado, 2021)","plainCitation":"(Sierra and Suárez-Collado, 2021)","noteIndex":0},"citationItems":[{"id":448,"uris":["http://zotero.org/users/local/bh3OqUSh/items/4E3C8P5H"],"itemData":{"id":448,"type":"article-journal","abstract":"In an increasingly complex world, students of economics, business, and management must learn how to combine ﬁnancial objectives with social and environmental aims. To that end, institutions, teachers, and curricula have a growing need for multidisciplinary approaches to reinforce education for sustainable development. This study presents a pilot project consisting of an innovative online simulation designed to help students understand the challenges that countries and companies from the Global South are facing to balance economic, social, and environmental objectives under sustainability criteria. This research uses quantitative and qualitative data provided by the students to assess the effectiveness of the methodology. The results indicate the usefulness of the methodology in helping students comprehend economic complexities in the Global South, as well as to assist them in acquiring key cognitive, skill-based, and affective educational outcomes. The combination of three active-learning methodologies (role-play, collaborative-learning, and inquiry-based learning) proved to be of high value to address sustainability-related issues in higher education and help students develop 21st-century skills.","container-title":"Sustainability","DOI":"10.3390/su13137201","ISSN":"2071-1050","issue":"13","journalAbbreviation":"Sustainability","language":"en","page":"7201","source":"DOI.org (Crossref)","title":"Understanding Economic, Social, and Environmental Sustainability Challenges in the Global South","volume":"13","author":[{"family":"Sierra","given":"Javier"},{"family":"Suárez-Collado","given":"Ángela"}],"issued":{"date-parts":[["2021",6,27]]}}}],"schema":"https://github.com/citation-style-language/schema/raw/master/csl-citation.json"} </w:instrText>
      </w:r>
      <w:r w:rsidR="00764F21">
        <w:rPr>
          <w:rFonts w:ascii="Arial" w:hAnsi="Arial" w:cs="Arial"/>
        </w:rPr>
        <w:fldChar w:fldCharType="separate"/>
      </w:r>
      <w:r w:rsidR="00764F21" w:rsidRPr="00764F21">
        <w:rPr>
          <w:rFonts w:ascii="Arial" w:hAnsi="Arial" w:cs="Arial"/>
        </w:rPr>
        <w:t>(Sierra and Suárez-Collado, 2021)</w:t>
      </w:r>
      <w:r w:rsidR="00764F21">
        <w:rPr>
          <w:rFonts w:ascii="Arial" w:hAnsi="Arial" w:cs="Arial"/>
        </w:rPr>
        <w:fldChar w:fldCharType="end"/>
      </w:r>
      <w:r w:rsidRPr="00AC2AF1">
        <w:rPr>
          <w:rFonts w:ascii="Arial" w:hAnsi="Arial" w:cs="Arial"/>
        </w:rPr>
        <w:t>.</w:t>
      </w:r>
    </w:p>
    <w:p w14:paraId="11D7B10E" w14:textId="1E49763C" w:rsidR="00543993" w:rsidRPr="00163C10" w:rsidRDefault="00AC2AF1" w:rsidP="00AF517A">
      <w:pPr>
        <w:spacing w:before="100" w:beforeAutospacing="1" w:after="100" w:afterAutospacing="1" w:line="360" w:lineRule="auto"/>
        <w:jc w:val="both"/>
        <w:rPr>
          <w:rFonts w:ascii="Arial" w:hAnsi="Arial" w:cs="Arial"/>
        </w:rPr>
      </w:pPr>
      <w:r w:rsidRPr="00AC2AF1">
        <w:rPr>
          <w:rFonts w:ascii="Arial" w:hAnsi="Arial" w:cs="Arial"/>
        </w:rPr>
        <w:t xml:space="preserve">In addition, the </w:t>
      </w:r>
      <w:r w:rsidR="00543993" w:rsidRPr="00AC2AF1">
        <w:rPr>
          <w:rFonts w:ascii="Arial" w:hAnsi="Arial" w:cs="Arial"/>
        </w:rPr>
        <w:t>challenges highlight that sustainability within IKEA is not simply a matter of implementing initiatives</w:t>
      </w:r>
      <w:r w:rsidR="00AC7AB1">
        <w:rPr>
          <w:rFonts w:ascii="Arial" w:hAnsi="Arial" w:cs="Arial"/>
        </w:rPr>
        <w:t>.</w:t>
      </w:r>
      <w:r w:rsidR="00543993" w:rsidRPr="00AC2AF1">
        <w:rPr>
          <w:rFonts w:ascii="Arial" w:hAnsi="Arial" w:cs="Arial"/>
        </w:rPr>
        <w:t xml:space="preserve"> </w:t>
      </w:r>
      <w:r w:rsidR="00AC7AB1">
        <w:rPr>
          <w:rFonts w:ascii="Arial" w:hAnsi="Arial" w:cs="Arial"/>
        </w:rPr>
        <w:t xml:space="preserve">It </w:t>
      </w:r>
      <w:r w:rsidR="00543993" w:rsidRPr="00AC2AF1">
        <w:rPr>
          <w:rFonts w:ascii="Arial" w:hAnsi="Arial" w:cs="Arial"/>
        </w:rPr>
        <w:t xml:space="preserve">requires a fundamental transformation of its </w:t>
      </w:r>
      <w:r w:rsidR="00543993" w:rsidRPr="00AC2AF1">
        <w:rPr>
          <w:rFonts w:ascii="Arial" w:hAnsi="Arial" w:cs="Arial"/>
        </w:rPr>
        <w:lastRenderedPageBreak/>
        <w:t>business model</w:t>
      </w:r>
      <w:r w:rsidR="00102450">
        <w:rPr>
          <w:rFonts w:ascii="Arial" w:hAnsi="Arial" w:cs="Arial"/>
        </w:rPr>
        <w:t xml:space="preserve"> </w:t>
      </w:r>
      <w:r w:rsidR="00102450">
        <w:rPr>
          <w:rFonts w:ascii="Arial" w:hAnsi="Arial" w:cs="Arial"/>
        </w:rPr>
        <w:fldChar w:fldCharType="begin"/>
      </w:r>
      <w:r w:rsidR="00102450">
        <w:rPr>
          <w:rFonts w:ascii="Arial" w:hAnsi="Arial" w:cs="Arial"/>
        </w:rPr>
        <w:instrText xml:space="preserve"> ADDIN ZOTERO_ITEM CSL_CITATION {"citationID":"CirgiKCz","properties":{"formattedCitation":"(Loos {\\i{}et al.}, 2024)","plainCitation":"(Loos et al., 2024)","noteIndex":0},"citationItems":[{"id":426,"uris":["http://zotero.org/users/local/bh3OqUSh/items/4P8KUX4V"],"itemData":{"id":426,"type":"article-journal","abstract":"Conservation and Development Interventions (CDIs) aim to promote sustainable natural resource use and contribute to both biodiversity conservation (or restoration) and human well-being. Their long-term impact on social-ecological interactions hinges on their transformative potential to achieve sustainability. In this perspective paper, we categorize CDIs based on their strategies for achieving transformative change, empowering decision-makers to guide social-ecological systems towards sustainability. We classify CDIs by their specific dependencies between values, rules, and knowledge systems in decision-making, power relations, and environmental justice in creating transformations. Based on this classification, we identify three ‘realms’ of CDI: (1) the realm of “management”, i.e., interventions for a just and sustainable natural resource use happen at a broad but shallow level through management design and content. Here, formal rules and visible power structures dominate to achieve distributive justice; (2) the realm of “understanding”, i.e., interventions that offer a better understanding of knowledge diversity and shedding light on invisible power structures by addressing procedural justice; (3) the realm of “engagement”, i.e., interventions that elucidate the underlying human value system and uncover hidden power structures, e.g., by analysing social discourses and thereby deeply engaging with recognitional justice in sustainable natural resource use. This work suggests that CDIs can enhance their capacity to drive transformative change towards promoting sustainable natural resource use by strategically addressing and actively involving all three realms.","container-title":"Biological Conservation","DOI":"10.1016/j.biocon.2024.110691","ISSN":"00063207","journalAbbreviation":"Biological Conservation","language":"en","page":"110691","source":"DOI.org (Crossref)","title":"Enhancing the transformative potential of interventions for the sustainable use of natural resources","volume":"296","author":[{"family":"Loos","given":"Jacqueline"},{"family":"Cortés-Capano","given":"Gonzalo"},{"family":"Riechers","given":"Maraja"},{"family":"Walsh","given":"Cormac"},{"family":"Leventon","given":"Julia"}],"issued":{"date-parts":[["2024",8]]}}}],"schema":"https://github.com/citation-style-language/schema/raw/master/csl-citation.json"} </w:instrText>
      </w:r>
      <w:r w:rsidR="00102450">
        <w:rPr>
          <w:rFonts w:ascii="Arial" w:hAnsi="Arial" w:cs="Arial"/>
        </w:rPr>
        <w:fldChar w:fldCharType="separate"/>
      </w:r>
      <w:r w:rsidR="00102450" w:rsidRPr="00102450">
        <w:rPr>
          <w:rFonts w:ascii="Arial" w:hAnsi="Arial" w:cs="Arial"/>
          <w:kern w:val="0"/>
        </w:rPr>
        <w:t xml:space="preserve">(Loos </w:t>
      </w:r>
      <w:r w:rsidR="00102450" w:rsidRPr="00102450">
        <w:rPr>
          <w:rFonts w:ascii="Arial" w:hAnsi="Arial" w:cs="Arial"/>
          <w:i/>
          <w:iCs/>
          <w:kern w:val="0"/>
        </w:rPr>
        <w:t>et al.</w:t>
      </w:r>
      <w:r w:rsidR="00102450" w:rsidRPr="00102450">
        <w:rPr>
          <w:rFonts w:ascii="Arial" w:hAnsi="Arial" w:cs="Arial"/>
          <w:kern w:val="0"/>
        </w:rPr>
        <w:t>, 2024)</w:t>
      </w:r>
      <w:r w:rsidR="00102450">
        <w:rPr>
          <w:rFonts w:ascii="Arial" w:hAnsi="Arial" w:cs="Arial"/>
        </w:rPr>
        <w:fldChar w:fldCharType="end"/>
      </w:r>
      <w:r w:rsidR="00AC7AB1">
        <w:rPr>
          <w:rFonts w:ascii="Arial" w:hAnsi="Arial" w:cs="Arial"/>
        </w:rPr>
        <w:t xml:space="preserve"> because of t</w:t>
      </w:r>
      <w:r w:rsidR="00543993" w:rsidRPr="00AC2AF1">
        <w:rPr>
          <w:rFonts w:ascii="Arial" w:hAnsi="Arial" w:cs="Arial"/>
        </w:rPr>
        <w:t xml:space="preserve">he tension between growth, cost efficiency, and </w:t>
      </w:r>
      <w:r w:rsidR="00543993" w:rsidRPr="00163C10">
        <w:rPr>
          <w:rFonts w:ascii="Arial" w:hAnsi="Arial" w:cs="Arial"/>
        </w:rPr>
        <w:t xml:space="preserve">sustainability demonstrates that incremental improvements may be insufficient, reinforcing the need for more innovative and systemic strategic solutions. </w:t>
      </w:r>
    </w:p>
    <w:p w14:paraId="54D4C6B0" w14:textId="77777777" w:rsidR="008C2BB6" w:rsidRPr="00163C10" w:rsidRDefault="008C2BB6" w:rsidP="00AF517A">
      <w:pPr>
        <w:spacing w:before="100" w:beforeAutospacing="1" w:after="100" w:afterAutospacing="1" w:line="360" w:lineRule="auto"/>
        <w:jc w:val="both"/>
        <w:outlineLvl w:val="0"/>
        <w:rPr>
          <w:rFonts w:ascii="Arial" w:eastAsia="Times New Roman" w:hAnsi="Arial" w:cs="Arial"/>
          <w:b/>
          <w:bCs/>
          <w:kern w:val="36"/>
          <w:lang w:eastAsia="en-GB"/>
          <w14:ligatures w14:val="none"/>
        </w:rPr>
      </w:pPr>
      <w:bookmarkStart w:id="15" w:name="_Toc231380089"/>
      <w:r w:rsidRPr="00163C10">
        <w:rPr>
          <w:rFonts w:ascii="Arial" w:eastAsia="Times New Roman" w:hAnsi="Arial" w:cs="Arial"/>
          <w:b/>
          <w:bCs/>
          <w:kern w:val="36"/>
          <w:lang w:eastAsia="en-GB"/>
          <w14:ligatures w14:val="none"/>
        </w:rPr>
        <w:t>The Business Case for Sustainability</w:t>
      </w:r>
      <w:bookmarkEnd w:id="15"/>
    </w:p>
    <w:p w14:paraId="01D73ABD" w14:textId="7AF8EB08" w:rsidR="008C2BB6" w:rsidRPr="00163C10" w:rsidRDefault="008C2BB6" w:rsidP="00AF517A">
      <w:pPr>
        <w:spacing w:before="100" w:beforeAutospacing="1" w:after="100" w:afterAutospacing="1" w:line="360" w:lineRule="auto"/>
        <w:jc w:val="both"/>
        <w:rPr>
          <w:rFonts w:ascii="Arial" w:eastAsia="Times New Roman" w:hAnsi="Arial" w:cs="Arial"/>
          <w:kern w:val="0"/>
          <w:lang w:eastAsia="en-GB"/>
          <w14:ligatures w14:val="none"/>
        </w:rPr>
      </w:pPr>
      <w:r w:rsidRPr="00163C10">
        <w:rPr>
          <w:rFonts w:ascii="Arial" w:eastAsia="Times New Roman" w:hAnsi="Arial" w:cs="Arial"/>
          <w:kern w:val="0"/>
          <w:lang w:eastAsia="en-GB"/>
          <w14:ligatures w14:val="none"/>
        </w:rPr>
        <w:t>For IKEA, sustainability is not only an ethical obligation but also a strategic necessity that underpins long-term business success. As environmental and social challenges intensify, organisations that fail to integrate sustainability into their core operations risk losing competitiveness, stakeholder trust, and long-term viability</w:t>
      </w:r>
      <w:r w:rsidR="00C20A5D">
        <w:rPr>
          <w:rFonts w:ascii="Arial" w:eastAsia="Times New Roman" w:hAnsi="Arial" w:cs="Arial"/>
          <w:kern w:val="0"/>
          <w:lang w:eastAsia="en-GB"/>
          <w14:ligatures w14:val="none"/>
        </w:rPr>
        <w:t xml:space="preserve"> </w:t>
      </w:r>
      <w:r w:rsidR="00C20A5D">
        <w:rPr>
          <w:rFonts w:ascii="Arial" w:eastAsia="Times New Roman" w:hAnsi="Arial" w:cs="Arial"/>
          <w:kern w:val="0"/>
          <w:lang w:eastAsia="en-GB"/>
          <w14:ligatures w14:val="none"/>
        </w:rPr>
        <w:fldChar w:fldCharType="begin"/>
      </w:r>
      <w:r w:rsidR="00C20A5D">
        <w:rPr>
          <w:rFonts w:ascii="Arial" w:eastAsia="Times New Roman" w:hAnsi="Arial" w:cs="Arial"/>
          <w:kern w:val="0"/>
          <w:lang w:eastAsia="en-GB"/>
          <w14:ligatures w14:val="none"/>
        </w:rPr>
        <w:instrText xml:space="preserve"> ADDIN ZOTERO_ITEM CSL_CITATION {"citationID":"bHFERmkF","properties":{"formattedCitation":"(Vas\\uc0\\u225{}rus and Lennert, 2022)","plainCitation":"(Vasárus and Lennert, 2022)","noteIndex":0},"citationItems":[{"id":438,"uris":["http://zotero.org/users/local/bh3OqUSh/items/Y9J8J6CT"],"itemData":{"id":438,"type":"article-journal","abstract":"Suburbanization is one of the most prominent processes of post-socialist urban development, leading to the deconcentration of people, capital, as well as productive and non-productive activities within the functional urban area. This phenomenon also has a signiﬁcant impact on the traditional rural landscape and leads to environmental and social sustainability challenges. Outmigration from the city center to the rural municipalities of the agglomeration ring is already a thoroughly studied topic. However, less attention is given to migration processes not crossing municipal borders. In Hungary, a signiﬁcant fraction of them is driven by similar motivations as “traditional” suburbanization. Such movements include ﬂows to built-up residential areas that are physically separated from the urban core. Due to their peculiar development path, the inhabited outskirts can also become destinations for within-city migration. This kind of mobility can be considered suburbanization within the city limits. Because of the general lack of data, this phenomenon is seldom researched. However, this study attempts to address this gap. The prevalence of this process in Hungary is explored by analyzing national statistical data sources. Four case studies are selected for detailed examination—Gyo˝r, Zalaegerszeg, Kecskemét, and Szeged. GIS methods, ﬁeld examinations, surveys, and expert interviews are used to get a detailed picture of the demographic and land cover change processes, as well as the distinctions between the destination areas of the case studies. A comparison of the results drawn from the different methods reveals that land use change in the study area is more widespread than what the land cover datasets indicate. The ﬁndings indicate that the Corine Land Cover categories describing mixed land use—especially complex cultivation patterns—are not able to capture the drastic function shift caused by intense suburbanization. Different environmental and social sustainability issues are identiﬁed depending on the economic status of the outmigrants. This paper also sheds some light on the urban planning considerations of this emerging challenge.","container-title":"Sustainability","DOI":"10.3390/su14148855","ISSN":"2071-1050","issue":"14","journalAbbreviation":"Sustainability","language":"en","page":"8855","source":"DOI.org (Crossref)","title":"Suburbanization within City Limits in Hungary—A Challenge for Environmental and Social Sustainability","volume":"14","author":[{"family":"Vasárus","given":"Gábor László"},{"family":"Lennert","given":"József"}],"issued":{"date-parts":[["2022",7,20]]}}}],"schema":"https://github.com/citation-style-language/schema/raw/master/csl-citation.json"} </w:instrText>
      </w:r>
      <w:r w:rsidR="00C20A5D">
        <w:rPr>
          <w:rFonts w:ascii="Arial" w:eastAsia="Times New Roman" w:hAnsi="Arial" w:cs="Arial"/>
          <w:kern w:val="0"/>
          <w:lang w:eastAsia="en-GB"/>
          <w14:ligatures w14:val="none"/>
        </w:rPr>
        <w:fldChar w:fldCharType="separate"/>
      </w:r>
      <w:r w:rsidR="00C20A5D" w:rsidRPr="00C20A5D">
        <w:rPr>
          <w:rFonts w:ascii="Arial" w:hAnsi="Arial" w:cs="Arial"/>
          <w:kern w:val="0"/>
        </w:rPr>
        <w:t>(Vasárus and Lennert, 2022)</w:t>
      </w:r>
      <w:r w:rsidR="00C20A5D">
        <w:rPr>
          <w:rFonts w:ascii="Arial" w:eastAsia="Times New Roman" w:hAnsi="Arial" w:cs="Arial"/>
          <w:kern w:val="0"/>
          <w:lang w:eastAsia="en-GB"/>
          <w14:ligatures w14:val="none"/>
        </w:rPr>
        <w:fldChar w:fldCharType="end"/>
      </w:r>
      <w:r w:rsidR="00C20A5D">
        <w:rPr>
          <w:rFonts w:ascii="Arial" w:eastAsia="Times New Roman" w:hAnsi="Arial" w:cs="Arial"/>
          <w:kern w:val="0"/>
          <w:lang w:eastAsia="en-GB"/>
          <w14:ligatures w14:val="none"/>
        </w:rPr>
        <w:t>.</w:t>
      </w:r>
      <w:r w:rsidRPr="00163C10">
        <w:rPr>
          <w:rFonts w:ascii="Arial" w:eastAsia="Times New Roman" w:hAnsi="Arial" w:cs="Arial"/>
          <w:kern w:val="0"/>
          <w:lang w:eastAsia="en-GB"/>
          <w14:ligatures w14:val="none"/>
        </w:rPr>
        <w:t xml:space="preserve"> Therefore, developing a strong business case for sustainability is essential for IKEA to maintain its market position and drive future growth</w:t>
      </w:r>
      <w:r w:rsidR="004A758C">
        <w:rPr>
          <w:rFonts w:ascii="Arial" w:eastAsia="Times New Roman" w:hAnsi="Arial" w:cs="Arial"/>
          <w:kern w:val="0"/>
          <w:lang w:eastAsia="en-GB"/>
          <w14:ligatures w14:val="none"/>
        </w:rPr>
        <w:t xml:space="preserve"> </w:t>
      </w:r>
      <w:r w:rsidR="004A758C">
        <w:rPr>
          <w:rFonts w:ascii="Arial" w:eastAsia="Times New Roman" w:hAnsi="Arial" w:cs="Arial"/>
          <w:kern w:val="0"/>
          <w:lang w:eastAsia="en-GB"/>
          <w14:ligatures w14:val="none"/>
        </w:rPr>
        <w:fldChar w:fldCharType="begin"/>
      </w:r>
      <w:r w:rsidR="004A758C">
        <w:rPr>
          <w:rFonts w:ascii="Arial" w:eastAsia="Times New Roman" w:hAnsi="Arial" w:cs="Arial"/>
          <w:kern w:val="0"/>
          <w:lang w:eastAsia="en-GB"/>
          <w14:ligatures w14:val="none"/>
        </w:rPr>
        <w:instrText xml:space="preserve"> ADDIN ZOTERO_ITEM CSL_CITATION {"citationID":"EjOnBiNQ","properties":{"formattedCitation":"(Schifeling and Etzion, 2025)","plainCitation":"(Schifeling and Etzion, 2025)","noteIndex":0},"citationItems":[{"id":457,"uris":["http://zotero.org/users/local/bh3OqUSh/items/6U4KHBLA"],"itemData":{"id":457,"type":"article-journal","container-title":"Industry and Innovation","DOI":"10.1080/13662716.2024.2388641","ISSN":"1366-2716, 1469-8390","issue":"1","journalAbbreviation":"Industry and Innovation","language":"en","page":"12-23","source":"DOI.org (Crossref)","title":"The business case for sustainability: six takes on a cultural artefact","title-short":"The business case for sustainability","volume":"32","author":[{"family":"Schifeling","given":"Todd"},{"family":"Etzion","given":"Dror"}],"issued":{"date-parts":[["2025",1,2]]}}}],"schema":"https://github.com/citation-style-language/schema/raw/master/csl-citation.json"} </w:instrText>
      </w:r>
      <w:r w:rsidR="004A758C">
        <w:rPr>
          <w:rFonts w:ascii="Arial" w:eastAsia="Times New Roman" w:hAnsi="Arial" w:cs="Arial"/>
          <w:kern w:val="0"/>
          <w:lang w:eastAsia="en-GB"/>
          <w14:ligatures w14:val="none"/>
        </w:rPr>
        <w:fldChar w:fldCharType="separate"/>
      </w:r>
      <w:r w:rsidR="004A758C" w:rsidRPr="004A758C">
        <w:rPr>
          <w:rFonts w:ascii="Arial" w:hAnsi="Arial" w:cs="Arial"/>
          <w:lang w:eastAsia="en-GB"/>
        </w:rPr>
        <w:t>(Schifeling and Etzion, 2025)</w:t>
      </w:r>
      <w:r w:rsidR="004A758C">
        <w:rPr>
          <w:rFonts w:ascii="Arial" w:eastAsia="Times New Roman" w:hAnsi="Arial" w:cs="Arial"/>
          <w:kern w:val="0"/>
          <w:lang w:eastAsia="en-GB"/>
          <w14:ligatures w14:val="none"/>
        </w:rPr>
        <w:fldChar w:fldCharType="end"/>
      </w:r>
      <w:r w:rsidRPr="00163C10">
        <w:rPr>
          <w:rFonts w:ascii="Arial" w:eastAsia="Times New Roman" w:hAnsi="Arial" w:cs="Arial"/>
          <w:kern w:val="0"/>
          <w:lang w:eastAsia="en-GB"/>
          <w14:ligatures w14:val="none"/>
        </w:rPr>
        <w:t>.</w:t>
      </w:r>
    </w:p>
    <w:p w14:paraId="38F50E3F" w14:textId="5EA2EEE1" w:rsidR="008C2BB6" w:rsidRPr="00163C10" w:rsidRDefault="008C2BB6" w:rsidP="00AF517A">
      <w:pPr>
        <w:spacing w:before="100" w:beforeAutospacing="1" w:after="100" w:afterAutospacing="1" w:line="360" w:lineRule="auto"/>
        <w:jc w:val="both"/>
        <w:rPr>
          <w:rFonts w:ascii="Arial" w:eastAsia="Times New Roman" w:hAnsi="Arial" w:cs="Arial"/>
          <w:kern w:val="0"/>
          <w:lang w:eastAsia="en-GB"/>
          <w14:ligatures w14:val="none"/>
        </w:rPr>
      </w:pPr>
      <w:r w:rsidRPr="00163C10">
        <w:rPr>
          <w:rFonts w:ascii="Arial" w:eastAsia="Times New Roman" w:hAnsi="Arial" w:cs="Arial"/>
          <w:kern w:val="0"/>
          <w:lang w:eastAsia="en-GB"/>
          <w14:ligatures w14:val="none"/>
        </w:rPr>
        <w:t>One of the primary drivers of sustainability for IKEA is its impact on brand reputation and customer loyalty. Increasing consumer awareness of environmental and ethical issues has led to a growing demand for sustainable products and transparent business practices. IKEA’s commitment to sustainability enhances its brand image as a responsible and forward-thinking organisation, strengthening customer trust and differentiation within a highly competitive retail market</w:t>
      </w:r>
      <w:r w:rsidR="009960D9">
        <w:rPr>
          <w:rFonts w:ascii="Arial" w:eastAsia="Times New Roman" w:hAnsi="Arial" w:cs="Arial"/>
          <w:kern w:val="0"/>
          <w:lang w:eastAsia="en-GB"/>
          <w14:ligatures w14:val="none"/>
        </w:rPr>
        <w:t xml:space="preserve"> </w:t>
      </w:r>
      <w:r w:rsidR="009960D9">
        <w:rPr>
          <w:rFonts w:ascii="Arial" w:eastAsia="Times New Roman" w:hAnsi="Arial" w:cs="Arial"/>
          <w:kern w:val="0"/>
          <w:lang w:eastAsia="en-GB"/>
          <w14:ligatures w14:val="none"/>
        </w:rPr>
        <w:fldChar w:fldCharType="begin"/>
      </w:r>
      <w:r w:rsidR="00275942">
        <w:rPr>
          <w:rFonts w:ascii="Arial" w:eastAsia="Times New Roman" w:hAnsi="Arial" w:cs="Arial"/>
          <w:kern w:val="0"/>
          <w:lang w:eastAsia="en-GB"/>
          <w14:ligatures w14:val="none"/>
        </w:rPr>
        <w:instrText xml:space="preserve"> ADDIN ZOTERO_ITEM CSL_CITATION {"citationID":"szkSdvGC","properties":{"formattedCitation":"(University of Economic Studies, Bucharest, Romania {\\i{}et al.}, 2020)","plainCitation":"(University of Economic Studies, Bucharest, Romania et al., 2020)","dontUpdate":true,"noteIndex":0},"citationItems":[{"id":440,"uris":["http://zotero.org/users/local/bh3OqUSh/items/DYB49EAI"],"itemData":{"id":440,"type":"article-journal","abstract":"The present paper highlights the need to adopt sustainability strategies in the Romanian banking sector, from the perspective of the importance of the role of financial intermediary that commercial banks have, also reflecting the positive impact of these strategies on financial performance. The empirical study involved the use of linear regressions and processing by a program specialized in statistics and data science (Stata), and emphasizes the impact of environmental, social and governance (ESG) factors on Romanian banks and the opportunity to implement them in their own risk management strategies. For this purpose, were considered independent variables, at the microeconomic level: return on assets, the leverage multiplier, the credit-deposit ratio, the number of members of the management body, and at the macroeconomic level: the unemployment rate, the inflation rate and the growth rate of the Gross Domestic Product. The dependent variable used was the dummy variable called ESG. The results of our research show that, as the return on assets or the leverage multiplier increases, the probability that the bank implements a risk management strategy associated with environmental, social and governance factors decreases, and the number of members of the management body positively impacts the decision to get involved in social responsibility activities. Through this research was assessed the opportunity to integrate the risks associated with sustainable development within the strategies of development and risk management at the level of financial intermediaries and the importance of standardizing sustainable practices throughout the entire banking system in Romania.","container-title":"www.amfiteatrueconomic.ro","DOI":"10.24818/EA/2020/55/692","ISSN":"15829146, 22479104","issue":"55","journalAbbreviation":"AE","language":"en","page":"692","source":"DOI.org (Crossref)","title":"Environmental, Social and Governance Risks  New Challenges for the Banking Business Sustainability","volume":"22","author":[{"literal":"University of Economic Studies, Bucharest, Romania"},{"family":"Nitescu","given":"Dan-Costin"},{"family":"Cristea","given":"Maria-Alexandra"},{"literal":"University of Economic Studies, Bucharest, Romania"}],"issued":{"date-parts":[["2020",8]]}}}],"schema":"https://github.com/citation-style-language/schema/raw/master/csl-citation.json"} </w:instrText>
      </w:r>
      <w:r w:rsidR="009960D9">
        <w:rPr>
          <w:rFonts w:ascii="Arial" w:eastAsia="Times New Roman" w:hAnsi="Arial" w:cs="Arial"/>
          <w:kern w:val="0"/>
          <w:lang w:eastAsia="en-GB"/>
          <w14:ligatures w14:val="none"/>
        </w:rPr>
        <w:fldChar w:fldCharType="separate"/>
      </w:r>
      <w:r w:rsidR="009960D9" w:rsidRPr="009960D9">
        <w:rPr>
          <w:rFonts w:ascii="Arial" w:hAnsi="Arial" w:cs="Arial"/>
          <w:kern w:val="0"/>
        </w:rPr>
        <w:t xml:space="preserve">(Romania </w:t>
      </w:r>
      <w:r w:rsidR="009960D9" w:rsidRPr="009960D9">
        <w:rPr>
          <w:rFonts w:ascii="Arial" w:hAnsi="Arial" w:cs="Arial"/>
          <w:i/>
          <w:iCs/>
          <w:kern w:val="0"/>
        </w:rPr>
        <w:t>et al.</w:t>
      </w:r>
      <w:r w:rsidR="009960D9" w:rsidRPr="009960D9">
        <w:rPr>
          <w:rFonts w:ascii="Arial" w:hAnsi="Arial" w:cs="Arial"/>
          <w:kern w:val="0"/>
        </w:rPr>
        <w:t>, 2020)</w:t>
      </w:r>
      <w:r w:rsidR="009960D9">
        <w:rPr>
          <w:rFonts w:ascii="Arial" w:eastAsia="Times New Roman" w:hAnsi="Arial" w:cs="Arial"/>
          <w:kern w:val="0"/>
          <w:lang w:eastAsia="en-GB"/>
          <w14:ligatures w14:val="none"/>
        </w:rPr>
        <w:fldChar w:fldCharType="end"/>
      </w:r>
      <w:r w:rsidR="009960D9">
        <w:rPr>
          <w:rFonts w:ascii="Arial" w:eastAsia="Times New Roman" w:hAnsi="Arial" w:cs="Arial"/>
          <w:kern w:val="0"/>
          <w:lang w:eastAsia="en-GB"/>
          <w14:ligatures w14:val="none"/>
        </w:rPr>
        <w:t>.</w:t>
      </w:r>
      <w:r w:rsidRPr="00163C10">
        <w:rPr>
          <w:rFonts w:ascii="Arial" w:eastAsia="Times New Roman" w:hAnsi="Arial" w:cs="Arial"/>
          <w:kern w:val="0"/>
          <w:lang w:eastAsia="en-GB"/>
          <w14:ligatures w14:val="none"/>
        </w:rPr>
        <w:t xml:space="preserve"> However, this also creates pressure to ensure that sustainability claims are credible and supported by measurable outcomes, as failure to do so may result in reputational damage.</w:t>
      </w:r>
    </w:p>
    <w:p w14:paraId="2C305976" w14:textId="1B602775" w:rsidR="008C2BB6" w:rsidRPr="00163C10" w:rsidRDefault="008C2BB6" w:rsidP="00AF517A">
      <w:pPr>
        <w:spacing w:before="100" w:beforeAutospacing="1" w:after="100" w:afterAutospacing="1" w:line="360" w:lineRule="auto"/>
        <w:jc w:val="both"/>
        <w:rPr>
          <w:rFonts w:ascii="Arial" w:eastAsia="Times New Roman" w:hAnsi="Arial" w:cs="Arial"/>
          <w:kern w:val="0"/>
          <w:lang w:eastAsia="en-GB"/>
          <w14:ligatures w14:val="none"/>
        </w:rPr>
      </w:pPr>
      <w:r w:rsidRPr="00163C10">
        <w:rPr>
          <w:rFonts w:ascii="Arial" w:eastAsia="Times New Roman" w:hAnsi="Arial" w:cs="Arial"/>
          <w:kern w:val="0"/>
          <w:lang w:eastAsia="en-GB"/>
          <w14:ligatures w14:val="none"/>
        </w:rPr>
        <w:t>Sustainability also provides opportunities for cost efficiency and operational performance. By investing in renewable energy, energy-efficient production, and resource optimisation, IKEA can reduce long-term operational costs and improve resilience against fluctuating resource prices</w:t>
      </w:r>
      <w:r w:rsidR="0034635C">
        <w:rPr>
          <w:rFonts w:ascii="Arial" w:eastAsia="Times New Roman" w:hAnsi="Arial" w:cs="Arial"/>
          <w:kern w:val="0"/>
          <w:lang w:eastAsia="en-GB"/>
          <w14:ligatures w14:val="none"/>
        </w:rPr>
        <w:t xml:space="preserve"> </w:t>
      </w:r>
      <w:r w:rsidR="0034635C">
        <w:rPr>
          <w:rFonts w:ascii="Arial" w:eastAsia="Times New Roman" w:hAnsi="Arial" w:cs="Arial"/>
          <w:kern w:val="0"/>
          <w:lang w:eastAsia="en-GB"/>
          <w14:ligatures w14:val="none"/>
        </w:rPr>
        <w:fldChar w:fldCharType="begin"/>
      </w:r>
      <w:r w:rsidR="0034635C">
        <w:rPr>
          <w:rFonts w:ascii="Arial" w:eastAsia="Times New Roman" w:hAnsi="Arial" w:cs="Arial"/>
          <w:kern w:val="0"/>
          <w:lang w:eastAsia="en-GB"/>
          <w14:ligatures w14:val="none"/>
        </w:rPr>
        <w:instrText xml:space="preserve"> ADDIN ZOTERO_ITEM CSL_CITATION {"citationID":"LGm7OYpj","properties":{"formattedCitation":"(Souto, 2022)","plainCitation":"(Souto, 2022)","noteIndex":0},"citationItems":[{"id":441,"uris":["http://zotero.org/users/local/bh3OqUSh/items/8J9GDFBJ"],"itemData":{"id":441,"type":"article-journal","abstract":"Purpose\nSustainable development is key to firms' competitiveness, survival, growth and profitability, although sustainability emerges as a great challenge. The aim of this study is to analyze the links between organizational creativity (which integrates sustainability orientation), sustainability-oriented innovation and the multidimensionality of firms' sustainability performance.\nDesign/methodology/approach\nA total of 417 valid responses from manufacturing SMEs were collected through a questionnaire. PLS-SEM is the statistical technique used in the hypothesis testing.\nFindings\nOrganizational creativity (which integrates sustainability orientation) and sustainability-oriented innovation are positively associated with economic sustainability performance, environmental sustainability performance and social sustainability performance; sustainability-oriented innovation has a partial mediation effect on the relationship between organizational creativity and economic, environmental, and social sustainability performance; and organizational creativity (which integrates sustainability orientation) has a positive effect on sustainability-oriented innovation.\nOriginality/value\nSustainability orientation is integrated into organizational creativity without limiting it, sustainability-oriented innovation encompasses innovation and sustainability in all its breadth without forgetting the innovation process openness, and firm's sustainability performance has a multidimensional approach. Such innovation and creativity contribute – in an interconnected way – to sustainable development, as well as overcoming sustainability challenges and firms' barriers to sustainability. Likewise, the aforementioned creativity must be implemented throughout the company, even beyond its contribution to the innovation process. Thus, the implementation of new ideas, thoughts, perspectives, views, and mental models – fruit of the described creative process – will generate new models and paths in which firms' profitability, growth and survival are related with overcoming environmental and social problems.","container-title":"Journal of Manufacturing Technology Management","DOI":"10.1108/JMTM-01-2021-0018","ISSN":"1741038X","issue":"4","language":"English","license":"© Emerald Publishing Limited.","note":"number-of-pages: 22\npublisher-place: Bradford, United Kingdom\npublisher: Emerald Group Publishing Limited","page":"805-826","source":"ProQuest","title":"Organizational creativity and sustainability-oriented innovation as drivers of sustainable development: overcoming firms' economic, environmental and social sustainability challenges","title-short":"Organizational creativity and sustainability-oriented innovation as drivers of sustainable development","volume":"33","author":[{"family":"Souto","given":"Jaime E."}],"issued":{"date-parts":[["2022"]]}}}],"schema":"https://github.com/citation-style-language/schema/raw/master/csl-citation.json"} </w:instrText>
      </w:r>
      <w:r w:rsidR="0034635C">
        <w:rPr>
          <w:rFonts w:ascii="Arial" w:eastAsia="Times New Roman" w:hAnsi="Arial" w:cs="Arial"/>
          <w:kern w:val="0"/>
          <w:lang w:eastAsia="en-GB"/>
          <w14:ligatures w14:val="none"/>
        </w:rPr>
        <w:fldChar w:fldCharType="separate"/>
      </w:r>
      <w:r w:rsidR="0034635C" w:rsidRPr="0034635C">
        <w:rPr>
          <w:rFonts w:ascii="Arial" w:hAnsi="Arial" w:cs="Arial"/>
          <w:lang w:eastAsia="en-GB"/>
        </w:rPr>
        <w:t>(Souto, 2022)</w:t>
      </w:r>
      <w:r w:rsidR="0034635C">
        <w:rPr>
          <w:rFonts w:ascii="Arial" w:eastAsia="Times New Roman" w:hAnsi="Arial" w:cs="Arial"/>
          <w:kern w:val="0"/>
          <w:lang w:eastAsia="en-GB"/>
          <w14:ligatures w14:val="none"/>
        </w:rPr>
        <w:fldChar w:fldCharType="end"/>
      </w:r>
      <w:r w:rsidRPr="00163C10">
        <w:rPr>
          <w:rFonts w:ascii="Arial" w:eastAsia="Times New Roman" w:hAnsi="Arial" w:cs="Arial"/>
          <w:kern w:val="0"/>
          <w:lang w:eastAsia="en-GB"/>
          <w14:ligatures w14:val="none"/>
        </w:rPr>
        <w:t>. Circular economy practices, such as reuse and recycling, can further reduce material costs and waste. Although these initiatives may require initial investment, they contribute to long-term financial stability and efficiency.</w:t>
      </w:r>
    </w:p>
    <w:p w14:paraId="27D95C0C" w14:textId="2798960C" w:rsidR="008C2BB6" w:rsidRPr="00163C10" w:rsidRDefault="008C2BB6" w:rsidP="00AF517A">
      <w:pPr>
        <w:pStyle w:val="NormalWeb"/>
        <w:spacing w:line="360" w:lineRule="auto"/>
        <w:jc w:val="both"/>
        <w:rPr>
          <w:rFonts w:ascii="Arial" w:hAnsi="Arial" w:cs="Arial"/>
        </w:rPr>
      </w:pPr>
      <w:r w:rsidRPr="00163C10">
        <w:rPr>
          <w:rFonts w:ascii="Arial" w:hAnsi="Arial" w:cs="Arial"/>
        </w:rPr>
        <w:t xml:space="preserve">In addition, sustainability plays a crucial role in risk management. IKEA’s global supply chain exposes the company to risks related to environmental regulation, labour standards, and resource availability. By adopting sustainable sourcing practices and </w:t>
      </w:r>
      <w:r w:rsidRPr="00163C10">
        <w:rPr>
          <w:rFonts w:ascii="Arial" w:hAnsi="Arial" w:cs="Arial"/>
        </w:rPr>
        <w:lastRenderedPageBreak/>
        <w:t>improving transparency,</w:t>
      </w:r>
      <w:r w:rsidR="004A758C">
        <w:rPr>
          <w:rFonts w:ascii="Arial" w:hAnsi="Arial" w:cs="Arial"/>
        </w:rPr>
        <w:t xml:space="preserve"> </w:t>
      </w:r>
      <w:r w:rsidR="004A758C">
        <w:rPr>
          <w:rFonts w:ascii="Arial" w:hAnsi="Arial" w:cs="Arial"/>
        </w:rPr>
        <w:fldChar w:fldCharType="begin"/>
      </w:r>
      <w:r w:rsidR="004A758C">
        <w:rPr>
          <w:rFonts w:ascii="Arial" w:hAnsi="Arial" w:cs="Arial"/>
        </w:rPr>
        <w:instrText xml:space="preserve"> ADDIN ZOTERO_ITEM CSL_CITATION {"citationID":"wQKPPEyD","properties":{"formattedCitation":"(Sch\\uc0\\u228{}fer, 2023b)","plainCitation":"(Schäfer, 2023b)","noteIndex":0},"citationItems":[{"id":459,"uris":["http://zotero.org/users/local/bh3OqUSh/items/Y235HMS7"],"itemData":{"id":459,"type":"article-journal","abstract":"Abstract\n            Supply chain transparency and its connection to sustainability is a current topic in supply chain management research. The term supply chain transparency is used very loosely in this discourse. Therefore, this article aims to clarify the understanding of supply chain transparency in the context of sustainability to enable future research. In a content analysis-based literature review, 92 peer-reviewed articles were identified in the intersection of sustainability, supply chains, and transparency. Only 30 articles contained a definition of transparency. Supply chain transparency was used and defined very differently among the researchers. By providing a general definition and framework of sustainable supply chain transparency, the term “supply chain transparency” gains more clarity. Three dimensions of transparency were identified: sustainable supply chain information, involved stakeholders, and perspective. The supply chain transparency research was conducted primarily in the context of the food and apparel industry. Transparency was characterized differently among the industries and was studied with different foci. Furthermore, the review revealed a focus of supply chain transparency research on the social dimension of sustainability. Additionally, a wide range of topics on supply chain transparency has been covered in the existing literature, and opportunities for future research are outlined. Future researchers are also encouraged to define transparency more clearly.","container-title":"Management Review Quarterly","DOI":"10.1007/s11301-021-00252-7","ISSN":"2198-1620, 2198-1639","issue":"2","journalAbbreviation":"Manag Rev Q","language":"en","page":"579-604","source":"DOI.org (Crossref)","title":"Making transparency transparent: a systematic literature review to define and frame supply chain transparency in the context of sustainability","title-short":"Making transparency transparent","volume":"73","author":[{"family":"Schäfer","given":"Naemi"}],"issued":{"date-parts":[["2023",6]]}}}],"schema":"https://github.com/citation-style-language/schema/raw/master/csl-citation.json"} </w:instrText>
      </w:r>
      <w:r w:rsidR="004A758C">
        <w:rPr>
          <w:rFonts w:ascii="Arial" w:hAnsi="Arial" w:cs="Arial"/>
        </w:rPr>
        <w:fldChar w:fldCharType="separate"/>
      </w:r>
      <w:r w:rsidR="004A758C" w:rsidRPr="004A758C">
        <w:rPr>
          <w:rFonts w:ascii="Arial" w:hAnsi="Arial" w:cs="Arial"/>
        </w:rPr>
        <w:t>(Schäfer, 2023b)</w:t>
      </w:r>
      <w:r w:rsidR="004A758C">
        <w:rPr>
          <w:rFonts w:ascii="Arial" w:hAnsi="Arial" w:cs="Arial"/>
        </w:rPr>
        <w:fldChar w:fldCharType="end"/>
      </w:r>
      <w:r w:rsidRPr="00163C10">
        <w:rPr>
          <w:rFonts w:ascii="Arial" w:hAnsi="Arial" w:cs="Arial"/>
        </w:rPr>
        <w:t xml:space="preserve"> IKEA can mitigate risks associated with supply chain disruptions, regulatory non-compliance, and reputational damage. This is particularly important in the context of increasing global scrutiny on corporate environmental and social performance.</w:t>
      </w:r>
    </w:p>
    <w:p w14:paraId="58AD0F93" w14:textId="28A047E3" w:rsidR="008C2BB6" w:rsidRPr="00163C10" w:rsidRDefault="008C2BB6" w:rsidP="00AF517A">
      <w:pPr>
        <w:pStyle w:val="NormalWeb"/>
        <w:spacing w:line="360" w:lineRule="auto"/>
        <w:jc w:val="both"/>
        <w:rPr>
          <w:rFonts w:ascii="Arial" w:hAnsi="Arial" w:cs="Arial"/>
        </w:rPr>
      </w:pPr>
      <w:r w:rsidRPr="00163C10">
        <w:rPr>
          <w:rFonts w:ascii="Arial" w:hAnsi="Arial" w:cs="Arial"/>
        </w:rPr>
        <w:t>Furthermore, sustainability can serve as a source of innovation and competitive advantage</w:t>
      </w:r>
      <w:r w:rsidR="00686189">
        <w:rPr>
          <w:rFonts w:ascii="Arial" w:hAnsi="Arial" w:cs="Arial"/>
        </w:rPr>
        <w:t xml:space="preserve"> </w:t>
      </w:r>
      <w:r w:rsidR="00686189">
        <w:rPr>
          <w:rFonts w:ascii="Arial" w:hAnsi="Arial" w:cs="Arial"/>
        </w:rPr>
        <w:fldChar w:fldCharType="begin"/>
      </w:r>
      <w:r w:rsidR="00686189">
        <w:rPr>
          <w:rFonts w:ascii="Arial" w:hAnsi="Arial" w:cs="Arial"/>
        </w:rPr>
        <w:instrText xml:space="preserve"> ADDIN ZOTERO_ITEM CSL_CITATION {"citationID":"5ttJ1ZAS","properties":{"formattedCitation":"(De Los Reyes and Scholz, 2019)","plainCitation":"(De Los Reyes and Scholz, 2019)","noteIndex":0},"citationItems":[{"id":462,"uris":["http://zotero.org/users/local/bh3OqUSh/items/J9R2KXQB"],"itemData":{"id":462,"type":"article-journal","abstract":"Creating Shared Value (CSV) is arguably the leading approach for articulating the business case for corporate sustainability. This article examines the potential of CSV to generate the transformative innovation that the cleaner production literature takes for granted as a core component of corporate sustainability in the future. The article's major contribution is to make a systematic case for skepticism towards CSV's capacity to deliver on the dream of transformative innovation that can crowd out and eventually eradicate ecologically destructive legacy businesses. The article's ﬁrst contribution in support of this conclusion is to show that the range of examples of CSV in the ﬁeld can be categorized either as \"harm-reducing\" or as \"giving-back\" strategies. In each case, these strategies have sought to \"optimize\" legacy businesses by offsetting or mitigating impact that is ecologically destructive. The second contribution is to show that the logic of CSV does not question the underlying premises behind legacy businesses. To that extent, we present the case of the German automobile industry to demonstrate that high achievement in the implementation of optimizing strategies is compatible with destructive trade-offs. The third contribution is to explain the systematic failure of CSV to generate transformative innovation that can extinguish destructive businesses. We argue that, while CSV can improve sustainability performance up to a point, the features of the resource allocation process that characteristically deprive disruptive technological innovations from successful investment will also, as a rule, effectively block transformative CSV innovation. The three arguments reinforce and collectively support the thesis: Don't Count on 'Creating Shared Value' to Extinguish Destructive Business.","container-title":"Journal of Cleaner Production","DOI":"10.1016/j.jclepro.2019.02.187","ISSN":"09596526","journalAbbreviation":"Journal of Cleaner Production","language":"en","page":"785-794","source":"DOI.org (Crossref)","title":"The limits of the business case for sustainability: Don’t count on ‘Creating Shared Value’ to extinguish corporate destruction","title-short":"The limits of the business case for sustainability","volume":"221","author":[{"family":"De Los Reyes","given":"Gastón"},{"family":"Scholz","given":"Markus"}],"issued":{"date-parts":[["2019",6]]}}}],"schema":"https://github.com/citation-style-language/schema/raw/master/csl-citation.json"} </w:instrText>
      </w:r>
      <w:r w:rsidR="00686189">
        <w:rPr>
          <w:rFonts w:ascii="Arial" w:hAnsi="Arial" w:cs="Arial"/>
        </w:rPr>
        <w:fldChar w:fldCharType="separate"/>
      </w:r>
      <w:r w:rsidR="00686189" w:rsidRPr="00686189">
        <w:rPr>
          <w:rFonts w:ascii="Arial" w:hAnsi="Arial" w:cs="Arial"/>
        </w:rPr>
        <w:t>(De Los Reyes and Scholz, 2019)</w:t>
      </w:r>
      <w:r w:rsidR="00686189">
        <w:rPr>
          <w:rFonts w:ascii="Arial" w:hAnsi="Arial" w:cs="Arial"/>
        </w:rPr>
        <w:fldChar w:fldCharType="end"/>
      </w:r>
      <w:r w:rsidRPr="00163C10">
        <w:rPr>
          <w:rFonts w:ascii="Arial" w:hAnsi="Arial" w:cs="Arial"/>
        </w:rPr>
        <w:t>. Developing sustainable products, services, and business models enables IKEA to respond to changing market demands and create new revenue streams. For example, circular initiatives such as resale platforms and product</w:t>
      </w:r>
      <w:r w:rsidR="00686189">
        <w:rPr>
          <w:rFonts w:ascii="Arial" w:hAnsi="Arial" w:cs="Arial"/>
        </w:rPr>
        <w:t xml:space="preserve"> </w:t>
      </w:r>
      <w:r w:rsidRPr="00163C10">
        <w:rPr>
          <w:rFonts w:ascii="Arial" w:hAnsi="Arial" w:cs="Arial"/>
        </w:rPr>
        <w:t>as</w:t>
      </w:r>
      <w:r w:rsidR="00686189">
        <w:rPr>
          <w:rFonts w:ascii="Arial" w:hAnsi="Arial" w:cs="Arial"/>
        </w:rPr>
        <w:t xml:space="preserve"> </w:t>
      </w:r>
      <w:r w:rsidRPr="00163C10">
        <w:rPr>
          <w:rFonts w:ascii="Arial" w:hAnsi="Arial" w:cs="Arial"/>
        </w:rPr>
        <w:t>a</w:t>
      </w:r>
      <w:r w:rsidR="00686189">
        <w:rPr>
          <w:rFonts w:ascii="Arial" w:hAnsi="Arial" w:cs="Arial"/>
        </w:rPr>
        <w:t xml:space="preserve"> </w:t>
      </w:r>
      <w:r w:rsidRPr="00163C10">
        <w:rPr>
          <w:rFonts w:ascii="Arial" w:hAnsi="Arial" w:cs="Arial"/>
        </w:rPr>
        <w:t>service models have the potential to transform traditional consumption patterns while enhancing customer engagement.</w:t>
      </w:r>
    </w:p>
    <w:p w14:paraId="0019B4DB" w14:textId="03D322C3" w:rsidR="008C2BB6" w:rsidRPr="00163C10" w:rsidRDefault="008C2BB6" w:rsidP="00AF517A">
      <w:pPr>
        <w:pStyle w:val="NormalWeb"/>
        <w:spacing w:line="360" w:lineRule="auto"/>
        <w:jc w:val="both"/>
        <w:rPr>
          <w:rFonts w:ascii="Arial" w:hAnsi="Arial" w:cs="Arial"/>
        </w:rPr>
      </w:pPr>
      <w:r w:rsidRPr="00163C10">
        <w:rPr>
          <w:rFonts w:ascii="Arial" w:hAnsi="Arial" w:cs="Arial"/>
        </w:rPr>
        <w:t>Despite these benefits, there remains a fundamental tension between sustainability and profitability. IKEA must balance its commitment to low-cost products with the need for sustainable investment, particularly in a market where consumers remain price sensitive. This highlights that while sustainability offers clear strategic advantages, its successful implementation requires careful alignment between economic objectives and environmental responsibility.</w:t>
      </w:r>
    </w:p>
    <w:p w14:paraId="3066DB32" w14:textId="55BC64FA" w:rsidR="00E87777" w:rsidRPr="00163C10" w:rsidRDefault="00163C10" w:rsidP="00AF517A">
      <w:pPr>
        <w:pStyle w:val="NormalWeb"/>
        <w:spacing w:line="360" w:lineRule="auto"/>
        <w:jc w:val="both"/>
        <w:rPr>
          <w:rFonts w:ascii="Arial" w:hAnsi="Arial" w:cs="Arial"/>
        </w:rPr>
      </w:pPr>
      <w:r w:rsidRPr="00163C10">
        <w:rPr>
          <w:rFonts w:ascii="Arial" w:hAnsi="Arial" w:cs="Arial"/>
        </w:rPr>
        <w:t>Increasing emphasis on Environmental, Social, and Governance (ESG) performance has further strengthened the business case for sustainability, as investors increasingly prioritise organisations that demonstrate long-term resilience and ethical governance</w:t>
      </w:r>
      <w:r w:rsidR="00236657">
        <w:rPr>
          <w:rFonts w:ascii="Arial" w:hAnsi="Arial" w:cs="Arial"/>
        </w:rPr>
        <w:t xml:space="preserve"> </w:t>
      </w:r>
      <w:r w:rsidR="00236657">
        <w:rPr>
          <w:rFonts w:ascii="Arial" w:hAnsi="Arial" w:cs="Arial"/>
        </w:rPr>
        <w:fldChar w:fldCharType="begin"/>
      </w:r>
      <w:r w:rsidR="00236657">
        <w:rPr>
          <w:rFonts w:ascii="Arial" w:hAnsi="Arial" w:cs="Arial"/>
        </w:rPr>
        <w:instrText xml:space="preserve"> ADDIN ZOTERO_ITEM CSL_CITATION {"citationID":"iwsEqTi8","properties":{"formattedCitation":"(Paranhos, N\\uc0\\u228{}\\uc0\\u228{}s and Neto, 2024)","plainCitation":"(Paranhos, Nääs and Neto, 2024)","noteIndex":0},"citationItems":[{"id":454,"uris":["http://zotero.org/users/local/bh3OqUSh/items/QQ5AFLZ2"],"itemData":{"id":454,"type":"article-journal","abstract":"Environmental, social, and governance (ESG) practices are increasingly recognized as critical for corporate sustainability and market competitiveness, driven by heightened expectations from investors, governments, and consumers. This study examines the evolution of ESG practices among companies listed on the Brazilian Stock Exchange’s Corporate Sustainability Index (ISE B3) from 2005 to 2022. We analyzed the index portfolio’s composition, focusing on changes in ESG dimensions over time. The only six long-lived companies in this index, from retail, banking, and energy sectors, were selected for in-depth analysis. We further evaluated the quality and consistency of ESG disclosures in company reports. Findings indicate relevant fluctuations in the number of companies included in the ISE B3 and variations in ESG scores for the companies. These variations may be attributed to the voluntary nature of ESG practices and the absence of standard disclosure. This study reveals a lack of homogeneity in ESG reporting, which could be addressed by establishing more straightforward guidelines and global standards. This research underscores Brazilian companies’ challenges navigating diverse ESG frameworks to align with evolving societal and environmental expectations.","container-title":"Sustainability","DOI":"10.3390/su16156531","ISSN":"2071-1050","issue":"15","journalAbbreviation":"Sustainability","language":"en","page":"6531","source":"DOI.org (Crossref)","title":"Evolution and Challenges of Environmental, Social, and Governance Practices: An Analysis of the Brazilian Stock Exchange’s Corporate Sustainability Index","title-short":"Evolution and Challenges of Environmental, Social, and Governance Practices","volume":"16","author":[{"family":"Paranhos","given":"Maria Aparecida Hess Loures"},{"family":"Nääs","given":"Irenilza De Alencar"},{"family":"Neto","given":"Pedro Luiz De Oliveira Costa"}],"issued":{"date-parts":[["2024",7,30]]}}}],"schema":"https://github.com/citation-style-language/schema/raw/master/csl-citation.json"} </w:instrText>
      </w:r>
      <w:r w:rsidR="00236657">
        <w:rPr>
          <w:rFonts w:ascii="Arial" w:hAnsi="Arial" w:cs="Arial"/>
        </w:rPr>
        <w:fldChar w:fldCharType="separate"/>
      </w:r>
      <w:r w:rsidR="00236657" w:rsidRPr="00236657">
        <w:rPr>
          <w:rFonts w:ascii="Arial" w:hAnsi="Arial" w:cs="Arial"/>
        </w:rPr>
        <w:t>(Paranhos, Nääs and Neto, 2024)</w:t>
      </w:r>
      <w:r w:rsidR="00236657">
        <w:rPr>
          <w:rFonts w:ascii="Arial" w:hAnsi="Arial" w:cs="Arial"/>
        </w:rPr>
        <w:fldChar w:fldCharType="end"/>
      </w:r>
      <w:r w:rsidRPr="00163C10">
        <w:rPr>
          <w:rFonts w:ascii="Arial" w:hAnsi="Arial" w:cs="Arial"/>
        </w:rPr>
        <w:t>.</w:t>
      </w:r>
    </w:p>
    <w:p w14:paraId="7F357858" w14:textId="77777777" w:rsidR="00A37C95" w:rsidRPr="00AD3CD0" w:rsidRDefault="00A37C95" w:rsidP="00AF517A">
      <w:pPr>
        <w:spacing w:before="100" w:beforeAutospacing="1" w:after="100" w:afterAutospacing="1" w:line="360" w:lineRule="auto"/>
        <w:jc w:val="both"/>
        <w:outlineLvl w:val="0"/>
        <w:rPr>
          <w:rFonts w:ascii="Arial" w:eastAsia="Times New Roman" w:hAnsi="Arial" w:cs="Arial"/>
          <w:b/>
          <w:bCs/>
          <w:kern w:val="36"/>
          <w:lang w:eastAsia="en-GB"/>
          <w14:ligatures w14:val="none"/>
        </w:rPr>
      </w:pPr>
      <w:bookmarkStart w:id="16" w:name="_Toc231380090"/>
      <w:r w:rsidRPr="00AD3CD0">
        <w:rPr>
          <w:rFonts w:ascii="Arial" w:eastAsia="Times New Roman" w:hAnsi="Arial" w:cs="Arial"/>
          <w:b/>
          <w:bCs/>
          <w:kern w:val="36"/>
          <w:lang w:eastAsia="en-GB"/>
          <w14:ligatures w14:val="none"/>
        </w:rPr>
        <w:t>Strategic Vision and Recommendations</w:t>
      </w:r>
      <w:bookmarkEnd w:id="16"/>
    </w:p>
    <w:p w14:paraId="444763A1" w14:textId="45526D42" w:rsidR="00AF50F6" w:rsidRPr="00AD3CD0" w:rsidRDefault="00A37C95" w:rsidP="00AF517A">
      <w:pPr>
        <w:spacing w:before="100" w:beforeAutospacing="1" w:after="100" w:afterAutospacing="1" w:line="360" w:lineRule="auto"/>
        <w:jc w:val="both"/>
        <w:rPr>
          <w:rFonts w:ascii="Arial" w:eastAsia="Times New Roman" w:hAnsi="Arial" w:cs="Arial"/>
          <w:kern w:val="0"/>
          <w:lang w:eastAsia="en-GB"/>
          <w14:ligatures w14:val="none"/>
        </w:rPr>
      </w:pPr>
      <w:r w:rsidRPr="00AD3CD0">
        <w:rPr>
          <w:rFonts w:ascii="Arial" w:eastAsia="Times New Roman" w:hAnsi="Arial" w:cs="Arial"/>
          <w:kern w:val="0"/>
          <w:lang w:eastAsia="en-GB"/>
          <w14:ligatures w14:val="none"/>
        </w:rPr>
        <w:t>To address the limitations identified in IKEA’s current sustainability strategy, a more transformative approach is required</w:t>
      </w:r>
      <w:r w:rsidR="004512D2">
        <w:rPr>
          <w:rFonts w:ascii="Arial" w:eastAsia="Times New Roman" w:hAnsi="Arial" w:cs="Arial"/>
          <w:kern w:val="0"/>
          <w:lang w:eastAsia="en-GB"/>
          <w14:ligatures w14:val="none"/>
        </w:rPr>
        <w:t xml:space="preserve"> </w:t>
      </w:r>
      <w:r w:rsidR="004512D2">
        <w:rPr>
          <w:rFonts w:ascii="Arial" w:eastAsia="Times New Roman" w:hAnsi="Arial" w:cs="Arial"/>
          <w:kern w:val="0"/>
          <w:lang w:eastAsia="en-GB"/>
          <w14:ligatures w14:val="none"/>
        </w:rPr>
        <w:fldChar w:fldCharType="begin"/>
      </w:r>
      <w:r w:rsidR="004512D2">
        <w:rPr>
          <w:rFonts w:ascii="Arial" w:eastAsia="Times New Roman" w:hAnsi="Arial" w:cs="Arial"/>
          <w:kern w:val="0"/>
          <w:lang w:eastAsia="en-GB"/>
          <w14:ligatures w14:val="none"/>
        </w:rPr>
        <w:instrText xml:space="preserve"> ADDIN ZOTERO_ITEM CSL_CITATION {"citationID":"SilBqtsL","properties":{"formattedCitation":"(Zimmerer {\\i{}et al.}, 2021)","plainCitation":"(Zimmerer et al., 2021)","noteIndex":0},"citationItems":[{"id":465,"uris":["http://zotero.org/users/local/bh3OqUSh/items/5P6C34QC"],"itemData":{"id":465,"type":"article-journal","container-title":"Frontiers in Sustainable Food Systems","DOI":"10.3389/fsufs.2021.668561","ISSN":"2571-581X","journalAbbreviation":"Front. Sustain. Food Syst.","page":"668561","source":"DOI.org (Crossref)","title":"Grand Challenges in Urban Agriculture: Ecological and Social Approaches to Transformative Sustainability","title-short":"Grand Challenges in Urban Agriculture","volume":"5","author":[{"family":"Zimmerer","given":"Karl S."},{"family":"Bell","given":"Martha G."},{"family":"Chirisa","given":"Innocent"},{"family":"Duvall","given":"Chris S."},{"family":"Egerer","given":"Monika"},{"family":"Hung","given":"Po-Yi"},{"family":"Lerner","given":"Amy M."},{"family":"Shackleton","given":"Charlie"},{"family":"Ward","given":"James David"},{"family":"Yacamán Ochoa","given":"Carolina"}],"issued":{"date-parts":[["2021",4,9]]}}}],"schema":"https://github.com/citation-style-language/schema/raw/master/csl-citation.json"} </w:instrText>
      </w:r>
      <w:r w:rsidR="004512D2">
        <w:rPr>
          <w:rFonts w:ascii="Arial" w:eastAsia="Times New Roman" w:hAnsi="Arial" w:cs="Arial"/>
          <w:kern w:val="0"/>
          <w:lang w:eastAsia="en-GB"/>
          <w14:ligatures w14:val="none"/>
        </w:rPr>
        <w:fldChar w:fldCharType="separate"/>
      </w:r>
      <w:r w:rsidR="004512D2" w:rsidRPr="004512D2">
        <w:rPr>
          <w:rFonts w:ascii="Arial" w:hAnsi="Arial" w:cs="Arial"/>
          <w:kern w:val="0"/>
        </w:rPr>
        <w:t xml:space="preserve">(Zimmerer </w:t>
      </w:r>
      <w:r w:rsidR="004512D2" w:rsidRPr="004512D2">
        <w:rPr>
          <w:rFonts w:ascii="Arial" w:hAnsi="Arial" w:cs="Arial"/>
          <w:i/>
          <w:iCs/>
          <w:kern w:val="0"/>
        </w:rPr>
        <w:t>et al.</w:t>
      </w:r>
      <w:r w:rsidR="004512D2" w:rsidRPr="004512D2">
        <w:rPr>
          <w:rFonts w:ascii="Arial" w:hAnsi="Arial" w:cs="Arial"/>
          <w:kern w:val="0"/>
        </w:rPr>
        <w:t>, 2021)</w:t>
      </w:r>
      <w:r w:rsidR="004512D2">
        <w:rPr>
          <w:rFonts w:ascii="Arial" w:eastAsia="Times New Roman" w:hAnsi="Arial" w:cs="Arial"/>
          <w:kern w:val="0"/>
          <w:lang w:eastAsia="en-GB"/>
          <w14:ligatures w14:val="none"/>
        </w:rPr>
        <w:fldChar w:fldCharType="end"/>
      </w:r>
      <w:r w:rsidRPr="00AD3CD0">
        <w:rPr>
          <w:rFonts w:ascii="Arial" w:eastAsia="Times New Roman" w:hAnsi="Arial" w:cs="Arial"/>
          <w:kern w:val="0"/>
          <w:lang w:eastAsia="en-GB"/>
          <w14:ligatures w14:val="none"/>
        </w:rPr>
        <w:t>. The proposed vision is to reposition IKEA as a fully circular, low</w:t>
      </w:r>
      <w:r w:rsidR="00AD3CD0">
        <w:rPr>
          <w:rFonts w:ascii="Arial" w:eastAsia="Times New Roman" w:hAnsi="Arial" w:cs="Arial"/>
          <w:kern w:val="0"/>
          <w:lang w:eastAsia="en-GB"/>
          <w14:ligatures w14:val="none"/>
        </w:rPr>
        <w:t xml:space="preserve"> </w:t>
      </w:r>
      <w:r w:rsidRPr="00AD3CD0">
        <w:rPr>
          <w:rFonts w:ascii="Arial" w:eastAsia="Times New Roman" w:hAnsi="Arial" w:cs="Arial"/>
          <w:kern w:val="0"/>
          <w:lang w:eastAsia="en-GB"/>
          <w14:ligatures w14:val="none"/>
        </w:rPr>
        <w:t xml:space="preserve">consumption, and </w:t>
      </w:r>
      <w:r w:rsidR="00AD3CD0" w:rsidRPr="00AD3CD0">
        <w:rPr>
          <w:rFonts w:ascii="Arial" w:eastAsia="Times New Roman" w:hAnsi="Arial" w:cs="Arial"/>
          <w:kern w:val="0"/>
          <w:lang w:eastAsia="en-GB"/>
          <w14:ligatures w14:val="none"/>
        </w:rPr>
        <w:t>service</w:t>
      </w:r>
      <w:r w:rsidR="00AD3CD0">
        <w:rPr>
          <w:rFonts w:ascii="Arial" w:eastAsia="Times New Roman" w:hAnsi="Arial" w:cs="Arial"/>
          <w:kern w:val="0"/>
          <w:lang w:eastAsia="en-GB"/>
          <w14:ligatures w14:val="none"/>
        </w:rPr>
        <w:t>-oriented</w:t>
      </w:r>
      <w:r w:rsidRPr="00AD3CD0">
        <w:rPr>
          <w:rFonts w:ascii="Arial" w:eastAsia="Times New Roman" w:hAnsi="Arial" w:cs="Arial"/>
          <w:kern w:val="0"/>
          <w:lang w:eastAsia="en-GB"/>
          <w14:ligatures w14:val="none"/>
        </w:rPr>
        <w:t xml:space="preserve"> organisation, moving beyond incremental improvements towards systemic change</w:t>
      </w:r>
      <w:r w:rsidR="004512D2">
        <w:rPr>
          <w:rFonts w:ascii="Arial" w:eastAsia="Times New Roman" w:hAnsi="Arial" w:cs="Arial"/>
          <w:kern w:val="0"/>
          <w:lang w:eastAsia="en-GB"/>
          <w14:ligatures w14:val="none"/>
        </w:rPr>
        <w:t xml:space="preserve"> </w:t>
      </w:r>
      <w:r w:rsidR="004512D2">
        <w:rPr>
          <w:rFonts w:ascii="Arial" w:eastAsia="Times New Roman" w:hAnsi="Arial" w:cs="Arial"/>
          <w:kern w:val="0"/>
          <w:lang w:eastAsia="en-GB"/>
          <w14:ligatures w14:val="none"/>
        </w:rPr>
        <w:fldChar w:fldCharType="begin"/>
      </w:r>
      <w:r w:rsidR="004512D2">
        <w:rPr>
          <w:rFonts w:ascii="Arial" w:eastAsia="Times New Roman" w:hAnsi="Arial" w:cs="Arial"/>
          <w:kern w:val="0"/>
          <w:lang w:eastAsia="en-GB"/>
          <w14:ligatures w14:val="none"/>
        </w:rPr>
        <w:instrText xml:space="preserve"> ADDIN ZOTERO_ITEM CSL_CITATION {"citationID":"cCrq1vGs","properties":{"formattedCitation":"(Kaiser {\\i{}et al.}, 2024)","plainCitation":"(Kaiser et al., 2024)","noteIndex":0},"citationItems":[{"id":468,"uris":["http://zotero.org/users/local/bh3OqUSh/items/LLE863CU"],"itemData":{"id":468,"type":"article-journal","abstract":"In the context of governing innovation systems for low-carbon transitions, learning is paramount. In this article, we look specifically at the issue of learning through innovation policy review processes. We begin by reviewing the academic literature on innovation policy reviews as well as the emerging literature on transformative innovation policy (TIP) in the contexts of major challenges such as climate change. Drawing from this review, we argue that traditional policy review frameworks fail to provide the kind of learning required to assess challenge-oriented innovation policies and that new, more reflexive approaches are required. We then propose a novel evaluative framework, the Sustainability Transition and Innovation Review (STIR), which incorporates insights from the TIP literature in order to address this gap. The basis for the proposed STIR framework in the theoretical literature is reviewed, and we then describe the results of a test of the STIR framework to evaluate Canada’s policy mix for driving a socio-technical transition from fossil-powered to electric vehicles. Insights from the test application show that the STIR approach helped uncover key explanatory dynamics around incremental vs. transformative change in Canada’s innovation policy performance, and highlighted the interplay between governance and substantive weaknesses in the policy mix. We conclude by arguing that these findings demonstrate the importance of updating policy review frameworks with the insights of the recent TIP literature.","container-title":"Sustainability","DOI":"10.3390/su16125106","ISSN":"2071-1050","issue":"12","journalAbbreviation":"Sustainability","language":"en","page":"5106","source":"DOI.org (Crossref)","title":"Reflective Appraisal of Transformative Innovation Policy: Development of the Sustainability Transition and Innovation Review (STIR) Approach and Application to Canada","title-short":"Reflective Appraisal of Transformative Innovation Policy","volume":"16","author":[{"family":"Kaiser","given":"Colleen"},{"family":"Miedzinski","given":"Michal"},{"family":"McDowall","given":"Will"},{"family":"McCarney","given":"Geoffrey R."}],"issued":{"date-parts":[["2024",6,15]]}}}],"schema":"https://github.com/citation-style-language/schema/raw/master/csl-citation.json"} </w:instrText>
      </w:r>
      <w:r w:rsidR="004512D2">
        <w:rPr>
          <w:rFonts w:ascii="Arial" w:eastAsia="Times New Roman" w:hAnsi="Arial" w:cs="Arial"/>
          <w:kern w:val="0"/>
          <w:lang w:eastAsia="en-GB"/>
          <w14:ligatures w14:val="none"/>
        </w:rPr>
        <w:fldChar w:fldCharType="separate"/>
      </w:r>
      <w:r w:rsidR="004512D2" w:rsidRPr="004512D2">
        <w:rPr>
          <w:rFonts w:ascii="Arial" w:hAnsi="Arial" w:cs="Arial"/>
          <w:kern w:val="0"/>
        </w:rPr>
        <w:t xml:space="preserve">(Kaiser </w:t>
      </w:r>
      <w:r w:rsidR="004512D2" w:rsidRPr="004512D2">
        <w:rPr>
          <w:rFonts w:ascii="Arial" w:hAnsi="Arial" w:cs="Arial"/>
          <w:i/>
          <w:iCs/>
          <w:kern w:val="0"/>
        </w:rPr>
        <w:t>et al.</w:t>
      </w:r>
      <w:r w:rsidR="004512D2" w:rsidRPr="004512D2">
        <w:rPr>
          <w:rFonts w:ascii="Arial" w:hAnsi="Arial" w:cs="Arial"/>
          <w:kern w:val="0"/>
        </w:rPr>
        <w:t>, 2024)</w:t>
      </w:r>
      <w:r w:rsidR="004512D2">
        <w:rPr>
          <w:rFonts w:ascii="Arial" w:eastAsia="Times New Roman" w:hAnsi="Arial" w:cs="Arial"/>
          <w:kern w:val="0"/>
          <w:lang w:eastAsia="en-GB"/>
          <w14:ligatures w14:val="none"/>
        </w:rPr>
        <w:fldChar w:fldCharType="end"/>
      </w:r>
      <w:r w:rsidRPr="00AD3CD0">
        <w:rPr>
          <w:rFonts w:ascii="Arial" w:eastAsia="Times New Roman" w:hAnsi="Arial" w:cs="Arial"/>
          <w:kern w:val="0"/>
          <w:lang w:eastAsia="en-GB"/>
          <w14:ligatures w14:val="none"/>
        </w:rPr>
        <w:t>.</w:t>
      </w:r>
    </w:p>
    <w:p w14:paraId="6D36A0EF" w14:textId="05EAC046" w:rsidR="00E87777" w:rsidRPr="00B63EE4" w:rsidRDefault="00A37C95" w:rsidP="00AF517A">
      <w:pPr>
        <w:spacing w:before="100" w:beforeAutospacing="1" w:after="100" w:afterAutospacing="1" w:line="360" w:lineRule="auto"/>
        <w:jc w:val="both"/>
        <w:outlineLvl w:val="1"/>
        <w:rPr>
          <w:rFonts w:ascii="Arial" w:eastAsia="Times New Roman" w:hAnsi="Arial" w:cs="Arial"/>
          <w:b/>
          <w:bCs/>
          <w:kern w:val="0"/>
          <w:lang w:eastAsia="en-GB"/>
          <w14:ligatures w14:val="none"/>
        </w:rPr>
      </w:pPr>
      <w:bookmarkStart w:id="17" w:name="_Toc231380091"/>
      <w:r w:rsidRPr="00AD3CD0">
        <w:rPr>
          <w:rFonts w:ascii="Arial" w:eastAsia="Times New Roman" w:hAnsi="Arial" w:cs="Arial"/>
          <w:b/>
          <w:bCs/>
          <w:kern w:val="0"/>
          <w:lang w:eastAsia="en-GB"/>
          <w14:ligatures w14:val="none"/>
        </w:rPr>
        <w:t>Strategic Vision</w:t>
      </w:r>
      <w:r w:rsidR="00D631BF">
        <w:rPr>
          <w:rFonts w:ascii="Arial" w:eastAsia="Times New Roman" w:hAnsi="Arial" w:cs="Arial"/>
          <w:b/>
          <w:bCs/>
          <w:kern w:val="0"/>
          <w:lang w:eastAsia="en-GB"/>
          <w14:ligatures w14:val="none"/>
        </w:rPr>
        <w:t xml:space="preserve">: </w:t>
      </w:r>
      <w:r w:rsidR="00CA695B">
        <w:rPr>
          <w:rFonts w:ascii="Arial" w:eastAsia="Times New Roman" w:hAnsi="Arial" w:cs="Arial"/>
          <w:b/>
          <w:bCs/>
          <w:kern w:val="0"/>
          <w:lang w:eastAsia="en-GB"/>
          <w14:ligatures w14:val="none"/>
        </w:rPr>
        <w:t>A</w:t>
      </w:r>
      <w:r w:rsidR="00B63EE4">
        <w:rPr>
          <w:rFonts w:ascii="Arial" w:eastAsia="Times New Roman" w:hAnsi="Arial" w:cs="Arial"/>
          <w:b/>
          <w:bCs/>
          <w:kern w:val="0"/>
          <w:lang w:eastAsia="en-GB"/>
          <w14:ligatures w14:val="none"/>
        </w:rPr>
        <w:t xml:space="preserve"> call for sustainability action</w:t>
      </w:r>
      <w:bookmarkEnd w:id="17"/>
    </w:p>
    <w:p w14:paraId="6E5116DD" w14:textId="59074678" w:rsidR="00A37C95" w:rsidRPr="00CA695B" w:rsidRDefault="00E87777" w:rsidP="00AF517A">
      <w:pPr>
        <w:spacing w:before="100" w:beforeAutospacing="1" w:after="100" w:afterAutospacing="1" w:line="360" w:lineRule="auto"/>
        <w:jc w:val="both"/>
        <w:rPr>
          <w:rFonts w:ascii="Arial" w:eastAsia="Times New Roman" w:hAnsi="Arial" w:cs="Arial"/>
          <w:color w:val="FF0000"/>
          <w:kern w:val="0"/>
          <w:lang w:eastAsia="en-GB"/>
          <w14:ligatures w14:val="none"/>
        </w:rPr>
      </w:pPr>
      <w:r w:rsidRPr="00CA695B">
        <w:rPr>
          <w:rFonts w:ascii="Arial" w:eastAsia="Times New Roman" w:hAnsi="Arial" w:cs="Arial"/>
          <w:kern w:val="0"/>
          <w:lang w:eastAsia="en-GB"/>
          <w14:ligatures w14:val="none"/>
        </w:rPr>
        <w:t xml:space="preserve">For the strategy to be successful all staff need to collaborate and be invested in ensuring the future of the company which will be achieved through having robust </w:t>
      </w:r>
      <w:r w:rsidRPr="00CA695B">
        <w:rPr>
          <w:rFonts w:ascii="Arial" w:eastAsia="Times New Roman" w:hAnsi="Arial" w:cs="Arial"/>
          <w:kern w:val="0"/>
          <w:lang w:eastAsia="en-GB"/>
          <w14:ligatures w14:val="none"/>
        </w:rPr>
        <w:lastRenderedPageBreak/>
        <w:t xml:space="preserve">sustainability </w:t>
      </w:r>
      <w:r w:rsidR="00B63EE4" w:rsidRPr="00CA695B">
        <w:rPr>
          <w:rFonts w:ascii="Arial" w:eastAsia="Times New Roman" w:hAnsi="Arial" w:cs="Arial"/>
          <w:kern w:val="0"/>
          <w:lang w:eastAsia="en-GB"/>
          <w14:ligatures w14:val="none"/>
        </w:rPr>
        <w:t xml:space="preserve">actions in place </w:t>
      </w:r>
      <w:r w:rsidR="00CA695B" w:rsidRPr="00CA695B">
        <w:rPr>
          <w:rFonts w:ascii="Arial" w:eastAsia="Times New Roman" w:hAnsi="Arial" w:cs="Arial"/>
          <w:kern w:val="0"/>
          <w:lang w:eastAsia="en-GB"/>
          <w14:ligatures w14:val="none"/>
        </w:rPr>
        <w:t>to</w:t>
      </w:r>
      <w:r w:rsidRPr="00CA695B">
        <w:rPr>
          <w:rFonts w:ascii="Arial" w:eastAsia="Times New Roman" w:hAnsi="Arial" w:cs="Arial"/>
          <w:kern w:val="0"/>
          <w:lang w:eastAsia="en-GB"/>
          <w14:ligatures w14:val="none"/>
        </w:rPr>
        <w:t xml:space="preserve"> achieve the proposed s</w:t>
      </w:r>
      <w:r w:rsidR="00A37C95" w:rsidRPr="00CA695B">
        <w:rPr>
          <w:rFonts w:ascii="Arial" w:eastAsia="Times New Roman" w:hAnsi="Arial" w:cs="Arial"/>
          <w:kern w:val="0"/>
          <w:lang w:eastAsia="en-GB"/>
          <w14:ligatures w14:val="none"/>
        </w:rPr>
        <w:t>trategic vision</w:t>
      </w:r>
      <w:r w:rsidR="00B63EE4" w:rsidRPr="00CA695B">
        <w:rPr>
          <w:rFonts w:ascii="Arial" w:eastAsia="Times New Roman" w:hAnsi="Arial" w:cs="Arial"/>
          <w:kern w:val="0"/>
          <w:lang w:eastAsia="en-GB"/>
          <w14:ligatures w14:val="none"/>
        </w:rPr>
        <w:t>.</w:t>
      </w:r>
      <w:r w:rsidR="00A37C95" w:rsidRPr="00CA695B">
        <w:rPr>
          <w:rFonts w:ascii="Arial" w:eastAsia="Times New Roman" w:hAnsi="Arial" w:cs="Arial"/>
          <w:kern w:val="0"/>
          <w:lang w:eastAsia="en-GB"/>
          <w14:ligatures w14:val="none"/>
        </w:rPr>
        <w:t xml:space="preserve"> </w:t>
      </w:r>
      <w:r w:rsidRPr="00CA695B">
        <w:rPr>
          <w:rFonts w:ascii="Arial" w:eastAsia="Times New Roman" w:hAnsi="Arial" w:cs="Arial"/>
          <w:kern w:val="0"/>
          <w:lang w:eastAsia="en-GB"/>
          <w14:ligatures w14:val="none"/>
        </w:rPr>
        <w:t>The aim</w:t>
      </w:r>
      <w:r w:rsidR="00A37C95" w:rsidRPr="00CA695B">
        <w:rPr>
          <w:rFonts w:ascii="Arial" w:eastAsia="Times New Roman" w:hAnsi="Arial" w:cs="Arial"/>
          <w:kern w:val="0"/>
          <w:lang w:eastAsia="en-GB"/>
          <w14:ligatures w14:val="none"/>
        </w:rPr>
        <w:t xml:space="preserve"> is to transition from a traditional product-based model to a circular and service-based business model that prioritises resource efficiency, product longevity, and reduced consumption</w:t>
      </w:r>
      <w:r w:rsidR="000933C6" w:rsidRPr="00CA695B">
        <w:rPr>
          <w:rFonts w:ascii="Arial" w:eastAsia="Times New Roman" w:hAnsi="Arial" w:cs="Arial"/>
          <w:kern w:val="0"/>
          <w:lang w:eastAsia="en-GB"/>
          <w14:ligatures w14:val="none"/>
        </w:rPr>
        <w:t xml:space="preserve">  </w:t>
      </w:r>
      <w:r w:rsidR="000933C6" w:rsidRPr="00CA695B">
        <w:rPr>
          <w:rFonts w:ascii="Arial" w:eastAsia="Times New Roman" w:hAnsi="Arial" w:cs="Arial"/>
          <w:kern w:val="0"/>
          <w:lang w:eastAsia="en-GB"/>
          <w14:ligatures w14:val="none"/>
        </w:rPr>
        <w:fldChar w:fldCharType="begin"/>
      </w:r>
      <w:r w:rsidR="00275942" w:rsidRPr="00CA695B">
        <w:rPr>
          <w:rFonts w:ascii="Arial" w:eastAsia="Times New Roman" w:hAnsi="Arial" w:cs="Arial"/>
          <w:kern w:val="0"/>
          <w:lang w:eastAsia="en-GB"/>
          <w14:ligatures w14:val="none"/>
        </w:rPr>
        <w:instrText xml:space="preserve"> ADDIN ZOTERO_ITEM CSL_CITATION {"citationID":"S68CAc2D","properties":{"formattedCitation":"({\\i{}Our sustainability strategy}, no date b)","plainCitation":"(Our sustainability strategy, no date b)","dontUpdate":true,"noteIndex":0},"citationItems":[{"id":469,"uris":["http://zotero.org/users/local/bh3OqUSh/items/CQIRRX2L"],"itemData":{"id":469,"type":"webpage","abstract":"Find out how IKEA is doing its part to tackle climate change, unsustainable consumption, and inequality by strategically targeting three primary areas.","language":"en-GB","title":"Our sustainability strategy","URL":"https://www.ikea.com/gb/en/this-is-ikea/climate-environment/the-ikea-sustainability-strategy-pubfea4c210/","accessed":{"date-parts":[["2026",5,21]]}}}],"schema":"https://github.com/citation-style-language/schema/raw/master/csl-citation.json"} </w:instrText>
      </w:r>
      <w:r w:rsidR="000933C6" w:rsidRPr="00CA695B">
        <w:rPr>
          <w:rFonts w:ascii="Arial" w:eastAsia="Times New Roman" w:hAnsi="Arial" w:cs="Arial"/>
          <w:kern w:val="0"/>
          <w:lang w:eastAsia="en-GB"/>
          <w14:ligatures w14:val="none"/>
        </w:rPr>
        <w:fldChar w:fldCharType="separate"/>
      </w:r>
      <w:r w:rsidR="000933C6" w:rsidRPr="00CA695B">
        <w:rPr>
          <w:rFonts w:ascii="Arial" w:hAnsi="Arial" w:cs="Arial"/>
          <w:kern w:val="0"/>
        </w:rPr>
        <w:t>(</w:t>
      </w:r>
      <w:r w:rsidR="000933C6" w:rsidRPr="00CA695B">
        <w:rPr>
          <w:rFonts w:ascii="Arial" w:hAnsi="Arial" w:cs="Arial"/>
          <w:i/>
          <w:iCs/>
          <w:kern w:val="0"/>
        </w:rPr>
        <w:t>Our sustainability strategy</w:t>
      </w:r>
      <w:r w:rsidR="000933C6" w:rsidRPr="00CA695B">
        <w:rPr>
          <w:rFonts w:ascii="Arial" w:hAnsi="Arial" w:cs="Arial"/>
          <w:kern w:val="0"/>
        </w:rPr>
        <w:t>, 2026 b)</w:t>
      </w:r>
      <w:r w:rsidR="000933C6" w:rsidRPr="00CA695B">
        <w:rPr>
          <w:rFonts w:ascii="Arial" w:eastAsia="Times New Roman" w:hAnsi="Arial" w:cs="Arial"/>
          <w:kern w:val="0"/>
          <w:lang w:eastAsia="en-GB"/>
          <w14:ligatures w14:val="none"/>
        </w:rPr>
        <w:fldChar w:fldCharType="end"/>
      </w:r>
      <w:r w:rsidR="00A37C95" w:rsidRPr="00CA695B">
        <w:rPr>
          <w:rFonts w:ascii="Arial" w:eastAsia="Times New Roman" w:hAnsi="Arial" w:cs="Arial"/>
          <w:kern w:val="0"/>
          <w:lang w:eastAsia="en-GB"/>
          <w14:ligatures w14:val="none"/>
        </w:rPr>
        <w:t xml:space="preserve">. </w:t>
      </w:r>
      <w:r w:rsidR="00CA695B" w:rsidRPr="00CA695B">
        <w:rPr>
          <w:rFonts w:ascii="Arial" w:eastAsia="Times New Roman" w:hAnsi="Arial" w:cs="Arial"/>
          <w:kern w:val="0"/>
          <w:lang w:eastAsia="en-GB"/>
          <w14:ligatures w14:val="none"/>
        </w:rPr>
        <w:t xml:space="preserve">Employees play a vital role in implementing sustainability initiatives within the organisation. A sustainability-oriented culture depends on employee engagement, training, and alignment with organisational values (Cen, 2023). Managers </w:t>
      </w:r>
      <w:r w:rsidR="00D631BF" w:rsidRPr="00CA695B">
        <w:rPr>
          <w:rFonts w:ascii="Arial" w:eastAsia="Times New Roman" w:hAnsi="Arial" w:cs="Arial"/>
          <w:kern w:val="0"/>
          <w:lang w:eastAsia="en-GB"/>
          <w14:ligatures w14:val="none"/>
        </w:rPr>
        <w:t>must,</w:t>
      </w:r>
      <w:r w:rsidR="00CA695B" w:rsidRPr="00CA695B">
        <w:rPr>
          <w:rFonts w:ascii="Arial" w:eastAsia="Times New Roman" w:hAnsi="Arial" w:cs="Arial"/>
          <w:kern w:val="0"/>
          <w:lang w:eastAsia="en-GB"/>
          <w14:ligatures w14:val="none"/>
        </w:rPr>
        <w:t xml:space="preserve"> therefore</w:t>
      </w:r>
      <w:r w:rsidR="000B0C17">
        <w:rPr>
          <w:rFonts w:ascii="Arial" w:eastAsia="Times New Roman" w:hAnsi="Arial" w:cs="Arial"/>
          <w:kern w:val="0"/>
          <w:lang w:eastAsia="en-GB"/>
          <w14:ligatures w14:val="none"/>
        </w:rPr>
        <w:t>,</w:t>
      </w:r>
      <w:r w:rsidR="00CA695B" w:rsidRPr="00CA695B">
        <w:rPr>
          <w:rFonts w:ascii="Arial" w:eastAsia="Times New Roman" w:hAnsi="Arial" w:cs="Arial"/>
          <w:kern w:val="0"/>
          <w:lang w:eastAsia="en-GB"/>
          <w14:ligatures w14:val="none"/>
        </w:rPr>
        <w:t xml:space="preserve"> ensure that employees are equipped with the knowledge and motivation to support sustainability goals</w:t>
      </w:r>
      <w:r w:rsidR="00CA695B">
        <w:rPr>
          <w:rFonts w:ascii="Arial" w:eastAsia="Times New Roman" w:hAnsi="Arial" w:cs="Arial"/>
          <w:kern w:val="0"/>
          <w:lang w:eastAsia="en-GB"/>
          <w14:ligatures w14:val="none"/>
        </w:rPr>
        <w:t>.</w:t>
      </w:r>
      <w:r w:rsidR="00CA695B">
        <w:rPr>
          <w:rFonts w:ascii="Arial" w:eastAsia="Times New Roman" w:hAnsi="Arial" w:cs="Arial"/>
          <w:color w:val="FF0000"/>
          <w:kern w:val="0"/>
          <w:lang w:eastAsia="en-GB"/>
          <w14:ligatures w14:val="none"/>
        </w:rPr>
        <w:t xml:space="preserve"> </w:t>
      </w:r>
      <w:r w:rsidRPr="00CA695B">
        <w:rPr>
          <w:rFonts w:ascii="Arial" w:eastAsia="Times New Roman" w:hAnsi="Arial" w:cs="Arial"/>
          <w:kern w:val="0"/>
          <w:lang w:eastAsia="en-GB"/>
          <w14:ligatures w14:val="none"/>
        </w:rPr>
        <w:t>Therefore</w:t>
      </w:r>
      <w:r w:rsidR="00CA695B">
        <w:rPr>
          <w:rFonts w:ascii="Arial" w:eastAsia="Times New Roman" w:hAnsi="Arial" w:cs="Arial"/>
          <w:kern w:val="0"/>
          <w:lang w:eastAsia="en-GB"/>
          <w14:ligatures w14:val="none"/>
        </w:rPr>
        <w:t>,</w:t>
      </w:r>
      <w:r w:rsidRPr="00CA695B">
        <w:rPr>
          <w:rFonts w:ascii="Arial" w:eastAsia="Times New Roman" w:hAnsi="Arial" w:cs="Arial"/>
          <w:kern w:val="0"/>
          <w:lang w:eastAsia="en-GB"/>
          <w14:ligatures w14:val="none"/>
        </w:rPr>
        <w:t xml:space="preserve"> input is needed from company </w:t>
      </w:r>
      <w:r w:rsidR="00B63EE4" w:rsidRPr="00CA695B">
        <w:rPr>
          <w:rFonts w:ascii="Arial" w:eastAsia="Times New Roman" w:hAnsi="Arial" w:cs="Arial"/>
          <w:kern w:val="0"/>
          <w:lang w:eastAsia="en-GB"/>
          <w14:ligatures w14:val="none"/>
        </w:rPr>
        <w:t>stakeholders</w:t>
      </w:r>
      <w:r w:rsidRPr="00CA695B">
        <w:rPr>
          <w:rFonts w:ascii="Arial" w:eastAsia="Times New Roman" w:hAnsi="Arial" w:cs="Arial"/>
          <w:kern w:val="0"/>
          <w:lang w:eastAsia="en-GB"/>
          <w14:ligatures w14:val="none"/>
        </w:rPr>
        <w:t xml:space="preserve"> to ensure that the vision </w:t>
      </w:r>
      <w:r w:rsidR="00A37C95" w:rsidRPr="00CA695B">
        <w:rPr>
          <w:rFonts w:ascii="Arial" w:eastAsia="Times New Roman" w:hAnsi="Arial" w:cs="Arial"/>
          <w:kern w:val="0"/>
          <w:lang w:eastAsia="en-GB"/>
          <w14:ligatures w14:val="none"/>
        </w:rPr>
        <w:t>aligns with the principles of the circular economy, as advocated by MacArthur, which emphasise designing out waste and keeping materials in use for as long as possible.</w:t>
      </w:r>
      <w:r w:rsidR="00AC7AB1">
        <w:rPr>
          <w:rFonts w:ascii="Arial" w:eastAsia="Times New Roman" w:hAnsi="Arial" w:cs="Arial"/>
          <w:kern w:val="0"/>
          <w:lang w:eastAsia="en-GB"/>
          <w14:ligatures w14:val="none"/>
        </w:rPr>
        <w:t xml:space="preserve">  </w:t>
      </w:r>
    </w:p>
    <w:p w14:paraId="0B545489" w14:textId="364B6E29" w:rsidR="00AD3CD0" w:rsidRDefault="00A37C95" w:rsidP="00AF517A">
      <w:pPr>
        <w:spacing w:before="100" w:beforeAutospacing="1" w:after="100" w:afterAutospacing="1" w:line="360" w:lineRule="auto"/>
        <w:jc w:val="both"/>
        <w:rPr>
          <w:rFonts w:ascii="Arial" w:eastAsia="Times New Roman" w:hAnsi="Arial" w:cs="Arial"/>
          <w:kern w:val="0"/>
          <w:lang w:eastAsia="en-GB"/>
          <w14:ligatures w14:val="none"/>
        </w:rPr>
      </w:pPr>
      <w:r w:rsidRPr="00AD3CD0">
        <w:rPr>
          <w:rFonts w:ascii="Arial" w:eastAsia="Times New Roman" w:hAnsi="Arial" w:cs="Arial"/>
          <w:kern w:val="0"/>
          <w:lang w:eastAsia="en-GB"/>
          <w14:ligatures w14:val="none"/>
        </w:rPr>
        <w:t>This vision requires IKEA to shift its focus from volume</w:t>
      </w:r>
      <w:r w:rsidR="00655DE4">
        <w:rPr>
          <w:rFonts w:ascii="Arial" w:eastAsia="Times New Roman" w:hAnsi="Arial" w:cs="Arial"/>
          <w:kern w:val="0"/>
          <w:lang w:eastAsia="en-GB"/>
          <w14:ligatures w14:val="none"/>
        </w:rPr>
        <w:t xml:space="preserve"> </w:t>
      </w:r>
      <w:r w:rsidRPr="00AD3CD0">
        <w:rPr>
          <w:rFonts w:ascii="Arial" w:eastAsia="Times New Roman" w:hAnsi="Arial" w:cs="Arial"/>
          <w:kern w:val="0"/>
          <w:lang w:eastAsia="en-GB"/>
          <w14:ligatures w14:val="none"/>
        </w:rPr>
        <w:t>driven sales towards value creation through sustainability, customer engagement, and lifecycle management of products</w:t>
      </w:r>
      <w:r w:rsidR="00AD3CD0">
        <w:rPr>
          <w:rFonts w:ascii="Arial" w:eastAsia="Times New Roman" w:hAnsi="Arial" w:cs="Arial"/>
          <w:kern w:val="0"/>
          <w:lang w:eastAsia="en-GB"/>
          <w14:ligatures w14:val="none"/>
        </w:rPr>
        <w:t>.</w:t>
      </w:r>
    </w:p>
    <w:p w14:paraId="0FBC6E58" w14:textId="02A0C6E7" w:rsidR="00A37C95" w:rsidRPr="000933C6" w:rsidRDefault="00A37C95" w:rsidP="00AF517A">
      <w:pPr>
        <w:spacing w:before="100" w:beforeAutospacing="1" w:after="100" w:afterAutospacing="1" w:line="360" w:lineRule="auto"/>
        <w:jc w:val="both"/>
        <w:rPr>
          <w:rFonts w:ascii="Arial" w:eastAsia="Times New Roman" w:hAnsi="Arial" w:cs="Arial"/>
          <w:b/>
          <w:bCs/>
          <w:kern w:val="0"/>
          <w:lang w:eastAsia="en-GB"/>
          <w14:ligatures w14:val="none"/>
        </w:rPr>
      </w:pPr>
      <w:r w:rsidRPr="000933C6">
        <w:rPr>
          <w:rFonts w:ascii="Arial" w:eastAsia="Times New Roman" w:hAnsi="Arial" w:cs="Arial"/>
          <w:b/>
          <w:bCs/>
          <w:kern w:val="0"/>
          <w:lang w:eastAsia="en-GB"/>
          <w14:ligatures w14:val="none"/>
        </w:rPr>
        <w:t>Recommendation 1: Product</w:t>
      </w:r>
      <w:r w:rsidR="000933C6">
        <w:rPr>
          <w:rFonts w:ascii="Arial" w:eastAsia="Times New Roman" w:hAnsi="Arial" w:cs="Arial"/>
          <w:b/>
          <w:bCs/>
          <w:kern w:val="0"/>
          <w:lang w:eastAsia="en-GB"/>
          <w14:ligatures w14:val="none"/>
        </w:rPr>
        <w:t>-</w:t>
      </w:r>
      <w:r w:rsidRPr="000933C6">
        <w:rPr>
          <w:rFonts w:ascii="Arial" w:eastAsia="Times New Roman" w:hAnsi="Arial" w:cs="Arial"/>
          <w:b/>
          <w:bCs/>
          <w:kern w:val="0"/>
          <w:lang w:eastAsia="en-GB"/>
          <w14:ligatures w14:val="none"/>
        </w:rPr>
        <w:t>as</w:t>
      </w:r>
      <w:r w:rsidR="000933C6">
        <w:rPr>
          <w:rFonts w:ascii="Arial" w:eastAsia="Times New Roman" w:hAnsi="Arial" w:cs="Arial"/>
          <w:b/>
          <w:bCs/>
          <w:kern w:val="0"/>
          <w:lang w:eastAsia="en-GB"/>
          <w14:ligatures w14:val="none"/>
        </w:rPr>
        <w:t>-</w:t>
      </w:r>
      <w:r w:rsidRPr="000933C6">
        <w:rPr>
          <w:rFonts w:ascii="Arial" w:eastAsia="Times New Roman" w:hAnsi="Arial" w:cs="Arial"/>
          <w:b/>
          <w:bCs/>
          <w:kern w:val="0"/>
          <w:lang w:eastAsia="en-GB"/>
          <w14:ligatures w14:val="none"/>
        </w:rPr>
        <w:t>a</w:t>
      </w:r>
      <w:r w:rsidR="000933C6">
        <w:rPr>
          <w:rFonts w:ascii="Arial" w:eastAsia="Times New Roman" w:hAnsi="Arial" w:cs="Arial"/>
          <w:b/>
          <w:bCs/>
          <w:kern w:val="0"/>
          <w:lang w:eastAsia="en-GB"/>
          <w14:ligatures w14:val="none"/>
        </w:rPr>
        <w:t>-</w:t>
      </w:r>
      <w:r w:rsidRPr="000933C6">
        <w:rPr>
          <w:rFonts w:ascii="Arial" w:eastAsia="Times New Roman" w:hAnsi="Arial" w:cs="Arial"/>
          <w:b/>
          <w:bCs/>
          <w:kern w:val="0"/>
          <w:lang w:eastAsia="en-GB"/>
          <w14:ligatures w14:val="none"/>
        </w:rPr>
        <w:t>Service Model</w:t>
      </w:r>
    </w:p>
    <w:p w14:paraId="4AE1CD15" w14:textId="77777777" w:rsidR="00A37C95" w:rsidRPr="00AD3CD0" w:rsidRDefault="00A37C95" w:rsidP="00AF517A">
      <w:pPr>
        <w:spacing w:before="100" w:beforeAutospacing="1" w:after="100" w:afterAutospacing="1" w:line="360" w:lineRule="auto"/>
        <w:jc w:val="both"/>
        <w:rPr>
          <w:rFonts w:ascii="Arial" w:eastAsia="Times New Roman" w:hAnsi="Arial" w:cs="Arial"/>
          <w:kern w:val="0"/>
          <w:lang w:eastAsia="en-GB"/>
          <w14:ligatures w14:val="none"/>
        </w:rPr>
      </w:pPr>
      <w:r w:rsidRPr="00AD3CD0">
        <w:rPr>
          <w:rFonts w:ascii="Arial" w:eastAsia="Times New Roman" w:hAnsi="Arial" w:cs="Arial"/>
          <w:kern w:val="0"/>
          <w:lang w:eastAsia="en-GB"/>
          <w14:ligatures w14:val="none"/>
        </w:rPr>
        <w:t>One of the most transformative strategies IKEA can adopt is the development of a product-as-a-service model, where customers lease or subscribe to furniture rather than purchasing it outright.</w:t>
      </w:r>
    </w:p>
    <w:p w14:paraId="5385716C" w14:textId="77777777" w:rsidR="00A37C95" w:rsidRPr="00AD3CD0" w:rsidRDefault="00A37C95" w:rsidP="00AF517A">
      <w:pPr>
        <w:spacing w:before="100" w:beforeAutospacing="1" w:after="100" w:afterAutospacing="1" w:line="360" w:lineRule="auto"/>
        <w:jc w:val="both"/>
        <w:rPr>
          <w:rFonts w:ascii="Arial" w:eastAsia="Times New Roman" w:hAnsi="Arial" w:cs="Arial"/>
          <w:kern w:val="0"/>
          <w:lang w:eastAsia="en-GB"/>
          <w14:ligatures w14:val="none"/>
        </w:rPr>
      </w:pPr>
      <w:r w:rsidRPr="00AD3CD0">
        <w:rPr>
          <w:rFonts w:ascii="Arial" w:eastAsia="Times New Roman" w:hAnsi="Arial" w:cs="Arial"/>
          <w:kern w:val="0"/>
          <w:lang w:eastAsia="en-GB"/>
          <w14:ligatures w14:val="none"/>
        </w:rPr>
        <w:t>This approach would:</w:t>
      </w:r>
    </w:p>
    <w:p w14:paraId="415D316C" w14:textId="77777777" w:rsidR="00A37C95" w:rsidRPr="00AD3CD0" w:rsidRDefault="00A37C95" w:rsidP="00AF517A">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AD3CD0">
        <w:rPr>
          <w:rFonts w:ascii="Arial" w:eastAsia="Times New Roman" w:hAnsi="Arial" w:cs="Arial"/>
          <w:kern w:val="0"/>
          <w:lang w:eastAsia="en-GB"/>
          <w14:ligatures w14:val="none"/>
        </w:rPr>
        <w:t xml:space="preserve">Extend product lifecycles </w:t>
      </w:r>
    </w:p>
    <w:p w14:paraId="2F3DD95F" w14:textId="77777777" w:rsidR="00A37C95" w:rsidRPr="00AD3CD0" w:rsidRDefault="00A37C95" w:rsidP="00AF517A">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AD3CD0">
        <w:rPr>
          <w:rFonts w:ascii="Arial" w:eastAsia="Times New Roman" w:hAnsi="Arial" w:cs="Arial"/>
          <w:kern w:val="0"/>
          <w:lang w:eastAsia="en-GB"/>
          <w14:ligatures w14:val="none"/>
        </w:rPr>
        <w:t xml:space="preserve">Reduce waste and overconsumption </w:t>
      </w:r>
    </w:p>
    <w:p w14:paraId="72C8E2E2" w14:textId="77777777" w:rsidR="00A37C95" w:rsidRPr="00AD3CD0" w:rsidRDefault="00A37C95" w:rsidP="00AF517A">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AD3CD0">
        <w:rPr>
          <w:rFonts w:ascii="Arial" w:eastAsia="Times New Roman" w:hAnsi="Arial" w:cs="Arial"/>
          <w:kern w:val="0"/>
          <w:lang w:eastAsia="en-GB"/>
          <w14:ligatures w14:val="none"/>
        </w:rPr>
        <w:t xml:space="preserve">Strengthen customer relationships </w:t>
      </w:r>
    </w:p>
    <w:p w14:paraId="78680AF7" w14:textId="16C5FF60" w:rsidR="00A37C95" w:rsidRPr="00AD3CD0" w:rsidRDefault="00A37C95" w:rsidP="00AF517A">
      <w:pPr>
        <w:spacing w:before="100" w:beforeAutospacing="1" w:after="100" w:afterAutospacing="1" w:line="360" w:lineRule="auto"/>
        <w:jc w:val="both"/>
        <w:rPr>
          <w:rFonts w:ascii="Arial" w:eastAsia="Times New Roman" w:hAnsi="Arial" w:cs="Arial"/>
          <w:kern w:val="0"/>
          <w:lang w:eastAsia="en-GB"/>
          <w14:ligatures w14:val="none"/>
        </w:rPr>
      </w:pPr>
      <w:r w:rsidRPr="00AD3CD0">
        <w:rPr>
          <w:rFonts w:ascii="Arial" w:eastAsia="Times New Roman" w:hAnsi="Arial" w:cs="Arial"/>
          <w:kern w:val="0"/>
          <w:lang w:eastAsia="en-GB"/>
          <w14:ligatures w14:val="none"/>
        </w:rPr>
        <w:t>From a sustainability perspective, this model aligns with circular economy principles by ensuring that products are returned, refurbished, and reused. From a business perspective, it creates recurring revenue streams and enhances customer loyalty</w:t>
      </w:r>
      <w:r w:rsidR="00F9695D">
        <w:rPr>
          <w:rFonts w:ascii="Arial" w:eastAsia="Times New Roman" w:hAnsi="Arial" w:cs="Arial"/>
          <w:kern w:val="0"/>
          <w:lang w:eastAsia="en-GB"/>
          <w14:ligatures w14:val="none"/>
        </w:rPr>
        <w:t xml:space="preserve"> </w:t>
      </w:r>
      <w:r w:rsidR="00F9695D">
        <w:rPr>
          <w:rFonts w:ascii="Arial" w:eastAsia="Times New Roman" w:hAnsi="Arial" w:cs="Arial"/>
          <w:kern w:val="0"/>
          <w:lang w:eastAsia="en-GB"/>
          <w14:ligatures w14:val="none"/>
        </w:rPr>
        <w:fldChar w:fldCharType="begin"/>
      </w:r>
      <w:r w:rsidR="00F9695D">
        <w:rPr>
          <w:rFonts w:ascii="Arial" w:eastAsia="Times New Roman" w:hAnsi="Arial" w:cs="Arial"/>
          <w:kern w:val="0"/>
          <w:lang w:eastAsia="en-GB"/>
          <w14:ligatures w14:val="none"/>
        </w:rPr>
        <w:instrText xml:space="preserve"> ADDIN ZOTERO_ITEM CSL_CITATION {"citationID":"pJsC6FLU","properties":{"formattedCitation":"(Golinska-Dawson {\\i{}et al.}, 2025)","plainCitation":"(Golinska-Dawson et al., 2025)","noteIndex":0},"citationItems":[{"id":470,"uris":["http://zotero.org/users/local/bh3OqUSh/items/BYQYG2EN"],"itemData":{"id":470,"type":"article-journal","container-title":"International Journal of Production Research","DOI":"10.1080/00207543.2024.2423798","ISSN":"0020-7543, 1366-588X","issue":"10","journalAbbreviation":"International Journal of Production Research","language":"en","page":"3854-3883","source":"DOI.org (Crossref)","title":"How can OEMs scale up remanufacturing in product-as-a-service (PaaS)? – challenges and enablers from a theoretical and industrial perspective","title-short":"How can OEMs scale up remanufacturing in product-as-a-service (PaaS)?","volume":"63","author":[{"family":"Golinska-Dawson","given":"P."},{"family":"Sakao","given":"T."},{"family":"Sundin","given":"E."},{"family":"Werner-Lewandowska","given":"K."}],"issued":{"date-parts":[["2025",5,19]]}}}],"schema":"https://github.com/citation-style-language/schema/raw/master/csl-citation.json"} </w:instrText>
      </w:r>
      <w:r w:rsidR="00F9695D">
        <w:rPr>
          <w:rFonts w:ascii="Arial" w:eastAsia="Times New Roman" w:hAnsi="Arial" w:cs="Arial"/>
          <w:kern w:val="0"/>
          <w:lang w:eastAsia="en-GB"/>
          <w14:ligatures w14:val="none"/>
        </w:rPr>
        <w:fldChar w:fldCharType="separate"/>
      </w:r>
      <w:r w:rsidR="00F9695D" w:rsidRPr="00F9695D">
        <w:rPr>
          <w:rFonts w:ascii="Arial" w:hAnsi="Arial" w:cs="Arial"/>
          <w:kern w:val="0"/>
        </w:rPr>
        <w:t xml:space="preserve">(Golinska-Dawson </w:t>
      </w:r>
      <w:r w:rsidR="00F9695D" w:rsidRPr="00F9695D">
        <w:rPr>
          <w:rFonts w:ascii="Arial" w:hAnsi="Arial" w:cs="Arial"/>
          <w:i/>
          <w:iCs/>
          <w:kern w:val="0"/>
        </w:rPr>
        <w:t>et al.</w:t>
      </w:r>
      <w:r w:rsidR="00F9695D" w:rsidRPr="00F9695D">
        <w:rPr>
          <w:rFonts w:ascii="Arial" w:hAnsi="Arial" w:cs="Arial"/>
          <w:kern w:val="0"/>
        </w:rPr>
        <w:t>, 2025)</w:t>
      </w:r>
      <w:r w:rsidR="00F9695D">
        <w:rPr>
          <w:rFonts w:ascii="Arial" w:eastAsia="Times New Roman" w:hAnsi="Arial" w:cs="Arial"/>
          <w:kern w:val="0"/>
          <w:lang w:eastAsia="en-GB"/>
          <w14:ligatures w14:val="none"/>
        </w:rPr>
        <w:fldChar w:fldCharType="end"/>
      </w:r>
      <w:r w:rsidRPr="00AD3CD0">
        <w:rPr>
          <w:rFonts w:ascii="Arial" w:eastAsia="Times New Roman" w:hAnsi="Arial" w:cs="Arial"/>
          <w:kern w:val="0"/>
          <w:lang w:eastAsia="en-GB"/>
          <w14:ligatures w14:val="none"/>
        </w:rPr>
        <w:t>.</w:t>
      </w:r>
      <w:r w:rsidR="00F9695D">
        <w:rPr>
          <w:rFonts w:ascii="Arial" w:eastAsia="Times New Roman" w:hAnsi="Arial" w:cs="Arial"/>
          <w:kern w:val="0"/>
          <w:lang w:eastAsia="en-GB"/>
          <w14:ligatures w14:val="none"/>
        </w:rPr>
        <w:t xml:space="preserve"> </w:t>
      </w:r>
      <w:r w:rsidRPr="00AD3CD0">
        <w:rPr>
          <w:rFonts w:ascii="Arial" w:eastAsia="Times New Roman" w:hAnsi="Arial" w:cs="Arial"/>
          <w:kern w:val="0"/>
          <w:lang w:eastAsia="en-GB"/>
          <w14:ligatures w14:val="none"/>
        </w:rPr>
        <w:t>However, implementing this model would require significant changes in logistics, inventory management, and customer behaviour, highlighting the need for careful strategic planning.</w:t>
      </w:r>
    </w:p>
    <w:p w14:paraId="3E43D12C" w14:textId="77777777" w:rsidR="00F9695D" w:rsidRDefault="00AD3CD0" w:rsidP="00AF517A">
      <w:pPr>
        <w:spacing w:before="100" w:beforeAutospacing="1" w:after="100" w:afterAutospacing="1" w:line="360" w:lineRule="auto"/>
        <w:jc w:val="both"/>
        <w:rPr>
          <w:rFonts w:ascii="Arial" w:eastAsia="Times New Roman" w:hAnsi="Arial" w:cs="Arial"/>
          <w:kern w:val="0"/>
          <w:lang w:eastAsia="en-GB"/>
          <w14:ligatures w14:val="none"/>
        </w:rPr>
      </w:pPr>
      <w:r w:rsidRPr="00AD3CD0">
        <w:rPr>
          <w:rFonts w:ascii="Arial" w:hAnsi="Arial" w:cs="Arial"/>
        </w:rPr>
        <w:lastRenderedPageBreak/>
        <w:t>The implementation of a product-as-a-service model would require phased development, beginning with pilot programmes in selected markets, followed by scaling based on consumer response. This approach reduces risk while allowing IKEA to test operational feasibility and customer acceptance.</w:t>
      </w:r>
    </w:p>
    <w:p w14:paraId="2235EB18" w14:textId="2FB14228" w:rsidR="00A37C95" w:rsidRPr="00F9695D" w:rsidRDefault="00A37C95" w:rsidP="00AF517A">
      <w:pPr>
        <w:spacing w:before="100" w:beforeAutospacing="1" w:after="100" w:afterAutospacing="1" w:line="360" w:lineRule="auto"/>
        <w:jc w:val="both"/>
        <w:rPr>
          <w:rFonts w:ascii="Arial" w:eastAsia="Times New Roman" w:hAnsi="Arial" w:cs="Arial"/>
          <w:b/>
          <w:bCs/>
          <w:kern w:val="0"/>
          <w:lang w:eastAsia="en-GB"/>
          <w14:ligatures w14:val="none"/>
        </w:rPr>
      </w:pPr>
      <w:r w:rsidRPr="00F9695D">
        <w:rPr>
          <w:rFonts w:ascii="Arial" w:eastAsia="Times New Roman" w:hAnsi="Arial" w:cs="Arial"/>
          <w:b/>
          <w:bCs/>
          <w:kern w:val="0"/>
          <w:lang w:eastAsia="en-GB"/>
          <w14:ligatures w14:val="none"/>
        </w:rPr>
        <w:t>Recommendation 2: Expansion of Repair and Reuse Infrastructure</w:t>
      </w:r>
    </w:p>
    <w:p w14:paraId="0988C905" w14:textId="77777777" w:rsidR="00A37C95" w:rsidRPr="00AD3CD0" w:rsidRDefault="00A37C95" w:rsidP="00AF517A">
      <w:pPr>
        <w:spacing w:before="100" w:beforeAutospacing="1" w:after="100" w:afterAutospacing="1" w:line="360" w:lineRule="auto"/>
        <w:jc w:val="both"/>
        <w:rPr>
          <w:rFonts w:ascii="Arial" w:eastAsia="Times New Roman" w:hAnsi="Arial" w:cs="Arial"/>
          <w:kern w:val="0"/>
          <w:lang w:eastAsia="en-GB"/>
          <w14:ligatures w14:val="none"/>
        </w:rPr>
      </w:pPr>
      <w:r w:rsidRPr="00AD3CD0">
        <w:rPr>
          <w:rFonts w:ascii="Arial" w:eastAsia="Times New Roman" w:hAnsi="Arial" w:cs="Arial"/>
          <w:kern w:val="0"/>
          <w:lang w:eastAsia="en-GB"/>
          <w14:ligatures w14:val="none"/>
        </w:rPr>
        <w:t>IKEA should significantly expand its repair, refurbishment, and reuse services across all markets.</w:t>
      </w:r>
    </w:p>
    <w:p w14:paraId="5F947B5D" w14:textId="77777777" w:rsidR="00A37C95" w:rsidRPr="00AD3CD0" w:rsidRDefault="00A37C95" w:rsidP="00AF517A">
      <w:pPr>
        <w:spacing w:before="100" w:beforeAutospacing="1" w:after="100" w:afterAutospacing="1" w:line="360" w:lineRule="auto"/>
        <w:jc w:val="both"/>
        <w:rPr>
          <w:rFonts w:ascii="Arial" w:eastAsia="Times New Roman" w:hAnsi="Arial" w:cs="Arial"/>
          <w:kern w:val="0"/>
          <w:lang w:eastAsia="en-GB"/>
          <w14:ligatures w14:val="none"/>
        </w:rPr>
      </w:pPr>
      <w:r w:rsidRPr="00AD3CD0">
        <w:rPr>
          <w:rFonts w:ascii="Arial" w:eastAsia="Times New Roman" w:hAnsi="Arial" w:cs="Arial"/>
          <w:kern w:val="0"/>
          <w:lang w:eastAsia="en-GB"/>
          <w14:ligatures w14:val="none"/>
        </w:rPr>
        <w:t>This includes:</w:t>
      </w:r>
    </w:p>
    <w:p w14:paraId="5E4D819D" w14:textId="77777777" w:rsidR="00A37C95" w:rsidRPr="00AD3CD0" w:rsidRDefault="00A37C95" w:rsidP="00AF517A">
      <w:pPr>
        <w:numPr>
          <w:ilvl w:val="0"/>
          <w:numId w:val="2"/>
        </w:numPr>
        <w:spacing w:before="100" w:beforeAutospacing="1" w:after="100" w:afterAutospacing="1" w:line="360" w:lineRule="auto"/>
        <w:jc w:val="both"/>
        <w:rPr>
          <w:rFonts w:ascii="Arial" w:eastAsia="Times New Roman" w:hAnsi="Arial" w:cs="Arial"/>
          <w:kern w:val="0"/>
          <w:lang w:eastAsia="en-GB"/>
          <w14:ligatures w14:val="none"/>
        </w:rPr>
      </w:pPr>
      <w:r w:rsidRPr="00AD3CD0">
        <w:rPr>
          <w:rFonts w:ascii="Arial" w:eastAsia="Times New Roman" w:hAnsi="Arial" w:cs="Arial"/>
          <w:kern w:val="0"/>
          <w:lang w:eastAsia="en-GB"/>
          <w14:ligatures w14:val="none"/>
        </w:rPr>
        <w:t xml:space="preserve">In-store repair centres </w:t>
      </w:r>
    </w:p>
    <w:p w14:paraId="5E725447" w14:textId="77777777" w:rsidR="00A37C95" w:rsidRPr="00AD3CD0" w:rsidRDefault="00A37C95" w:rsidP="00AF517A">
      <w:pPr>
        <w:numPr>
          <w:ilvl w:val="0"/>
          <w:numId w:val="2"/>
        </w:numPr>
        <w:spacing w:before="100" w:beforeAutospacing="1" w:after="100" w:afterAutospacing="1" w:line="360" w:lineRule="auto"/>
        <w:jc w:val="both"/>
        <w:rPr>
          <w:rFonts w:ascii="Arial" w:eastAsia="Times New Roman" w:hAnsi="Arial" w:cs="Arial"/>
          <w:kern w:val="0"/>
          <w:lang w:eastAsia="en-GB"/>
          <w14:ligatures w14:val="none"/>
        </w:rPr>
      </w:pPr>
      <w:r w:rsidRPr="00AD3CD0">
        <w:rPr>
          <w:rFonts w:ascii="Arial" w:eastAsia="Times New Roman" w:hAnsi="Arial" w:cs="Arial"/>
          <w:kern w:val="0"/>
          <w:lang w:eastAsia="en-GB"/>
          <w14:ligatures w14:val="none"/>
        </w:rPr>
        <w:t xml:space="preserve">Availability of spare parts </w:t>
      </w:r>
    </w:p>
    <w:p w14:paraId="63180560" w14:textId="77777777" w:rsidR="00A37C95" w:rsidRPr="00AD3CD0" w:rsidRDefault="00A37C95" w:rsidP="00AF517A">
      <w:pPr>
        <w:numPr>
          <w:ilvl w:val="0"/>
          <w:numId w:val="2"/>
        </w:numPr>
        <w:spacing w:before="100" w:beforeAutospacing="1" w:after="100" w:afterAutospacing="1" w:line="360" w:lineRule="auto"/>
        <w:jc w:val="both"/>
        <w:rPr>
          <w:rFonts w:ascii="Arial" w:eastAsia="Times New Roman" w:hAnsi="Arial" w:cs="Arial"/>
          <w:kern w:val="0"/>
          <w:lang w:eastAsia="en-GB"/>
          <w14:ligatures w14:val="none"/>
        </w:rPr>
      </w:pPr>
      <w:r w:rsidRPr="00AD3CD0">
        <w:rPr>
          <w:rFonts w:ascii="Arial" w:eastAsia="Times New Roman" w:hAnsi="Arial" w:cs="Arial"/>
          <w:kern w:val="0"/>
          <w:lang w:eastAsia="en-GB"/>
          <w14:ligatures w14:val="none"/>
        </w:rPr>
        <w:t xml:space="preserve">Refurbishment hubs for returned products </w:t>
      </w:r>
    </w:p>
    <w:p w14:paraId="3177C4ED" w14:textId="36DF3E37" w:rsidR="00AD3CD0" w:rsidRDefault="00A37C95" w:rsidP="00AF517A">
      <w:pPr>
        <w:spacing w:before="100" w:beforeAutospacing="1" w:after="100" w:afterAutospacing="1" w:line="360" w:lineRule="auto"/>
        <w:jc w:val="both"/>
        <w:rPr>
          <w:rFonts w:ascii="Arial" w:eastAsia="Times New Roman" w:hAnsi="Arial" w:cs="Arial"/>
          <w:kern w:val="0"/>
          <w:lang w:eastAsia="en-GB"/>
          <w14:ligatures w14:val="none"/>
        </w:rPr>
      </w:pPr>
      <w:r w:rsidRPr="00AD3CD0">
        <w:rPr>
          <w:rFonts w:ascii="Arial" w:eastAsia="Times New Roman" w:hAnsi="Arial" w:cs="Arial"/>
          <w:kern w:val="0"/>
          <w:lang w:eastAsia="en-GB"/>
          <w14:ligatures w14:val="none"/>
        </w:rPr>
        <w:t>Such initiatives would reduce waste, extend product lifecycles, and reinforce IKEA’s sustainability positioning.</w:t>
      </w:r>
      <w:r w:rsidR="00F9695D">
        <w:rPr>
          <w:rFonts w:ascii="Arial" w:eastAsia="Times New Roman" w:hAnsi="Arial" w:cs="Arial"/>
          <w:kern w:val="0"/>
          <w:lang w:eastAsia="en-GB"/>
          <w14:ligatures w14:val="none"/>
        </w:rPr>
        <w:t xml:space="preserve"> </w:t>
      </w:r>
      <w:r w:rsidRPr="00AD3CD0">
        <w:rPr>
          <w:rFonts w:ascii="Arial" w:eastAsia="Times New Roman" w:hAnsi="Arial" w:cs="Arial"/>
          <w:kern w:val="0"/>
          <w:lang w:eastAsia="en-GB"/>
          <w14:ligatures w14:val="none"/>
        </w:rPr>
        <w:t>Critically, this also shifts responsibility away from consumers alone and embeds circularity within the organisation’s operational systems.</w:t>
      </w:r>
    </w:p>
    <w:p w14:paraId="303FE268" w14:textId="426B826F" w:rsidR="00A37C95" w:rsidRPr="00F9695D" w:rsidRDefault="00A37C95" w:rsidP="00AF517A">
      <w:pPr>
        <w:spacing w:before="100" w:beforeAutospacing="1" w:after="100" w:afterAutospacing="1" w:line="360" w:lineRule="auto"/>
        <w:jc w:val="both"/>
        <w:rPr>
          <w:rFonts w:ascii="Arial" w:eastAsia="Times New Roman" w:hAnsi="Arial" w:cs="Arial"/>
          <w:b/>
          <w:bCs/>
          <w:kern w:val="0"/>
          <w:lang w:eastAsia="en-GB"/>
          <w14:ligatures w14:val="none"/>
        </w:rPr>
      </w:pPr>
      <w:r w:rsidRPr="00AD3CD0">
        <w:rPr>
          <w:rFonts w:ascii="Arial" w:eastAsia="Times New Roman" w:hAnsi="Arial" w:cs="Arial"/>
          <w:kern w:val="0"/>
          <w:lang w:eastAsia="en-GB"/>
          <w14:ligatures w14:val="none"/>
        </w:rPr>
        <w:t xml:space="preserve"> </w:t>
      </w:r>
      <w:r w:rsidRPr="00F9695D">
        <w:rPr>
          <w:rFonts w:ascii="Arial" w:eastAsia="Times New Roman" w:hAnsi="Arial" w:cs="Arial"/>
          <w:b/>
          <w:bCs/>
          <w:kern w:val="0"/>
          <w:lang w:eastAsia="en-GB"/>
          <w14:ligatures w14:val="none"/>
        </w:rPr>
        <w:t>Recommendation 3: Digital Circular Platform</w:t>
      </w:r>
    </w:p>
    <w:p w14:paraId="1DDD814E" w14:textId="77777777" w:rsidR="00A37C95" w:rsidRPr="00AD3CD0" w:rsidRDefault="00A37C95" w:rsidP="00AF517A">
      <w:pPr>
        <w:spacing w:before="100" w:beforeAutospacing="1" w:after="100" w:afterAutospacing="1" w:line="360" w:lineRule="auto"/>
        <w:jc w:val="both"/>
        <w:rPr>
          <w:rFonts w:ascii="Arial" w:eastAsia="Times New Roman" w:hAnsi="Arial" w:cs="Arial"/>
          <w:kern w:val="0"/>
          <w:lang w:eastAsia="en-GB"/>
          <w14:ligatures w14:val="none"/>
        </w:rPr>
      </w:pPr>
      <w:r w:rsidRPr="00AD3CD0">
        <w:rPr>
          <w:rFonts w:ascii="Arial" w:eastAsia="Times New Roman" w:hAnsi="Arial" w:cs="Arial"/>
          <w:kern w:val="0"/>
          <w:lang w:eastAsia="en-GB"/>
          <w14:ligatures w14:val="none"/>
        </w:rPr>
        <w:t>IKEA should invest in a digital platform that supports circular practices, including:</w:t>
      </w:r>
    </w:p>
    <w:p w14:paraId="55B658CA" w14:textId="77777777" w:rsidR="00A37C95" w:rsidRPr="00AD3CD0" w:rsidRDefault="00A37C95" w:rsidP="00AF517A">
      <w:pPr>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AD3CD0">
        <w:rPr>
          <w:rFonts w:ascii="Arial" w:eastAsia="Times New Roman" w:hAnsi="Arial" w:cs="Arial"/>
          <w:kern w:val="0"/>
          <w:lang w:eastAsia="en-GB"/>
          <w14:ligatures w14:val="none"/>
        </w:rPr>
        <w:t xml:space="preserve">Product resale marketplace </w:t>
      </w:r>
    </w:p>
    <w:p w14:paraId="4F7913D9" w14:textId="77777777" w:rsidR="00A37C95" w:rsidRPr="00AD3CD0" w:rsidRDefault="00A37C95" w:rsidP="00AF517A">
      <w:pPr>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AD3CD0">
        <w:rPr>
          <w:rFonts w:ascii="Arial" w:eastAsia="Times New Roman" w:hAnsi="Arial" w:cs="Arial"/>
          <w:kern w:val="0"/>
          <w:lang w:eastAsia="en-GB"/>
          <w14:ligatures w14:val="none"/>
        </w:rPr>
        <w:t xml:space="preserve">Lifecycle tracking </w:t>
      </w:r>
    </w:p>
    <w:p w14:paraId="72FB5D32" w14:textId="77777777" w:rsidR="00A37C95" w:rsidRPr="00AD3CD0" w:rsidRDefault="00A37C95" w:rsidP="00AF517A">
      <w:pPr>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AD3CD0">
        <w:rPr>
          <w:rFonts w:ascii="Arial" w:eastAsia="Times New Roman" w:hAnsi="Arial" w:cs="Arial"/>
          <w:kern w:val="0"/>
          <w:lang w:eastAsia="en-GB"/>
          <w14:ligatures w14:val="none"/>
        </w:rPr>
        <w:t xml:space="preserve">Customer engagement tools </w:t>
      </w:r>
    </w:p>
    <w:p w14:paraId="3033408D" w14:textId="77777777" w:rsidR="00A37C95" w:rsidRPr="00AD3CD0" w:rsidRDefault="00A37C95" w:rsidP="00AF517A">
      <w:pPr>
        <w:spacing w:before="100" w:beforeAutospacing="1" w:after="100" w:afterAutospacing="1" w:line="360" w:lineRule="auto"/>
        <w:jc w:val="both"/>
        <w:rPr>
          <w:rFonts w:ascii="Arial" w:eastAsia="Times New Roman" w:hAnsi="Arial" w:cs="Arial"/>
          <w:kern w:val="0"/>
          <w:lang w:eastAsia="en-GB"/>
          <w14:ligatures w14:val="none"/>
        </w:rPr>
      </w:pPr>
      <w:r w:rsidRPr="00AD3CD0">
        <w:rPr>
          <w:rFonts w:ascii="Arial" w:eastAsia="Times New Roman" w:hAnsi="Arial" w:cs="Arial"/>
          <w:kern w:val="0"/>
          <w:lang w:eastAsia="en-GB"/>
          <w14:ligatures w14:val="none"/>
        </w:rPr>
        <w:t>Digital technologies can improve transparency and enable customers to participate more effectively in circular systems. For example, tracking product usage and condition can support resale and refurbishment processes.</w:t>
      </w:r>
    </w:p>
    <w:p w14:paraId="174FD0C7" w14:textId="06CDF689" w:rsidR="00AD3CD0" w:rsidRDefault="00A37C95" w:rsidP="00AF517A">
      <w:pPr>
        <w:spacing w:before="100" w:beforeAutospacing="1" w:after="100" w:afterAutospacing="1" w:line="360" w:lineRule="auto"/>
        <w:jc w:val="both"/>
        <w:rPr>
          <w:rFonts w:ascii="Arial" w:eastAsia="Times New Roman" w:hAnsi="Arial" w:cs="Arial"/>
          <w:kern w:val="0"/>
          <w:lang w:eastAsia="en-GB"/>
          <w14:ligatures w14:val="none"/>
        </w:rPr>
      </w:pPr>
      <w:r w:rsidRPr="00AD3CD0">
        <w:rPr>
          <w:rFonts w:ascii="Arial" w:eastAsia="Times New Roman" w:hAnsi="Arial" w:cs="Arial"/>
          <w:kern w:val="0"/>
          <w:lang w:eastAsia="en-GB"/>
          <w14:ligatures w14:val="none"/>
        </w:rPr>
        <w:t>This recommendation also aligns with technological trends identified in the PESTLE analysis, strengthening IKEA’s competitive advantage</w:t>
      </w:r>
      <w:r w:rsidR="00655DE4">
        <w:rPr>
          <w:rFonts w:ascii="Arial" w:eastAsia="Times New Roman" w:hAnsi="Arial" w:cs="Arial"/>
          <w:kern w:val="0"/>
          <w:lang w:eastAsia="en-GB"/>
          <w14:ligatures w14:val="none"/>
        </w:rPr>
        <w:t>.</w:t>
      </w:r>
    </w:p>
    <w:p w14:paraId="5D3BD4F5" w14:textId="77777777" w:rsidR="00204A8F" w:rsidRDefault="00204A8F" w:rsidP="00AF517A">
      <w:pPr>
        <w:spacing w:before="100" w:beforeAutospacing="1" w:after="100" w:afterAutospacing="1" w:line="360" w:lineRule="auto"/>
        <w:jc w:val="both"/>
        <w:rPr>
          <w:rFonts w:ascii="Arial" w:eastAsia="Times New Roman" w:hAnsi="Arial" w:cs="Arial"/>
          <w:kern w:val="0"/>
          <w:lang w:eastAsia="en-GB"/>
          <w14:ligatures w14:val="none"/>
        </w:rPr>
      </w:pPr>
    </w:p>
    <w:p w14:paraId="1CE1B601" w14:textId="4433EE75" w:rsidR="00A37C95" w:rsidRPr="00F9695D" w:rsidRDefault="00A37C95" w:rsidP="00AF517A">
      <w:pPr>
        <w:spacing w:before="100" w:beforeAutospacing="1" w:after="100" w:afterAutospacing="1" w:line="360" w:lineRule="auto"/>
        <w:jc w:val="both"/>
        <w:rPr>
          <w:rFonts w:ascii="Arial" w:eastAsia="Times New Roman" w:hAnsi="Arial" w:cs="Arial"/>
          <w:b/>
          <w:bCs/>
          <w:kern w:val="0"/>
          <w:lang w:eastAsia="en-GB"/>
          <w14:ligatures w14:val="none"/>
        </w:rPr>
      </w:pPr>
      <w:r w:rsidRPr="00F9695D">
        <w:rPr>
          <w:rFonts w:ascii="Arial" w:eastAsia="Times New Roman" w:hAnsi="Arial" w:cs="Arial"/>
          <w:b/>
          <w:bCs/>
          <w:kern w:val="0"/>
          <w:lang w:eastAsia="en-GB"/>
          <w14:ligatures w14:val="none"/>
        </w:rPr>
        <w:lastRenderedPageBreak/>
        <w:t>Recommendation 4: Sustainable Supply Chain Innovation</w:t>
      </w:r>
    </w:p>
    <w:p w14:paraId="1A10106B" w14:textId="77777777" w:rsidR="00A37C95" w:rsidRPr="00AD3CD0" w:rsidRDefault="00A37C95" w:rsidP="00AF517A">
      <w:pPr>
        <w:spacing w:before="100" w:beforeAutospacing="1" w:after="100" w:afterAutospacing="1" w:line="360" w:lineRule="auto"/>
        <w:jc w:val="both"/>
        <w:rPr>
          <w:rFonts w:ascii="Arial" w:eastAsia="Times New Roman" w:hAnsi="Arial" w:cs="Arial"/>
          <w:kern w:val="0"/>
          <w:lang w:eastAsia="en-GB"/>
          <w14:ligatures w14:val="none"/>
        </w:rPr>
      </w:pPr>
      <w:r w:rsidRPr="00AD3CD0">
        <w:rPr>
          <w:rFonts w:ascii="Arial" w:eastAsia="Times New Roman" w:hAnsi="Arial" w:cs="Arial"/>
          <w:kern w:val="0"/>
          <w:lang w:eastAsia="en-GB"/>
          <w14:ligatures w14:val="none"/>
        </w:rPr>
        <w:t>To address supply chain challenges, IKEA should adopt advanced technologies such as:</w:t>
      </w:r>
    </w:p>
    <w:p w14:paraId="75529A5B" w14:textId="77777777" w:rsidR="00A37C95" w:rsidRPr="00AD3CD0" w:rsidRDefault="00A37C95" w:rsidP="00AF517A">
      <w:pPr>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AD3CD0">
        <w:rPr>
          <w:rFonts w:ascii="Arial" w:eastAsia="Times New Roman" w:hAnsi="Arial" w:cs="Arial"/>
          <w:kern w:val="0"/>
          <w:lang w:eastAsia="en-GB"/>
          <w14:ligatures w14:val="none"/>
        </w:rPr>
        <w:t xml:space="preserve">Blockchain for supply chain transparency </w:t>
      </w:r>
    </w:p>
    <w:p w14:paraId="7CF88BD1" w14:textId="77777777" w:rsidR="00A37C95" w:rsidRPr="00AD3CD0" w:rsidRDefault="00A37C95" w:rsidP="00AF517A">
      <w:pPr>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AD3CD0">
        <w:rPr>
          <w:rFonts w:ascii="Arial" w:eastAsia="Times New Roman" w:hAnsi="Arial" w:cs="Arial"/>
          <w:kern w:val="0"/>
          <w:lang w:eastAsia="en-GB"/>
          <w14:ligatures w14:val="none"/>
        </w:rPr>
        <w:t xml:space="preserve">AI-driven monitoring systems </w:t>
      </w:r>
    </w:p>
    <w:p w14:paraId="6618CD61" w14:textId="77777777" w:rsidR="00A37C95" w:rsidRPr="00AD3CD0" w:rsidRDefault="00A37C95" w:rsidP="00AF517A">
      <w:pPr>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AD3CD0">
        <w:rPr>
          <w:rFonts w:ascii="Arial" w:eastAsia="Times New Roman" w:hAnsi="Arial" w:cs="Arial"/>
          <w:kern w:val="0"/>
          <w:lang w:eastAsia="en-GB"/>
          <w14:ligatures w14:val="none"/>
        </w:rPr>
        <w:t xml:space="preserve">Sustainable material innovation </w:t>
      </w:r>
    </w:p>
    <w:p w14:paraId="608BF733" w14:textId="77777777" w:rsidR="00A37C95" w:rsidRPr="00AD3CD0" w:rsidRDefault="00A37C95" w:rsidP="00AF517A">
      <w:pPr>
        <w:spacing w:before="100" w:beforeAutospacing="1" w:after="100" w:afterAutospacing="1" w:line="360" w:lineRule="auto"/>
        <w:jc w:val="both"/>
        <w:rPr>
          <w:rFonts w:ascii="Arial" w:eastAsia="Times New Roman" w:hAnsi="Arial" w:cs="Arial"/>
          <w:kern w:val="0"/>
          <w:lang w:eastAsia="en-GB"/>
          <w14:ligatures w14:val="none"/>
        </w:rPr>
      </w:pPr>
      <w:r w:rsidRPr="00AD3CD0">
        <w:rPr>
          <w:rFonts w:ascii="Arial" w:eastAsia="Times New Roman" w:hAnsi="Arial" w:cs="Arial"/>
          <w:kern w:val="0"/>
          <w:lang w:eastAsia="en-GB"/>
          <w14:ligatures w14:val="none"/>
        </w:rPr>
        <w:t>These technologies can enhance traceability, ensure ethical sourcing, and reduce environmental impact.</w:t>
      </w:r>
    </w:p>
    <w:p w14:paraId="4F2D90D7" w14:textId="77777777" w:rsidR="00AD3CD0" w:rsidRDefault="00A37C95" w:rsidP="00AF517A">
      <w:pPr>
        <w:spacing w:before="100" w:beforeAutospacing="1" w:after="100" w:afterAutospacing="1" w:line="360" w:lineRule="auto"/>
        <w:jc w:val="both"/>
        <w:rPr>
          <w:rFonts w:ascii="Arial" w:eastAsia="Times New Roman" w:hAnsi="Arial" w:cs="Arial"/>
          <w:kern w:val="0"/>
          <w:lang w:eastAsia="en-GB"/>
          <w14:ligatures w14:val="none"/>
        </w:rPr>
      </w:pPr>
      <w:r w:rsidRPr="00AD3CD0">
        <w:rPr>
          <w:rFonts w:ascii="Arial" w:eastAsia="Times New Roman" w:hAnsi="Arial" w:cs="Arial"/>
          <w:kern w:val="0"/>
          <w:lang w:eastAsia="en-GB"/>
          <w14:ligatures w14:val="none"/>
        </w:rPr>
        <w:t>This is particularly important given the risks associated with global supply chain complexity and increasing regulatory pressure.</w:t>
      </w:r>
    </w:p>
    <w:p w14:paraId="4687FFBC" w14:textId="361E9B03" w:rsidR="00A37C95" w:rsidRPr="00F9695D" w:rsidRDefault="00A37C95" w:rsidP="00AF517A">
      <w:pPr>
        <w:spacing w:before="100" w:beforeAutospacing="1" w:after="100" w:afterAutospacing="1" w:line="360" w:lineRule="auto"/>
        <w:jc w:val="both"/>
        <w:rPr>
          <w:rFonts w:ascii="Arial" w:eastAsia="Times New Roman" w:hAnsi="Arial" w:cs="Arial"/>
          <w:b/>
          <w:bCs/>
          <w:kern w:val="0"/>
          <w:lang w:eastAsia="en-GB"/>
          <w14:ligatures w14:val="none"/>
        </w:rPr>
      </w:pPr>
      <w:r w:rsidRPr="00F9695D">
        <w:rPr>
          <w:rFonts w:ascii="Arial" w:eastAsia="Times New Roman" w:hAnsi="Arial" w:cs="Arial"/>
          <w:b/>
          <w:bCs/>
          <w:kern w:val="0"/>
          <w:lang w:eastAsia="en-GB"/>
          <w14:ligatures w14:val="none"/>
        </w:rPr>
        <w:t>Recommendation 5: Behaviour Change and Incentive Strategy</w:t>
      </w:r>
    </w:p>
    <w:p w14:paraId="6A6AA743" w14:textId="77777777" w:rsidR="00A37C95" w:rsidRPr="00AD3CD0" w:rsidRDefault="00A37C95" w:rsidP="00AF517A">
      <w:pPr>
        <w:spacing w:before="100" w:beforeAutospacing="1" w:after="100" w:afterAutospacing="1" w:line="360" w:lineRule="auto"/>
        <w:jc w:val="both"/>
        <w:rPr>
          <w:rFonts w:ascii="Arial" w:eastAsia="Times New Roman" w:hAnsi="Arial" w:cs="Arial"/>
          <w:kern w:val="0"/>
          <w:lang w:eastAsia="en-GB"/>
          <w14:ligatures w14:val="none"/>
        </w:rPr>
      </w:pPr>
      <w:r w:rsidRPr="00AD3CD0">
        <w:rPr>
          <w:rFonts w:ascii="Arial" w:eastAsia="Times New Roman" w:hAnsi="Arial" w:cs="Arial"/>
          <w:kern w:val="0"/>
          <w:lang w:eastAsia="en-GB"/>
          <w14:ligatures w14:val="none"/>
        </w:rPr>
        <w:t>Since consumer behaviour remains a key limitation, IKEA should introduce incentives to encourage sustainable behaviour, such as:</w:t>
      </w:r>
    </w:p>
    <w:p w14:paraId="189F989F" w14:textId="77777777" w:rsidR="00A37C95" w:rsidRPr="00AD3CD0" w:rsidRDefault="00A37C95" w:rsidP="00AF517A">
      <w:pPr>
        <w:numPr>
          <w:ilvl w:val="0"/>
          <w:numId w:val="5"/>
        </w:numPr>
        <w:spacing w:before="100" w:beforeAutospacing="1" w:after="100" w:afterAutospacing="1" w:line="360" w:lineRule="auto"/>
        <w:jc w:val="both"/>
        <w:rPr>
          <w:rFonts w:ascii="Arial" w:eastAsia="Times New Roman" w:hAnsi="Arial" w:cs="Arial"/>
          <w:kern w:val="0"/>
          <w:lang w:eastAsia="en-GB"/>
          <w14:ligatures w14:val="none"/>
        </w:rPr>
      </w:pPr>
      <w:r w:rsidRPr="00AD3CD0">
        <w:rPr>
          <w:rFonts w:ascii="Arial" w:eastAsia="Times New Roman" w:hAnsi="Arial" w:cs="Arial"/>
          <w:kern w:val="0"/>
          <w:lang w:eastAsia="en-GB"/>
          <w14:ligatures w14:val="none"/>
        </w:rPr>
        <w:t xml:space="preserve">Discounts for returning used products </w:t>
      </w:r>
    </w:p>
    <w:p w14:paraId="3DAED917" w14:textId="77777777" w:rsidR="00A37C95" w:rsidRPr="00AD3CD0" w:rsidRDefault="00A37C95" w:rsidP="00AF517A">
      <w:pPr>
        <w:numPr>
          <w:ilvl w:val="0"/>
          <w:numId w:val="5"/>
        </w:numPr>
        <w:spacing w:before="100" w:beforeAutospacing="1" w:after="100" w:afterAutospacing="1" w:line="360" w:lineRule="auto"/>
        <w:jc w:val="both"/>
        <w:rPr>
          <w:rFonts w:ascii="Arial" w:eastAsia="Times New Roman" w:hAnsi="Arial" w:cs="Arial"/>
          <w:kern w:val="0"/>
          <w:lang w:eastAsia="en-GB"/>
          <w14:ligatures w14:val="none"/>
        </w:rPr>
      </w:pPr>
      <w:r w:rsidRPr="00AD3CD0">
        <w:rPr>
          <w:rFonts w:ascii="Arial" w:eastAsia="Times New Roman" w:hAnsi="Arial" w:cs="Arial"/>
          <w:kern w:val="0"/>
          <w:lang w:eastAsia="en-GB"/>
          <w14:ligatures w14:val="none"/>
        </w:rPr>
        <w:t xml:space="preserve">Rewards for participating in recycling schemes </w:t>
      </w:r>
    </w:p>
    <w:p w14:paraId="77CB0C36" w14:textId="77777777" w:rsidR="00A37C95" w:rsidRPr="00AD3CD0" w:rsidRDefault="00A37C95" w:rsidP="00AF517A">
      <w:pPr>
        <w:numPr>
          <w:ilvl w:val="0"/>
          <w:numId w:val="5"/>
        </w:numPr>
        <w:spacing w:before="100" w:beforeAutospacing="1" w:after="100" w:afterAutospacing="1" w:line="360" w:lineRule="auto"/>
        <w:jc w:val="both"/>
        <w:rPr>
          <w:rFonts w:ascii="Arial" w:eastAsia="Times New Roman" w:hAnsi="Arial" w:cs="Arial"/>
          <w:kern w:val="0"/>
          <w:lang w:eastAsia="en-GB"/>
          <w14:ligatures w14:val="none"/>
        </w:rPr>
      </w:pPr>
      <w:r w:rsidRPr="00AD3CD0">
        <w:rPr>
          <w:rFonts w:ascii="Arial" w:eastAsia="Times New Roman" w:hAnsi="Arial" w:cs="Arial"/>
          <w:kern w:val="0"/>
          <w:lang w:eastAsia="en-GB"/>
          <w14:ligatures w14:val="none"/>
        </w:rPr>
        <w:t xml:space="preserve">Awareness campaigns on sustainable consumption </w:t>
      </w:r>
    </w:p>
    <w:p w14:paraId="77D7F88A" w14:textId="68F22557" w:rsidR="00A37C95" w:rsidRPr="00AD3CD0" w:rsidRDefault="00A37C95" w:rsidP="00AF517A">
      <w:pPr>
        <w:spacing w:before="100" w:beforeAutospacing="1" w:after="100" w:afterAutospacing="1" w:line="360" w:lineRule="auto"/>
        <w:jc w:val="both"/>
        <w:rPr>
          <w:rFonts w:ascii="Arial" w:eastAsia="Times New Roman" w:hAnsi="Arial" w:cs="Arial"/>
          <w:kern w:val="0"/>
          <w:lang w:eastAsia="en-GB"/>
          <w14:ligatures w14:val="none"/>
        </w:rPr>
      </w:pPr>
      <w:r w:rsidRPr="00AD3CD0">
        <w:rPr>
          <w:rFonts w:ascii="Arial" w:eastAsia="Times New Roman" w:hAnsi="Arial" w:cs="Arial"/>
          <w:kern w:val="0"/>
          <w:lang w:eastAsia="en-GB"/>
          <w14:ligatures w14:val="none"/>
        </w:rPr>
        <w:t>This strategy acknowledges that sustainability cannot rely solely on voluntary participation and requires active engagement and motivation</w:t>
      </w:r>
      <w:r w:rsidR="00F53F4C">
        <w:rPr>
          <w:rFonts w:ascii="Arial" w:eastAsia="Times New Roman" w:hAnsi="Arial" w:cs="Arial"/>
          <w:kern w:val="0"/>
          <w:lang w:eastAsia="en-GB"/>
          <w14:ligatures w14:val="none"/>
        </w:rPr>
        <w:t xml:space="preserve"> </w:t>
      </w:r>
      <w:r w:rsidR="00F53F4C">
        <w:rPr>
          <w:rFonts w:ascii="Arial" w:eastAsia="Times New Roman" w:hAnsi="Arial" w:cs="Arial"/>
          <w:kern w:val="0"/>
          <w:lang w:eastAsia="en-GB"/>
          <w14:ligatures w14:val="none"/>
        </w:rPr>
        <w:fldChar w:fldCharType="begin"/>
      </w:r>
      <w:r w:rsidR="00F53F4C">
        <w:rPr>
          <w:rFonts w:ascii="Arial" w:eastAsia="Times New Roman" w:hAnsi="Arial" w:cs="Arial"/>
          <w:kern w:val="0"/>
          <w:lang w:eastAsia="en-GB"/>
          <w14:ligatures w14:val="none"/>
        </w:rPr>
        <w:instrText xml:space="preserve"> ADDIN ZOTERO_ITEM CSL_CITATION {"citationID":"2zzr2j1n","properties":{"formattedCitation":"(Laurin and Fantazy, 2017b)","plainCitation":"(Laurin and Fantazy, 2017b)","noteIndex":0},"citationItems":[{"id":473,"uris":["http://zotero.org/users/local/bh3OqUSh/items/NF3BRHJJ"],"itemData":{"id":473,"type":"article-journal","abstract":"While sustainability is central to research on supply chains, there has been relatively little research on diversity and impact on supply chain sustainability performance. Such practices, also called sustainable plans, are the ones that improve not only supply chain economic performance, but also their environmental and social performances. Stakeholders are increasingly exerting pressure on organisations to adopt sustainable practices within their firm and across their supply chain. This one case pilot study explores the extent to which IKEA has successfully integrated sustainability practices into the management of the supply chain. We analyse sustainability practices using data gathered from IKEA as a global case study. Our research findings reveal that sustainability practices can be successfully implemented across an organisation’s entire supply chain, including second and third tier suppliers to gain positive environmental and social impacts while still promoting a strong economic bottom line. The article wraps up with a general discussion, limitations, as well as opportunities for future research, and lastly with concluding remarks.","container-title":"Transnational Corporations Review","DOI":"10.1080/19186444.2017.1401208","ISSN":"19252099","issue":"4","journalAbbreviation":"Transnational Corporations Review","language":"en","page":"309-318","source":"DOI.org (Crossref)","title":"Sustainable supply chain management: a case study at IKEA","title-short":"Sustainable supply chain management","volume":"9","author":[{"family":"Laurin","given":"Francine"},{"family":"Fantazy","given":"Kamel"}],"issued":{"date-parts":[["2017",12]]}}}],"schema":"https://github.com/citation-style-language/schema/raw/master/csl-citation.json"} </w:instrText>
      </w:r>
      <w:r w:rsidR="00F53F4C">
        <w:rPr>
          <w:rFonts w:ascii="Arial" w:eastAsia="Times New Roman" w:hAnsi="Arial" w:cs="Arial"/>
          <w:kern w:val="0"/>
          <w:lang w:eastAsia="en-GB"/>
          <w14:ligatures w14:val="none"/>
        </w:rPr>
        <w:fldChar w:fldCharType="separate"/>
      </w:r>
      <w:r w:rsidR="00F53F4C" w:rsidRPr="00F53F4C">
        <w:rPr>
          <w:rFonts w:ascii="Arial" w:hAnsi="Arial" w:cs="Arial"/>
          <w:lang w:eastAsia="en-GB"/>
        </w:rPr>
        <w:t>(Laurin and Fantazy, 2017b)</w:t>
      </w:r>
      <w:r w:rsidR="00F53F4C">
        <w:rPr>
          <w:rFonts w:ascii="Arial" w:eastAsia="Times New Roman" w:hAnsi="Arial" w:cs="Arial"/>
          <w:kern w:val="0"/>
          <w:lang w:eastAsia="en-GB"/>
          <w14:ligatures w14:val="none"/>
        </w:rPr>
        <w:fldChar w:fldCharType="end"/>
      </w:r>
      <w:r w:rsidR="00F53F4C">
        <w:rPr>
          <w:rFonts w:ascii="Arial" w:eastAsia="Times New Roman" w:hAnsi="Arial" w:cs="Arial"/>
          <w:kern w:val="0"/>
          <w:lang w:eastAsia="en-GB"/>
          <w14:ligatures w14:val="none"/>
        </w:rPr>
        <w:t>.</w:t>
      </w:r>
    </w:p>
    <w:p w14:paraId="7C4C00C7" w14:textId="23F6689D" w:rsidR="00AD3CD0" w:rsidRDefault="00A37C95" w:rsidP="00AF517A">
      <w:pPr>
        <w:spacing w:before="100" w:beforeAutospacing="1" w:after="100" w:afterAutospacing="1" w:line="360" w:lineRule="auto"/>
        <w:jc w:val="both"/>
        <w:rPr>
          <w:rFonts w:ascii="Arial" w:eastAsia="Times New Roman" w:hAnsi="Arial" w:cs="Arial"/>
          <w:kern w:val="0"/>
          <w:lang w:eastAsia="en-GB"/>
          <w14:ligatures w14:val="none"/>
        </w:rPr>
      </w:pPr>
      <w:r w:rsidRPr="00AD3CD0">
        <w:rPr>
          <w:rFonts w:ascii="Arial" w:eastAsia="Times New Roman" w:hAnsi="Arial" w:cs="Arial"/>
          <w:kern w:val="0"/>
          <w:lang w:eastAsia="en-GB"/>
          <w14:ligatures w14:val="none"/>
        </w:rPr>
        <w:t>While these recommendations provide a pathway towards sustainability, they also present challenges. Transitioning to a service-based model may increase operational complexity and require significant investment. Additionally, consumer acceptance of new models such as leasing may be uncertain.</w:t>
      </w:r>
      <w:r w:rsidR="00F9695D">
        <w:rPr>
          <w:rFonts w:ascii="Arial" w:eastAsia="Times New Roman" w:hAnsi="Arial" w:cs="Arial"/>
          <w:kern w:val="0"/>
          <w:lang w:eastAsia="en-GB"/>
          <w14:ligatures w14:val="none"/>
        </w:rPr>
        <w:t xml:space="preserve"> </w:t>
      </w:r>
      <w:r w:rsidRPr="00AD3CD0">
        <w:rPr>
          <w:rFonts w:ascii="Arial" w:eastAsia="Times New Roman" w:hAnsi="Arial" w:cs="Arial"/>
          <w:kern w:val="0"/>
          <w:lang w:eastAsia="en-GB"/>
          <w14:ligatures w14:val="none"/>
        </w:rPr>
        <w:t>However, despite these challenges, such transformation is necessary to address the fundamental contradiction between IKEA’s current business model and sustainability principles. Incremental improvements are unlikely to be sufficient in achieving long-term sustainability goals</w:t>
      </w:r>
      <w:r w:rsidR="00AD3CD0">
        <w:rPr>
          <w:rFonts w:ascii="Arial" w:eastAsia="Times New Roman" w:hAnsi="Arial" w:cs="Arial"/>
          <w:kern w:val="0"/>
          <w:lang w:eastAsia="en-GB"/>
          <w14:ligatures w14:val="none"/>
        </w:rPr>
        <w:t>.</w:t>
      </w:r>
    </w:p>
    <w:p w14:paraId="14467E39" w14:textId="77777777" w:rsidR="00CA695B" w:rsidRDefault="00CA695B" w:rsidP="00AF517A">
      <w:pPr>
        <w:spacing w:before="100" w:beforeAutospacing="1" w:after="100" w:afterAutospacing="1" w:line="360" w:lineRule="auto"/>
        <w:jc w:val="both"/>
        <w:rPr>
          <w:rFonts w:ascii="Arial" w:eastAsia="Times New Roman" w:hAnsi="Arial" w:cs="Arial"/>
          <w:kern w:val="0"/>
          <w:lang w:eastAsia="en-GB"/>
          <w14:ligatures w14:val="none"/>
        </w:rPr>
      </w:pPr>
    </w:p>
    <w:p w14:paraId="1AB65808" w14:textId="77777777" w:rsidR="00A65F85" w:rsidRPr="00A65F85" w:rsidRDefault="00A65F85" w:rsidP="00AF517A">
      <w:pPr>
        <w:spacing w:before="100" w:beforeAutospacing="1" w:after="100" w:afterAutospacing="1" w:line="360" w:lineRule="auto"/>
        <w:jc w:val="both"/>
        <w:outlineLvl w:val="0"/>
        <w:rPr>
          <w:rFonts w:ascii="Arial" w:eastAsia="Times New Roman" w:hAnsi="Arial" w:cs="Arial"/>
          <w:b/>
          <w:bCs/>
          <w:kern w:val="36"/>
          <w:lang w:eastAsia="en-GB"/>
          <w14:ligatures w14:val="none"/>
        </w:rPr>
      </w:pPr>
      <w:bookmarkStart w:id="18" w:name="_Toc231380092"/>
      <w:r w:rsidRPr="00A65F85">
        <w:rPr>
          <w:rFonts w:ascii="Arial" w:eastAsia="Times New Roman" w:hAnsi="Arial" w:cs="Arial"/>
          <w:b/>
          <w:bCs/>
          <w:kern w:val="36"/>
          <w:lang w:eastAsia="en-GB"/>
          <w14:ligatures w14:val="none"/>
        </w:rPr>
        <w:lastRenderedPageBreak/>
        <w:t>Stakeholder Considerations</w:t>
      </w:r>
      <w:bookmarkEnd w:id="18"/>
    </w:p>
    <w:p w14:paraId="605BDCCF" w14:textId="581B9A57" w:rsidR="00A65F85" w:rsidRPr="00A65F85" w:rsidRDefault="00A65F85" w:rsidP="00AF517A">
      <w:pPr>
        <w:spacing w:before="100" w:beforeAutospacing="1" w:after="100" w:afterAutospacing="1" w:line="360" w:lineRule="auto"/>
        <w:jc w:val="both"/>
        <w:rPr>
          <w:rFonts w:ascii="Arial" w:eastAsia="Times New Roman" w:hAnsi="Arial" w:cs="Arial"/>
          <w:kern w:val="0"/>
          <w:lang w:eastAsia="en-GB"/>
          <w14:ligatures w14:val="none"/>
        </w:rPr>
      </w:pPr>
      <w:r w:rsidRPr="00A65F85">
        <w:rPr>
          <w:rFonts w:ascii="Arial" w:eastAsia="Times New Roman" w:hAnsi="Arial" w:cs="Arial"/>
          <w:kern w:val="0"/>
          <w:lang w:eastAsia="en-GB"/>
          <w14:ligatures w14:val="none"/>
        </w:rPr>
        <w:t>The successful implementation of a sustainability strategy within IKEA depends on effective engagement with key stakeholders. Stakeholders play a critical role in influencing organisational decisions, shaping expectations, and determining the overall success of sustainability initiatives</w:t>
      </w:r>
      <w:r w:rsidR="00AB6B4C">
        <w:rPr>
          <w:rFonts w:ascii="Arial" w:eastAsia="Times New Roman" w:hAnsi="Arial" w:cs="Arial"/>
          <w:kern w:val="0"/>
          <w:lang w:eastAsia="en-GB"/>
          <w14:ligatures w14:val="none"/>
        </w:rPr>
        <w:t xml:space="preserve"> </w:t>
      </w:r>
      <w:r w:rsidR="00AB6B4C">
        <w:rPr>
          <w:rFonts w:ascii="Arial" w:eastAsia="Times New Roman" w:hAnsi="Arial" w:cs="Arial"/>
          <w:kern w:val="0"/>
          <w:lang w:eastAsia="en-GB"/>
          <w14:ligatures w14:val="none"/>
        </w:rPr>
        <w:fldChar w:fldCharType="begin"/>
      </w:r>
      <w:r w:rsidR="00AB6B4C">
        <w:rPr>
          <w:rFonts w:ascii="Arial" w:eastAsia="Times New Roman" w:hAnsi="Arial" w:cs="Arial"/>
          <w:kern w:val="0"/>
          <w:lang w:eastAsia="en-GB"/>
          <w14:ligatures w14:val="none"/>
        </w:rPr>
        <w:instrText xml:space="preserve"> ADDIN ZOTERO_ITEM CSL_CITATION {"citationID":"B61mBNYV","properties":{"formattedCitation":"(Sebhatu and Enquist, 2022)","plainCitation":"(Sebhatu and Enquist, 2022)","noteIndex":0},"citationItems":[{"id":474,"uris":["http://zotero.org/users/local/bh3OqUSh/items/8PFNRBTJ"],"itemData":{"id":474,"type":"article-journal","abstract":"Abstract\n            The objective of this article is to create an understanding of how the UN sustainable development goals (SDGs) can be used to steer stakeholder engagement for transformative change, meeting global challenges, and navigate a new business-societal practice driven by a values-based business model. The article is a conceptual study with case studies of the role that the SDGs play in multi-stakeholder dialog via the kind of sustainable business-societal practice that takes corporate social responsibility (CSR) to the next level, where it is embedded in a values-based business model, creating a new meaning to effect real business-societal transformation. Multi-stakeholder dialog implies interactive and communicative engagement with the full range of stakeholders in order to create value for all, employing a societal perspective and using the value network as a basis for effective decision-making. We explain our methodological approach by presenting multi-stakeholder dialog in practice, in the form of multiple case studies. These empirical settings consisted of two values-driven privately owned companies with a strong reporting mechanism and a clear transformation agenda based on the SDG challenges: IKEA and Löfbergs. The empirical study provides the basis for our proposed model. This article makes an original contribution to the study of the use of SDGs in management and service research. It investigates steering and navigating processes in specific contexts in order to determine what should be subject to legal enforcement and what comprises moral and/or ethical value, particularly at the societal level.","container-title":"Journal of Business Ethics","DOI":"10.1007/s10551-022-05195-x","ISSN":"0167-4544, 1573-0697","issue":"4","journalAbbreviation":"J Bus Ethics","language":"en","page":"1059-1074","source":"DOI.org (Crossref)","title":"Values and Multi-stakeholder Dialog for Business Transformation in Light of the UN Sustainable Development Goals","volume":"180","author":[{"family":"Sebhatu","given":"Samuel Petros"},{"family":"Enquist","given":"Bo"}],"issued":{"date-parts":[["2022",11]]}}}],"schema":"https://github.com/citation-style-language/schema/raw/master/csl-citation.json"} </w:instrText>
      </w:r>
      <w:r w:rsidR="00AB6B4C">
        <w:rPr>
          <w:rFonts w:ascii="Arial" w:eastAsia="Times New Roman" w:hAnsi="Arial" w:cs="Arial"/>
          <w:kern w:val="0"/>
          <w:lang w:eastAsia="en-GB"/>
          <w14:ligatures w14:val="none"/>
        </w:rPr>
        <w:fldChar w:fldCharType="separate"/>
      </w:r>
      <w:r w:rsidR="00AB6B4C" w:rsidRPr="00AB6B4C">
        <w:rPr>
          <w:rFonts w:ascii="Arial" w:hAnsi="Arial" w:cs="Arial"/>
          <w:lang w:eastAsia="en-GB"/>
        </w:rPr>
        <w:t>(Sebhatu and Enquist, 2022)</w:t>
      </w:r>
      <w:r w:rsidR="00AB6B4C">
        <w:rPr>
          <w:rFonts w:ascii="Arial" w:eastAsia="Times New Roman" w:hAnsi="Arial" w:cs="Arial"/>
          <w:kern w:val="0"/>
          <w:lang w:eastAsia="en-GB"/>
          <w14:ligatures w14:val="none"/>
        </w:rPr>
        <w:fldChar w:fldCharType="end"/>
      </w:r>
      <w:r w:rsidR="00AB6B4C">
        <w:rPr>
          <w:rFonts w:ascii="Arial" w:eastAsia="Times New Roman" w:hAnsi="Arial" w:cs="Arial"/>
          <w:kern w:val="0"/>
          <w:lang w:eastAsia="en-GB"/>
          <w14:ligatures w14:val="none"/>
        </w:rPr>
        <w:t>.</w:t>
      </w:r>
      <w:r w:rsidRPr="00A65F85">
        <w:rPr>
          <w:rFonts w:ascii="Arial" w:eastAsia="Times New Roman" w:hAnsi="Arial" w:cs="Arial"/>
          <w:kern w:val="0"/>
          <w:lang w:eastAsia="en-GB"/>
          <w14:ligatures w14:val="none"/>
        </w:rPr>
        <w:t xml:space="preserve"> IKEA must adopt a stakeholder-oriented approach that aligns with the principles of Stakeholder Theory, ensuring that the interests of multiple groups are considered</w:t>
      </w:r>
      <w:r w:rsidR="00D8671A">
        <w:rPr>
          <w:rFonts w:ascii="Arial" w:eastAsia="Times New Roman" w:hAnsi="Arial" w:cs="Arial"/>
          <w:kern w:val="0"/>
          <w:lang w:eastAsia="en-GB"/>
          <w14:ligatures w14:val="none"/>
        </w:rPr>
        <w:t xml:space="preserve"> </w:t>
      </w:r>
      <w:r w:rsidR="00D8671A">
        <w:rPr>
          <w:rFonts w:ascii="Arial" w:eastAsia="Times New Roman" w:hAnsi="Arial" w:cs="Arial"/>
          <w:kern w:val="0"/>
          <w:lang w:eastAsia="en-GB"/>
          <w14:ligatures w14:val="none"/>
        </w:rPr>
        <w:fldChar w:fldCharType="begin"/>
      </w:r>
      <w:r w:rsidR="00D8671A">
        <w:rPr>
          <w:rFonts w:ascii="Arial" w:eastAsia="Times New Roman" w:hAnsi="Arial" w:cs="Arial"/>
          <w:kern w:val="0"/>
          <w:lang w:eastAsia="en-GB"/>
          <w14:ligatures w14:val="none"/>
        </w:rPr>
        <w:instrText xml:space="preserve"> ADDIN ZOTERO_ITEM CSL_CITATION {"citationID":"zSkNIXYo","properties":{"formattedCitation":"(P\\uc0\\u233{}rez-P\\uc0\\u233{}rez, Berlanga and Victoria, 2023)","plainCitation":"(Pérez-Pérez, Berlanga and Victoria, 2023)","noteIndex":0},"citationItems":[{"id":476,"uris":["http://zotero.org/users/local/bh3OqUSh/items/GT3E7IYE"],"itemData":{"id":476,"type":"article-journal","abstract":"Purpose\nThe study aims to establish that a humanistic model is a necessary context for efficient employer branding (EB) and to identify the characteristic features of a humanistic model in IKEA.\nDesign/methodology/approach\nThis study included a review of the scientific literature and a narrative case study via semi-structured interviews with top management leaders and middle managers.\nFindings\nThe research demonstrates that the effectiveness of EB depends on the implementation of a humanistic model and that IKEA uses a business paradigm that involves EB through a humanistic management model. In addition, the pandemic has enhanced prosocial management and revealed the need for this model in companies. Through the analysis of the humanistic model used by IKEA, the authors provide an example of how other organizations and business leaders can develop communities and society not based on profit maximization. However, further research is needed to contrast the quantitative information provided by the company itself and by external sources. What is offered in this article is the starting point for future studies on this topic.\nOriginality/value\nThis is one of the first studies on EB in the context of a humanistic model and the first to use IKEA as a paradigmatic example.","container-title":"Corporate Communications","DOI":"10.1108/CCIJ-03-2022-0027","ISSN":"13563289","issue":"2","language":"English","license":"© Emerald Publishing Limited.","note":"number-of-pages: 17\npublisher-place: Bradford, United Kingdom\npublisher: Emerald Group Publishing Limited","page":"213-229","source":"ProQuest","title":"Internal communication and employer branding within a humanistic model – a case study of IKEA (Spain, 2019–2021)","volume":"28","author":[{"family":"Pérez-Pérez","given":"Lucía"},{"family":"Berlanga","given":"Inmaculada"},{"family":"Victoria","given":"Juan Salvador"}],"issued":{"date-parts":[["2023"]]}}}],"schema":"https://github.com/citation-style-language/schema/raw/master/csl-citation.json"} </w:instrText>
      </w:r>
      <w:r w:rsidR="00D8671A">
        <w:rPr>
          <w:rFonts w:ascii="Arial" w:eastAsia="Times New Roman" w:hAnsi="Arial" w:cs="Arial"/>
          <w:kern w:val="0"/>
          <w:lang w:eastAsia="en-GB"/>
          <w14:ligatures w14:val="none"/>
        </w:rPr>
        <w:fldChar w:fldCharType="separate"/>
      </w:r>
      <w:r w:rsidR="00D8671A" w:rsidRPr="00D8671A">
        <w:rPr>
          <w:rFonts w:ascii="Arial" w:hAnsi="Arial" w:cs="Arial"/>
          <w:kern w:val="0"/>
        </w:rPr>
        <w:t>(Pérez-Pérez, Berlanga and Victoria, 2023)</w:t>
      </w:r>
      <w:r w:rsidR="00D8671A">
        <w:rPr>
          <w:rFonts w:ascii="Arial" w:eastAsia="Times New Roman" w:hAnsi="Arial" w:cs="Arial"/>
          <w:kern w:val="0"/>
          <w:lang w:eastAsia="en-GB"/>
          <w14:ligatures w14:val="none"/>
        </w:rPr>
        <w:fldChar w:fldCharType="end"/>
      </w:r>
      <w:r w:rsidR="00D8671A">
        <w:rPr>
          <w:rFonts w:ascii="Arial" w:eastAsia="Times New Roman" w:hAnsi="Arial" w:cs="Arial"/>
          <w:kern w:val="0"/>
          <w:lang w:eastAsia="en-GB"/>
          <w14:ligatures w14:val="none"/>
        </w:rPr>
        <w:t>.</w:t>
      </w:r>
    </w:p>
    <w:p w14:paraId="3F32C9FD" w14:textId="46870F27" w:rsidR="00A65F85" w:rsidRPr="00A65F85" w:rsidRDefault="00A65F85" w:rsidP="00AF517A">
      <w:pPr>
        <w:spacing w:before="100" w:beforeAutospacing="1" w:after="100" w:afterAutospacing="1" w:line="360" w:lineRule="auto"/>
        <w:jc w:val="both"/>
        <w:rPr>
          <w:rFonts w:ascii="Arial" w:eastAsia="Times New Roman" w:hAnsi="Arial" w:cs="Arial"/>
          <w:kern w:val="0"/>
          <w:lang w:eastAsia="en-GB"/>
          <w14:ligatures w14:val="none"/>
        </w:rPr>
      </w:pPr>
      <w:r w:rsidRPr="00A65F85">
        <w:rPr>
          <w:rFonts w:ascii="Arial" w:eastAsia="Times New Roman" w:hAnsi="Arial" w:cs="Arial"/>
          <w:kern w:val="0"/>
          <w:lang w:eastAsia="en-GB"/>
          <w14:ligatures w14:val="none"/>
        </w:rPr>
        <w:t>Customers represent one of the most important stakeholder groups. As demand for sustainable products increases, customers expect transparency, affordability, and environmentally responsible practices</w:t>
      </w:r>
      <w:r w:rsidR="00941164">
        <w:rPr>
          <w:rFonts w:ascii="Arial" w:eastAsia="Times New Roman" w:hAnsi="Arial" w:cs="Arial"/>
          <w:kern w:val="0"/>
          <w:lang w:eastAsia="en-GB"/>
          <w14:ligatures w14:val="none"/>
        </w:rPr>
        <w:t xml:space="preserve"> </w:t>
      </w:r>
      <w:r w:rsidR="00941164">
        <w:rPr>
          <w:rFonts w:ascii="Arial" w:eastAsia="Times New Roman" w:hAnsi="Arial" w:cs="Arial"/>
          <w:kern w:val="0"/>
          <w:lang w:eastAsia="en-GB"/>
          <w14:ligatures w14:val="none"/>
        </w:rPr>
        <w:fldChar w:fldCharType="begin"/>
      </w:r>
      <w:r w:rsidR="00941164">
        <w:rPr>
          <w:rFonts w:ascii="Arial" w:eastAsia="Times New Roman" w:hAnsi="Arial" w:cs="Arial"/>
          <w:kern w:val="0"/>
          <w:lang w:eastAsia="en-GB"/>
          <w14:ligatures w14:val="none"/>
        </w:rPr>
        <w:instrText xml:space="preserve"> ADDIN ZOTERO_ITEM CSL_CITATION {"citationID":"SSOuve3S","properties":{"formattedCitation":"(Elg and Welinder, 2022)","plainCitation":"(Elg and Welinder, 2022)","noteIndex":0},"citationItems":[{"id":481,"uris":["http://zotero.org/users/local/bh3OqUSh/items/X5VMZ3WH"],"itemData":{"id":481,"type":"article-journal","abstract":"This paper investigates sustainability in retailing based on three different perspectives: i) the overall corporate management, ii) the development of an attractive product range, iii) the daily in-store management and activities. The purpose is to identify a set of main themes for each perspective, investigate contradictions and areas of conflict, and discuss how to bridge the perspectives. A qualitative case study approach is applied investigating the global retailer IKEA. The study includes Sweden, Germany and the UK. The research showed that the corporate, product and store perspectives are complementary but also involve contradictions and barriers to giving a higher priority to sustainability. These concern the time perspective, the set of stakeholders considered and the overall priority. Developing goals and benefits linked to sustainability, using effective arenas for interactions and linking sustainability to the legend and culture are suggested as three bridges that may overcome the contradictions.","container-title":"Journal of Retailing and Consumer Services","DOI":"10.1016/j.jretconser.2021.102810","ISSN":"09696989","journalAbbreviation":"Journal of Retailing and Consumer Services","language":"en","page":"102810","source":"DOI.org (Crossref)","title":"Sustainabilty and retail marketing: Corporate, product and store perspectives","title-short":"Sustainabilty and retail marketing","volume":"64","author":[{"family":"Elg","given":"Ulf"},{"family":"Welinder","given":"Axel"}],"issued":{"date-parts":[["2022",1]]}}}],"schema":"https://github.com/citation-style-language/schema/raw/master/csl-citation.json"} </w:instrText>
      </w:r>
      <w:r w:rsidR="00941164">
        <w:rPr>
          <w:rFonts w:ascii="Arial" w:eastAsia="Times New Roman" w:hAnsi="Arial" w:cs="Arial"/>
          <w:kern w:val="0"/>
          <w:lang w:eastAsia="en-GB"/>
          <w14:ligatures w14:val="none"/>
        </w:rPr>
        <w:fldChar w:fldCharType="separate"/>
      </w:r>
      <w:r w:rsidR="00941164" w:rsidRPr="00941164">
        <w:rPr>
          <w:rFonts w:ascii="Arial" w:hAnsi="Arial" w:cs="Arial"/>
          <w:lang w:eastAsia="en-GB"/>
        </w:rPr>
        <w:t>(Elg and Welinder, 2022)</w:t>
      </w:r>
      <w:r w:rsidR="00941164">
        <w:rPr>
          <w:rFonts w:ascii="Arial" w:eastAsia="Times New Roman" w:hAnsi="Arial" w:cs="Arial"/>
          <w:kern w:val="0"/>
          <w:lang w:eastAsia="en-GB"/>
          <w14:ligatures w14:val="none"/>
        </w:rPr>
        <w:fldChar w:fldCharType="end"/>
      </w:r>
      <w:r w:rsidRPr="00A65F85">
        <w:rPr>
          <w:rFonts w:ascii="Arial" w:eastAsia="Times New Roman" w:hAnsi="Arial" w:cs="Arial"/>
          <w:kern w:val="0"/>
          <w:lang w:eastAsia="en-GB"/>
          <w14:ligatures w14:val="none"/>
        </w:rPr>
        <w:t>. However, consumer behaviour remains inconsistent, often prioritising price and convenience over sustainability. Therefore, IKEA must actively engage customers through education, incentives, and accessible circular solutions, such as resale platforms and product return schemes.</w:t>
      </w:r>
    </w:p>
    <w:p w14:paraId="1A7BD21E" w14:textId="1CF5531B" w:rsidR="00A65F85" w:rsidRPr="00A65F85" w:rsidRDefault="00A65F85" w:rsidP="00AF517A">
      <w:pPr>
        <w:spacing w:before="100" w:beforeAutospacing="1" w:after="100" w:afterAutospacing="1" w:line="360" w:lineRule="auto"/>
        <w:jc w:val="both"/>
        <w:rPr>
          <w:rFonts w:ascii="Arial" w:eastAsia="Times New Roman" w:hAnsi="Arial" w:cs="Arial"/>
          <w:kern w:val="0"/>
          <w:lang w:eastAsia="en-GB"/>
          <w14:ligatures w14:val="none"/>
        </w:rPr>
      </w:pPr>
      <w:r w:rsidRPr="00A65F85">
        <w:rPr>
          <w:rFonts w:ascii="Arial" w:eastAsia="Times New Roman" w:hAnsi="Arial" w:cs="Arial"/>
          <w:kern w:val="0"/>
          <w:lang w:eastAsia="en-GB"/>
          <w14:ligatures w14:val="none"/>
        </w:rPr>
        <w:t>Suppliers are also critical stakeholders, particularly given IKEA’s complex global supply chain. Ensuring that suppliers adhere to environmental and ethical standards is essential for maintaining sustainability commitments</w:t>
      </w:r>
      <w:r w:rsidR="00941164">
        <w:rPr>
          <w:rFonts w:ascii="Arial" w:eastAsia="Times New Roman" w:hAnsi="Arial" w:cs="Arial"/>
          <w:kern w:val="0"/>
          <w:lang w:eastAsia="en-GB"/>
          <w14:ligatures w14:val="none"/>
        </w:rPr>
        <w:t xml:space="preserve"> </w:t>
      </w:r>
      <w:r w:rsidR="00941164">
        <w:rPr>
          <w:rFonts w:ascii="Arial" w:eastAsia="Times New Roman" w:hAnsi="Arial" w:cs="Arial"/>
          <w:kern w:val="0"/>
          <w:lang w:eastAsia="en-GB"/>
          <w14:ligatures w14:val="none"/>
        </w:rPr>
        <w:fldChar w:fldCharType="begin"/>
      </w:r>
      <w:r w:rsidR="00941164">
        <w:rPr>
          <w:rFonts w:ascii="Arial" w:eastAsia="Times New Roman" w:hAnsi="Arial" w:cs="Arial"/>
          <w:kern w:val="0"/>
          <w:lang w:eastAsia="en-GB"/>
          <w14:ligatures w14:val="none"/>
        </w:rPr>
        <w:instrText xml:space="preserve"> ADDIN ZOTERO_ITEM CSL_CITATION {"citationID":"AWLmDMu4","properties":{"formattedCitation":"(Jahanbakhsh, 2026)","plainCitation":"(Jahanbakhsh, 2026)","noteIndex":0},"citationItems":[{"id":479,"uris":["http://zotero.org/users/local/bh3OqUSh/items/GP3AJXXM"],"itemData":{"id":479,"type":"article-journal","abstract":"Companies increasingly face dual pressure from digital disruption and the need to integrate sustainability into their core strategies. However, most existing research examines digital transformation and Environmental, Social, and Governance (ESG) initiatives separately, limiting understanding of how emerging technologies can promote sustainable value creation. This study addresses this gap through a systems-thinking and theoretical synthesis approach, drawing on a systematic literature review of 45 peer-reviewed articles and illustrative cases from Unilever, Tesla, and IKEA. It advances the literature on sustainability transitions and technology governance by developing an interdisciplinary perspective that links business strategy, ESG, and digital innovation, and by presenting a foresight-driven conceptual framework that combines four complementary strategic theories—the Resource-Based View (RBV), Dynamic Capabilities (DC), Stakeholder Theory (ST), and the Triple Bottom Line (TBL). The framework identifies key transformation enablers—including leadership commitment, organizational agility, stakeholder trust, institutional fit, and anticipatory governance—and illustrates how digital technologies such as artificial intelligence (AI), blockchain, and the Internet of Things (IoT) can be orchestrated to align corporate strategies with ESG goals. While primarily conceptual, the study delivers (i) a foresight-driven RBV–DC–ST–TBL framework that specifies orchestration mechanisms for ESG-aligned digital transformation, (ii) construct-level logic and decision-relevant managerial and policy levers, and (iii) an implementation-oriented pathway for empirical evaluation and application, supported by measurement and assurance artifacts.","container-title":"Social Sciences &amp; Humanities Open","DOI":"10.1016/j.ssaho.2026.102795","ISSN":"25902911","journalAbbreviation":"Social Sciences &amp; Humanities Open","language":"en","page":"102795","source":"DOI.org (Crossref)","title":"Strategic integration of digital innovation and sustainability: A foresight-driven framework for ESG transformation","title-short":"Strategic integration of digital innovation and sustainability","volume":"13","author":[{"family":"Jahanbakhsh","given":"Elham"}],"issued":{"date-parts":[["2026",6]]}}}],"schema":"https://github.com/citation-style-language/schema/raw/master/csl-citation.json"} </w:instrText>
      </w:r>
      <w:r w:rsidR="00941164">
        <w:rPr>
          <w:rFonts w:ascii="Arial" w:eastAsia="Times New Roman" w:hAnsi="Arial" w:cs="Arial"/>
          <w:kern w:val="0"/>
          <w:lang w:eastAsia="en-GB"/>
          <w14:ligatures w14:val="none"/>
        </w:rPr>
        <w:fldChar w:fldCharType="separate"/>
      </w:r>
      <w:r w:rsidR="00941164" w:rsidRPr="00941164">
        <w:rPr>
          <w:rFonts w:ascii="Arial" w:hAnsi="Arial" w:cs="Arial"/>
          <w:lang w:eastAsia="en-GB"/>
        </w:rPr>
        <w:t>(Jahanbakhsh, 2026)</w:t>
      </w:r>
      <w:r w:rsidR="00941164">
        <w:rPr>
          <w:rFonts w:ascii="Arial" w:eastAsia="Times New Roman" w:hAnsi="Arial" w:cs="Arial"/>
          <w:kern w:val="0"/>
          <w:lang w:eastAsia="en-GB"/>
          <w14:ligatures w14:val="none"/>
        </w:rPr>
        <w:fldChar w:fldCharType="end"/>
      </w:r>
      <w:r w:rsidRPr="00A65F85">
        <w:rPr>
          <w:rFonts w:ascii="Arial" w:eastAsia="Times New Roman" w:hAnsi="Arial" w:cs="Arial"/>
          <w:kern w:val="0"/>
          <w:lang w:eastAsia="en-GB"/>
          <w14:ligatures w14:val="none"/>
        </w:rPr>
        <w:t>. This requires strong governance mechanisms, supplier monitoring, and long-term partnerships that promote responsible sourcing and production practices.</w:t>
      </w:r>
    </w:p>
    <w:p w14:paraId="41E19963" w14:textId="0BBE0F5E" w:rsidR="00A65F85" w:rsidRPr="00A65F85" w:rsidRDefault="00A65F85" w:rsidP="00AF517A">
      <w:pPr>
        <w:pStyle w:val="NormalWeb"/>
        <w:spacing w:line="360" w:lineRule="auto"/>
        <w:jc w:val="both"/>
        <w:rPr>
          <w:rFonts w:ascii="Arial" w:hAnsi="Arial" w:cs="Arial"/>
        </w:rPr>
      </w:pPr>
      <w:r w:rsidRPr="00A65F85">
        <w:rPr>
          <w:rFonts w:ascii="Arial" w:hAnsi="Arial" w:cs="Arial"/>
        </w:rPr>
        <w:t>Governments and regulators represent another key stakeholder group, as they establish the legal framework within which IKEA operates. Compliance with environmental regulations, labour laws, and reporting requirements is essential for maintaining legitimacy and avoiding legal risks</w:t>
      </w:r>
      <w:r w:rsidR="00631018">
        <w:rPr>
          <w:rFonts w:ascii="Arial" w:hAnsi="Arial" w:cs="Arial"/>
        </w:rPr>
        <w:t xml:space="preserve"> </w:t>
      </w:r>
      <w:r w:rsidR="00631018">
        <w:rPr>
          <w:rFonts w:ascii="Arial" w:hAnsi="Arial" w:cs="Arial"/>
        </w:rPr>
        <w:fldChar w:fldCharType="begin"/>
      </w:r>
      <w:r w:rsidR="00631018">
        <w:rPr>
          <w:rFonts w:ascii="Arial" w:hAnsi="Arial" w:cs="Arial"/>
        </w:rPr>
        <w:instrText xml:space="preserve"> ADDIN ZOTERO_ITEM CSL_CITATION {"citationID":"2pRAUMtU","properties":{"formattedCitation":"(Bouncken {\\i{}et al.}, 2024)","plainCitation":"(Bouncken et al., 2024)","noteIndex":0},"citationItems":[{"id":482,"uris":["http://zotero.org/users/local/bh3OqUSh/items/GASISY46"],"itemData":{"id":482,"type":"article-journal","abstract":"Purpose\nCorporate responsibility and sustainability (CRS) have emerged as an important topic today. At the same time, alliances and coopetition arrangements, as vehicles for inter-firm collaboration have been shown to support firm performance. Still, there has been a lack of research into how coopetition (collaboration with competing firms) in this area may support firm performance.\nDesign/methodology/approach\nThis study aims to untangle the relationship between coopetition arrangements including CRS and firm performance. The model permits garnering social performance, which is a key to CRS, and to move beyond the traditional view of the coopetition–firm–economic–performance relationship. This study is based on a survey and primary data from 215 firms in Australia. This study uses multiple indicators for the concepts. Relationships are estimated by multiple regression analyses.\nFindings\nUsing survey data from 215 firms in Australia, the research findings confirm that coopetition in CRS can lead to improved firm performance, both in relation to financial and social performances. However, the association between coopetition in CRS and financial performance loses its significance when social performances is introduced as an additional control variable. Further, stakeholder attributes (i.e., effective power and legitimate stake) moderate the relationship between coopetition in CRS and firm financial performance. However, there was no evidence of moderation for the coopetition in CRS – firm social performance relationship.\nResearch limitations/implications\nThis study contributes to both coopetition and corporate social responsibility research. This study demonstrates that improved firm performance may be achieved through the promotion of CRS initiatives when a coopetitive approach is adopted, particularly where an understanding of stakeholder attributes is also evident. Firms do not need to shoulder corporate social responsibility alone. They need to find well-fitting partners. There are new ways to improve sustainability in terms of nature and human relationships.\nPractical implications\nFirms do not need to shoulder Corporate Social Responsibility (CSR) alone. They need to find well-fitting partners.\nOriginality/value\nThis study provides very novel insights by having integrated the literature on coopetition, corporate social responsibility and sustainability resulting in a new conceptual framework that combines coopetition in CRS and performance. The new conceptual framework has both practical and research implications for coopetition in CRS and firm performance.","container-title":"International Journal of Entrepreneurial Behaviour &amp; Research","DOI":"10.1108/IJEBR-05-2023-0556","ISSN":"13552554","issue":"1","language":"English","license":"© Emerald Publishing Limited.","note":"number-of-pages: 27\npublisher-place: Bradford, United Kingdom\npublisher: Emerald Group Publishing Limited","page":"128-154","source":"ProQuest","title":"Coopetition for corporate responsibility and sustainability: does it influence firm performance?","title-short":"Coopetition for corporate responsibility and sustainability","volume":"30","author":[{"family":"Bouncken","given":"Ricarda"},{"family":"Kumar","given":"Amit"},{"family":"Connell","given":"Julia"},{"family":"Bhattacharyya","given":"Asit"},{"family":"He","given":"Kai"}],"issued":{"date-parts":[["2024"]]}}}],"schema":"https://github.com/citation-style-language/schema/raw/master/csl-citation.json"} </w:instrText>
      </w:r>
      <w:r w:rsidR="00631018">
        <w:rPr>
          <w:rFonts w:ascii="Arial" w:hAnsi="Arial" w:cs="Arial"/>
        </w:rPr>
        <w:fldChar w:fldCharType="separate"/>
      </w:r>
      <w:r w:rsidR="00631018" w:rsidRPr="00631018">
        <w:rPr>
          <w:rFonts w:ascii="Arial" w:hAnsi="Arial" w:cs="Arial"/>
        </w:rPr>
        <w:t xml:space="preserve">(Bouncken </w:t>
      </w:r>
      <w:r w:rsidR="00631018" w:rsidRPr="00631018">
        <w:rPr>
          <w:rFonts w:ascii="Arial" w:hAnsi="Arial" w:cs="Arial"/>
          <w:i/>
          <w:iCs/>
        </w:rPr>
        <w:t>et al.</w:t>
      </w:r>
      <w:r w:rsidR="00631018" w:rsidRPr="00631018">
        <w:rPr>
          <w:rFonts w:ascii="Arial" w:hAnsi="Arial" w:cs="Arial"/>
        </w:rPr>
        <w:t>, 2024)</w:t>
      </w:r>
      <w:r w:rsidR="00631018">
        <w:rPr>
          <w:rFonts w:ascii="Arial" w:hAnsi="Arial" w:cs="Arial"/>
        </w:rPr>
        <w:fldChar w:fldCharType="end"/>
      </w:r>
      <w:r w:rsidRPr="00A65F85">
        <w:rPr>
          <w:rFonts w:ascii="Arial" w:hAnsi="Arial" w:cs="Arial"/>
        </w:rPr>
        <w:t>. At the same time, collaboration with governments can support the development of more effective sustainability policies.</w:t>
      </w:r>
    </w:p>
    <w:p w14:paraId="22EF684D" w14:textId="72298776" w:rsidR="00A65F85" w:rsidRPr="00A65F85" w:rsidRDefault="00A65F85" w:rsidP="00AF517A">
      <w:pPr>
        <w:pStyle w:val="NormalWeb"/>
        <w:spacing w:line="360" w:lineRule="auto"/>
        <w:jc w:val="both"/>
        <w:rPr>
          <w:rFonts w:ascii="Arial" w:hAnsi="Arial" w:cs="Arial"/>
        </w:rPr>
      </w:pPr>
      <w:r w:rsidRPr="00A65F85">
        <w:rPr>
          <w:rFonts w:ascii="Arial" w:hAnsi="Arial" w:cs="Arial"/>
        </w:rPr>
        <w:t>Finally, communities and wider society are increasingly influential stakeholders. Businesses are expected to contribute positively to social and environmental wellbeing, and failure to do so can result in reputational damage</w:t>
      </w:r>
      <w:r w:rsidR="00723AF3">
        <w:rPr>
          <w:rFonts w:ascii="Arial" w:hAnsi="Arial" w:cs="Arial"/>
        </w:rPr>
        <w:t xml:space="preserve"> </w:t>
      </w:r>
      <w:r w:rsidR="00723AF3">
        <w:rPr>
          <w:rFonts w:ascii="Arial" w:hAnsi="Arial" w:cs="Arial"/>
        </w:rPr>
        <w:fldChar w:fldCharType="begin"/>
      </w:r>
      <w:r w:rsidR="00723AF3">
        <w:rPr>
          <w:rFonts w:ascii="Arial" w:hAnsi="Arial" w:cs="Arial"/>
        </w:rPr>
        <w:instrText xml:space="preserve"> ADDIN ZOTERO_ITEM CSL_CITATION {"citationID":"m56NslE7","properties":{"formattedCitation":"(S\\uc0\\u225{}nchez-Infante Hern\\uc0\\u225{}ndez, Ya\\uc0\\u241{}ez-Araque and Moreno-Garc\\uc0\\u237{}a, 2020)","plainCitation":"(Sánchez-Infante Hernández, Yañez-Araque and Moreno-García, 2020)","noteIndex":0},"citationItems":[{"id":485,"uris":["http://zotero.org/users/local/bh3OqUSh/items/JBH6ZZDL"],"itemData":{"id":485,"type":"article-journal","abstract":"Corporate social responsibility (hereafter, CSR) continues to be generally relevant, with growing interest from academic researchers, businesspeople, public administrations and society as a whole. Numerous works have studied the influence of CSR on economic performance (hereafter, EP) in large businesses, but very few studies have focused on micro-, small- and medium-sized enterprises (MSMEs). This study analyzes the moderating effect of firm size on the influence of CSR actions on the economic performance of MSMEs. This work has two purposes: first, to empirically test the “social impact” hypothesis of stakeholder theory, which assumes that CRS positively impacts EP; second, to analyze the moderating effect of the MSME size on this hypothesis. The results obtained using the PLS-SEM technique based on a sample of 278 Spanish firms confirm that MSMEs that carry out CSR activities in their economic, social and environmental aspects improve their economic performance, and this relationship is moderated by the size of these organizations; the larger the size is, the stronger the relationship is.","container-title":"Technological Forecasting and Social Change","DOI":"10.1016/j.techfore.2019.119774","ISSN":"00401625","journalAbbreviation":"Technological Forecasting and Social Change","language":"en","page":"119774","source":"DOI.org (Crossref)","title":"Moderating effect of firm size on the influence of corporate social responsibility in the economic performance of micro-, small- and medium-sized enterprises","volume":"151","author":[{"family":"Sánchez-Infante Hernández","given":"Juan Pablo"},{"family":"Yañez-Araque","given":"Benito"},{"family":"Moreno-García","given":"Juan"}],"issued":{"date-parts":[["2020",2]]}}}],"schema":"https://github.com/citation-style-language/schema/raw/master/csl-citation.json"} </w:instrText>
      </w:r>
      <w:r w:rsidR="00723AF3">
        <w:rPr>
          <w:rFonts w:ascii="Arial" w:hAnsi="Arial" w:cs="Arial"/>
        </w:rPr>
        <w:fldChar w:fldCharType="separate"/>
      </w:r>
      <w:r w:rsidR="00723AF3" w:rsidRPr="00723AF3">
        <w:rPr>
          <w:rFonts w:ascii="Arial" w:hAnsi="Arial" w:cs="Arial"/>
        </w:rPr>
        <w:t>(Sánchez-Infante Hernández, Yañez-Araque and Moreno-García, 2020)</w:t>
      </w:r>
      <w:r w:rsidR="00723AF3">
        <w:rPr>
          <w:rFonts w:ascii="Arial" w:hAnsi="Arial" w:cs="Arial"/>
        </w:rPr>
        <w:fldChar w:fldCharType="end"/>
      </w:r>
      <w:r w:rsidRPr="00A65F85">
        <w:rPr>
          <w:rFonts w:ascii="Arial" w:hAnsi="Arial" w:cs="Arial"/>
        </w:rPr>
        <w:t>.</w:t>
      </w:r>
    </w:p>
    <w:p w14:paraId="58F39DED" w14:textId="77777777" w:rsidR="00A65F85" w:rsidRPr="00A65F85" w:rsidRDefault="00A65F85" w:rsidP="00AF517A">
      <w:pPr>
        <w:spacing w:before="100" w:beforeAutospacing="1" w:after="100" w:afterAutospacing="1" w:line="360" w:lineRule="auto"/>
        <w:jc w:val="both"/>
        <w:outlineLvl w:val="0"/>
        <w:rPr>
          <w:rFonts w:ascii="Arial" w:eastAsia="Times New Roman" w:hAnsi="Arial" w:cs="Arial"/>
          <w:b/>
          <w:bCs/>
          <w:kern w:val="36"/>
          <w:lang w:eastAsia="en-GB"/>
          <w14:ligatures w14:val="none"/>
        </w:rPr>
      </w:pPr>
      <w:bookmarkStart w:id="19" w:name="_Toc231380093"/>
      <w:r w:rsidRPr="00A65F85">
        <w:rPr>
          <w:rFonts w:ascii="Arial" w:eastAsia="Times New Roman" w:hAnsi="Arial" w:cs="Arial"/>
          <w:b/>
          <w:bCs/>
          <w:kern w:val="36"/>
          <w:lang w:eastAsia="en-GB"/>
          <w14:ligatures w14:val="none"/>
        </w:rPr>
        <w:lastRenderedPageBreak/>
        <w:t>Conclusion</w:t>
      </w:r>
      <w:bookmarkEnd w:id="19"/>
    </w:p>
    <w:p w14:paraId="14FE837D" w14:textId="19CF4BAC" w:rsidR="00A65F85" w:rsidRPr="00A65F85" w:rsidRDefault="00A65F85" w:rsidP="00AF517A">
      <w:pPr>
        <w:spacing w:before="100" w:beforeAutospacing="1" w:after="100" w:afterAutospacing="1" w:line="360" w:lineRule="auto"/>
        <w:jc w:val="both"/>
        <w:rPr>
          <w:rFonts w:ascii="Arial" w:eastAsia="Times New Roman" w:hAnsi="Arial" w:cs="Arial"/>
          <w:kern w:val="0"/>
          <w:lang w:eastAsia="en-GB"/>
          <w14:ligatures w14:val="none"/>
        </w:rPr>
      </w:pPr>
      <w:r w:rsidRPr="00A65F85">
        <w:rPr>
          <w:rFonts w:ascii="Arial" w:eastAsia="Times New Roman" w:hAnsi="Arial" w:cs="Arial"/>
          <w:kern w:val="0"/>
          <w:lang w:eastAsia="en-GB"/>
          <w14:ligatures w14:val="none"/>
        </w:rPr>
        <w:t>While IKEA has demonstrated strong commitment through initiatives such as circular economy practices, renewable energy investment, and sustainable sourcing, its strategy remains constrained by structural limitations, particularly its reliance on high-volume consumption and complex global supply chains.</w:t>
      </w:r>
    </w:p>
    <w:p w14:paraId="03070597" w14:textId="23733B5F" w:rsidR="00A65F85" w:rsidRPr="00A65F85" w:rsidRDefault="00551B97" w:rsidP="00AF517A">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A</w:t>
      </w:r>
      <w:r w:rsidR="00A65F85" w:rsidRPr="00A65F85">
        <w:rPr>
          <w:rFonts w:ascii="Arial" w:eastAsia="Times New Roman" w:hAnsi="Arial" w:cs="Arial"/>
          <w:kern w:val="0"/>
          <w:lang w:eastAsia="en-GB"/>
          <w14:ligatures w14:val="none"/>
        </w:rPr>
        <w:t>lthough IKEA’s current approach reflects proactive engagement with sustainability, it is largely based on incremental improvements rather than fundamental transformation. Challenges such as consumer behaviour, cost pressures, and regulatory complexity further limit the effectiveness of its initiatives.</w:t>
      </w:r>
    </w:p>
    <w:p w14:paraId="3F6E27A8" w14:textId="69379FBB" w:rsidR="00A65F85" w:rsidRPr="00A65F85" w:rsidRDefault="00A65F85" w:rsidP="00AF517A">
      <w:pPr>
        <w:spacing w:before="100" w:beforeAutospacing="1" w:after="100" w:afterAutospacing="1" w:line="360" w:lineRule="auto"/>
        <w:jc w:val="both"/>
        <w:rPr>
          <w:rFonts w:ascii="Arial" w:eastAsia="Times New Roman" w:hAnsi="Arial" w:cs="Arial"/>
          <w:kern w:val="0"/>
          <w:lang w:eastAsia="en-GB"/>
          <w14:ligatures w14:val="none"/>
        </w:rPr>
      </w:pPr>
      <w:r w:rsidRPr="00A65F85">
        <w:rPr>
          <w:rFonts w:ascii="Arial" w:eastAsia="Times New Roman" w:hAnsi="Arial" w:cs="Arial"/>
          <w:kern w:val="0"/>
          <w:lang w:eastAsia="en-GB"/>
          <w14:ligatures w14:val="none"/>
        </w:rPr>
        <w:t>To address these limitations,</w:t>
      </w:r>
      <w:r w:rsidRPr="00551B97">
        <w:rPr>
          <w:rFonts w:ascii="Arial" w:eastAsia="Times New Roman" w:hAnsi="Arial" w:cs="Arial"/>
          <w:color w:val="FF0000"/>
          <w:kern w:val="0"/>
          <w:lang w:eastAsia="en-GB"/>
          <w14:ligatures w14:val="none"/>
        </w:rPr>
        <w:t xml:space="preserve"> </w:t>
      </w:r>
      <w:r w:rsidR="00551B97">
        <w:rPr>
          <w:rFonts w:ascii="Arial" w:eastAsia="Times New Roman" w:hAnsi="Arial" w:cs="Arial"/>
          <w:kern w:val="0"/>
          <w:lang w:eastAsia="en-GB"/>
          <w14:ligatures w14:val="none"/>
        </w:rPr>
        <w:t xml:space="preserve">a </w:t>
      </w:r>
      <w:r w:rsidRPr="00A65F85">
        <w:rPr>
          <w:rFonts w:ascii="Arial" w:eastAsia="Times New Roman" w:hAnsi="Arial" w:cs="Arial"/>
          <w:kern w:val="0"/>
          <w:lang w:eastAsia="en-GB"/>
          <w14:ligatures w14:val="none"/>
        </w:rPr>
        <w:t>proposed strategic vision focused on transitioning towards a circular, service-based business model supported by innovation, stakeholder engagement, and sustainable supply chain practices. These recommendations aim to align IKEA’s business model more closely with long-term environmental and social objectives while maintaining economic viability.</w:t>
      </w:r>
    </w:p>
    <w:p w14:paraId="7FF41B8A" w14:textId="77777777" w:rsidR="00A65F85" w:rsidRDefault="00A65F85" w:rsidP="00AF517A">
      <w:pPr>
        <w:spacing w:before="100" w:beforeAutospacing="1" w:after="100" w:afterAutospacing="1" w:line="360" w:lineRule="auto"/>
        <w:jc w:val="both"/>
        <w:rPr>
          <w:rFonts w:ascii="Arial" w:eastAsia="Times New Roman" w:hAnsi="Arial" w:cs="Arial"/>
          <w:kern w:val="0"/>
          <w:lang w:eastAsia="en-GB"/>
          <w14:ligatures w14:val="none"/>
        </w:rPr>
      </w:pPr>
      <w:r w:rsidRPr="00A65F85">
        <w:rPr>
          <w:rFonts w:ascii="Arial" w:eastAsia="Times New Roman" w:hAnsi="Arial" w:cs="Arial"/>
          <w:kern w:val="0"/>
          <w:lang w:eastAsia="en-GB"/>
          <w14:ligatures w14:val="none"/>
        </w:rPr>
        <w:t>Ultimately, sustainability represents both a challenge and an opportunity for IKEA. By moving beyond its current model and embracing a more transformative approach, the organisation can strengthen its competitive position, enhance stakeholder trust, and contribute meaningfully to a more sustainable and resilient future.</w:t>
      </w:r>
    </w:p>
    <w:p w14:paraId="135DF9BB" w14:textId="77777777" w:rsidR="00CA695B" w:rsidRDefault="00CA695B" w:rsidP="00AF517A">
      <w:pPr>
        <w:spacing w:before="100" w:beforeAutospacing="1" w:after="100" w:afterAutospacing="1" w:line="360" w:lineRule="auto"/>
        <w:jc w:val="both"/>
        <w:rPr>
          <w:rFonts w:ascii="Arial" w:eastAsia="Times New Roman" w:hAnsi="Arial" w:cs="Arial"/>
          <w:kern w:val="0"/>
          <w:lang w:eastAsia="en-GB"/>
          <w14:ligatures w14:val="none"/>
        </w:rPr>
      </w:pPr>
    </w:p>
    <w:p w14:paraId="6B246F81" w14:textId="77777777" w:rsidR="00CA695B" w:rsidRDefault="00CA695B" w:rsidP="00AF517A">
      <w:pPr>
        <w:spacing w:before="100" w:beforeAutospacing="1" w:after="100" w:afterAutospacing="1" w:line="360" w:lineRule="auto"/>
        <w:jc w:val="both"/>
        <w:rPr>
          <w:rFonts w:ascii="Arial" w:eastAsia="Times New Roman" w:hAnsi="Arial" w:cs="Arial"/>
          <w:kern w:val="0"/>
          <w:lang w:eastAsia="en-GB"/>
          <w14:ligatures w14:val="none"/>
        </w:rPr>
      </w:pPr>
    </w:p>
    <w:p w14:paraId="195F0179" w14:textId="77777777" w:rsidR="00CA695B" w:rsidRDefault="00CA695B" w:rsidP="00AF517A">
      <w:pPr>
        <w:spacing w:before="100" w:beforeAutospacing="1" w:after="100" w:afterAutospacing="1" w:line="360" w:lineRule="auto"/>
        <w:jc w:val="both"/>
        <w:rPr>
          <w:rFonts w:ascii="Arial" w:eastAsia="Times New Roman" w:hAnsi="Arial" w:cs="Arial"/>
          <w:kern w:val="0"/>
          <w:lang w:eastAsia="en-GB"/>
          <w14:ligatures w14:val="none"/>
        </w:rPr>
      </w:pPr>
    </w:p>
    <w:p w14:paraId="5AAD76AE" w14:textId="77777777" w:rsidR="00CA695B" w:rsidRDefault="00CA695B" w:rsidP="00AF517A">
      <w:pPr>
        <w:spacing w:before="100" w:beforeAutospacing="1" w:after="100" w:afterAutospacing="1" w:line="360" w:lineRule="auto"/>
        <w:jc w:val="both"/>
        <w:rPr>
          <w:rFonts w:ascii="Arial" w:eastAsia="Times New Roman" w:hAnsi="Arial" w:cs="Arial"/>
          <w:kern w:val="0"/>
          <w:lang w:eastAsia="en-GB"/>
          <w14:ligatures w14:val="none"/>
        </w:rPr>
      </w:pPr>
    </w:p>
    <w:p w14:paraId="0D9EED27" w14:textId="77777777" w:rsidR="00CA695B" w:rsidRDefault="00CA695B" w:rsidP="00AF517A">
      <w:pPr>
        <w:spacing w:before="100" w:beforeAutospacing="1" w:after="100" w:afterAutospacing="1" w:line="360" w:lineRule="auto"/>
        <w:jc w:val="both"/>
        <w:rPr>
          <w:rFonts w:ascii="Arial" w:eastAsia="Times New Roman" w:hAnsi="Arial" w:cs="Arial"/>
          <w:kern w:val="0"/>
          <w:lang w:eastAsia="en-GB"/>
          <w14:ligatures w14:val="none"/>
        </w:rPr>
      </w:pPr>
    </w:p>
    <w:p w14:paraId="0E363DBC" w14:textId="77777777" w:rsidR="00CA695B" w:rsidRPr="00A65F85" w:rsidRDefault="00CA695B" w:rsidP="00AF517A">
      <w:pPr>
        <w:spacing w:before="100" w:beforeAutospacing="1" w:after="100" w:afterAutospacing="1" w:line="360" w:lineRule="auto"/>
        <w:jc w:val="both"/>
        <w:rPr>
          <w:rFonts w:ascii="Arial" w:eastAsia="Times New Roman" w:hAnsi="Arial" w:cs="Arial"/>
          <w:kern w:val="0"/>
          <w:lang w:eastAsia="en-GB"/>
          <w14:ligatures w14:val="none"/>
        </w:rPr>
      </w:pPr>
    </w:p>
    <w:p w14:paraId="5671DC03" w14:textId="77777777" w:rsidR="00551B97" w:rsidRDefault="00551B97" w:rsidP="00AF517A">
      <w:pPr>
        <w:spacing w:before="100" w:beforeAutospacing="1" w:after="100" w:afterAutospacing="1" w:line="360" w:lineRule="auto"/>
        <w:jc w:val="both"/>
        <w:rPr>
          <w:rFonts w:ascii="Arial" w:eastAsia="Times New Roman" w:hAnsi="Arial" w:cs="Arial"/>
          <w:kern w:val="0"/>
          <w:lang w:eastAsia="en-GB"/>
          <w14:ligatures w14:val="none"/>
        </w:rPr>
      </w:pPr>
    </w:p>
    <w:p w14:paraId="7099353D" w14:textId="77777777" w:rsidR="00551B97" w:rsidRPr="000933C6" w:rsidRDefault="00551B97" w:rsidP="00AF517A">
      <w:pPr>
        <w:spacing w:before="100" w:beforeAutospacing="1" w:after="100" w:afterAutospacing="1" w:line="360" w:lineRule="auto"/>
        <w:jc w:val="both"/>
        <w:rPr>
          <w:rFonts w:ascii="Arial" w:eastAsia="Times New Roman" w:hAnsi="Arial" w:cs="Arial"/>
          <w:kern w:val="0"/>
          <w:lang w:eastAsia="en-GB"/>
          <w14:ligatures w14:val="none"/>
        </w:rPr>
      </w:pPr>
    </w:p>
    <w:p w14:paraId="0EE15B9D" w14:textId="14267415" w:rsidR="00B73A15" w:rsidRPr="00551B97" w:rsidRDefault="00B73A15" w:rsidP="00AF517A">
      <w:pPr>
        <w:pStyle w:val="Heading1"/>
        <w:spacing w:line="360" w:lineRule="auto"/>
        <w:jc w:val="both"/>
        <w:rPr>
          <w:rFonts w:ascii="Arial" w:hAnsi="Arial" w:cs="Arial"/>
          <w:b/>
          <w:bCs/>
          <w:color w:val="000000" w:themeColor="text1"/>
          <w:sz w:val="24"/>
          <w:szCs w:val="24"/>
        </w:rPr>
      </w:pPr>
      <w:bookmarkStart w:id="20" w:name="_Toc231380094"/>
      <w:r w:rsidRPr="00551B97">
        <w:rPr>
          <w:rFonts w:ascii="Arial" w:hAnsi="Arial" w:cs="Arial"/>
          <w:b/>
          <w:bCs/>
          <w:color w:val="000000" w:themeColor="text1"/>
          <w:sz w:val="24"/>
          <w:szCs w:val="24"/>
        </w:rPr>
        <w:t>References</w:t>
      </w:r>
      <w:bookmarkEnd w:id="20"/>
    </w:p>
    <w:p w14:paraId="64C25E74" w14:textId="77777777" w:rsidR="00B73A15" w:rsidRPr="00B73A15" w:rsidRDefault="00B73A15" w:rsidP="00AF517A">
      <w:pPr>
        <w:spacing w:line="360" w:lineRule="auto"/>
        <w:jc w:val="both"/>
      </w:pPr>
    </w:p>
    <w:p w14:paraId="21B9956E" w14:textId="77777777" w:rsidR="00331FC2" w:rsidRPr="00551B97" w:rsidRDefault="00B73A15" w:rsidP="00AF517A">
      <w:pPr>
        <w:pStyle w:val="Bibliography"/>
        <w:spacing w:line="360" w:lineRule="auto"/>
        <w:jc w:val="both"/>
        <w:rPr>
          <w:rFonts w:ascii="Arial" w:hAnsi="Arial" w:cs="Arial"/>
        </w:rPr>
      </w:pPr>
      <w:r w:rsidRPr="00551B97">
        <w:rPr>
          <w:rFonts w:ascii="Arial" w:hAnsi="Arial" w:cs="Arial"/>
        </w:rPr>
        <w:fldChar w:fldCharType="begin"/>
      </w:r>
      <w:r w:rsidRPr="00551B97">
        <w:rPr>
          <w:rFonts w:ascii="Arial" w:hAnsi="Arial" w:cs="Arial"/>
        </w:rPr>
        <w:instrText xml:space="preserve"> ADDIN ZOTERO_BIBL {"uncited":[],"omitted":[],"custom":[]} CSL_BIBLIOGRAPHY </w:instrText>
      </w:r>
      <w:r w:rsidRPr="00551B97">
        <w:rPr>
          <w:rFonts w:ascii="Arial" w:hAnsi="Arial" w:cs="Arial"/>
        </w:rPr>
        <w:fldChar w:fldCharType="separate"/>
      </w:r>
      <w:r w:rsidR="00331FC2" w:rsidRPr="00551B97">
        <w:rPr>
          <w:rFonts w:ascii="Arial" w:hAnsi="Arial" w:cs="Arial"/>
        </w:rPr>
        <w:t xml:space="preserve">Amega, K. </w:t>
      </w:r>
      <w:r w:rsidR="00331FC2" w:rsidRPr="00551B97">
        <w:rPr>
          <w:rFonts w:ascii="Arial" w:hAnsi="Arial" w:cs="Arial"/>
          <w:i/>
          <w:iCs/>
        </w:rPr>
        <w:t>et al.</w:t>
      </w:r>
      <w:r w:rsidR="00331FC2" w:rsidRPr="00551B97">
        <w:rPr>
          <w:rFonts w:ascii="Arial" w:hAnsi="Arial" w:cs="Arial"/>
        </w:rPr>
        <w:t xml:space="preserve"> (2024) ‘Power system transformation in emerging countries: A SWOT/PESTLE analysis approach towards resiliency and reliability’, </w:t>
      </w:r>
      <w:r w:rsidR="00331FC2" w:rsidRPr="00551B97">
        <w:rPr>
          <w:rFonts w:ascii="Arial" w:hAnsi="Arial" w:cs="Arial"/>
          <w:i/>
          <w:iCs/>
        </w:rPr>
        <w:t>Heliyon</w:t>
      </w:r>
      <w:r w:rsidR="00331FC2" w:rsidRPr="00551B97">
        <w:rPr>
          <w:rFonts w:ascii="Arial" w:hAnsi="Arial" w:cs="Arial"/>
        </w:rPr>
        <w:t>, 10(12), p. e33018. Available at: https://doi.org/10.1016/j.heliyon.2024.e33018.</w:t>
      </w:r>
    </w:p>
    <w:p w14:paraId="67A66FE8"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Ben-Eli, M.U. (2018) ‘Sustainability: definition and five core principles, a systems perspective’, </w:t>
      </w:r>
      <w:r w:rsidRPr="00551B97">
        <w:rPr>
          <w:rFonts w:ascii="Arial" w:hAnsi="Arial" w:cs="Arial"/>
          <w:i/>
          <w:iCs/>
        </w:rPr>
        <w:t>Sustainability Science</w:t>
      </w:r>
      <w:r w:rsidRPr="00551B97">
        <w:rPr>
          <w:rFonts w:ascii="Arial" w:hAnsi="Arial" w:cs="Arial"/>
        </w:rPr>
        <w:t>, 13(5), pp. 1337–1343. Available at: https://doi.org/10.1007/s11625-018-0564-3.</w:t>
      </w:r>
    </w:p>
    <w:p w14:paraId="771FF40A"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Bocken, N. and Konietzko, J. (2022) ‘Circular business model innovation in consumer-facing corporations’, </w:t>
      </w:r>
      <w:r w:rsidRPr="00551B97">
        <w:rPr>
          <w:rFonts w:ascii="Arial" w:hAnsi="Arial" w:cs="Arial"/>
          <w:i/>
          <w:iCs/>
        </w:rPr>
        <w:t>Technological Forecasting and Social Change</w:t>
      </w:r>
      <w:r w:rsidRPr="00551B97">
        <w:rPr>
          <w:rFonts w:ascii="Arial" w:hAnsi="Arial" w:cs="Arial"/>
        </w:rPr>
        <w:t>, 185, p. 122076. Available at: https://doi.org/10.1016/j.techfore.2022.122076.</w:t>
      </w:r>
    </w:p>
    <w:p w14:paraId="1FE21EE4"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Bouncken, R. </w:t>
      </w:r>
      <w:r w:rsidRPr="00551B97">
        <w:rPr>
          <w:rFonts w:ascii="Arial" w:hAnsi="Arial" w:cs="Arial"/>
          <w:i/>
          <w:iCs/>
        </w:rPr>
        <w:t>et al.</w:t>
      </w:r>
      <w:r w:rsidRPr="00551B97">
        <w:rPr>
          <w:rFonts w:ascii="Arial" w:hAnsi="Arial" w:cs="Arial"/>
        </w:rPr>
        <w:t xml:space="preserve"> (2024) ‘Coopetition for corporate responsibility and sustainability: does it influence firm performance?’, </w:t>
      </w:r>
      <w:r w:rsidRPr="00551B97">
        <w:rPr>
          <w:rFonts w:ascii="Arial" w:hAnsi="Arial" w:cs="Arial"/>
          <w:i/>
          <w:iCs/>
        </w:rPr>
        <w:t>International Journal of Entrepreneurial Behaviour &amp; Research</w:t>
      </w:r>
      <w:r w:rsidRPr="00551B97">
        <w:rPr>
          <w:rFonts w:ascii="Arial" w:hAnsi="Arial" w:cs="Arial"/>
        </w:rPr>
        <w:t>, 30(1), pp. 128–154. Available at: https://doi.org/10.1108/IJEBR-05-2023-0556.</w:t>
      </w:r>
    </w:p>
    <w:p w14:paraId="40C7E306"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Cannava, L. </w:t>
      </w:r>
      <w:r w:rsidRPr="00551B97">
        <w:rPr>
          <w:rFonts w:ascii="Arial" w:hAnsi="Arial" w:cs="Arial"/>
          <w:i/>
          <w:iCs/>
        </w:rPr>
        <w:t>et al.</w:t>
      </w:r>
      <w:r w:rsidRPr="00551B97">
        <w:rPr>
          <w:rFonts w:ascii="Arial" w:hAnsi="Arial" w:cs="Arial"/>
        </w:rPr>
        <w:t xml:space="preserve"> (2025) ‘A Simulation-Based Approach to Improve Energy Efficiency and Environmental Performance in Warehouses: The Case of IKEA’, </w:t>
      </w:r>
      <w:r w:rsidRPr="00551B97">
        <w:rPr>
          <w:rFonts w:ascii="Arial" w:hAnsi="Arial" w:cs="Arial"/>
          <w:i/>
          <w:iCs/>
        </w:rPr>
        <w:t>IFAC-PapersOnLine</w:t>
      </w:r>
      <w:r w:rsidRPr="00551B97">
        <w:rPr>
          <w:rFonts w:ascii="Arial" w:hAnsi="Arial" w:cs="Arial"/>
        </w:rPr>
        <w:t>, 59(10), pp. 799–804. Available at: https://doi.org/10.1016/j.ifacol.2025.09.136.</w:t>
      </w:r>
    </w:p>
    <w:p w14:paraId="4F5D40FC"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Capobianco, N. </w:t>
      </w:r>
      <w:r w:rsidRPr="00551B97">
        <w:rPr>
          <w:rFonts w:ascii="Arial" w:hAnsi="Arial" w:cs="Arial"/>
          <w:i/>
          <w:iCs/>
        </w:rPr>
        <w:t>et al.</w:t>
      </w:r>
      <w:r w:rsidRPr="00551B97">
        <w:rPr>
          <w:rFonts w:ascii="Arial" w:hAnsi="Arial" w:cs="Arial"/>
        </w:rPr>
        <w:t xml:space="preserve"> (2021) ‘Toward a Sustainable Decommissioning of Offshore Platforms in the Oil and Gas Industry: A PESTLE Analysis’, </w:t>
      </w:r>
      <w:r w:rsidRPr="00551B97">
        <w:rPr>
          <w:rFonts w:ascii="Arial" w:hAnsi="Arial" w:cs="Arial"/>
          <w:i/>
          <w:iCs/>
        </w:rPr>
        <w:t>Sustainability</w:t>
      </w:r>
      <w:r w:rsidRPr="00551B97">
        <w:rPr>
          <w:rFonts w:ascii="Arial" w:hAnsi="Arial" w:cs="Arial"/>
        </w:rPr>
        <w:t>, 13(11), p. 6266. Available at: https://doi.org/10.3390/su13116266.</w:t>
      </w:r>
    </w:p>
    <w:p w14:paraId="7BC0641E" w14:textId="6B500F0D" w:rsidR="00551B97" w:rsidRDefault="00AC7AB1" w:rsidP="00AF517A">
      <w:pPr>
        <w:pStyle w:val="Bibliography"/>
        <w:spacing w:line="360" w:lineRule="auto"/>
        <w:jc w:val="both"/>
        <w:rPr>
          <w:rFonts w:ascii="Arial" w:hAnsi="Arial" w:cs="Arial"/>
        </w:rPr>
      </w:pPr>
      <w:r w:rsidRPr="00AC7AB1">
        <w:rPr>
          <w:rFonts w:ascii="Arial" w:hAnsi="Arial" w:cs="Arial"/>
        </w:rPr>
        <w:t>Cen, C.C.</w:t>
      </w:r>
      <w:r w:rsidR="005D748C">
        <w:rPr>
          <w:rFonts w:ascii="Arial" w:hAnsi="Arial" w:cs="Arial"/>
        </w:rPr>
        <w:t xml:space="preserve"> </w:t>
      </w:r>
      <w:r>
        <w:rPr>
          <w:rFonts w:ascii="Arial" w:hAnsi="Arial" w:cs="Arial"/>
        </w:rPr>
        <w:t>(</w:t>
      </w:r>
      <w:r w:rsidRPr="00AC7AB1">
        <w:rPr>
          <w:rFonts w:ascii="Arial" w:hAnsi="Arial" w:cs="Arial"/>
        </w:rPr>
        <w:t>2023</w:t>
      </w:r>
      <w:r>
        <w:rPr>
          <w:rFonts w:ascii="Arial" w:hAnsi="Arial" w:cs="Arial"/>
        </w:rPr>
        <w:t>)</w:t>
      </w:r>
      <w:r w:rsidRPr="00AC7AB1">
        <w:rPr>
          <w:rFonts w:ascii="Arial" w:hAnsi="Arial" w:cs="Arial"/>
        </w:rPr>
        <w:t xml:space="preserve"> Studying the impact of green human resource management practices on sustainable workforce: the integration of employee engagement with organizational culture. </w:t>
      </w:r>
      <w:r w:rsidRPr="00AC7AB1">
        <w:rPr>
          <w:rFonts w:ascii="Arial" w:hAnsi="Arial" w:cs="Arial"/>
          <w:i/>
          <w:iCs/>
        </w:rPr>
        <w:t>AgBioForum</w:t>
      </w:r>
      <w:r w:rsidRPr="00AC7AB1">
        <w:rPr>
          <w:rFonts w:ascii="Arial" w:hAnsi="Arial" w:cs="Arial"/>
        </w:rPr>
        <w:t>, </w:t>
      </w:r>
      <w:r w:rsidRPr="00AC7AB1">
        <w:rPr>
          <w:rFonts w:ascii="Arial" w:hAnsi="Arial" w:cs="Arial"/>
          <w:i/>
          <w:iCs/>
        </w:rPr>
        <w:t>25</w:t>
      </w:r>
      <w:r w:rsidRPr="00AC7AB1">
        <w:rPr>
          <w:rFonts w:ascii="Arial" w:hAnsi="Arial" w:cs="Arial"/>
        </w:rPr>
        <w:t xml:space="preserve">(2), pp.96-107. </w:t>
      </w:r>
      <w:r w:rsidR="00551B97">
        <w:rPr>
          <w:rFonts w:ascii="Arial" w:hAnsi="Arial" w:cs="Arial"/>
        </w:rPr>
        <w:t>Available at:</w:t>
      </w:r>
      <w:r w:rsidR="00551B97" w:rsidRPr="005D748C">
        <w:rPr>
          <w:rFonts w:ascii="Arial" w:hAnsi="Arial" w:cs="Arial"/>
        </w:rPr>
        <w:t xml:space="preserve"> </w:t>
      </w:r>
      <w:hyperlink r:id="rId8" w:history="1">
        <w:r w:rsidRPr="005D748C">
          <w:rPr>
            <w:rStyle w:val="Hyperlink"/>
            <w:rFonts w:ascii="Arial" w:hAnsi="Arial" w:cs="Arial"/>
          </w:rPr>
          <w:t>View of Studying the Impact of Green Human Resource Management Practices on Sustainable Workforce: The Integration of Employee Engagement with Organizational Culture</w:t>
        </w:r>
      </w:hyperlink>
      <w:r w:rsidRPr="005D748C">
        <w:rPr>
          <w:rFonts w:ascii="Arial" w:hAnsi="Arial" w:cs="Arial"/>
        </w:rPr>
        <w:t xml:space="preserve"> </w:t>
      </w:r>
      <w:r>
        <w:rPr>
          <w:rFonts w:ascii="Arial" w:hAnsi="Arial" w:cs="Arial"/>
        </w:rPr>
        <w:t xml:space="preserve">(Accessed: 02 </w:t>
      </w:r>
      <w:proofErr w:type="gramStart"/>
      <w:r>
        <w:rPr>
          <w:rFonts w:ascii="Arial" w:hAnsi="Arial" w:cs="Arial"/>
        </w:rPr>
        <w:t>June,</w:t>
      </w:r>
      <w:proofErr w:type="gramEnd"/>
      <w:r>
        <w:rPr>
          <w:rFonts w:ascii="Arial" w:hAnsi="Arial" w:cs="Arial"/>
        </w:rPr>
        <w:t xml:space="preserve"> 2026)</w:t>
      </w:r>
    </w:p>
    <w:p w14:paraId="4792DB4A" w14:textId="61A11570" w:rsidR="00331FC2" w:rsidRPr="00551B97" w:rsidRDefault="00331FC2" w:rsidP="00AF517A">
      <w:pPr>
        <w:pStyle w:val="Bibliography"/>
        <w:spacing w:line="360" w:lineRule="auto"/>
        <w:jc w:val="both"/>
        <w:rPr>
          <w:rFonts w:ascii="Arial" w:hAnsi="Arial" w:cs="Arial"/>
        </w:rPr>
      </w:pPr>
      <w:r w:rsidRPr="00551B97">
        <w:rPr>
          <w:rFonts w:ascii="Arial" w:hAnsi="Arial" w:cs="Arial"/>
        </w:rPr>
        <w:lastRenderedPageBreak/>
        <w:t xml:space="preserve">Chen, Jiquan </w:t>
      </w:r>
      <w:r w:rsidRPr="00551B97">
        <w:rPr>
          <w:rFonts w:ascii="Arial" w:hAnsi="Arial" w:cs="Arial"/>
          <w:i/>
          <w:iCs/>
        </w:rPr>
        <w:t>et al.</w:t>
      </w:r>
      <w:r w:rsidRPr="00551B97">
        <w:rPr>
          <w:rFonts w:ascii="Arial" w:hAnsi="Arial" w:cs="Arial"/>
        </w:rPr>
        <w:t xml:space="preserve"> (2022) ‘Sustainability challenges for the social-environmental systems across the Asian Drylands Belt’, </w:t>
      </w:r>
      <w:r w:rsidRPr="00551B97">
        <w:rPr>
          <w:rFonts w:ascii="Arial" w:hAnsi="Arial" w:cs="Arial"/>
          <w:i/>
          <w:iCs/>
        </w:rPr>
        <w:t>Environmental Research Letters</w:t>
      </w:r>
      <w:r w:rsidRPr="00551B97">
        <w:rPr>
          <w:rFonts w:ascii="Arial" w:hAnsi="Arial" w:cs="Arial"/>
        </w:rPr>
        <w:t>, 17(2), p. 023001. Available at: https://doi.org/10.1088/1748-9326/ac472f.</w:t>
      </w:r>
    </w:p>
    <w:p w14:paraId="67F37441"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Chen, W., Kucukyazici, B. and Saenz, M.J. (2019) ‘On the joint dynamics of the economic and environmental performances for collective take-back systems’, </w:t>
      </w:r>
      <w:r w:rsidRPr="00551B97">
        <w:rPr>
          <w:rFonts w:ascii="Arial" w:hAnsi="Arial" w:cs="Arial"/>
          <w:i/>
          <w:iCs/>
        </w:rPr>
        <w:t>International Journal of Production Economics</w:t>
      </w:r>
      <w:r w:rsidRPr="00551B97">
        <w:rPr>
          <w:rFonts w:ascii="Arial" w:hAnsi="Arial" w:cs="Arial"/>
        </w:rPr>
        <w:t>, 218, pp. 228–244. Available at: https://doi.org/10.1016/j.ijpe.2019.04.028.</w:t>
      </w:r>
    </w:p>
    <w:p w14:paraId="01BFE1AB"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De Los Reyes, G. and Scholz, M. (2019) ‘The limits of the business case for sustainability: Don’t count on “Creating Shared Value” to extinguish corporate destruction’, </w:t>
      </w:r>
      <w:r w:rsidRPr="00551B97">
        <w:rPr>
          <w:rFonts w:ascii="Arial" w:hAnsi="Arial" w:cs="Arial"/>
          <w:i/>
          <w:iCs/>
        </w:rPr>
        <w:t>Journal of Cleaner Production</w:t>
      </w:r>
      <w:r w:rsidRPr="00551B97">
        <w:rPr>
          <w:rFonts w:ascii="Arial" w:hAnsi="Arial" w:cs="Arial"/>
        </w:rPr>
        <w:t>, 221, pp. 785–794. Available at: https://doi.org/10.1016/j.jclepro.2019.02.187.</w:t>
      </w:r>
    </w:p>
    <w:p w14:paraId="394120DB"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Duan, Y., Aloysius, J.A. and Mollenkopf, D.A. (2022) ‘Communicating supply chain sustainability: transparency and framing effects’, </w:t>
      </w:r>
      <w:r w:rsidRPr="00551B97">
        <w:rPr>
          <w:rFonts w:ascii="Arial" w:hAnsi="Arial" w:cs="Arial"/>
          <w:i/>
          <w:iCs/>
        </w:rPr>
        <w:t>International Journal of Physical Distribution &amp; Logistics Management</w:t>
      </w:r>
      <w:r w:rsidRPr="00551B97">
        <w:rPr>
          <w:rFonts w:ascii="Arial" w:hAnsi="Arial" w:cs="Arial"/>
        </w:rPr>
        <w:t>, 52(1), pp. 68–87. Available at: https://doi.org/10.1108/IJPDLM-04-2020-0107.</w:t>
      </w:r>
    </w:p>
    <w:p w14:paraId="12965332"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Eichhorn, T. </w:t>
      </w:r>
      <w:r w:rsidRPr="00551B97">
        <w:rPr>
          <w:rFonts w:ascii="Arial" w:hAnsi="Arial" w:cs="Arial"/>
          <w:i/>
          <w:iCs/>
        </w:rPr>
        <w:t>et al.</w:t>
      </w:r>
      <w:r w:rsidRPr="00551B97">
        <w:rPr>
          <w:rFonts w:ascii="Arial" w:hAnsi="Arial" w:cs="Arial"/>
        </w:rPr>
        <w:t xml:space="preserve"> (2024) ‘Exploring macro-environmental factors influencing adoption of result-based and collective agri-environmental measures: a PESTLE approach based on stakeholder statements’, </w:t>
      </w:r>
      <w:r w:rsidRPr="00551B97">
        <w:rPr>
          <w:rFonts w:ascii="Arial" w:hAnsi="Arial" w:cs="Arial"/>
          <w:i/>
          <w:iCs/>
        </w:rPr>
        <w:t>Bio - Based and Applied Economics</w:t>
      </w:r>
      <w:r w:rsidRPr="00551B97">
        <w:rPr>
          <w:rFonts w:ascii="Arial" w:hAnsi="Arial" w:cs="Arial"/>
        </w:rPr>
        <w:t>, 13(1), pp. 49–71. Available at: https://doi.org/10.36253/bae-14489.</w:t>
      </w:r>
    </w:p>
    <w:p w14:paraId="2C026348"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Eierle, B. </w:t>
      </w:r>
      <w:r w:rsidRPr="00551B97">
        <w:rPr>
          <w:rFonts w:ascii="Arial" w:hAnsi="Arial" w:cs="Arial"/>
          <w:i/>
          <w:iCs/>
        </w:rPr>
        <w:t>et al.</w:t>
      </w:r>
      <w:r w:rsidRPr="00551B97">
        <w:rPr>
          <w:rFonts w:ascii="Arial" w:hAnsi="Arial" w:cs="Arial"/>
        </w:rPr>
        <w:t xml:space="preserve"> (2022) ‘External Factors and the Pricing of Audit Services: A Systematic Review of the Archival Literature Using a PESTLE Analysis.’, </w:t>
      </w:r>
      <w:r w:rsidRPr="00551B97">
        <w:rPr>
          <w:rFonts w:ascii="Arial" w:hAnsi="Arial" w:cs="Arial"/>
          <w:i/>
          <w:iCs/>
        </w:rPr>
        <w:t>Auditing: A Journal of Practice &amp; Theory</w:t>
      </w:r>
      <w:r w:rsidRPr="00551B97">
        <w:rPr>
          <w:rFonts w:ascii="Arial" w:hAnsi="Arial" w:cs="Arial"/>
        </w:rPr>
        <w:t>, 41(3), pp. 95–119. Available at: https://doi.org/10.2308/AJPT-2019-510.</w:t>
      </w:r>
    </w:p>
    <w:p w14:paraId="72A78AE2"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Elg, U. and Welinder, A. (2022) ‘Sustainabilty and retail marketing: Corporate, product and store perspectives’, </w:t>
      </w:r>
      <w:r w:rsidRPr="00551B97">
        <w:rPr>
          <w:rFonts w:ascii="Arial" w:hAnsi="Arial" w:cs="Arial"/>
          <w:i/>
          <w:iCs/>
        </w:rPr>
        <w:t>Journal of Retailing and Consumer Services</w:t>
      </w:r>
      <w:r w:rsidRPr="00551B97">
        <w:rPr>
          <w:rFonts w:ascii="Arial" w:hAnsi="Arial" w:cs="Arial"/>
        </w:rPr>
        <w:t>, 64, p. 102810. Available at: https://doi.org/10.1016/j.jretconser.2021.102810.</w:t>
      </w:r>
    </w:p>
    <w:p w14:paraId="2087F61E"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Falahatdoost, S., Wang, X. and Zhao, S. (2026) ‘Leveraging 3D Visualization and ARDL Modeling for Urban Sustainability: A Transformative Approach for Belt and Road </w:t>
      </w:r>
      <w:r w:rsidRPr="00551B97">
        <w:rPr>
          <w:rFonts w:ascii="Arial" w:hAnsi="Arial" w:cs="Arial"/>
        </w:rPr>
        <w:lastRenderedPageBreak/>
        <w:t xml:space="preserve">Metropolitan Areas’, </w:t>
      </w:r>
      <w:r w:rsidRPr="00551B97">
        <w:rPr>
          <w:rFonts w:ascii="Arial" w:hAnsi="Arial" w:cs="Arial"/>
          <w:i/>
          <w:iCs/>
        </w:rPr>
        <w:t>Papers in Applied Geography</w:t>
      </w:r>
      <w:r w:rsidRPr="00551B97">
        <w:rPr>
          <w:rFonts w:ascii="Arial" w:hAnsi="Arial" w:cs="Arial"/>
        </w:rPr>
        <w:t>, 12(1), pp. 23–44. Available at: https://doi.org/10.1080/23754931.2025.2536137.</w:t>
      </w:r>
    </w:p>
    <w:p w14:paraId="1AF993AC"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George, D., Christie, I. and Wehrmeyer, W. (2025) ‘Macro Stewardship: A Transformative Approach in Sustainable Finance for Achieving Sustainability’, </w:t>
      </w:r>
      <w:r w:rsidRPr="00551B97">
        <w:rPr>
          <w:rFonts w:ascii="Arial" w:hAnsi="Arial" w:cs="Arial"/>
          <w:i/>
          <w:iCs/>
        </w:rPr>
        <w:t>Sustainability</w:t>
      </w:r>
      <w:r w:rsidRPr="00551B97">
        <w:rPr>
          <w:rFonts w:ascii="Arial" w:hAnsi="Arial" w:cs="Arial"/>
        </w:rPr>
        <w:t>, 17(8), p. 3287. Available at: https://doi.org/10.3390/su17083287.</w:t>
      </w:r>
    </w:p>
    <w:p w14:paraId="73A2FEDB"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Golinska-Dawson, P. </w:t>
      </w:r>
      <w:r w:rsidRPr="00551B97">
        <w:rPr>
          <w:rFonts w:ascii="Arial" w:hAnsi="Arial" w:cs="Arial"/>
          <w:i/>
          <w:iCs/>
        </w:rPr>
        <w:t>et al.</w:t>
      </w:r>
      <w:r w:rsidRPr="00551B97">
        <w:rPr>
          <w:rFonts w:ascii="Arial" w:hAnsi="Arial" w:cs="Arial"/>
        </w:rPr>
        <w:t xml:space="preserve"> (2025) ‘How can OEMs scale up remanufacturing in product-as-a-service (PaaS)? – challenges and enablers from a theoretical and industrial perspective’, </w:t>
      </w:r>
      <w:r w:rsidRPr="00551B97">
        <w:rPr>
          <w:rFonts w:ascii="Arial" w:hAnsi="Arial" w:cs="Arial"/>
          <w:i/>
          <w:iCs/>
        </w:rPr>
        <w:t>International Journal of Production Research</w:t>
      </w:r>
      <w:r w:rsidRPr="00551B97">
        <w:rPr>
          <w:rFonts w:ascii="Arial" w:hAnsi="Arial" w:cs="Arial"/>
        </w:rPr>
        <w:t>, 63(10), pp. 3854–3883. Available at: https://doi.org/10.1080/00207543.2024.2423798.</w:t>
      </w:r>
    </w:p>
    <w:p w14:paraId="4F17FB70"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Gong, Y. </w:t>
      </w:r>
      <w:r w:rsidRPr="00551B97">
        <w:rPr>
          <w:rFonts w:ascii="Arial" w:hAnsi="Arial" w:cs="Arial"/>
          <w:i/>
          <w:iCs/>
        </w:rPr>
        <w:t>et al.</w:t>
      </w:r>
      <w:r w:rsidRPr="00551B97">
        <w:rPr>
          <w:rFonts w:ascii="Arial" w:hAnsi="Arial" w:cs="Arial"/>
        </w:rPr>
        <w:t xml:space="preserve"> (2019) ‘IKEA: Sustainable Cotton Initiative in China.’, </w:t>
      </w:r>
      <w:r w:rsidRPr="00551B97">
        <w:rPr>
          <w:rFonts w:ascii="Arial" w:hAnsi="Arial" w:cs="Arial"/>
          <w:i/>
          <w:iCs/>
        </w:rPr>
        <w:t>Asian Case Research Journal</w:t>
      </w:r>
      <w:r w:rsidRPr="00551B97">
        <w:rPr>
          <w:rFonts w:ascii="Arial" w:hAnsi="Arial" w:cs="Arial"/>
        </w:rPr>
        <w:t>, 23(2), pp. 491–518. Available at: https://doi.org/10.1142/S0218927519500202.</w:t>
      </w:r>
    </w:p>
    <w:p w14:paraId="6615D678"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Gupta, V. </w:t>
      </w:r>
      <w:r w:rsidRPr="00551B97">
        <w:rPr>
          <w:rFonts w:ascii="Arial" w:hAnsi="Arial" w:cs="Arial"/>
          <w:i/>
          <w:iCs/>
        </w:rPr>
        <w:t>et al.</w:t>
      </w:r>
      <w:r w:rsidRPr="00551B97">
        <w:rPr>
          <w:rFonts w:ascii="Arial" w:hAnsi="Arial" w:cs="Arial"/>
        </w:rPr>
        <w:t xml:space="preserve"> (2023) ‘Are consumers influenced by the use of green practices in five-star hotels: an assessment of guest’s revisit intentions, inclusive ratings and hotel performance’, </w:t>
      </w:r>
      <w:r w:rsidRPr="00551B97">
        <w:rPr>
          <w:rFonts w:ascii="Arial" w:hAnsi="Arial" w:cs="Arial"/>
          <w:i/>
          <w:iCs/>
        </w:rPr>
        <w:t>International Journal of Tourism Cities</w:t>
      </w:r>
      <w:r w:rsidRPr="00551B97">
        <w:rPr>
          <w:rFonts w:ascii="Arial" w:hAnsi="Arial" w:cs="Arial"/>
        </w:rPr>
        <w:t>, 9(1), pp. 159–181. Available at: https://doi.org/10.1108/IJTC-05-2022-0131.</w:t>
      </w:r>
    </w:p>
    <w:p w14:paraId="6ED1B12D"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Heydari, J. and Mosanna, Z. (2018) ‘Coordination of a sustainable supply chain contributing </w:t>
      </w:r>
      <w:proofErr w:type="gramStart"/>
      <w:r w:rsidRPr="00551B97">
        <w:rPr>
          <w:rFonts w:ascii="Arial" w:hAnsi="Arial" w:cs="Arial"/>
        </w:rPr>
        <w:t>in</w:t>
      </w:r>
      <w:proofErr w:type="gramEnd"/>
      <w:r w:rsidRPr="00551B97">
        <w:rPr>
          <w:rFonts w:ascii="Arial" w:hAnsi="Arial" w:cs="Arial"/>
        </w:rPr>
        <w:t xml:space="preserve"> a cause-related marketing campaign’, </w:t>
      </w:r>
      <w:r w:rsidRPr="00551B97">
        <w:rPr>
          <w:rFonts w:ascii="Arial" w:hAnsi="Arial" w:cs="Arial"/>
          <w:i/>
          <w:iCs/>
        </w:rPr>
        <w:t>Journal of Cleaner Production</w:t>
      </w:r>
      <w:r w:rsidRPr="00551B97">
        <w:rPr>
          <w:rFonts w:ascii="Arial" w:hAnsi="Arial" w:cs="Arial"/>
        </w:rPr>
        <w:t>, 200, pp. 524–532. Available at: https://doi.org/10.1016/j.jclepro.2018.07.055.</w:t>
      </w:r>
    </w:p>
    <w:p w14:paraId="7D8707A6"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Huang, G., Lanzrath, A.I. and Homburg, C. (2026) ‘When do high prices sell better for sustainable products in business-to-business markets? The role of price–sustainability fit’, </w:t>
      </w:r>
      <w:r w:rsidRPr="00551B97">
        <w:rPr>
          <w:rFonts w:ascii="Arial" w:hAnsi="Arial" w:cs="Arial"/>
          <w:i/>
          <w:iCs/>
        </w:rPr>
        <w:t>Industrial Marketing Management</w:t>
      </w:r>
      <w:r w:rsidRPr="00551B97">
        <w:rPr>
          <w:rFonts w:ascii="Arial" w:hAnsi="Arial" w:cs="Arial"/>
        </w:rPr>
        <w:t>, 134, pp. 172–185. Available at: https://doi.org/10.1016/j.indmarman.2026.02.012.</w:t>
      </w:r>
    </w:p>
    <w:p w14:paraId="403D78B2"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Irfan, D. and Tang, X. (2025) ‘Evaluating China’s Electric Vehicle Adoption with PESTLE: Stakeholder Perspectives on Sustainability and Adoption Barriers’, </w:t>
      </w:r>
      <w:r w:rsidRPr="00551B97">
        <w:rPr>
          <w:rFonts w:ascii="Arial" w:hAnsi="Arial" w:cs="Arial"/>
          <w:i/>
          <w:iCs/>
        </w:rPr>
        <w:t>Sustainability</w:t>
      </w:r>
      <w:r w:rsidRPr="00551B97">
        <w:rPr>
          <w:rFonts w:ascii="Arial" w:hAnsi="Arial" w:cs="Arial"/>
        </w:rPr>
        <w:t>, 17(14), p. 6258. Available at: https://doi.org/10.3390/su17146258.</w:t>
      </w:r>
    </w:p>
    <w:p w14:paraId="114C1537"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Jahanbakhsh, E. (2026) ‘Strategic integration of digital innovation and sustainability: A foresight-driven framework for ESG transformation’, </w:t>
      </w:r>
      <w:r w:rsidRPr="00551B97">
        <w:rPr>
          <w:rFonts w:ascii="Arial" w:hAnsi="Arial" w:cs="Arial"/>
          <w:i/>
          <w:iCs/>
        </w:rPr>
        <w:t>Social Sciences &amp; Humanities Open</w:t>
      </w:r>
      <w:r w:rsidRPr="00551B97">
        <w:rPr>
          <w:rFonts w:ascii="Arial" w:hAnsi="Arial" w:cs="Arial"/>
        </w:rPr>
        <w:t>, 13, p. 102795. Available at: https://doi.org/10.1016/j.ssaho.2026.102795.</w:t>
      </w:r>
    </w:p>
    <w:p w14:paraId="2ED69C93" w14:textId="490CA25D" w:rsidR="00331FC2" w:rsidRPr="00551B97" w:rsidRDefault="00331FC2" w:rsidP="00AF517A">
      <w:pPr>
        <w:pStyle w:val="Bibliography"/>
        <w:spacing w:line="360" w:lineRule="auto"/>
        <w:jc w:val="both"/>
        <w:rPr>
          <w:rFonts w:ascii="Arial" w:hAnsi="Arial" w:cs="Arial"/>
        </w:rPr>
      </w:pPr>
      <w:r w:rsidRPr="00551B97">
        <w:rPr>
          <w:rFonts w:ascii="Arial" w:hAnsi="Arial" w:cs="Arial"/>
        </w:rPr>
        <w:lastRenderedPageBreak/>
        <w:t xml:space="preserve">Janková, Z. </w:t>
      </w:r>
      <w:r w:rsidRPr="00551B97">
        <w:rPr>
          <w:rFonts w:ascii="Arial" w:hAnsi="Arial" w:cs="Arial"/>
          <w:i/>
          <w:iCs/>
        </w:rPr>
        <w:t>et al.</w:t>
      </w:r>
      <w:r w:rsidRPr="00551B97">
        <w:rPr>
          <w:rFonts w:ascii="Arial" w:hAnsi="Arial" w:cs="Arial"/>
        </w:rPr>
        <w:t xml:space="preserve"> (</w:t>
      </w:r>
      <w:r w:rsidR="00D631BF">
        <w:rPr>
          <w:rFonts w:ascii="Arial" w:hAnsi="Arial" w:cs="Arial"/>
        </w:rPr>
        <w:t>2026</w:t>
      </w:r>
      <w:r w:rsidRPr="00551B97">
        <w:rPr>
          <w:rFonts w:ascii="Arial" w:hAnsi="Arial" w:cs="Arial"/>
        </w:rPr>
        <w:t xml:space="preserve">) ‘Exploring the Nexus Between Sustainability Index and Central European Stock Markets Competitiveness: Evidence Through Time–Frequency Analysis and SHAP’, </w:t>
      </w:r>
      <w:r w:rsidRPr="00551B97">
        <w:rPr>
          <w:rFonts w:ascii="Arial" w:hAnsi="Arial" w:cs="Arial"/>
          <w:i/>
          <w:iCs/>
        </w:rPr>
        <w:t>Journal of Forecasting</w:t>
      </w:r>
      <w:r w:rsidRPr="00551B97">
        <w:rPr>
          <w:rFonts w:ascii="Arial" w:hAnsi="Arial" w:cs="Arial"/>
        </w:rPr>
        <w:t>, n/a(n/a). Available at: https://doi.org/10.1002/for.70141.</w:t>
      </w:r>
    </w:p>
    <w:p w14:paraId="7A4172B7"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Jiang, Y., Jia, F. and Gong, Y. (2018) ‘IKEA: global sourcing and the sustainable leather initiative’, </w:t>
      </w:r>
      <w:r w:rsidRPr="00551B97">
        <w:rPr>
          <w:rFonts w:ascii="Arial" w:hAnsi="Arial" w:cs="Arial"/>
          <w:i/>
          <w:iCs/>
        </w:rPr>
        <w:t>International Food and Agribusiness Management Review</w:t>
      </w:r>
      <w:r w:rsidRPr="00551B97">
        <w:rPr>
          <w:rFonts w:ascii="Arial" w:hAnsi="Arial" w:cs="Arial"/>
        </w:rPr>
        <w:t>, 21(5), pp. 627–640. Available at: https://doi.org/10.22434/IFAMR2017.0109.</w:t>
      </w:r>
    </w:p>
    <w:p w14:paraId="3BDAC2FA"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Juin, C., Georget, V. and Rayna, T. (2025) ‘Business Model Innovation: a Framework for Assessing Corporate Engagement with Sustainability’, </w:t>
      </w:r>
      <w:r w:rsidRPr="00551B97">
        <w:rPr>
          <w:rFonts w:ascii="Arial" w:hAnsi="Arial" w:cs="Arial"/>
          <w:i/>
          <w:iCs/>
        </w:rPr>
        <w:t>Circular Economy and Sustainability</w:t>
      </w:r>
      <w:r w:rsidRPr="00551B97">
        <w:rPr>
          <w:rFonts w:ascii="Arial" w:hAnsi="Arial" w:cs="Arial"/>
        </w:rPr>
        <w:t>, 5(7), pp. 6411–6433. Available at: https://doi.org/10.1007/s43615-025-00565-9.</w:t>
      </w:r>
    </w:p>
    <w:p w14:paraId="5276CB42"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Kaiser, C. </w:t>
      </w:r>
      <w:r w:rsidRPr="00551B97">
        <w:rPr>
          <w:rFonts w:ascii="Arial" w:hAnsi="Arial" w:cs="Arial"/>
          <w:i/>
          <w:iCs/>
        </w:rPr>
        <w:t>et al.</w:t>
      </w:r>
      <w:r w:rsidRPr="00551B97">
        <w:rPr>
          <w:rFonts w:ascii="Arial" w:hAnsi="Arial" w:cs="Arial"/>
        </w:rPr>
        <w:t xml:space="preserve"> (2024) ‘Reflective Appraisal of Transformative Innovation Policy: Development of the Sustainability Transition and Innovation Review (STIR) Approach and Application to Canada’, </w:t>
      </w:r>
      <w:r w:rsidRPr="00551B97">
        <w:rPr>
          <w:rFonts w:ascii="Arial" w:hAnsi="Arial" w:cs="Arial"/>
          <w:i/>
          <w:iCs/>
        </w:rPr>
        <w:t>Sustainability</w:t>
      </w:r>
      <w:r w:rsidRPr="00551B97">
        <w:rPr>
          <w:rFonts w:ascii="Arial" w:hAnsi="Arial" w:cs="Arial"/>
        </w:rPr>
        <w:t>, 16(12), p. 5106. Available at: https://doi.org/10.3390/su16125106.</w:t>
      </w:r>
    </w:p>
    <w:p w14:paraId="32608608"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Kalaitzi, D. </w:t>
      </w:r>
      <w:r w:rsidRPr="00551B97">
        <w:rPr>
          <w:rFonts w:ascii="Arial" w:hAnsi="Arial" w:cs="Arial"/>
          <w:i/>
          <w:iCs/>
        </w:rPr>
        <w:t>et al.</w:t>
      </w:r>
      <w:r w:rsidRPr="00551B97">
        <w:rPr>
          <w:rFonts w:ascii="Arial" w:hAnsi="Arial" w:cs="Arial"/>
        </w:rPr>
        <w:t xml:space="preserve"> (2019) ‘Supply chains under resource pressure: Strategies for improving resource efficiency and competitive advantage’, </w:t>
      </w:r>
      <w:r w:rsidRPr="00551B97">
        <w:rPr>
          <w:rFonts w:ascii="Arial" w:hAnsi="Arial" w:cs="Arial"/>
          <w:i/>
          <w:iCs/>
        </w:rPr>
        <w:t>International Journal of Operations &amp; Production Management</w:t>
      </w:r>
      <w:r w:rsidRPr="00551B97">
        <w:rPr>
          <w:rFonts w:ascii="Arial" w:hAnsi="Arial" w:cs="Arial"/>
        </w:rPr>
        <w:t>, 39(12), pp. 1323–1354. Available at: https://doi.org/10.1108/IJOPM-02-2019-0137.</w:t>
      </w:r>
    </w:p>
    <w:p w14:paraId="3C02BFB1"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Kumar, R. </w:t>
      </w:r>
      <w:r w:rsidRPr="00551B97">
        <w:rPr>
          <w:rFonts w:ascii="Arial" w:hAnsi="Arial" w:cs="Arial"/>
          <w:i/>
          <w:iCs/>
        </w:rPr>
        <w:t>et al.</w:t>
      </w:r>
      <w:r w:rsidRPr="00551B97">
        <w:rPr>
          <w:rFonts w:ascii="Arial" w:hAnsi="Arial" w:cs="Arial"/>
        </w:rPr>
        <w:t xml:space="preserve"> (2019) ‘Examining the role of external factors in influencing green behaviour among young Indian consumers’, </w:t>
      </w:r>
      <w:r w:rsidRPr="00551B97">
        <w:rPr>
          <w:rFonts w:ascii="Arial" w:hAnsi="Arial" w:cs="Arial"/>
          <w:i/>
          <w:iCs/>
        </w:rPr>
        <w:t>Young Consumers</w:t>
      </w:r>
      <w:r w:rsidRPr="00551B97">
        <w:rPr>
          <w:rFonts w:ascii="Arial" w:hAnsi="Arial" w:cs="Arial"/>
        </w:rPr>
        <w:t>, 20(4), pp. 380–398. Available at: https://doi.org/10.1108/YC-12-2018-0921.</w:t>
      </w:r>
    </w:p>
    <w:p w14:paraId="5080BA86"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Laurin, F. and Fantazy, K. (2017a) ‘Sustainable supply chain management: a case study at IKEA’, </w:t>
      </w:r>
      <w:r w:rsidRPr="00551B97">
        <w:rPr>
          <w:rFonts w:ascii="Arial" w:hAnsi="Arial" w:cs="Arial"/>
          <w:i/>
          <w:iCs/>
        </w:rPr>
        <w:t>Transnational Corporations Review</w:t>
      </w:r>
      <w:r w:rsidRPr="00551B97">
        <w:rPr>
          <w:rFonts w:ascii="Arial" w:hAnsi="Arial" w:cs="Arial"/>
        </w:rPr>
        <w:t>, 9(4), pp. 309–318. Available at: https://doi.org/10.1080/19186444.2017.1401208.</w:t>
      </w:r>
    </w:p>
    <w:p w14:paraId="75807C9F"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Laurin, F. and Fantazy, K. (2017b) ‘Sustainable supply chain management: a case study at IKEA’, </w:t>
      </w:r>
      <w:r w:rsidRPr="00551B97">
        <w:rPr>
          <w:rFonts w:ascii="Arial" w:hAnsi="Arial" w:cs="Arial"/>
          <w:i/>
          <w:iCs/>
        </w:rPr>
        <w:t>Transnational Corporations Review</w:t>
      </w:r>
      <w:r w:rsidRPr="00551B97">
        <w:rPr>
          <w:rFonts w:ascii="Arial" w:hAnsi="Arial" w:cs="Arial"/>
        </w:rPr>
        <w:t>, 9(4), pp. 309–318. Available at: https://doi.org/10.1080/19186444.2017.1401208.</w:t>
      </w:r>
    </w:p>
    <w:p w14:paraId="5D39C6B6"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lastRenderedPageBreak/>
        <w:t xml:space="preserve">Lazurko, A. </w:t>
      </w:r>
      <w:r w:rsidRPr="00551B97">
        <w:rPr>
          <w:rFonts w:ascii="Arial" w:hAnsi="Arial" w:cs="Arial"/>
          <w:i/>
          <w:iCs/>
        </w:rPr>
        <w:t>et al.</w:t>
      </w:r>
      <w:r w:rsidRPr="00551B97">
        <w:rPr>
          <w:rFonts w:ascii="Arial" w:hAnsi="Arial" w:cs="Arial"/>
        </w:rPr>
        <w:t xml:space="preserve"> (2025) ‘Reflexivity as a transformative capacity for sustainability science: introducing a critical systems approach’, </w:t>
      </w:r>
      <w:r w:rsidRPr="00551B97">
        <w:rPr>
          <w:rFonts w:ascii="Arial" w:hAnsi="Arial" w:cs="Arial"/>
          <w:i/>
          <w:iCs/>
        </w:rPr>
        <w:t>Global Sustainability</w:t>
      </w:r>
      <w:r w:rsidRPr="00551B97">
        <w:rPr>
          <w:rFonts w:ascii="Arial" w:hAnsi="Arial" w:cs="Arial"/>
        </w:rPr>
        <w:t>, 8. Available at: https://doi.org/10.1017/sus.2024.49.</w:t>
      </w:r>
    </w:p>
    <w:p w14:paraId="0C892423"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Lehner, M. </w:t>
      </w:r>
      <w:r w:rsidRPr="00551B97">
        <w:rPr>
          <w:rFonts w:ascii="Arial" w:hAnsi="Arial" w:cs="Arial"/>
          <w:i/>
          <w:iCs/>
        </w:rPr>
        <w:t>et al.</w:t>
      </w:r>
      <w:r w:rsidRPr="00551B97">
        <w:rPr>
          <w:rFonts w:ascii="Arial" w:hAnsi="Arial" w:cs="Arial"/>
        </w:rPr>
        <w:t xml:space="preserve"> (2020a) ‘Circular Economy in Home Textiles: Motivations of IKEA Consumers in Sweden’, </w:t>
      </w:r>
      <w:r w:rsidRPr="00551B97">
        <w:rPr>
          <w:rFonts w:ascii="Arial" w:hAnsi="Arial" w:cs="Arial"/>
          <w:i/>
          <w:iCs/>
        </w:rPr>
        <w:t>Sustainability</w:t>
      </w:r>
      <w:r w:rsidRPr="00551B97">
        <w:rPr>
          <w:rFonts w:ascii="Arial" w:hAnsi="Arial" w:cs="Arial"/>
        </w:rPr>
        <w:t>, 12(12), p. 5030. Available at: https://doi.org/10.3390/su12125030.</w:t>
      </w:r>
    </w:p>
    <w:p w14:paraId="043C1B66"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Lehner, M. </w:t>
      </w:r>
      <w:r w:rsidRPr="00551B97">
        <w:rPr>
          <w:rFonts w:ascii="Arial" w:hAnsi="Arial" w:cs="Arial"/>
          <w:i/>
          <w:iCs/>
        </w:rPr>
        <w:t>et al.</w:t>
      </w:r>
      <w:r w:rsidRPr="00551B97">
        <w:rPr>
          <w:rFonts w:ascii="Arial" w:hAnsi="Arial" w:cs="Arial"/>
        </w:rPr>
        <w:t xml:space="preserve"> (2020b) ‘Circular Economy in Home Textiles: Motivations of IKEA Consumers in Sweden’, </w:t>
      </w:r>
      <w:r w:rsidRPr="00551B97">
        <w:rPr>
          <w:rFonts w:ascii="Arial" w:hAnsi="Arial" w:cs="Arial"/>
          <w:i/>
          <w:iCs/>
        </w:rPr>
        <w:t>Sustainability</w:t>
      </w:r>
      <w:r w:rsidRPr="00551B97">
        <w:rPr>
          <w:rFonts w:ascii="Arial" w:hAnsi="Arial" w:cs="Arial"/>
        </w:rPr>
        <w:t>, 12(12), p. 5030. Available at: https://doi.org/10.3390/su12125030.</w:t>
      </w:r>
    </w:p>
    <w:p w14:paraId="10F3D2E0"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Lehner, M. </w:t>
      </w:r>
      <w:r w:rsidRPr="00551B97">
        <w:rPr>
          <w:rFonts w:ascii="Arial" w:hAnsi="Arial" w:cs="Arial"/>
          <w:i/>
          <w:iCs/>
        </w:rPr>
        <w:t>et al.</w:t>
      </w:r>
      <w:r w:rsidRPr="00551B97">
        <w:rPr>
          <w:rFonts w:ascii="Arial" w:hAnsi="Arial" w:cs="Arial"/>
        </w:rPr>
        <w:t xml:space="preserve"> (2020c) ‘Circular Economy in Home Textiles: Motivations of IKEA Consumers in Sweden’, </w:t>
      </w:r>
      <w:r w:rsidRPr="00551B97">
        <w:rPr>
          <w:rFonts w:ascii="Arial" w:hAnsi="Arial" w:cs="Arial"/>
          <w:i/>
          <w:iCs/>
        </w:rPr>
        <w:t>Sustainability</w:t>
      </w:r>
      <w:r w:rsidRPr="00551B97">
        <w:rPr>
          <w:rFonts w:ascii="Arial" w:hAnsi="Arial" w:cs="Arial"/>
        </w:rPr>
        <w:t>, 12(12), p. 5030. Available at: https://doi.org/10.3390/su12125030.</w:t>
      </w:r>
    </w:p>
    <w:p w14:paraId="74EDA567"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Loos, J. </w:t>
      </w:r>
      <w:r w:rsidRPr="00551B97">
        <w:rPr>
          <w:rFonts w:ascii="Arial" w:hAnsi="Arial" w:cs="Arial"/>
          <w:i/>
          <w:iCs/>
        </w:rPr>
        <w:t>et al.</w:t>
      </w:r>
      <w:r w:rsidRPr="00551B97">
        <w:rPr>
          <w:rFonts w:ascii="Arial" w:hAnsi="Arial" w:cs="Arial"/>
        </w:rPr>
        <w:t xml:space="preserve"> (2024) ‘Enhancing the transformative potential of interventions for the sustainable use of natural resources’, </w:t>
      </w:r>
      <w:r w:rsidRPr="00551B97">
        <w:rPr>
          <w:rFonts w:ascii="Arial" w:hAnsi="Arial" w:cs="Arial"/>
          <w:i/>
          <w:iCs/>
        </w:rPr>
        <w:t>Biological Conservation</w:t>
      </w:r>
      <w:r w:rsidRPr="00551B97">
        <w:rPr>
          <w:rFonts w:ascii="Arial" w:hAnsi="Arial" w:cs="Arial"/>
        </w:rPr>
        <w:t>, 296, p. 110691. Available at: https://doi.org/10.1016/j.biocon.2024.110691.</w:t>
      </w:r>
    </w:p>
    <w:p w14:paraId="5BEF4BF0"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Magondu, E. </w:t>
      </w:r>
      <w:r w:rsidRPr="00551B97">
        <w:rPr>
          <w:rFonts w:ascii="Arial" w:hAnsi="Arial" w:cs="Arial"/>
          <w:i/>
          <w:iCs/>
        </w:rPr>
        <w:t>et al.</w:t>
      </w:r>
      <w:r w:rsidRPr="00551B97">
        <w:rPr>
          <w:rFonts w:ascii="Arial" w:hAnsi="Arial" w:cs="Arial"/>
        </w:rPr>
        <w:t xml:space="preserve"> (2025) ‘A PES</w:t>
      </w:r>
      <w:r w:rsidRPr="00551B97">
        <w:rPr>
          <w:rFonts w:ascii="Cambria Math" w:hAnsi="Cambria Math" w:cs="Cambria Math"/>
        </w:rPr>
        <w:t>℡</w:t>
      </w:r>
      <w:r w:rsidRPr="00551B97">
        <w:rPr>
          <w:rFonts w:ascii="Arial" w:hAnsi="Arial" w:cs="Arial"/>
        </w:rPr>
        <w:t xml:space="preserve">-SWOT Matrix Analysis of Sustainable Aquafeed Sector: A Case of Kenya’s Fish Feed Sector’, </w:t>
      </w:r>
      <w:r w:rsidRPr="00551B97">
        <w:rPr>
          <w:rFonts w:ascii="Arial" w:hAnsi="Arial" w:cs="Arial"/>
          <w:i/>
          <w:iCs/>
        </w:rPr>
        <w:t>Reviews in Aquaculture</w:t>
      </w:r>
      <w:r w:rsidRPr="00551B97">
        <w:rPr>
          <w:rFonts w:ascii="Arial" w:hAnsi="Arial" w:cs="Arial"/>
        </w:rPr>
        <w:t>, 17(4), p. e70081. Available at: https://doi.org/10.1111/raq.70081.</w:t>
      </w:r>
    </w:p>
    <w:p w14:paraId="06412935"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Monfared, M., Marandi, F. and Sauer, P.C. (2025) ‘Achieving sustainable development by integrating circular economy principles into solid waste management: A systematic literature review and research agenda’, </w:t>
      </w:r>
      <w:r w:rsidRPr="00551B97">
        <w:rPr>
          <w:rFonts w:ascii="Arial" w:hAnsi="Arial" w:cs="Arial"/>
          <w:i/>
          <w:iCs/>
        </w:rPr>
        <w:t>International Journal of Production Economics</w:t>
      </w:r>
      <w:r w:rsidRPr="00551B97">
        <w:rPr>
          <w:rFonts w:ascii="Arial" w:hAnsi="Arial" w:cs="Arial"/>
        </w:rPr>
        <w:t>, 290, p. 109787. Available at: https://doi.org/10.1016/j.ijpe.2025.109787.</w:t>
      </w:r>
    </w:p>
    <w:p w14:paraId="0CD682C4"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Nwani, C. </w:t>
      </w:r>
      <w:r w:rsidRPr="00551B97">
        <w:rPr>
          <w:rFonts w:ascii="Arial" w:hAnsi="Arial" w:cs="Arial"/>
          <w:i/>
          <w:iCs/>
        </w:rPr>
        <w:t>et al.</w:t>
      </w:r>
      <w:r w:rsidRPr="00551B97">
        <w:rPr>
          <w:rFonts w:ascii="Arial" w:hAnsi="Arial" w:cs="Arial"/>
        </w:rPr>
        <w:t xml:space="preserve"> (2023) ‘Natural resources, technological innovation, and eco-efficiency: striking a balance between sustainability and growth in Egypt’, </w:t>
      </w:r>
      <w:r w:rsidRPr="00551B97">
        <w:rPr>
          <w:rFonts w:ascii="Arial" w:hAnsi="Arial" w:cs="Arial"/>
          <w:i/>
          <w:iCs/>
        </w:rPr>
        <w:t>Environment, Development and Sustainability</w:t>
      </w:r>
      <w:r w:rsidRPr="00551B97">
        <w:rPr>
          <w:rFonts w:ascii="Arial" w:hAnsi="Arial" w:cs="Arial"/>
        </w:rPr>
        <w:t>, 27(1), pp. 1467–1498. Available at: https://doi.org/10.1007/s10668-023-03920-8.</w:t>
      </w:r>
    </w:p>
    <w:p w14:paraId="1C6348A3"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i/>
          <w:iCs/>
        </w:rPr>
        <w:t>Our sustainability strategy</w:t>
      </w:r>
      <w:r w:rsidRPr="00551B97">
        <w:rPr>
          <w:rFonts w:ascii="Arial" w:hAnsi="Arial" w:cs="Arial"/>
        </w:rPr>
        <w:t xml:space="preserve"> (no date a). Available at: https://www.ikea.com/gb/en/this-is-ikea/climate-environment/the-ikea-sustainability-strategy-pubfea4c210/ (Accessed: 14 May 2026).</w:t>
      </w:r>
    </w:p>
    <w:p w14:paraId="27E647DE"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i/>
          <w:iCs/>
        </w:rPr>
        <w:lastRenderedPageBreak/>
        <w:t>Our sustainability strategy</w:t>
      </w:r>
      <w:r w:rsidRPr="00551B97">
        <w:rPr>
          <w:rFonts w:ascii="Arial" w:hAnsi="Arial" w:cs="Arial"/>
        </w:rPr>
        <w:t xml:space="preserve"> (no date b). Available at: https://www.ikea.com/gb/en/this-is-ikea/climate-environment/the-ikea-sustainability-strategy-pubfea4c210/ (Accessed: 21 May 2026).</w:t>
      </w:r>
    </w:p>
    <w:p w14:paraId="485FE165"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Paranhos, M.A.H.L., Nääs, I.D.A. and Neto, P.L.D.O.C. (2024) ‘Evolution and Challenges of Environmental, Social, and Governance Practices: An Analysis of the Brazilian Stock Exchange’s Corporate Sustainability Index’, </w:t>
      </w:r>
      <w:r w:rsidRPr="00551B97">
        <w:rPr>
          <w:rFonts w:ascii="Arial" w:hAnsi="Arial" w:cs="Arial"/>
          <w:i/>
          <w:iCs/>
        </w:rPr>
        <w:t>Sustainability</w:t>
      </w:r>
      <w:r w:rsidRPr="00551B97">
        <w:rPr>
          <w:rFonts w:ascii="Arial" w:hAnsi="Arial" w:cs="Arial"/>
        </w:rPr>
        <w:t>, 16(15), p. 6531. Available at: https://doi.org/10.3390/su16156531.</w:t>
      </w:r>
    </w:p>
    <w:p w14:paraId="2156C00D"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Pérez-Pérez, L., Berlanga, I. and Victoria, J.S. (2023) ‘Internal communication and employer branding within a humanistic model – a case study of IKEA (Spain, 2019–2021)’, </w:t>
      </w:r>
      <w:r w:rsidRPr="00551B97">
        <w:rPr>
          <w:rFonts w:ascii="Arial" w:hAnsi="Arial" w:cs="Arial"/>
          <w:i/>
          <w:iCs/>
        </w:rPr>
        <w:t>Corporate Communications</w:t>
      </w:r>
      <w:r w:rsidRPr="00551B97">
        <w:rPr>
          <w:rFonts w:ascii="Arial" w:hAnsi="Arial" w:cs="Arial"/>
        </w:rPr>
        <w:t>, 28(2), pp. 213–229. Available at: https://doi.org/10.1108/CCIJ-03-2022-0027.</w:t>
      </w:r>
    </w:p>
    <w:p w14:paraId="18127CD4"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Pieroni, M.P.P., McAloone, T.C. and Pigosso, D.C.A. (2019) ‘Business model innovation for circular economy and sustainability: A review of approaches’, </w:t>
      </w:r>
      <w:r w:rsidRPr="00551B97">
        <w:rPr>
          <w:rFonts w:ascii="Arial" w:hAnsi="Arial" w:cs="Arial"/>
          <w:i/>
          <w:iCs/>
        </w:rPr>
        <w:t>Journal of Cleaner Production</w:t>
      </w:r>
      <w:r w:rsidRPr="00551B97">
        <w:rPr>
          <w:rFonts w:ascii="Arial" w:hAnsi="Arial" w:cs="Arial"/>
        </w:rPr>
        <w:t>, 215, pp. 198–216. Available at: https://doi.org/10.1016/j.jclepro.2019.01.036.</w:t>
      </w:r>
    </w:p>
    <w:p w14:paraId="184B9D25"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Raschio, G. </w:t>
      </w:r>
      <w:r w:rsidRPr="00551B97">
        <w:rPr>
          <w:rFonts w:ascii="Arial" w:hAnsi="Arial" w:cs="Arial"/>
          <w:i/>
          <w:iCs/>
        </w:rPr>
        <w:t>et al.</w:t>
      </w:r>
      <w:r w:rsidRPr="00551B97">
        <w:rPr>
          <w:rFonts w:ascii="Arial" w:hAnsi="Arial" w:cs="Arial"/>
        </w:rPr>
        <w:t xml:space="preserve"> (2018) ‘Spatio-Temporal Differentiation of Life Cycle Assessment Results for Average Perennial Crop Farm: A Case Study of Peruvian Cocoa Progression and Deforestation Issues’, </w:t>
      </w:r>
      <w:r w:rsidRPr="00551B97">
        <w:rPr>
          <w:rFonts w:ascii="Arial" w:hAnsi="Arial" w:cs="Arial"/>
          <w:i/>
          <w:iCs/>
        </w:rPr>
        <w:t>Journal of Industrial Ecology</w:t>
      </w:r>
      <w:r w:rsidRPr="00551B97">
        <w:rPr>
          <w:rFonts w:ascii="Arial" w:hAnsi="Arial" w:cs="Arial"/>
        </w:rPr>
        <w:t>, 22(6), pp. 1378–1388. Available at: https://doi.org/10.1111/jiec.12692.</w:t>
      </w:r>
    </w:p>
    <w:p w14:paraId="0576A0EB" w14:textId="78D76B84" w:rsidR="00551B97" w:rsidRPr="00551B97" w:rsidRDefault="00551B97" w:rsidP="00AF517A">
      <w:pPr>
        <w:spacing w:line="360" w:lineRule="auto"/>
        <w:jc w:val="both"/>
        <w:rPr>
          <w:rFonts w:ascii="Arial" w:hAnsi="Arial" w:cs="Arial"/>
        </w:rPr>
      </w:pPr>
      <w:r w:rsidRPr="00551B97">
        <w:rPr>
          <w:rFonts w:ascii="Arial" w:hAnsi="Arial" w:cs="Arial"/>
        </w:rPr>
        <w:t>Ruggerio, C.A., (2021) Sustainability and sustainable development: A review of principles and definitions. </w:t>
      </w:r>
      <w:r w:rsidRPr="00551B97">
        <w:rPr>
          <w:rFonts w:ascii="Arial" w:hAnsi="Arial" w:cs="Arial"/>
          <w:i/>
          <w:iCs/>
        </w:rPr>
        <w:t>Science of the total environment</w:t>
      </w:r>
      <w:r w:rsidRPr="00551B97">
        <w:rPr>
          <w:rFonts w:ascii="Arial" w:hAnsi="Arial" w:cs="Arial"/>
        </w:rPr>
        <w:t>, </w:t>
      </w:r>
      <w:r w:rsidRPr="00551B97">
        <w:rPr>
          <w:rFonts w:ascii="Arial" w:hAnsi="Arial" w:cs="Arial"/>
          <w:i/>
          <w:iCs/>
        </w:rPr>
        <w:t>786</w:t>
      </w:r>
      <w:r w:rsidRPr="00551B97">
        <w:rPr>
          <w:rFonts w:ascii="Arial" w:hAnsi="Arial" w:cs="Arial"/>
        </w:rPr>
        <w:t>, p.147481.https://doi.org/10.1016/j.scitotenv.2021.147481</w:t>
      </w:r>
    </w:p>
    <w:p w14:paraId="27D85CE6"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Salesa, A., León, R. and Moneva, J.M. (2025) ‘Aero-Circularity: Charting the Flight Path Between Circular Economy and Sustainability Performance’, </w:t>
      </w:r>
      <w:r w:rsidRPr="00551B97">
        <w:rPr>
          <w:rFonts w:ascii="Arial" w:hAnsi="Arial" w:cs="Arial"/>
          <w:i/>
          <w:iCs/>
        </w:rPr>
        <w:t>Business Strategy and the Environment</w:t>
      </w:r>
      <w:r w:rsidRPr="00551B97">
        <w:rPr>
          <w:rFonts w:ascii="Arial" w:hAnsi="Arial" w:cs="Arial"/>
        </w:rPr>
        <w:t>, 34(4), pp. 4766–4784. Available at: https://doi.org/10.1002/bse.4235.</w:t>
      </w:r>
    </w:p>
    <w:p w14:paraId="3270AFD5"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Sánchez-Infante Hernández, J.P., Yañez-Araque, B. and Moreno-García, J. (2020) ‘Moderating effect of firm size on the influence of corporate social responsibility in the economic performance of micro-, small- and medium-sized enterprises’, </w:t>
      </w:r>
      <w:r w:rsidRPr="00551B97">
        <w:rPr>
          <w:rFonts w:ascii="Arial" w:hAnsi="Arial" w:cs="Arial"/>
          <w:i/>
          <w:iCs/>
        </w:rPr>
        <w:t xml:space="preserve">Technological </w:t>
      </w:r>
      <w:r w:rsidRPr="00551B97">
        <w:rPr>
          <w:rFonts w:ascii="Arial" w:hAnsi="Arial" w:cs="Arial"/>
          <w:i/>
          <w:iCs/>
        </w:rPr>
        <w:lastRenderedPageBreak/>
        <w:t>Forecasting and Social Change</w:t>
      </w:r>
      <w:r w:rsidRPr="00551B97">
        <w:rPr>
          <w:rFonts w:ascii="Arial" w:hAnsi="Arial" w:cs="Arial"/>
        </w:rPr>
        <w:t>, 151, p. 119774. Available at: https://doi.org/10.1016/j.techfore.2019.119774.</w:t>
      </w:r>
    </w:p>
    <w:p w14:paraId="281654C6" w14:textId="77777777" w:rsidR="00331FC2" w:rsidRDefault="00331FC2" w:rsidP="00AF517A">
      <w:pPr>
        <w:pStyle w:val="Bibliography"/>
        <w:spacing w:line="360" w:lineRule="auto"/>
        <w:jc w:val="both"/>
        <w:rPr>
          <w:rFonts w:ascii="Arial" w:hAnsi="Arial" w:cs="Arial"/>
        </w:rPr>
      </w:pPr>
      <w:r w:rsidRPr="00551B97">
        <w:rPr>
          <w:rFonts w:ascii="Arial" w:hAnsi="Arial" w:cs="Arial"/>
        </w:rPr>
        <w:t xml:space="preserve">Santoso, S. (2024) ‘Consumer Behaviour: Impact of Social and Environmental Sustainability’, </w:t>
      </w:r>
      <w:r w:rsidRPr="00551B97">
        <w:rPr>
          <w:rFonts w:ascii="Arial" w:hAnsi="Arial" w:cs="Arial"/>
          <w:i/>
          <w:iCs/>
        </w:rPr>
        <w:t>Marketing and Management of Innovations</w:t>
      </w:r>
      <w:r w:rsidRPr="00551B97">
        <w:rPr>
          <w:rFonts w:ascii="Arial" w:hAnsi="Arial" w:cs="Arial"/>
        </w:rPr>
        <w:t>, 15(1), pp. 229–240. Available at: https://doi.org/10.21272/mmi.2024.1-17.</w:t>
      </w:r>
    </w:p>
    <w:p w14:paraId="0693C982" w14:textId="558679B5" w:rsidR="007F595B" w:rsidRPr="007F595B" w:rsidRDefault="007F595B" w:rsidP="00AF517A">
      <w:pPr>
        <w:spacing w:line="360" w:lineRule="auto"/>
        <w:jc w:val="both"/>
      </w:pPr>
      <w:r w:rsidRPr="007F595B">
        <w:t>Saxena, A., Ramaswamy, M., Beale, J. </w:t>
      </w:r>
      <w:proofErr w:type="gramStart"/>
      <w:r w:rsidRPr="007F595B">
        <w:rPr>
          <w:i/>
          <w:iCs/>
        </w:rPr>
        <w:t>et al.</w:t>
      </w:r>
      <w:r>
        <w:t>(</w:t>
      </w:r>
      <w:proofErr w:type="gramEnd"/>
      <w:r>
        <w:t>2021)</w:t>
      </w:r>
      <w:r w:rsidRPr="007F595B">
        <w:t xml:space="preserve"> Striving for the United Nations (UN) Sustainable Development Goals (SDGs): what will it </w:t>
      </w:r>
      <w:proofErr w:type="gramStart"/>
      <w:r w:rsidRPr="007F595B">
        <w:t>take?.</w:t>
      </w:r>
      <w:proofErr w:type="gramEnd"/>
      <w:r w:rsidRPr="007F595B">
        <w:t> </w:t>
      </w:r>
      <w:r w:rsidRPr="007F595B">
        <w:rPr>
          <w:i/>
          <w:iCs/>
        </w:rPr>
        <w:t>Discov Sustain</w:t>
      </w:r>
      <w:r w:rsidRPr="007F595B">
        <w:t> </w:t>
      </w:r>
      <w:r w:rsidRPr="007F595B">
        <w:rPr>
          <w:b/>
          <w:bCs/>
        </w:rPr>
        <w:t>2</w:t>
      </w:r>
      <w:r w:rsidRPr="007F595B">
        <w:t xml:space="preserve">, 20. </w:t>
      </w:r>
      <w:r>
        <w:t xml:space="preserve">Available at: </w:t>
      </w:r>
      <w:r w:rsidRPr="007F595B">
        <w:t>https://doi.org/10.1007/s43621-021-00029-8</w:t>
      </w:r>
    </w:p>
    <w:p w14:paraId="7BBEF3F6"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Schäfer, N. (2023a) ‘Making transparency transparent: a systematic literature review to define and frame supply chain transparency in the context of sustainability’, </w:t>
      </w:r>
      <w:r w:rsidRPr="00551B97">
        <w:rPr>
          <w:rFonts w:ascii="Arial" w:hAnsi="Arial" w:cs="Arial"/>
          <w:i/>
          <w:iCs/>
        </w:rPr>
        <w:t>Management Review Quarterly</w:t>
      </w:r>
      <w:r w:rsidRPr="00551B97">
        <w:rPr>
          <w:rFonts w:ascii="Arial" w:hAnsi="Arial" w:cs="Arial"/>
        </w:rPr>
        <w:t>, 73(2), pp. 579–604. Available at: https://doi.org/10.1007/s11301-021-00252-7.</w:t>
      </w:r>
    </w:p>
    <w:p w14:paraId="67A221DF"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Schäfer, N. (2023b) ‘Making transparency transparent: a systematic literature review to define and frame supply chain transparency in the context of sustainability’, </w:t>
      </w:r>
      <w:r w:rsidRPr="00551B97">
        <w:rPr>
          <w:rFonts w:ascii="Arial" w:hAnsi="Arial" w:cs="Arial"/>
          <w:i/>
          <w:iCs/>
        </w:rPr>
        <w:t>Management Review Quarterly</w:t>
      </w:r>
      <w:r w:rsidRPr="00551B97">
        <w:rPr>
          <w:rFonts w:ascii="Arial" w:hAnsi="Arial" w:cs="Arial"/>
        </w:rPr>
        <w:t>, 73(2), pp. 579–604. Available at: https://doi.org/10.1007/s11301-021-00252-7.</w:t>
      </w:r>
    </w:p>
    <w:p w14:paraId="51FA4B71"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Schifeling, T. and Etzion, D. (2025) ‘The business case for sustainability: six takes on a cultural artefact’, </w:t>
      </w:r>
      <w:r w:rsidRPr="00551B97">
        <w:rPr>
          <w:rFonts w:ascii="Arial" w:hAnsi="Arial" w:cs="Arial"/>
          <w:i/>
          <w:iCs/>
        </w:rPr>
        <w:t>Industry and Innovation</w:t>
      </w:r>
      <w:r w:rsidRPr="00551B97">
        <w:rPr>
          <w:rFonts w:ascii="Arial" w:hAnsi="Arial" w:cs="Arial"/>
        </w:rPr>
        <w:t>, 32(1), pp. 12–23. Available at: https://doi.org/10.1080/13662716.2024.2388641.</w:t>
      </w:r>
    </w:p>
    <w:p w14:paraId="0A2D0951"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Sebhatu, S.P. and Enquist, B. (2022) ‘Values and Multi-stakeholder Dialog for Business Transformation </w:t>
      </w:r>
      <w:proofErr w:type="gramStart"/>
      <w:r w:rsidRPr="00551B97">
        <w:rPr>
          <w:rFonts w:ascii="Arial" w:hAnsi="Arial" w:cs="Arial"/>
        </w:rPr>
        <w:t>in Light of</w:t>
      </w:r>
      <w:proofErr w:type="gramEnd"/>
      <w:r w:rsidRPr="00551B97">
        <w:rPr>
          <w:rFonts w:ascii="Arial" w:hAnsi="Arial" w:cs="Arial"/>
        </w:rPr>
        <w:t xml:space="preserve"> the UN Sustainable Development Goals’, </w:t>
      </w:r>
      <w:r w:rsidRPr="00551B97">
        <w:rPr>
          <w:rFonts w:ascii="Arial" w:hAnsi="Arial" w:cs="Arial"/>
          <w:i/>
          <w:iCs/>
        </w:rPr>
        <w:t>Journal of Business Ethics</w:t>
      </w:r>
      <w:r w:rsidRPr="00551B97">
        <w:rPr>
          <w:rFonts w:ascii="Arial" w:hAnsi="Arial" w:cs="Arial"/>
        </w:rPr>
        <w:t>, 180(4), pp. 1059–1074. Available at: https://doi.org/10.1007/s10551-022-05195-x.</w:t>
      </w:r>
    </w:p>
    <w:p w14:paraId="7CCB250A"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Sharma, A. </w:t>
      </w:r>
      <w:r w:rsidRPr="00551B97">
        <w:rPr>
          <w:rFonts w:ascii="Arial" w:hAnsi="Arial" w:cs="Arial"/>
          <w:i/>
          <w:iCs/>
        </w:rPr>
        <w:t>et al.</w:t>
      </w:r>
      <w:r w:rsidRPr="00551B97">
        <w:rPr>
          <w:rFonts w:ascii="Arial" w:hAnsi="Arial" w:cs="Arial"/>
        </w:rPr>
        <w:t xml:space="preserve"> (2022) ‘Complexity in a multinational enterprise’s global supply chain and its international business performance: A bane or a boon?’, </w:t>
      </w:r>
      <w:r w:rsidRPr="00551B97">
        <w:rPr>
          <w:rFonts w:ascii="Arial" w:hAnsi="Arial" w:cs="Arial"/>
          <w:i/>
          <w:iCs/>
        </w:rPr>
        <w:t>Journal of International Business Studies</w:t>
      </w:r>
      <w:r w:rsidRPr="00551B97">
        <w:rPr>
          <w:rFonts w:ascii="Arial" w:hAnsi="Arial" w:cs="Arial"/>
        </w:rPr>
        <w:t>, 53(5), pp. 850–878. Available at: https://doi.org/10.1057/s41267-021-00497-0.</w:t>
      </w:r>
    </w:p>
    <w:p w14:paraId="1858EED1"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lastRenderedPageBreak/>
        <w:t xml:space="preserve">Sierra, J. and Suárez-Collado, Á. (2021) ‘Understanding Economic, Social, and Environmental Sustainability Challenges in the Global South’, </w:t>
      </w:r>
      <w:r w:rsidRPr="00551B97">
        <w:rPr>
          <w:rFonts w:ascii="Arial" w:hAnsi="Arial" w:cs="Arial"/>
          <w:i/>
          <w:iCs/>
        </w:rPr>
        <w:t>Sustainability</w:t>
      </w:r>
      <w:r w:rsidRPr="00551B97">
        <w:rPr>
          <w:rFonts w:ascii="Arial" w:hAnsi="Arial" w:cs="Arial"/>
        </w:rPr>
        <w:t>, 13(13), p. 7201. Available at: https://doi.org/10.3390/su13137201.</w:t>
      </w:r>
    </w:p>
    <w:p w14:paraId="26CE76E8"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Singh, A.K. </w:t>
      </w:r>
      <w:r w:rsidRPr="00551B97">
        <w:rPr>
          <w:rFonts w:ascii="Arial" w:hAnsi="Arial" w:cs="Arial"/>
          <w:i/>
          <w:iCs/>
        </w:rPr>
        <w:t>et al.</w:t>
      </w:r>
      <w:r w:rsidRPr="00551B97">
        <w:rPr>
          <w:rFonts w:ascii="Arial" w:hAnsi="Arial" w:cs="Arial"/>
        </w:rPr>
        <w:t xml:space="preserve"> (2023) ‘Revealing the Barriers of Blockchain Technology for Supply Chain Transparency and Sustainability in the Construction Industry: An Application of Pythagorean FAHP Methods’, </w:t>
      </w:r>
      <w:r w:rsidRPr="00551B97">
        <w:rPr>
          <w:rFonts w:ascii="Arial" w:hAnsi="Arial" w:cs="Arial"/>
          <w:i/>
          <w:iCs/>
        </w:rPr>
        <w:t>Sustainability</w:t>
      </w:r>
      <w:r w:rsidRPr="00551B97">
        <w:rPr>
          <w:rFonts w:ascii="Arial" w:hAnsi="Arial" w:cs="Arial"/>
        </w:rPr>
        <w:t>, 15(13), p. 10681. Available at: https://doi.org/10.3390/su151310681.</w:t>
      </w:r>
    </w:p>
    <w:p w14:paraId="59B477D9"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Soares, C.A. </w:t>
      </w:r>
      <w:r w:rsidRPr="00551B97">
        <w:rPr>
          <w:rFonts w:ascii="Arial" w:hAnsi="Arial" w:cs="Arial"/>
          <w:i/>
          <w:iCs/>
        </w:rPr>
        <w:t>et al.</w:t>
      </w:r>
      <w:r w:rsidRPr="00551B97">
        <w:rPr>
          <w:rFonts w:ascii="Arial" w:hAnsi="Arial" w:cs="Arial"/>
        </w:rPr>
        <w:t xml:space="preserve"> (2023) ‘Enabling factors for the development of mini-grid solutions in Mozambique: A PESTLE-based analysis’, </w:t>
      </w:r>
      <w:r w:rsidRPr="00551B97">
        <w:rPr>
          <w:rFonts w:ascii="Arial" w:hAnsi="Arial" w:cs="Arial"/>
          <w:i/>
          <w:iCs/>
        </w:rPr>
        <w:t>Energy Strategy Reviews</w:t>
      </w:r>
      <w:r w:rsidRPr="00551B97">
        <w:rPr>
          <w:rFonts w:ascii="Arial" w:hAnsi="Arial" w:cs="Arial"/>
        </w:rPr>
        <w:t>, 45, p. 101040. Available at: https://doi.org/10.1016/j.esr.2022.101040.</w:t>
      </w:r>
    </w:p>
    <w:p w14:paraId="7B66AA4D"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Souto, J.E. (2022) ‘Organizational creativity and sustainability-oriented innovation as drivers of sustainable development: overcoming firms’ economic, environmental and social sustainability challenges’, </w:t>
      </w:r>
      <w:r w:rsidRPr="00551B97">
        <w:rPr>
          <w:rFonts w:ascii="Arial" w:hAnsi="Arial" w:cs="Arial"/>
          <w:i/>
          <w:iCs/>
        </w:rPr>
        <w:t>Journal of Manufacturing Technology Management</w:t>
      </w:r>
      <w:r w:rsidRPr="00551B97">
        <w:rPr>
          <w:rFonts w:ascii="Arial" w:hAnsi="Arial" w:cs="Arial"/>
        </w:rPr>
        <w:t>, 33(4), pp. 805–826. Available at: https://doi.org/10.1108/JMTM-01-2021-0018.</w:t>
      </w:r>
    </w:p>
    <w:p w14:paraId="2CA05073"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i/>
          <w:iCs/>
        </w:rPr>
        <w:t>Strategic Direction</w:t>
      </w:r>
      <w:r w:rsidRPr="00551B97">
        <w:rPr>
          <w:rFonts w:ascii="Arial" w:hAnsi="Arial" w:cs="Arial"/>
        </w:rPr>
        <w:t xml:space="preserve"> (2021a) ‘IKEA’s attempts to smoothly achieve corporate sustainability consistency: The deep challenges of aligning employees and customers across the globe’, 37(4), pp. 31–33. Available at: https://doi.org/10.1108/SD-01-2021-0003.</w:t>
      </w:r>
    </w:p>
    <w:p w14:paraId="1D3B04A6"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i/>
          <w:iCs/>
        </w:rPr>
        <w:t>Strategic Direction</w:t>
      </w:r>
      <w:r w:rsidRPr="00551B97">
        <w:rPr>
          <w:rFonts w:ascii="Arial" w:hAnsi="Arial" w:cs="Arial"/>
        </w:rPr>
        <w:t xml:space="preserve"> (2021b) ‘IKEA’s attempts to smoothly achieve corporate sustainability consistency: The deep challenges of aligning employees and customers across the globe’, 37(4), pp. 31–33. Available at: https://doi.org/10.1108/SD-01-2021-0003.</w:t>
      </w:r>
    </w:p>
    <w:p w14:paraId="7C2E28F8"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Syafrudin </w:t>
      </w:r>
      <w:r w:rsidRPr="00551B97">
        <w:rPr>
          <w:rFonts w:ascii="Arial" w:hAnsi="Arial" w:cs="Arial"/>
          <w:i/>
          <w:iCs/>
        </w:rPr>
        <w:t>et al.</w:t>
      </w:r>
      <w:r w:rsidRPr="00551B97">
        <w:rPr>
          <w:rFonts w:ascii="Arial" w:hAnsi="Arial" w:cs="Arial"/>
        </w:rPr>
        <w:t xml:space="preserve"> (2024) ‘Enhancing waste management in batang regency: Integrating circular economy principles with life cycle assessment and material flow analysis’, </w:t>
      </w:r>
      <w:r w:rsidRPr="00551B97">
        <w:rPr>
          <w:rFonts w:ascii="Arial" w:hAnsi="Arial" w:cs="Arial"/>
          <w:i/>
          <w:iCs/>
        </w:rPr>
        <w:t>Journal of Open Innovation: Technology, Market, and Complexity</w:t>
      </w:r>
      <w:r w:rsidRPr="00551B97">
        <w:rPr>
          <w:rFonts w:ascii="Arial" w:hAnsi="Arial" w:cs="Arial"/>
        </w:rPr>
        <w:t>, 10(4), p. 100437. Available at: https://doi.org/10.1016/j.joitmc.2024.100437.</w:t>
      </w:r>
    </w:p>
    <w:p w14:paraId="11E6BC0A"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Tanna, D. and Chugh, R. (2026) ‘Unveiling the ivory tower: an analysis of Australian university annual reports using the PESTLE framework’, </w:t>
      </w:r>
      <w:r w:rsidRPr="00551B97">
        <w:rPr>
          <w:rFonts w:ascii="Arial" w:hAnsi="Arial" w:cs="Arial"/>
          <w:i/>
          <w:iCs/>
        </w:rPr>
        <w:t xml:space="preserve">Policy Reviews in Higher </w:t>
      </w:r>
      <w:r w:rsidRPr="00551B97">
        <w:rPr>
          <w:rFonts w:ascii="Arial" w:hAnsi="Arial" w:cs="Arial"/>
          <w:i/>
          <w:iCs/>
        </w:rPr>
        <w:lastRenderedPageBreak/>
        <w:t>Education</w:t>
      </w:r>
      <w:r w:rsidRPr="00551B97">
        <w:rPr>
          <w:rFonts w:ascii="Arial" w:hAnsi="Arial" w:cs="Arial"/>
        </w:rPr>
        <w:t>, 10(1), pp. 180–197. Available at: https://doi.org/10.1080/23322969.2025.2604500.</w:t>
      </w:r>
    </w:p>
    <w:p w14:paraId="5BC88E8B"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Termeer, K., Dewulf, A. and Biesbroek, R. (2024) ‘Three archetypical governance pathways for transformative change toward sustainability’, </w:t>
      </w:r>
      <w:r w:rsidRPr="00551B97">
        <w:rPr>
          <w:rFonts w:ascii="Arial" w:hAnsi="Arial" w:cs="Arial"/>
          <w:i/>
          <w:iCs/>
        </w:rPr>
        <w:t>Current Opinion in Environmental Sustainability</w:t>
      </w:r>
      <w:r w:rsidRPr="00551B97">
        <w:rPr>
          <w:rFonts w:ascii="Arial" w:hAnsi="Arial" w:cs="Arial"/>
        </w:rPr>
        <w:t>, 71, p. 101479. Available at: https://doi.org/10.1016/j.cosust.2024.101479.</w:t>
      </w:r>
    </w:p>
    <w:p w14:paraId="38114C34"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Ukko, J. </w:t>
      </w:r>
      <w:r w:rsidRPr="00551B97">
        <w:rPr>
          <w:rFonts w:ascii="Arial" w:hAnsi="Arial" w:cs="Arial"/>
          <w:i/>
          <w:iCs/>
        </w:rPr>
        <w:t>et al.</w:t>
      </w:r>
      <w:r w:rsidRPr="00551B97">
        <w:rPr>
          <w:rFonts w:ascii="Arial" w:hAnsi="Arial" w:cs="Arial"/>
        </w:rPr>
        <w:t xml:space="preserve"> (2019) ‘Sustainable development: Implications and definition for open sustainability’, </w:t>
      </w:r>
      <w:r w:rsidRPr="00551B97">
        <w:rPr>
          <w:rFonts w:ascii="Arial" w:hAnsi="Arial" w:cs="Arial"/>
          <w:i/>
          <w:iCs/>
        </w:rPr>
        <w:t>Sustainable Development</w:t>
      </w:r>
      <w:r w:rsidRPr="00551B97">
        <w:rPr>
          <w:rFonts w:ascii="Arial" w:hAnsi="Arial" w:cs="Arial"/>
        </w:rPr>
        <w:t>, 27(3), pp. 321–336. Available at: https://doi.org/10.1002/sd.1904.</w:t>
      </w:r>
    </w:p>
    <w:p w14:paraId="0AA53B57"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Ulubeyli, S. and Kazanci, O. (2018) ‘Holistic sustainability assessment of green building industry in Turkey’, </w:t>
      </w:r>
      <w:r w:rsidRPr="00551B97">
        <w:rPr>
          <w:rFonts w:ascii="Arial" w:hAnsi="Arial" w:cs="Arial"/>
          <w:i/>
          <w:iCs/>
        </w:rPr>
        <w:t>Journal of Cleaner Production</w:t>
      </w:r>
      <w:r w:rsidRPr="00551B97">
        <w:rPr>
          <w:rFonts w:ascii="Arial" w:hAnsi="Arial" w:cs="Arial"/>
        </w:rPr>
        <w:t>, 202, pp. 197–212. Available at: https://doi.org/10.1016/j.jclepro.2018.08.111.</w:t>
      </w:r>
    </w:p>
    <w:p w14:paraId="7FE220EA"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University of Economic Studies, Bucharest, Romania </w:t>
      </w:r>
      <w:r w:rsidRPr="00551B97">
        <w:rPr>
          <w:rFonts w:ascii="Arial" w:hAnsi="Arial" w:cs="Arial"/>
          <w:i/>
          <w:iCs/>
        </w:rPr>
        <w:t>et al.</w:t>
      </w:r>
      <w:r w:rsidRPr="00551B97">
        <w:rPr>
          <w:rFonts w:ascii="Arial" w:hAnsi="Arial" w:cs="Arial"/>
        </w:rPr>
        <w:t xml:space="preserve"> (2020) ‘Environmental, Social and Governance </w:t>
      </w:r>
      <w:proofErr w:type="gramStart"/>
      <w:r w:rsidRPr="00551B97">
        <w:rPr>
          <w:rFonts w:ascii="Arial" w:hAnsi="Arial" w:cs="Arial"/>
        </w:rPr>
        <w:t>Risks  New</w:t>
      </w:r>
      <w:proofErr w:type="gramEnd"/>
      <w:r w:rsidRPr="00551B97">
        <w:rPr>
          <w:rFonts w:ascii="Arial" w:hAnsi="Arial" w:cs="Arial"/>
        </w:rPr>
        <w:t xml:space="preserve"> Challenges for the Banking Business Sustainability’, </w:t>
      </w:r>
      <w:r w:rsidRPr="00551B97">
        <w:rPr>
          <w:rFonts w:ascii="Arial" w:hAnsi="Arial" w:cs="Arial"/>
          <w:i/>
          <w:iCs/>
        </w:rPr>
        <w:t>www.amfiteatrueconomic.ro</w:t>
      </w:r>
      <w:r w:rsidRPr="00551B97">
        <w:rPr>
          <w:rFonts w:ascii="Arial" w:hAnsi="Arial" w:cs="Arial"/>
        </w:rPr>
        <w:t>, 22(55), p. 692. Available at: https://doi.org/10.24818/EA/2020/55/692.</w:t>
      </w:r>
    </w:p>
    <w:p w14:paraId="2115A693"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Vasárus, G.L. and Lennert, J. (2022) ‘Suburbanization within City Limits in Hungary—A Challenge for Environmental and Social Sustainability’, </w:t>
      </w:r>
      <w:r w:rsidRPr="00551B97">
        <w:rPr>
          <w:rFonts w:ascii="Arial" w:hAnsi="Arial" w:cs="Arial"/>
          <w:i/>
          <w:iCs/>
        </w:rPr>
        <w:t>Sustainability</w:t>
      </w:r>
      <w:r w:rsidRPr="00551B97">
        <w:rPr>
          <w:rFonts w:ascii="Arial" w:hAnsi="Arial" w:cs="Arial"/>
        </w:rPr>
        <w:t>, 14(14), p. 8855. Available at: https://doi.org/10.3390/su14148855.</w:t>
      </w:r>
    </w:p>
    <w:p w14:paraId="56A408BA"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Walker, A.M. </w:t>
      </w:r>
      <w:r w:rsidRPr="00551B97">
        <w:rPr>
          <w:rFonts w:ascii="Arial" w:hAnsi="Arial" w:cs="Arial"/>
          <w:i/>
          <w:iCs/>
        </w:rPr>
        <w:t>et al.</w:t>
      </w:r>
      <w:r w:rsidRPr="00551B97">
        <w:rPr>
          <w:rFonts w:ascii="Arial" w:hAnsi="Arial" w:cs="Arial"/>
        </w:rPr>
        <w:t xml:space="preserve"> (2022) ‘What Is the Relation between Circular Economy and Sustainability? Answers from Frontrunner Companies Engaged with Circular Economy Practices’, </w:t>
      </w:r>
      <w:r w:rsidRPr="00551B97">
        <w:rPr>
          <w:rFonts w:ascii="Arial" w:hAnsi="Arial" w:cs="Arial"/>
          <w:i/>
          <w:iCs/>
        </w:rPr>
        <w:t>Circular Economy and Sustainability</w:t>
      </w:r>
      <w:r w:rsidRPr="00551B97">
        <w:rPr>
          <w:rFonts w:ascii="Arial" w:hAnsi="Arial" w:cs="Arial"/>
        </w:rPr>
        <w:t>, 2(2), pp. 731–758. Available at: https://doi.org/10.1007/s43615-021-00064-7.</w:t>
      </w:r>
    </w:p>
    <w:p w14:paraId="6DEFB1AB"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Xu, P. and Reinhard, C.T. (2025) ‘Evaluating the carbon capture potential of industrial waste as a feedstock for enhanced weathering’, </w:t>
      </w:r>
      <w:r w:rsidRPr="00551B97">
        <w:rPr>
          <w:rFonts w:ascii="Arial" w:hAnsi="Arial" w:cs="Arial"/>
          <w:i/>
          <w:iCs/>
        </w:rPr>
        <w:t>Environmental Research Letters</w:t>
      </w:r>
      <w:r w:rsidRPr="00551B97">
        <w:rPr>
          <w:rFonts w:ascii="Arial" w:hAnsi="Arial" w:cs="Arial"/>
        </w:rPr>
        <w:t>, 20(4), p. 044013. Available at: https://doi.org/10.1088/1748-9326/adc020.</w:t>
      </w:r>
    </w:p>
    <w:p w14:paraId="1F7FCEC1"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t xml:space="preserve">Yun, J.J. </w:t>
      </w:r>
      <w:r w:rsidRPr="00551B97">
        <w:rPr>
          <w:rFonts w:ascii="Arial" w:hAnsi="Arial" w:cs="Arial"/>
          <w:i/>
          <w:iCs/>
        </w:rPr>
        <w:t>et al.</w:t>
      </w:r>
      <w:r w:rsidRPr="00551B97">
        <w:rPr>
          <w:rFonts w:ascii="Arial" w:hAnsi="Arial" w:cs="Arial"/>
        </w:rPr>
        <w:t xml:space="preserve"> (2022) ‘Open Innovation Dynamics of Furniture Design and Function: The Difference between IKEA and Nitori’, </w:t>
      </w:r>
      <w:r w:rsidRPr="00551B97">
        <w:rPr>
          <w:rFonts w:ascii="Arial" w:hAnsi="Arial" w:cs="Arial"/>
          <w:i/>
          <w:iCs/>
        </w:rPr>
        <w:t>Science, Technology and Society</w:t>
      </w:r>
      <w:r w:rsidRPr="00551B97">
        <w:rPr>
          <w:rFonts w:ascii="Arial" w:hAnsi="Arial" w:cs="Arial"/>
        </w:rPr>
        <w:t>, 27(2), pp. 172–190. Available at: https://doi.org/10.1177/09717218221074906.</w:t>
      </w:r>
    </w:p>
    <w:p w14:paraId="052B8FAB" w14:textId="77777777" w:rsidR="00331FC2" w:rsidRPr="00551B97" w:rsidRDefault="00331FC2" w:rsidP="00AF517A">
      <w:pPr>
        <w:pStyle w:val="Bibliography"/>
        <w:spacing w:line="360" w:lineRule="auto"/>
        <w:jc w:val="both"/>
        <w:rPr>
          <w:rFonts w:ascii="Arial" w:hAnsi="Arial" w:cs="Arial"/>
        </w:rPr>
      </w:pPr>
      <w:r w:rsidRPr="00551B97">
        <w:rPr>
          <w:rFonts w:ascii="Arial" w:hAnsi="Arial" w:cs="Arial"/>
        </w:rPr>
        <w:lastRenderedPageBreak/>
        <w:t xml:space="preserve">Zimmerer, K.S. </w:t>
      </w:r>
      <w:r w:rsidRPr="00551B97">
        <w:rPr>
          <w:rFonts w:ascii="Arial" w:hAnsi="Arial" w:cs="Arial"/>
          <w:i/>
          <w:iCs/>
        </w:rPr>
        <w:t>et al.</w:t>
      </w:r>
      <w:r w:rsidRPr="00551B97">
        <w:rPr>
          <w:rFonts w:ascii="Arial" w:hAnsi="Arial" w:cs="Arial"/>
        </w:rPr>
        <w:t xml:space="preserve"> (2021) ‘Grand Challenges in Urban Agriculture: Ecological and Social Approaches to Transformative Sustainability’, </w:t>
      </w:r>
      <w:r w:rsidRPr="00551B97">
        <w:rPr>
          <w:rFonts w:ascii="Arial" w:hAnsi="Arial" w:cs="Arial"/>
          <w:i/>
          <w:iCs/>
        </w:rPr>
        <w:t>Frontiers in Sustainable Food Systems</w:t>
      </w:r>
      <w:r w:rsidRPr="00551B97">
        <w:rPr>
          <w:rFonts w:ascii="Arial" w:hAnsi="Arial" w:cs="Arial"/>
        </w:rPr>
        <w:t>, 5, p. 668561. Available at: https://doi.org/10.3389/fsufs.2021.668561.</w:t>
      </w:r>
    </w:p>
    <w:p w14:paraId="0F16C15E" w14:textId="25F920A6" w:rsidR="00B73A15" w:rsidRPr="00E20ADB" w:rsidRDefault="00B73A15" w:rsidP="00AF517A">
      <w:pPr>
        <w:spacing w:line="360" w:lineRule="auto"/>
        <w:jc w:val="both"/>
        <w:rPr>
          <w:rFonts w:ascii="Arial" w:hAnsi="Arial" w:cs="Arial"/>
        </w:rPr>
      </w:pPr>
      <w:r w:rsidRPr="00551B97">
        <w:rPr>
          <w:rFonts w:ascii="Arial" w:hAnsi="Arial" w:cs="Arial"/>
        </w:rPr>
        <w:fldChar w:fldCharType="end"/>
      </w:r>
      <w:r w:rsidR="00E20ADB" w:rsidRPr="00E20ADB">
        <w:t xml:space="preserve"> </w:t>
      </w:r>
      <w:proofErr w:type="spellStart"/>
      <w:r w:rsidR="00E20ADB" w:rsidRPr="00E20ADB">
        <w:rPr>
          <w:rFonts w:ascii="Arial" w:hAnsi="Arial" w:cs="Arial"/>
        </w:rPr>
        <w:t>Zioło</w:t>
      </w:r>
      <w:proofErr w:type="spellEnd"/>
      <w:r w:rsidR="00E20ADB" w:rsidRPr="00E20ADB">
        <w:rPr>
          <w:rFonts w:ascii="Arial" w:hAnsi="Arial" w:cs="Arial"/>
        </w:rPr>
        <w:t xml:space="preserve">, M., </w:t>
      </w:r>
      <w:proofErr w:type="spellStart"/>
      <w:r w:rsidR="00E20ADB" w:rsidRPr="00E20ADB">
        <w:rPr>
          <w:rFonts w:ascii="Arial" w:hAnsi="Arial" w:cs="Arial"/>
        </w:rPr>
        <w:t>Bąk</w:t>
      </w:r>
      <w:proofErr w:type="spellEnd"/>
      <w:r w:rsidR="00E20ADB" w:rsidRPr="00E20ADB">
        <w:rPr>
          <w:rFonts w:ascii="Arial" w:hAnsi="Arial" w:cs="Arial"/>
        </w:rPr>
        <w:t xml:space="preserve">, I. and </w:t>
      </w:r>
      <w:proofErr w:type="spellStart"/>
      <w:r w:rsidR="00E20ADB" w:rsidRPr="00E20ADB">
        <w:rPr>
          <w:rFonts w:ascii="Arial" w:hAnsi="Arial" w:cs="Arial"/>
        </w:rPr>
        <w:t>Spoz</w:t>
      </w:r>
      <w:proofErr w:type="spellEnd"/>
      <w:r w:rsidR="00E20ADB" w:rsidRPr="00E20ADB">
        <w:rPr>
          <w:rFonts w:ascii="Arial" w:hAnsi="Arial" w:cs="Arial"/>
        </w:rPr>
        <w:t xml:space="preserve">, A., </w:t>
      </w:r>
      <w:r w:rsidR="00E20ADB">
        <w:rPr>
          <w:rFonts w:ascii="Arial" w:hAnsi="Arial" w:cs="Arial"/>
        </w:rPr>
        <w:t>(</w:t>
      </w:r>
      <w:r w:rsidR="00E20ADB" w:rsidRPr="00E20ADB">
        <w:rPr>
          <w:rFonts w:ascii="Arial" w:hAnsi="Arial" w:cs="Arial"/>
        </w:rPr>
        <w:t>2024</w:t>
      </w:r>
      <w:r w:rsidR="00E20ADB">
        <w:rPr>
          <w:rFonts w:ascii="Arial" w:hAnsi="Arial" w:cs="Arial"/>
        </w:rPr>
        <w:t>)</w:t>
      </w:r>
      <w:r w:rsidR="00E20ADB" w:rsidRPr="00E20ADB">
        <w:rPr>
          <w:rFonts w:ascii="Arial" w:hAnsi="Arial" w:cs="Arial"/>
        </w:rPr>
        <w:t xml:space="preserve"> Literature review of greenwashing research: State of the art. </w:t>
      </w:r>
      <w:r w:rsidR="00E20ADB" w:rsidRPr="00E20ADB">
        <w:rPr>
          <w:rFonts w:ascii="Arial" w:hAnsi="Arial" w:cs="Arial"/>
          <w:i/>
          <w:iCs/>
        </w:rPr>
        <w:t>Corporate Social Responsibility and Environmental Management</w:t>
      </w:r>
      <w:r w:rsidR="00E20ADB" w:rsidRPr="00E20ADB">
        <w:rPr>
          <w:rFonts w:ascii="Arial" w:hAnsi="Arial" w:cs="Arial"/>
        </w:rPr>
        <w:t>, </w:t>
      </w:r>
      <w:r w:rsidR="00E20ADB" w:rsidRPr="00E20ADB">
        <w:rPr>
          <w:rFonts w:ascii="Arial" w:hAnsi="Arial" w:cs="Arial"/>
          <w:i/>
          <w:iCs/>
        </w:rPr>
        <w:t>31</w:t>
      </w:r>
      <w:r w:rsidR="00E20ADB" w:rsidRPr="00E20ADB">
        <w:rPr>
          <w:rFonts w:ascii="Arial" w:hAnsi="Arial" w:cs="Arial"/>
        </w:rPr>
        <w:t xml:space="preserve">(6), pp.5343-5356. </w:t>
      </w:r>
      <w:r w:rsidR="00E20ADB">
        <w:rPr>
          <w:rFonts w:ascii="Arial" w:hAnsi="Arial" w:cs="Arial"/>
        </w:rPr>
        <w:t xml:space="preserve">Available at: </w:t>
      </w:r>
      <w:r w:rsidR="00E20ADB" w:rsidRPr="00E20ADB">
        <w:rPr>
          <w:rFonts w:ascii="Arial" w:hAnsi="Arial" w:cs="Arial"/>
        </w:rPr>
        <w:t>https://doi.org/10.1002/csr.2842</w:t>
      </w:r>
    </w:p>
    <w:sectPr w:rsidR="00B73A15" w:rsidRPr="00E20ADB" w:rsidSect="001B33DC">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C3C37E" w14:textId="77777777" w:rsidR="00DC1451" w:rsidRDefault="00DC1451" w:rsidP="003F58FB">
      <w:pPr>
        <w:spacing w:after="0" w:line="240" w:lineRule="auto"/>
      </w:pPr>
      <w:r>
        <w:separator/>
      </w:r>
    </w:p>
  </w:endnote>
  <w:endnote w:type="continuationSeparator" w:id="0">
    <w:p w14:paraId="1CEB3E54" w14:textId="77777777" w:rsidR="00DC1451" w:rsidRDefault="00DC1451" w:rsidP="003F5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9787359"/>
      <w:docPartObj>
        <w:docPartGallery w:val="Page Numbers (Bottom of Page)"/>
        <w:docPartUnique/>
      </w:docPartObj>
    </w:sdtPr>
    <w:sdtEndPr>
      <w:rPr>
        <w:noProof/>
      </w:rPr>
    </w:sdtEndPr>
    <w:sdtContent>
      <w:p w14:paraId="5754FBA5" w14:textId="04985125" w:rsidR="001B33DC" w:rsidRDefault="001B33D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861D1B" w14:textId="77777777" w:rsidR="001B33DC" w:rsidRDefault="001B33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0AB34" w14:textId="77777777" w:rsidR="00DC1451" w:rsidRDefault="00DC1451" w:rsidP="003F58FB">
      <w:pPr>
        <w:spacing w:after="0" w:line="240" w:lineRule="auto"/>
      </w:pPr>
      <w:r>
        <w:separator/>
      </w:r>
    </w:p>
  </w:footnote>
  <w:footnote w:type="continuationSeparator" w:id="0">
    <w:p w14:paraId="6E4D706A" w14:textId="77777777" w:rsidR="00DC1451" w:rsidRDefault="00DC1451" w:rsidP="003F58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070589"/>
    <w:multiLevelType w:val="multilevel"/>
    <w:tmpl w:val="0F767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23625D"/>
    <w:multiLevelType w:val="multilevel"/>
    <w:tmpl w:val="C8608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3E7E54"/>
    <w:multiLevelType w:val="multilevel"/>
    <w:tmpl w:val="6C14B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A4462C"/>
    <w:multiLevelType w:val="multilevel"/>
    <w:tmpl w:val="B2F05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FC1C38"/>
    <w:multiLevelType w:val="multilevel"/>
    <w:tmpl w:val="94005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9526675">
    <w:abstractNumId w:val="1"/>
  </w:num>
  <w:num w:numId="2" w16cid:durableId="1695885730">
    <w:abstractNumId w:val="2"/>
  </w:num>
  <w:num w:numId="3" w16cid:durableId="1968198370">
    <w:abstractNumId w:val="4"/>
  </w:num>
  <w:num w:numId="4" w16cid:durableId="1510414926">
    <w:abstractNumId w:val="0"/>
  </w:num>
  <w:num w:numId="5" w16cid:durableId="11657781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A6C"/>
    <w:rsid w:val="00010F1A"/>
    <w:rsid w:val="000323E1"/>
    <w:rsid w:val="00071AB8"/>
    <w:rsid w:val="00076B8C"/>
    <w:rsid w:val="00090122"/>
    <w:rsid w:val="000933C6"/>
    <w:rsid w:val="000A4CEF"/>
    <w:rsid w:val="000B0C17"/>
    <w:rsid w:val="000C1DF1"/>
    <w:rsid w:val="000D1A2C"/>
    <w:rsid w:val="000E1874"/>
    <w:rsid w:val="00102450"/>
    <w:rsid w:val="00153E72"/>
    <w:rsid w:val="00163C10"/>
    <w:rsid w:val="00166F79"/>
    <w:rsid w:val="0017235D"/>
    <w:rsid w:val="001B33DC"/>
    <w:rsid w:val="001F70DD"/>
    <w:rsid w:val="00204A8F"/>
    <w:rsid w:val="00210F0B"/>
    <w:rsid w:val="00213191"/>
    <w:rsid w:val="00230B57"/>
    <w:rsid w:val="00236657"/>
    <w:rsid w:val="00255B68"/>
    <w:rsid w:val="00275942"/>
    <w:rsid w:val="002A4D3B"/>
    <w:rsid w:val="002C58C9"/>
    <w:rsid w:val="00325DA7"/>
    <w:rsid w:val="00327705"/>
    <w:rsid w:val="00331FC2"/>
    <w:rsid w:val="003345BA"/>
    <w:rsid w:val="0034635C"/>
    <w:rsid w:val="0036194F"/>
    <w:rsid w:val="0037642D"/>
    <w:rsid w:val="003855F5"/>
    <w:rsid w:val="00386D15"/>
    <w:rsid w:val="003B523F"/>
    <w:rsid w:val="003B7D00"/>
    <w:rsid w:val="003C7717"/>
    <w:rsid w:val="003D2BAA"/>
    <w:rsid w:val="003D71F5"/>
    <w:rsid w:val="003F58FB"/>
    <w:rsid w:val="003F69AB"/>
    <w:rsid w:val="00400230"/>
    <w:rsid w:val="00401D5F"/>
    <w:rsid w:val="00417702"/>
    <w:rsid w:val="00442C38"/>
    <w:rsid w:val="004512D2"/>
    <w:rsid w:val="0048609C"/>
    <w:rsid w:val="004A758C"/>
    <w:rsid w:val="004E2A4A"/>
    <w:rsid w:val="004E50C2"/>
    <w:rsid w:val="004F01EA"/>
    <w:rsid w:val="00521C6D"/>
    <w:rsid w:val="00527231"/>
    <w:rsid w:val="00543993"/>
    <w:rsid w:val="00544561"/>
    <w:rsid w:val="0055096B"/>
    <w:rsid w:val="00551B97"/>
    <w:rsid w:val="00576452"/>
    <w:rsid w:val="005813D1"/>
    <w:rsid w:val="005A5CB0"/>
    <w:rsid w:val="005D748C"/>
    <w:rsid w:val="005D775F"/>
    <w:rsid w:val="005E1ADA"/>
    <w:rsid w:val="005E4A6F"/>
    <w:rsid w:val="006265B9"/>
    <w:rsid w:val="00631018"/>
    <w:rsid w:val="00655DAF"/>
    <w:rsid w:val="00655DE4"/>
    <w:rsid w:val="00685336"/>
    <w:rsid w:val="00686189"/>
    <w:rsid w:val="006912B6"/>
    <w:rsid w:val="006933F5"/>
    <w:rsid w:val="006B5E1B"/>
    <w:rsid w:val="006E6B33"/>
    <w:rsid w:val="006E781B"/>
    <w:rsid w:val="006F5042"/>
    <w:rsid w:val="00713908"/>
    <w:rsid w:val="00723AF3"/>
    <w:rsid w:val="00731048"/>
    <w:rsid w:val="00764F21"/>
    <w:rsid w:val="00771E19"/>
    <w:rsid w:val="00785E18"/>
    <w:rsid w:val="007A154F"/>
    <w:rsid w:val="007F595B"/>
    <w:rsid w:val="0080363A"/>
    <w:rsid w:val="00810C44"/>
    <w:rsid w:val="00874EB6"/>
    <w:rsid w:val="00877FD8"/>
    <w:rsid w:val="00882147"/>
    <w:rsid w:val="00895062"/>
    <w:rsid w:val="008B6122"/>
    <w:rsid w:val="008C2BB6"/>
    <w:rsid w:val="008D07F8"/>
    <w:rsid w:val="008F3274"/>
    <w:rsid w:val="00941164"/>
    <w:rsid w:val="00946BBF"/>
    <w:rsid w:val="0099592B"/>
    <w:rsid w:val="009960D9"/>
    <w:rsid w:val="009A3F59"/>
    <w:rsid w:val="009B646B"/>
    <w:rsid w:val="009E3759"/>
    <w:rsid w:val="009F2326"/>
    <w:rsid w:val="00A12457"/>
    <w:rsid w:val="00A1628F"/>
    <w:rsid w:val="00A26DA3"/>
    <w:rsid w:val="00A37C95"/>
    <w:rsid w:val="00A65F85"/>
    <w:rsid w:val="00A733BC"/>
    <w:rsid w:val="00A7504A"/>
    <w:rsid w:val="00A91FFA"/>
    <w:rsid w:val="00A92546"/>
    <w:rsid w:val="00A9327E"/>
    <w:rsid w:val="00AB6B4C"/>
    <w:rsid w:val="00AC2AF1"/>
    <w:rsid w:val="00AC7AB1"/>
    <w:rsid w:val="00AD3CD0"/>
    <w:rsid w:val="00AF009F"/>
    <w:rsid w:val="00AF50F6"/>
    <w:rsid w:val="00AF517A"/>
    <w:rsid w:val="00B024D8"/>
    <w:rsid w:val="00B20762"/>
    <w:rsid w:val="00B44660"/>
    <w:rsid w:val="00B50D0D"/>
    <w:rsid w:val="00B53EDB"/>
    <w:rsid w:val="00B57A72"/>
    <w:rsid w:val="00B63EE4"/>
    <w:rsid w:val="00B73A15"/>
    <w:rsid w:val="00BA6B9D"/>
    <w:rsid w:val="00BB7C75"/>
    <w:rsid w:val="00BE1B2C"/>
    <w:rsid w:val="00BE423B"/>
    <w:rsid w:val="00C20913"/>
    <w:rsid w:val="00C20A5D"/>
    <w:rsid w:val="00C4518F"/>
    <w:rsid w:val="00C57318"/>
    <w:rsid w:val="00C904E4"/>
    <w:rsid w:val="00CA695B"/>
    <w:rsid w:val="00CB22E7"/>
    <w:rsid w:val="00D03195"/>
    <w:rsid w:val="00D06D8F"/>
    <w:rsid w:val="00D1470E"/>
    <w:rsid w:val="00D54A6F"/>
    <w:rsid w:val="00D631BF"/>
    <w:rsid w:val="00D8671A"/>
    <w:rsid w:val="00D868CE"/>
    <w:rsid w:val="00DC01C0"/>
    <w:rsid w:val="00DC0E62"/>
    <w:rsid w:val="00DC1451"/>
    <w:rsid w:val="00DD4A6C"/>
    <w:rsid w:val="00DE2249"/>
    <w:rsid w:val="00E20ADB"/>
    <w:rsid w:val="00E27055"/>
    <w:rsid w:val="00E27A39"/>
    <w:rsid w:val="00E54A21"/>
    <w:rsid w:val="00E711B1"/>
    <w:rsid w:val="00E87777"/>
    <w:rsid w:val="00EB3B00"/>
    <w:rsid w:val="00EB6937"/>
    <w:rsid w:val="00ED7139"/>
    <w:rsid w:val="00EE3A39"/>
    <w:rsid w:val="00F019DA"/>
    <w:rsid w:val="00F06973"/>
    <w:rsid w:val="00F3351D"/>
    <w:rsid w:val="00F53F4C"/>
    <w:rsid w:val="00F56A6B"/>
    <w:rsid w:val="00F66743"/>
    <w:rsid w:val="00F827AD"/>
    <w:rsid w:val="00F85D6F"/>
    <w:rsid w:val="00F9695D"/>
    <w:rsid w:val="00FA3E5F"/>
    <w:rsid w:val="00FD71A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4463F"/>
  <w15:chartTrackingRefBased/>
  <w15:docId w15:val="{016C8DC2-282D-4CDE-BCC8-8C4CFC793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4A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D4A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4A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4A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4A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4A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4A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4A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4A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4A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D4A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4A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4A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4A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4A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4A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4A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4A6C"/>
    <w:rPr>
      <w:rFonts w:eastAsiaTheme="majorEastAsia" w:cstheme="majorBidi"/>
      <w:color w:val="272727" w:themeColor="text1" w:themeTint="D8"/>
    </w:rPr>
  </w:style>
  <w:style w:type="paragraph" w:styleId="Title">
    <w:name w:val="Title"/>
    <w:basedOn w:val="Normal"/>
    <w:next w:val="Normal"/>
    <w:link w:val="TitleChar"/>
    <w:uiPriority w:val="10"/>
    <w:qFormat/>
    <w:rsid w:val="00DD4A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4A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4A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4A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4A6C"/>
    <w:pPr>
      <w:spacing w:before="160"/>
      <w:jc w:val="center"/>
    </w:pPr>
    <w:rPr>
      <w:i/>
      <w:iCs/>
      <w:color w:val="404040" w:themeColor="text1" w:themeTint="BF"/>
    </w:rPr>
  </w:style>
  <w:style w:type="character" w:customStyle="1" w:styleId="QuoteChar">
    <w:name w:val="Quote Char"/>
    <w:basedOn w:val="DefaultParagraphFont"/>
    <w:link w:val="Quote"/>
    <w:uiPriority w:val="29"/>
    <w:rsid w:val="00DD4A6C"/>
    <w:rPr>
      <w:i/>
      <w:iCs/>
      <w:color w:val="404040" w:themeColor="text1" w:themeTint="BF"/>
    </w:rPr>
  </w:style>
  <w:style w:type="paragraph" w:styleId="ListParagraph">
    <w:name w:val="List Paragraph"/>
    <w:basedOn w:val="Normal"/>
    <w:uiPriority w:val="34"/>
    <w:qFormat/>
    <w:rsid w:val="00DD4A6C"/>
    <w:pPr>
      <w:ind w:left="720"/>
      <w:contextualSpacing/>
    </w:pPr>
  </w:style>
  <w:style w:type="character" w:styleId="IntenseEmphasis">
    <w:name w:val="Intense Emphasis"/>
    <w:basedOn w:val="DefaultParagraphFont"/>
    <w:uiPriority w:val="21"/>
    <w:qFormat/>
    <w:rsid w:val="00DD4A6C"/>
    <w:rPr>
      <w:i/>
      <w:iCs/>
      <w:color w:val="0F4761" w:themeColor="accent1" w:themeShade="BF"/>
    </w:rPr>
  </w:style>
  <w:style w:type="paragraph" w:styleId="IntenseQuote">
    <w:name w:val="Intense Quote"/>
    <w:basedOn w:val="Normal"/>
    <w:next w:val="Normal"/>
    <w:link w:val="IntenseQuoteChar"/>
    <w:uiPriority w:val="30"/>
    <w:qFormat/>
    <w:rsid w:val="00DD4A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4A6C"/>
    <w:rPr>
      <w:i/>
      <w:iCs/>
      <w:color w:val="0F4761" w:themeColor="accent1" w:themeShade="BF"/>
    </w:rPr>
  </w:style>
  <w:style w:type="character" w:styleId="IntenseReference">
    <w:name w:val="Intense Reference"/>
    <w:basedOn w:val="DefaultParagraphFont"/>
    <w:uiPriority w:val="32"/>
    <w:qFormat/>
    <w:rsid w:val="00DD4A6C"/>
    <w:rPr>
      <w:b/>
      <w:bCs/>
      <w:smallCaps/>
      <w:color w:val="0F4761" w:themeColor="accent1" w:themeShade="BF"/>
      <w:spacing w:val="5"/>
    </w:rPr>
  </w:style>
  <w:style w:type="paragraph" w:styleId="TOCHeading">
    <w:name w:val="TOC Heading"/>
    <w:basedOn w:val="Heading1"/>
    <w:next w:val="Normal"/>
    <w:uiPriority w:val="39"/>
    <w:unhideWhenUsed/>
    <w:qFormat/>
    <w:rsid w:val="00DD4A6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E50C2"/>
    <w:pPr>
      <w:tabs>
        <w:tab w:val="right" w:leader="dot" w:pos="9016"/>
      </w:tabs>
      <w:spacing w:after="100"/>
    </w:pPr>
    <w:rPr>
      <w:rFonts w:ascii="Arial" w:eastAsia="Times New Roman" w:hAnsi="Arial" w:cs="Arial"/>
      <w:noProof/>
      <w:kern w:val="36"/>
      <w:lang w:eastAsia="en-GB"/>
      <w14:ligatures w14:val="none"/>
    </w:rPr>
  </w:style>
  <w:style w:type="character" w:styleId="Hyperlink">
    <w:name w:val="Hyperlink"/>
    <w:basedOn w:val="DefaultParagraphFont"/>
    <w:uiPriority w:val="99"/>
    <w:unhideWhenUsed/>
    <w:rsid w:val="00DD4A6C"/>
    <w:rPr>
      <w:color w:val="467886" w:themeColor="hyperlink"/>
      <w:u w:val="single"/>
    </w:rPr>
  </w:style>
  <w:style w:type="paragraph" w:styleId="NormalWeb">
    <w:name w:val="Normal (Web)"/>
    <w:basedOn w:val="Normal"/>
    <w:uiPriority w:val="99"/>
    <w:unhideWhenUsed/>
    <w:rsid w:val="00DD4A6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whitespace-normal">
    <w:name w:val="whitespace-normal"/>
    <w:basedOn w:val="DefaultParagraphFont"/>
    <w:rsid w:val="00DD4A6C"/>
  </w:style>
  <w:style w:type="paragraph" w:styleId="Bibliography">
    <w:name w:val="Bibliography"/>
    <w:basedOn w:val="Normal"/>
    <w:next w:val="Normal"/>
    <w:uiPriority w:val="37"/>
    <w:unhideWhenUsed/>
    <w:rsid w:val="00B73A15"/>
    <w:pPr>
      <w:spacing w:after="240" w:line="240" w:lineRule="auto"/>
    </w:pPr>
  </w:style>
  <w:style w:type="paragraph" w:styleId="TOC3">
    <w:name w:val="toc 3"/>
    <w:basedOn w:val="Normal"/>
    <w:next w:val="Normal"/>
    <w:autoRedefine/>
    <w:uiPriority w:val="39"/>
    <w:unhideWhenUsed/>
    <w:rsid w:val="00327705"/>
    <w:pPr>
      <w:spacing w:after="100"/>
      <w:ind w:left="480"/>
    </w:pPr>
  </w:style>
  <w:style w:type="paragraph" w:styleId="Header">
    <w:name w:val="header"/>
    <w:basedOn w:val="Normal"/>
    <w:link w:val="HeaderChar"/>
    <w:uiPriority w:val="99"/>
    <w:unhideWhenUsed/>
    <w:rsid w:val="003F58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58FB"/>
  </w:style>
  <w:style w:type="paragraph" w:styleId="Footer">
    <w:name w:val="footer"/>
    <w:basedOn w:val="Normal"/>
    <w:link w:val="FooterChar"/>
    <w:uiPriority w:val="99"/>
    <w:unhideWhenUsed/>
    <w:rsid w:val="003F58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58FB"/>
  </w:style>
  <w:style w:type="paragraph" w:styleId="TOC2">
    <w:name w:val="toc 2"/>
    <w:basedOn w:val="Normal"/>
    <w:next w:val="Normal"/>
    <w:autoRedefine/>
    <w:uiPriority w:val="39"/>
    <w:unhideWhenUsed/>
    <w:rsid w:val="00AF50F6"/>
    <w:pPr>
      <w:spacing w:after="100"/>
      <w:ind w:left="240"/>
    </w:pPr>
  </w:style>
  <w:style w:type="character" w:styleId="UnresolvedMention">
    <w:name w:val="Unresolved Mention"/>
    <w:basedOn w:val="DefaultParagraphFont"/>
    <w:uiPriority w:val="99"/>
    <w:semiHidden/>
    <w:unhideWhenUsed/>
    <w:rsid w:val="00551B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gbioforum.org/menuscript/index.php/agb/article/view/246/16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5581FD-18D1-4025-B14C-9CFA33A91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1</Pages>
  <Words>31819</Words>
  <Characters>181371</Characters>
  <Application>Microsoft Office Word</Application>
  <DocSecurity>0</DocSecurity>
  <Lines>1511</Lines>
  <Paragraphs>425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Bridget Edoghogho Albert (2500452)</dc:creator>
  <cp:keywords/>
  <dc:description/>
  <cp:lastModifiedBy>Bridget Edoghogho Albert (2500452)</cp:lastModifiedBy>
  <cp:revision>4</cp:revision>
  <dcterms:created xsi:type="dcterms:W3CDTF">2026-06-04T14:44:00Z</dcterms:created>
  <dcterms:modified xsi:type="dcterms:W3CDTF">2026-06-04T18:10:00Z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zotero-version="7.0.15"&gt;&lt;session id="cP1Km8cg"/&gt;&lt;style id="http://www.zotero.org/styles/harvard-cite-them-right" locale="en-GB" hasBibliography="1" bibliographyStyleHasBeenSet="1"/&gt;&lt;prefs&gt;&lt;pref name="fieldType" value="Field"/&gt;&lt;pref </vt:lpwstr>
  </property>
  <property fmtid="{D5CDD505-2E9C-101B-9397-08002B2CF9AE}" pid="3" name="ZOTERO_PREF_2">
    <vt:lpwstr>name="automaticJournalAbbreviations" value="true"/&gt;&lt;/prefs&gt;&lt;/data&gt;</vt:lpwstr>
  </property>
</Properties>
</file>