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53E16" w14:textId="77777777" w:rsidR="00AD3AF1" w:rsidRPr="00DE35F4" w:rsidRDefault="00AD3AF1" w:rsidP="00DE35F4">
      <w:pPr>
        <w:spacing w:line="360" w:lineRule="auto"/>
        <w:rPr>
          <w:rFonts w:ascii="Arial" w:hAnsi="Arial" w:cs="Arial"/>
        </w:rPr>
      </w:pPr>
    </w:p>
    <w:p w14:paraId="1691586B" w14:textId="77777777" w:rsidR="00AD3AF1" w:rsidRPr="00DE35F4" w:rsidRDefault="00AD3AF1" w:rsidP="00DE35F4">
      <w:pPr>
        <w:spacing w:line="360" w:lineRule="auto"/>
        <w:rPr>
          <w:rFonts w:ascii="Arial" w:hAnsi="Arial" w:cs="Arial"/>
        </w:rPr>
      </w:pPr>
      <w:proofErr w:type="spellStart"/>
      <w:r w:rsidRPr="00DE35F4">
        <w:rPr>
          <w:rFonts w:ascii="Arial" w:hAnsi="Arial" w:cs="Arial"/>
        </w:rPr>
        <w:t>Meheret</w:t>
      </w:r>
      <w:proofErr w:type="spellEnd"/>
      <w:r w:rsidRPr="00DE35F4">
        <w:rPr>
          <w:rFonts w:ascii="Arial" w:hAnsi="Arial" w:cs="Arial"/>
        </w:rPr>
        <w:t xml:space="preserve"> Zeleke</w:t>
      </w:r>
    </w:p>
    <w:p w14:paraId="03D1507E" w14:textId="77777777" w:rsidR="00AD3AF1" w:rsidRDefault="00AD3AF1" w:rsidP="00DE35F4">
      <w:pPr>
        <w:spacing w:line="360" w:lineRule="auto"/>
        <w:rPr>
          <w:rFonts w:ascii="Arial" w:hAnsi="Arial" w:cs="Arial"/>
        </w:rPr>
      </w:pPr>
      <w:r w:rsidRPr="00DE35F4">
        <w:rPr>
          <w:rFonts w:ascii="Arial" w:hAnsi="Arial" w:cs="Arial"/>
        </w:rPr>
        <w:t>LCHS4010</w:t>
      </w:r>
    </w:p>
    <w:p w14:paraId="29E6B7E7" w14:textId="1329F515" w:rsidR="00DE35F4" w:rsidRPr="00DE35F4" w:rsidRDefault="00DE35F4" w:rsidP="00DE35F4">
      <w:pPr>
        <w:spacing w:line="360" w:lineRule="auto"/>
        <w:rPr>
          <w:rFonts w:ascii="Arial" w:hAnsi="Arial" w:cs="Arial"/>
        </w:rPr>
      </w:pPr>
      <w:r w:rsidRPr="00F921E6">
        <w:rPr>
          <w:b/>
        </w:rPr>
        <w:t>Assignment</w:t>
      </w:r>
      <w:r w:rsidRPr="00F921E6">
        <w:rPr>
          <w:b/>
          <w:spacing w:val="-4"/>
        </w:rPr>
        <w:t xml:space="preserve"> </w:t>
      </w:r>
      <w:r w:rsidRPr="00F921E6">
        <w:rPr>
          <w:b/>
        </w:rPr>
        <w:t>2</w:t>
      </w:r>
      <w:r w:rsidRPr="00F921E6">
        <w:rPr>
          <w:b/>
          <w:spacing w:val="-1"/>
        </w:rPr>
        <w:t>: Written Task</w:t>
      </w:r>
    </w:p>
    <w:p w14:paraId="44ECFCC8" w14:textId="77777777" w:rsidR="00AD3AF1" w:rsidRPr="00DE35F4" w:rsidRDefault="00AD3AF1" w:rsidP="00DE35F4">
      <w:pPr>
        <w:spacing w:line="360" w:lineRule="auto"/>
        <w:rPr>
          <w:rFonts w:ascii="Arial" w:hAnsi="Arial" w:cs="Arial"/>
        </w:rPr>
      </w:pPr>
      <w:r w:rsidRPr="00DE35F4">
        <w:rPr>
          <w:rFonts w:ascii="Arial" w:hAnsi="Arial" w:cs="Arial"/>
        </w:rPr>
        <w:br w:type="page"/>
      </w:r>
    </w:p>
    <w:sdt>
      <w:sdtPr>
        <w:rPr>
          <w:rFonts w:ascii="Arial" w:hAnsi="Arial" w:cs="Arial"/>
        </w:rPr>
        <w:id w:val="-1405223774"/>
        <w:docPartObj>
          <w:docPartGallery w:val="Table of Contents"/>
          <w:docPartUnique/>
        </w:docPartObj>
      </w:sdtPr>
      <w:sdtEndPr>
        <w:rPr>
          <w:rFonts w:eastAsiaTheme="minorHAnsi"/>
          <w:b/>
          <w:bCs/>
          <w:noProof/>
          <w:color w:val="auto"/>
          <w:kern w:val="2"/>
          <w:sz w:val="24"/>
          <w:szCs w:val="24"/>
          <w:lang w:val="en-GB"/>
          <w14:ligatures w14:val="standardContextual"/>
        </w:rPr>
      </w:sdtEndPr>
      <w:sdtContent>
        <w:p w14:paraId="6FDF48A5" w14:textId="067BCAC8" w:rsidR="00AD3AF1" w:rsidRPr="00DE35F4" w:rsidRDefault="00AD3AF1" w:rsidP="00DE35F4">
          <w:pPr>
            <w:pStyle w:val="TOCHeading"/>
            <w:spacing w:line="360" w:lineRule="auto"/>
            <w:rPr>
              <w:rFonts w:ascii="Arial" w:hAnsi="Arial" w:cs="Arial"/>
            </w:rPr>
          </w:pPr>
          <w:r w:rsidRPr="00DE35F4">
            <w:rPr>
              <w:rFonts w:ascii="Arial" w:hAnsi="Arial" w:cs="Arial"/>
            </w:rPr>
            <w:t>Table of Contents</w:t>
          </w:r>
        </w:p>
        <w:p w14:paraId="30CE9C33" w14:textId="2AE98663" w:rsidR="00614143" w:rsidRPr="00DE35F4" w:rsidRDefault="00AD3AF1" w:rsidP="00DE35F4">
          <w:pPr>
            <w:pStyle w:val="TOC1"/>
            <w:tabs>
              <w:tab w:val="right" w:leader="dot" w:pos="9016"/>
            </w:tabs>
            <w:spacing w:line="360" w:lineRule="auto"/>
            <w:rPr>
              <w:rFonts w:ascii="Arial" w:eastAsiaTheme="minorEastAsia" w:hAnsi="Arial" w:cs="Arial"/>
              <w:noProof/>
              <w:lang w:eastAsia="en-GB"/>
            </w:rPr>
          </w:pPr>
          <w:r w:rsidRPr="00DE35F4">
            <w:rPr>
              <w:rFonts w:ascii="Arial" w:hAnsi="Arial" w:cs="Arial"/>
            </w:rPr>
            <w:fldChar w:fldCharType="begin"/>
          </w:r>
          <w:r w:rsidRPr="00DE35F4">
            <w:rPr>
              <w:rFonts w:ascii="Arial" w:hAnsi="Arial" w:cs="Arial"/>
            </w:rPr>
            <w:instrText xml:space="preserve"> TOC \o "1-3" \h \z \u </w:instrText>
          </w:r>
          <w:r w:rsidRPr="00DE35F4">
            <w:rPr>
              <w:rFonts w:ascii="Arial" w:hAnsi="Arial" w:cs="Arial"/>
            </w:rPr>
            <w:fldChar w:fldCharType="separate"/>
          </w:r>
          <w:hyperlink w:anchor="_Toc214293246" w:history="1">
            <w:r w:rsidR="00614143" w:rsidRPr="00DE35F4">
              <w:rPr>
                <w:rStyle w:val="Hyperlink"/>
                <w:rFonts w:ascii="Arial" w:hAnsi="Arial" w:cs="Arial"/>
                <w:noProof/>
              </w:rPr>
              <w:t>Introduction</w:t>
            </w:r>
            <w:r w:rsidR="00614143" w:rsidRPr="00DE35F4">
              <w:rPr>
                <w:rFonts w:ascii="Arial" w:hAnsi="Arial" w:cs="Arial"/>
                <w:noProof/>
                <w:webHidden/>
              </w:rPr>
              <w:tab/>
            </w:r>
            <w:r w:rsidR="00614143" w:rsidRPr="00DE35F4">
              <w:rPr>
                <w:rFonts w:ascii="Arial" w:hAnsi="Arial" w:cs="Arial"/>
                <w:noProof/>
                <w:webHidden/>
              </w:rPr>
              <w:fldChar w:fldCharType="begin"/>
            </w:r>
            <w:r w:rsidR="00614143" w:rsidRPr="00DE35F4">
              <w:rPr>
                <w:rFonts w:ascii="Arial" w:hAnsi="Arial" w:cs="Arial"/>
                <w:noProof/>
                <w:webHidden/>
              </w:rPr>
              <w:instrText xml:space="preserve"> PAGEREF _Toc214293246 \h </w:instrText>
            </w:r>
            <w:r w:rsidR="00614143" w:rsidRPr="00DE35F4">
              <w:rPr>
                <w:rFonts w:ascii="Arial" w:hAnsi="Arial" w:cs="Arial"/>
                <w:noProof/>
                <w:webHidden/>
              </w:rPr>
            </w:r>
            <w:r w:rsidR="00614143" w:rsidRPr="00DE35F4">
              <w:rPr>
                <w:rFonts w:ascii="Arial" w:hAnsi="Arial" w:cs="Arial"/>
                <w:noProof/>
                <w:webHidden/>
              </w:rPr>
              <w:fldChar w:fldCharType="separate"/>
            </w:r>
            <w:r w:rsidR="00614143" w:rsidRPr="00DE35F4">
              <w:rPr>
                <w:rFonts w:ascii="Arial" w:hAnsi="Arial" w:cs="Arial"/>
                <w:noProof/>
                <w:webHidden/>
              </w:rPr>
              <w:t>3</w:t>
            </w:r>
            <w:r w:rsidR="00614143" w:rsidRPr="00DE35F4">
              <w:rPr>
                <w:rFonts w:ascii="Arial" w:hAnsi="Arial" w:cs="Arial"/>
                <w:noProof/>
                <w:webHidden/>
              </w:rPr>
              <w:fldChar w:fldCharType="end"/>
            </w:r>
          </w:hyperlink>
        </w:p>
        <w:p w14:paraId="014B1A1C" w14:textId="237999A4" w:rsidR="00614143" w:rsidRPr="00DE35F4" w:rsidRDefault="00614143" w:rsidP="00DE35F4">
          <w:pPr>
            <w:pStyle w:val="TOC1"/>
            <w:tabs>
              <w:tab w:val="right" w:leader="dot" w:pos="9016"/>
            </w:tabs>
            <w:spacing w:line="360" w:lineRule="auto"/>
            <w:rPr>
              <w:rFonts w:ascii="Arial" w:eastAsiaTheme="minorEastAsia" w:hAnsi="Arial" w:cs="Arial"/>
              <w:noProof/>
              <w:lang w:eastAsia="en-GB"/>
            </w:rPr>
          </w:pPr>
          <w:hyperlink w:anchor="_Toc214293247" w:history="1">
            <w:r w:rsidRPr="00DE35F4">
              <w:rPr>
                <w:rStyle w:val="Hyperlink"/>
                <w:rFonts w:ascii="Arial" w:hAnsi="Arial" w:cs="Arial"/>
                <w:noProof/>
              </w:rPr>
              <w:t>Activity theory</w:t>
            </w:r>
            <w:r w:rsidRPr="00DE35F4">
              <w:rPr>
                <w:rFonts w:ascii="Arial" w:hAnsi="Arial" w:cs="Arial"/>
                <w:noProof/>
                <w:webHidden/>
              </w:rPr>
              <w:tab/>
            </w:r>
            <w:r w:rsidRPr="00DE35F4">
              <w:rPr>
                <w:rFonts w:ascii="Arial" w:hAnsi="Arial" w:cs="Arial"/>
                <w:noProof/>
                <w:webHidden/>
              </w:rPr>
              <w:fldChar w:fldCharType="begin"/>
            </w:r>
            <w:r w:rsidRPr="00DE35F4">
              <w:rPr>
                <w:rFonts w:ascii="Arial" w:hAnsi="Arial" w:cs="Arial"/>
                <w:noProof/>
                <w:webHidden/>
              </w:rPr>
              <w:instrText xml:space="preserve"> PAGEREF _Toc214293247 \h </w:instrText>
            </w:r>
            <w:r w:rsidRPr="00DE35F4">
              <w:rPr>
                <w:rFonts w:ascii="Arial" w:hAnsi="Arial" w:cs="Arial"/>
                <w:noProof/>
                <w:webHidden/>
              </w:rPr>
            </w:r>
            <w:r w:rsidRPr="00DE35F4">
              <w:rPr>
                <w:rFonts w:ascii="Arial" w:hAnsi="Arial" w:cs="Arial"/>
                <w:noProof/>
                <w:webHidden/>
              </w:rPr>
              <w:fldChar w:fldCharType="separate"/>
            </w:r>
            <w:r w:rsidRPr="00DE35F4">
              <w:rPr>
                <w:rFonts w:ascii="Arial" w:hAnsi="Arial" w:cs="Arial"/>
                <w:noProof/>
                <w:webHidden/>
              </w:rPr>
              <w:t>3</w:t>
            </w:r>
            <w:r w:rsidRPr="00DE35F4">
              <w:rPr>
                <w:rFonts w:ascii="Arial" w:hAnsi="Arial" w:cs="Arial"/>
                <w:noProof/>
                <w:webHidden/>
              </w:rPr>
              <w:fldChar w:fldCharType="end"/>
            </w:r>
          </w:hyperlink>
        </w:p>
        <w:p w14:paraId="393565E2" w14:textId="481EB06C" w:rsidR="00614143" w:rsidRPr="00DE35F4" w:rsidRDefault="00614143" w:rsidP="00DE35F4">
          <w:pPr>
            <w:pStyle w:val="TOC1"/>
            <w:tabs>
              <w:tab w:val="right" w:leader="dot" w:pos="9016"/>
            </w:tabs>
            <w:spacing w:line="360" w:lineRule="auto"/>
            <w:rPr>
              <w:rFonts w:ascii="Arial" w:eastAsiaTheme="minorEastAsia" w:hAnsi="Arial" w:cs="Arial"/>
              <w:noProof/>
              <w:lang w:eastAsia="en-GB"/>
            </w:rPr>
          </w:pPr>
          <w:hyperlink w:anchor="_Toc214293248" w:history="1">
            <w:r w:rsidRPr="00DE35F4">
              <w:rPr>
                <w:rStyle w:val="Hyperlink"/>
                <w:rFonts w:ascii="Arial" w:hAnsi="Arial" w:cs="Arial"/>
                <w:noProof/>
              </w:rPr>
              <w:t>Maslow’s Hierarchy of Needs</w:t>
            </w:r>
            <w:r w:rsidRPr="00DE35F4">
              <w:rPr>
                <w:rFonts w:ascii="Arial" w:hAnsi="Arial" w:cs="Arial"/>
                <w:noProof/>
                <w:webHidden/>
              </w:rPr>
              <w:tab/>
            </w:r>
            <w:r w:rsidRPr="00DE35F4">
              <w:rPr>
                <w:rFonts w:ascii="Arial" w:hAnsi="Arial" w:cs="Arial"/>
                <w:noProof/>
                <w:webHidden/>
              </w:rPr>
              <w:fldChar w:fldCharType="begin"/>
            </w:r>
            <w:r w:rsidRPr="00DE35F4">
              <w:rPr>
                <w:rFonts w:ascii="Arial" w:hAnsi="Arial" w:cs="Arial"/>
                <w:noProof/>
                <w:webHidden/>
              </w:rPr>
              <w:instrText xml:space="preserve"> PAGEREF _Toc214293248 \h </w:instrText>
            </w:r>
            <w:r w:rsidRPr="00DE35F4">
              <w:rPr>
                <w:rFonts w:ascii="Arial" w:hAnsi="Arial" w:cs="Arial"/>
                <w:noProof/>
                <w:webHidden/>
              </w:rPr>
            </w:r>
            <w:r w:rsidRPr="00DE35F4">
              <w:rPr>
                <w:rFonts w:ascii="Arial" w:hAnsi="Arial" w:cs="Arial"/>
                <w:noProof/>
                <w:webHidden/>
              </w:rPr>
              <w:fldChar w:fldCharType="separate"/>
            </w:r>
            <w:r w:rsidRPr="00DE35F4">
              <w:rPr>
                <w:rFonts w:ascii="Arial" w:hAnsi="Arial" w:cs="Arial"/>
                <w:noProof/>
                <w:webHidden/>
              </w:rPr>
              <w:t>4</w:t>
            </w:r>
            <w:r w:rsidRPr="00DE35F4">
              <w:rPr>
                <w:rFonts w:ascii="Arial" w:hAnsi="Arial" w:cs="Arial"/>
                <w:noProof/>
                <w:webHidden/>
              </w:rPr>
              <w:fldChar w:fldCharType="end"/>
            </w:r>
          </w:hyperlink>
        </w:p>
        <w:p w14:paraId="50927468" w14:textId="5A64D1CF" w:rsidR="00614143" w:rsidRPr="00DE35F4" w:rsidRDefault="00614143" w:rsidP="00DE35F4">
          <w:pPr>
            <w:pStyle w:val="TOC1"/>
            <w:tabs>
              <w:tab w:val="right" w:leader="dot" w:pos="9016"/>
            </w:tabs>
            <w:spacing w:line="360" w:lineRule="auto"/>
            <w:rPr>
              <w:rFonts w:ascii="Arial" w:eastAsiaTheme="minorEastAsia" w:hAnsi="Arial" w:cs="Arial"/>
              <w:noProof/>
              <w:lang w:eastAsia="en-GB"/>
            </w:rPr>
          </w:pPr>
          <w:hyperlink w:anchor="_Toc214293249" w:history="1">
            <w:r w:rsidRPr="00DE35F4">
              <w:rPr>
                <w:rStyle w:val="Hyperlink"/>
                <w:rFonts w:ascii="Arial" w:hAnsi="Arial" w:cs="Arial"/>
                <w:noProof/>
              </w:rPr>
              <w:t>Conclusion</w:t>
            </w:r>
            <w:r w:rsidRPr="00DE35F4">
              <w:rPr>
                <w:rFonts w:ascii="Arial" w:hAnsi="Arial" w:cs="Arial"/>
                <w:noProof/>
                <w:webHidden/>
              </w:rPr>
              <w:tab/>
            </w:r>
            <w:r w:rsidRPr="00DE35F4">
              <w:rPr>
                <w:rFonts w:ascii="Arial" w:hAnsi="Arial" w:cs="Arial"/>
                <w:noProof/>
                <w:webHidden/>
              </w:rPr>
              <w:fldChar w:fldCharType="begin"/>
            </w:r>
            <w:r w:rsidRPr="00DE35F4">
              <w:rPr>
                <w:rFonts w:ascii="Arial" w:hAnsi="Arial" w:cs="Arial"/>
                <w:noProof/>
                <w:webHidden/>
              </w:rPr>
              <w:instrText xml:space="preserve"> PAGEREF _Toc214293249 \h </w:instrText>
            </w:r>
            <w:r w:rsidRPr="00DE35F4">
              <w:rPr>
                <w:rFonts w:ascii="Arial" w:hAnsi="Arial" w:cs="Arial"/>
                <w:noProof/>
                <w:webHidden/>
              </w:rPr>
            </w:r>
            <w:r w:rsidRPr="00DE35F4">
              <w:rPr>
                <w:rFonts w:ascii="Arial" w:hAnsi="Arial" w:cs="Arial"/>
                <w:noProof/>
                <w:webHidden/>
              </w:rPr>
              <w:fldChar w:fldCharType="separate"/>
            </w:r>
            <w:r w:rsidRPr="00DE35F4">
              <w:rPr>
                <w:rFonts w:ascii="Arial" w:hAnsi="Arial" w:cs="Arial"/>
                <w:noProof/>
                <w:webHidden/>
              </w:rPr>
              <w:t>6</w:t>
            </w:r>
            <w:r w:rsidRPr="00DE35F4">
              <w:rPr>
                <w:rFonts w:ascii="Arial" w:hAnsi="Arial" w:cs="Arial"/>
                <w:noProof/>
                <w:webHidden/>
              </w:rPr>
              <w:fldChar w:fldCharType="end"/>
            </w:r>
          </w:hyperlink>
        </w:p>
        <w:p w14:paraId="1D888EE7" w14:textId="5453C461" w:rsidR="00614143" w:rsidRPr="00DE35F4" w:rsidRDefault="00614143" w:rsidP="00DE35F4">
          <w:pPr>
            <w:pStyle w:val="TOC1"/>
            <w:tabs>
              <w:tab w:val="right" w:leader="dot" w:pos="9016"/>
            </w:tabs>
            <w:spacing w:line="360" w:lineRule="auto"/>
            <w:rPr>
              <w:rFonts w:ascii="Arial" w:eastAsiaTheme="minorEastAsia" w:hAnsi="Arial" w:cs="Arial"/>
              <w:noProof/>
              <w:lang w:eastAsia="en-GB"/>
            </w:rPr>
          </w:pPr>
          <w:hyperlink w:anchor="_Toc214293250" w:history="1">
            <w:r w:rsidRPr="00DE35F4">
              <w:rPr>
                <w:rStyle w:val="Hyperlink"/>
                <w:rFonts w:ascii="Arial" w:hAnsi="Arial" w:cs="Arial"/>
                <w:noProof/>
              </w:rPr>
              <w:t>REFRENCES</w:t>
            </w:r>
            <w:r w:rsidRPr="00DE35F4">
              <w:rPr>
                <w:rFonts w:ascii="Arial" w:hAnsi="Arial" w:cs="Arial"/>
                <w:noProof/>
                <w:webHidden/>
              </w:rPr>
              <w:tab/>
            </w:r>
            <w:r w:rsidRPr="00DE35F4">
              <w:rPr>
                <w:rFonts w:ascii="Arial" w:hAnsi="Arial" w:cs="Arial"/>
                <w:noProof/>
                <w:webHidden/>
              </w:rPr>
              <w:fldChar w:fldCharType="begin"/>
            </w:r>
            <w:r w:rsidRPr="00DE35F4">
              <w:rPr>
                <w:rFonts w:ascii="Arial" w:hAnsi="Arial" w:cs="Arial"/>
                <w:noProof/>
                <w:webHidden/>
              </w:rPr>
              <w:instrText xml:space="preserve"> PAGEREF _Toc214293250 \h </w:instrText>
            </w:r>
            <w:r w:rsidRPr="00DE35F4">
              <w:rPr>
                <w:rFonts w:ascii="Arial" w:hAnsi="Arial" w:cs="Arial"/>
                <w:noProof/>
                <w:webHidden/>
              </w:rPr>
            </w:r>
            <w:r w:rsidRPr="00DE35F4">
              <w:rPr>
                <w:rFonts w:ascii="Arial" w:hAnsi="Arial" w:cs="Arial"/>
                <w:noProof/>
                <w:webHidden/>
              </w:rPr>
              <w:fldChar w:fldCharType="separate"/>
            </w:r>
            <w:r w:rsidRPr="00DE35F4">
              <w:rPr>
                <w:rFonts w:ascii="Arial" w:hAnsi="Arial" w:cs="Arial"/>
                <w:noProof/>
                <w:webHidden/>
              </w:rPr>
              <w:t>8</w:t>
            </w:r>
            <w:r w:rsidRPr="00DE35F4">
              <w:rPr>
                <w:rFonts w:ascii="Arial" w:hAnsi="Arial" w:cs="Arial"/>
                <w:noProof/>
                <w:webHidden/>
              </w:rPr>
              <w:fldChar w:fldCharType="end"/>
            </w:r>
          </w:hyperlink>
        </w:p>
        <w:p w14:paraId="63F2C78B" w14:textId="1ADEF495" w:rsidR="00AD3AF1" w:rsidRPr="00DE35F4" w:rsidRDefault="00AD3AF1" w:rsidP="00DE35F4">
          <w:pPr>
            <w:spacing w:line="360" w:lineRule="auto"/>
            <w:rPr>
              <w:rFonts w:ascii="Arial" w:hAnsi="Arial" w:cs="Arial"/>
            </w:rPr>
          </w:pPr>
          <w:r w:rsidRPr="00DE35F4">
            <w:rPr>
              <w:rFonts w:ascii="Arial" w:hAnsi="Arial" w:cs="Arial"/>
              <w:b/>
              <w:bCs/>
              <w:noProof/>
            </w:rPr>
            <w:fldChar w:fldCharType="end"/>
          </w:r>
        </w:p>
      </w:sdtContent>
    </w:sdt>
    <w:p w14:paraId="128B29C3" w14:textId="1C34D9B7" w:rsidR="00AD3AF1" w:rsidRPr="00DE35F4" w:rsidRDefault="00AD3AF1" w:rsidP="00DE35F4">
      <w:pPr>
        <w:spacing w:line="360" w:lineRule="auto"/>
        <w:rPr>
          <w:rFonts w:ascii="Arial" w:hAnsi="Arial" w:cs="Arial"/>
        </w:rPr>
      </w:pPr>
      <w:r w:rsidRPr="00DE35F4">
        <w:rPr>
          <w:rFonts w:ascii="Arial" w:hAnsi="Arial" w:cs="Arial"/>
        </w:rPr>
        <w:br w:type="page"/>
      </w:r>
    </w:p>
    <w:p w14:paraId="0193EFE0" w14:textId="5E702681" w:rsidR="00AD3AF1" w:rsidRPr="00DE35F4" w:rsidRDefault="00AD3AF1" w:rsidP="00DE35F4">
      <w:pPr>
        <w:pStyle w:val="Heading1"/>
        <w:spacing w:line="360" w:lineRule="auto"/>
        <w:rPr>
          <w:rFonts w:ascii="Arial" w:hAnsi="Arial" w:cs="Arial"/>
        </w:rPr>
      </w:pPr>
      <w:bookmarkStart w:id="0" w:name="_Toc214293246"/>
      <w:r w:rsidRPr="00DE35F4">
        <w:rPr>
          <w:rFonts w:ascii="Arial" w:hAnsi="Arial" w:cs="Arial"/>
        </w:rPr>
        <w:lastRenderedPageBreak/>
        <w:t>Introduction</w:t>
      </w:r>
      <w:bookmarkEnd w:id="0"/>
    </w:p>
    <w:p w14:paraId="0874FAD1" w14:textId="57802030" w:rsidR="00AD3AF1" w:rsidRPr="00DE35F4" w:rsidRDefault="00DE35F4" w:rsidP="00DE35F4">
      <w:pPr>
        <w:spacing w:line="360" w:lineRule="auto"/>
        <w:rPr>
          <w:rFonts w:ascii="Arial" w:hAnsi="Arial" w:cs="Arial"/>
          <w:sz w:val="22"/>
          <w:szCs w:val="22"/>
        </w:rPr>
      </w:pPr>
      <w:r w:rsidRPr="00DE35F4">
        <w:rPr>
          <w:rFonts w:ascii="Arial" w:hAnsi="Arial" w:cs="Arial"/>
          <w:sz w:val="22"/>
          <w:szCs w:val="22"/>
        </w:rPr>
        <w:t xml:space="preserve">Dementia affects approximately 982,000 people in the UK, with this figure projected to exceed 1.4 million by 2040 as the population continues to age (Alzheimer's Society, 2024). Approximately 70% of care home residents experience dementia or severe memory problems, equating to an estimated 309,000 individuals residing in institutional care settings (Alzheimer's Society, 2024; CareHome.co.uk, 2024). This demographic presents complex psychological, </w:t>
      </w:r>
      <w:proofErr w:type="spellStart"/>
      <w:r w:rsidRPr="00DE35F4">
        <w:rPr>
          <w:rFonts w:ascii="Arial" w:hAnsi="Arial" w:cs="Arial"/>
          <w:sz w:val="22"/>
          <w:szCs w:val="22"/>
        </w:rPr>
        <w:t>behavioral</w:t>
      </w:r>
      <w:proofErr w:type="spellEnd"/>
      <w:r w:rsidRPr="00DE35F4">
        <w:rPr>
          <w:rFonts w:ascii="Arial" w:hAnsi="Arial" w:cs="Arial"/>
          <w:sz w:val="22"/>
          <w:szCs w:val="22"/>
        </w:rPr>
        <w:t>, and emotional challenges for health and social care professionals, necessitating evidence-based theoretical frameworks to guide effective person-</w:t>
      </w:r>
      <w:proofErr w:type="spellStart"/>
      <w:r w:rsidRPr="00DE35F4">
        <w:rPr>
          <w:rFonts w:ascii="Arial" w:hAnsi="Arial" w:cs="Arial"/>
          <w:sz w:val="22"/>
          <w:szCs w:val="22"/>
        </w:rPr>
        <w:t>centered</w:t>
      </w:r>
      <w:proofErr w:type="spellEnd"/>
      <w:r w:rsidRPr="00DE35F4">
        <w:rPr>
          <w:rFonts w:ascii="Arial" w:hAnsi="Arial" w:cs="Arial"/>
          <w:sz w:val="22"/>
          <w:szCs w:val="22"/>
        </w:rPr>
        <w:t xml:space="preserve"> interventions. This report examines how Activity Theory (Havighurst, 1961) and Maslow's Hierarchy of Needs (Maslow, 1943) can be applied to support adults aged 65 and over living with dementia in care homes.</w:t>
      </w:r>
    </w:p>
    <w:p w14:paraId="743DDF31" w14:textId="7CD13966" w:rsidR="00AD3AF1" w:rsidRPr="00DE35F4" w:rsidRDefault="00AD3AF1" w:rsidP="00DE35F4">
      <w:pPr>
        <w:pStyle w:val="Heading1"/>
        <w:spacing w:line="360" w:lineRule="auto"/>
        <w:rPr>
          <w:rFonts w:ascii="Arial" w:hAnsi="Arial" w:cs="Arial"/>
        </w:rPr>
      </w:pPr>
      <w:bookmarkStart w:id="1" w:name="_Toc214293247"/>
      <w:r w:rsidRPr="00DE35F4">
        <w:rPr>
          <w:rFonts w:ascii="Arial" w:hAnsi="Arial" w:cs="Arial"/>
        </w:rPr>
        <w:t>Activity theory</w:t>
      </w:r>
      <w:bookmarkEnd w:id="1"/>
    </w:p>
    <w:p w14:paraId="710688FC" w14:textId="55B0A1D9" w:rsidR="00F27DBF" w:rsidRPr="00DE35F4" w:rsidRDefault="007F646E" w:rsidP="00DE35F4">
      <w:pPr>
        <w:spacing w:line="360" w:lineRule="auto"/>
        <w:rPr>
          <w:rFonts w:ascii="Arial" w:hAnsi="Arial" w:cs="Arial"/>
          <w:sz w:val="22"/>
          <w:szCs w:val="22"/>
        </w:rPr>
      </w:pPr>
      <w:r w:rsidRPr="00DE35F4">
        <w:rPr>
          <w:rFonts w:ascii="Arial" w:hAnsi="Arial" w:cs="Arial"/>
          <w:sz w:val="22"/>
          <w:szCs w:val="22"/>
        </w:rPr>
        <w:t xml:space="preserve">The Activity Theory of aging, initially articulated by </w:t>
      </w:r>
      <w:r w:rsidRPr="00DE35F4">
        <w:rPr>
          <w:rFonts w:ascii="Arial" w:hAnsi="Arial" w:cs="Arial"/>
          <w:b/>
          <w:bCs/>
          <w:sz w:val="22"/>
          <w:szCs w:val="22"/>
        </w:rPr>
        <w:t>Robert J. Havighurst</w:t>
      </w:r>
      <w:r w:rsidRPr="00DE35F4">
        <w:rPr>
          <w:rFonts w:ascii="Arial" w:hAnsi="Arial" w:cs="Arial"/>
          <w:sz w:val="22"/>
          <w:szCs w:val="22"/>
        </w:rPr>
        <w:t xml:space="preserve"> in 1961, </w:t>
      </w:r>
      <w:r w:rsidRPr="00DE35F4">
        <w:rPr>
          <w:rFonts w:ascii="Arial" w:hAnsi="Arial" w:cs="Arial"/>
          <w:sz w:val="22"/>
          <w:szCs w:val="22"/>
        </w:rPr>
        <w:t>suggests</w:t>
      </w:r>
      <w:r w:rsidRPr="00DE35F4">
        <w:rPr>
          <w:rFonts w:ascii="Arial" w:hAnsi="Arial" w:cs="Arial"/>
          <w:sz w:val="22"/>
          <w:szCs w:val="22"/>
        </w:rPr>
        <w:t xml:space="preserve"> that </w:t>
      </w:r>
      <w:r w:rsidRPr="00DE35F4">
        <w:rPr>
          <w:rFonts w:ascii="Arial" w:hAnsi="Arial" w:cs="Arial"/>
          <w:b/>
          <w:bCs/>
          <w:sz w:val="22"/>
          <w:szCs w:val="22"/>
        </w:rPr>
        <w:t>successful aging</w:t>
      </w:r>
      <w:r w:rsidRPr="00DE35F4">
        <w:rPr>
          <w:rFonts w:ascii="Arial" w:hAnsi="Arial" w:cs="Arial"/>
          <w:sz w:val="22"/>
          <w:szCs w:val="22"/>
        </w:rPr>
        <w:t xml:space="preserve"> is the </w:t>
      </w:r>
      <w:r w:rsidRPr="00DE35F4">
        <w:rPr>
          <w:rFonts w:ascii="Arial" w:hAnsi="Arial" w:cs="Arial"/>
          <w:b/>
          <w:bCs/>
          <w:sz w:val="22"/>
          <w:szCs w:val="22"/>
        </w:rPr>
        <w:t>maintenance</w:t>
      </w:r>
      <w:r w:rsidRPr="00DE35F4">
        <w:rPr>
          <w:rFonts w:ascii="Arial" w:hAnsi="Arial" w:cs="Arial"/>
          <w:sz w:val="22"/>
          <w:szCs w:val="22"/>
        </w:rPr>
        <w:t xml:space="preserve"> of </w:t>
      </w:r>
      <w:r w:rsidRPr="00DE35F4">
        <w:rPr>
          <w:rFonts w:ascii="Arial" w:hAnsi="Arial" w:cs="Arial"/>
          <w:b/>
          <w:bCs/>
          <w:sz w:val="22"/>
          <w:szCs w:val="22"/>
        </w:rPr>
        <w:t>middle-age activities and attitudes</w:t>
      </w:r>
      <w:r w:rsidRPr="00DE35F4">
        <w:rPr>
          <w:rFonts w:ascii="Arial" w:hAnsi="Arial" w:cs="Arial"/>
          <w:sz w:val="22"/>
          <w:szCs w:val="22"/>
        </w:rPr>
        <w:t xml:space="preserve"> for as long as possible (Havighurst, 1961). The theory's core concept suggests that individuals should resist a shrinkage of their social world (Havighurst, 1961). When older people must relinquish activities, such as work upon retirement or involvement with clubs and friends, they should find </w:t>
      </w:r>
      <w:r w:rsidRPr="00DE35F4">
        <w:rPr>
          <w:rFonts w:ascii="Arial" w:hAnsi="Arial" w:cs="Arial"/>
          <w:b/>
          <w:bCs/>
          <w:sz w:val="22"/>
          <w:szCs w:val="22"/>
        </w:rPr>
        <w:t>substitutes</w:t>
      </w:r>
      <w:r w:rsidRPr="00DE35F4">
        <w:rPr>
          <w:rFonts w:ascii="Arial" w:hAnsi="Arial" w:cs="Arial"/>
          <w:sz w:val="22"/>
          <w:szCs w:val="22"/>
        </w:rPr>
        <w:t xml:space="preserve"> for those </w:t>
      </w:r>
      <w:r w:rsidRPr="00DE35F4">
        <w:rPr>
          <w:rFonts w:ascii="Arial" w:hAnsi="Arial" w:cs="Arial"/>
          <w:b/>
          <w:bCs/>
          <w:sz w:val="22"/>
          <w:szCs w:val="22"/>
        </w:rPr>
        <w:t>lost roles</w:t>
      </w:r>
      <w:r w:rsidRPr="00DE35F4">
        <w:rPr>
          <w:rFonts w:ascii="Arial" w:hAnsi="Arial" w:cs="Arial"/>
          <w:sz w:val="22"/>
          <w:szCs w:val="22"/>
        </w:rPr>
        <w:t xml:space="preserve"> (Havighurst, 1961). The essence of Activity Theory states a </w:t>
      </w:r>
      <w:r w:rsidRPr="00DE35F4">
        <w:rPr>
          <w:rFonts w:ascii="Arial" w:hAnsi="Arial" w:cs="Arial"/>
          <w:b/>
          <w:bCs/>
          <w:sz w:val="22"/>
          <w:szCs w:val="22"/>
        </w:rPr>
        <w:t>positive relationship</w:t>
      </w:r>
      <w:r w:rsidRPr="00DE35F4">
        <w:rPr>
          <w:rFonts w:ascii="Arial" w:hAnsi="Arial" w:cs="Arial"/>
          <w:sz w:val="22"/>
          <w:szCs w:val="22"/>
        </w:rPr>
        <w:t xml:space="preserve"> exists between </w:t>
      </w:r>
      <w:r w:rsidRPr="00DE35F4">
        <w:rPr>
          <w:rFonts w:ascii="Arial" w:hAnsi="Arial" w:cs="Arial"/>
          <w:b/>
          <w:bCs/>
          <w:sz w:val="22"/>
          <w:szCs w:val="22"/>
        </w:rPr>
        <w:t>activity and life satisfaction</w:t>
      </w:r>
      <w:r w:rsidRPr="00DE35F4">
        <w:rPr>
          <w:rFonts w:ascii="Arial" w:hAnsi="Arial" w:cs="Arial"/>
          <w:sz w:val="22"/>
          <w:szCs w:val="22"/>
        </w:rPr>
        <w:t xml:space="preserve"> (Lemon, Bengtson, &amp; Peterson, 1972). Increased social role participation and general </w:t>
      </w:r>
      <w:r w:rsidRPr="00DE35F4">
        <w:rPr>
          <w:rFonts w:ascii="Arial" w:hAnsi="Arial" w:cs="Arial"/>
          <w:b/>
          <w:bCs/>
          <w:sz w:val="22"/>
          <w:szCs w:val="22"/>
        </w:rPr>
        <w:t>active engagement</w:t>
      </w:r>
      <w:r w:rsidRPr="00DE35F4">
        <w:rPr>
          <w:rFonts w:ascii="Arial" w:hAnsi="Arial" w:cs="Arial"/>
          <w:sz w:val="22"/>
          <w:szCs w:val="22"/>
        </w:rPr>
        <w:t xml:space="preserve"> maintain the </w:t>
      </w:r>
      <w:r w:rsidRPr="00DE35F4">
        <w:rPr>
          <w:rFonts w:ascii="Arial" w:hAnsi="Arial" w:cs="Arial"/>
          <w:b/>
          <w:bCs/>
          <w:sz w:val="22"/>
          <w:szCs w:val="22"/>
        </w:rPr>
        <w:t>social self</w:t>
      </w:r>
      <w:r w:rsidRPr="00DE35F4">
        <w:rPr>
          <w:rFonts w:ascii="Arial" w:hAnsi="Arial" w:cs="Arial"/>
          <w:sz w:val="22"/>
          <w:szCs w:val="22"/>
        </w:rPr>
        <w:t xml:space="preserve"> and lead to higher life satisfaction and adjustment in old age (Lemon, Bengtson, &amp; Peterson, 1972; Havighurst, 1961). Gerontology's practical workers </w:t>
      </w:r>
      <w:proofErr w:type="spellStart"/>
      <w:r w:rsidRPr="00DE35F4">
        <w:rPr>
          <w:rFonts w:ascii="Arial" w:hAnsi="Arial" w:cs="Arial"/>
          <w:sz w:val="22"/>
          <w:szCs w:val="22"/>
        </w:rPr>
        <w:t>favor</w:t>
      </w:r>
      <w:proofErr w:type="spellEnd"/>
      <w:r w:rsidRPr="00DE35F4">
        <w:rPr>
          <w:rFonts w:ascii="Arial" w:hAnsi="Arial" w:cs="Arial"/>
          <w:sz w:val="22"/>
          <w:szCs w:val="22"/>
        </w:rPr>
        <w:t xml:space="preserve"> this perspective (Havighurst, 1961). Lemon, Bengtson, and Peterson's (1972) study formally defined the theory's core as: the greater the </w:t>
      </w:r>
      <w:r w:rsidRPr="00DE35F4">
        <w:rPr>
          <w:rFonts w:ascii="Arial" w:hAnsi="Arial" w:cs="Arial"/>
          <w:b/>
          <w:bCs/>
          <w:sz w:val="22"/>
          <w:szCs w:val="22"/>
        </w:rPr>
        <w:t>activity</w:t>
      </w:r>
      <w:r w:rsidRPr="00DE35F4">
        <w:rPr>
          <w:rFonts w:ascii="Arial" w:hAnsi="Arial" w:cs="Arial"/>
          <w:sz w:val="22"/>
          <w:szCs w:val="22"/>
        </w:rPr>
        <w:t xml:space="preserve">, the greater one's </w:t>
      </w:r>
      <w:r w:rsidRPr="00DE35F4">
        <w:rPr>
          <w:rFonts w:ascii="Arial" w:hAnsi="Arial" w:cs="Arial"/>
          <w:b/>
          <w:bCs/>
          <w:sz w:val="22"/>
          <w:szCs w:val="22"/>
        </w:rPr>
        <w:t>life satisfaction</w:t>
      </w:r>
      <w:r w:rsidRPr="00DE35F4">
        <w:rPr>
          <w:rFonts w:ascii="Arial" w:hAnsi="Arial" w:cs="Arial"/>
          <w:sz w:val="22"/>
          <w:szCs w:val="22"/>
        </w:rPr>
        <w:t xml:space="preserve"> (Lemon, Bengtson, &amp; Peterson, 1972).</w:t>
      </w:r>
    </w:p>
    <w:p w14:paraId="553F64A2" w14:textId="051FA0A4" w:rsidR="00277BD1" w:rsidRPr="00DE35F4" w:rsidRDefault="00277BD1" w:rsidP="00DE35F4">
      <w:pPr>
        <w:spacing w:line="360" w:lineRule="auto"/>
        <w:rPr>
          <w:rFonts w:ascii="Arial" w:hAnsi="Arial" w:cs="Arial"/>
          <w:sz w:val="22"/>
          <w:szCs w:val="22"/>
        </w:rPr>
      </w:pPr>
      <w:r w:rsidRPr="00DE35F4">
        <w:rPr>
          <w:rFonts w:ascii="Arial" w:hAnsi="Arial" w:cs="Arial"/>
          <w:sz w:val="22"/>
          <w:szCs w:val="22"/>
        </w:rPr>
        <w:t xml:space="preserve">The Need driven dementia compromised behaviour model explains behaviours in residents aged 65 and over as responses to unmet needs shaped by neuropathology, physical function and </w:t>
      </w:r>
      <w:r w:rsidRPr="00DE35F4">
        <w:rPr>
          <w:rFonts w:ascii="Arial" w:hAnsi="Arial" w:cs="Arial"/>
          <w:sz w:val="22"/>
          <w:szCs w:val="22"/>
        </w:rPr>
        <w:t>long-standing</w:t>
      </w:r>
      <w:r w:rsidRPr="00DE35F4">
        <w:rPr>
          <w:rFonts w:ascii="Arial" w:hAnsi="Arial" w:cs="Arial"/>
          <w:sz w:val="22"/>
          <w:szCs w:val="22"/>
        </w:rPr>
        <w:t xml:space="preserve"> personality, which are common in nursing home populations with moderate to severe cognitive impairment and high levels of passivity or agitation (Kolanowski et al., 2011). Age related losses in roles, autonomy and motivation mean that residents value activities that reflect past identities and routines, such as reminiscence, family contact, music and individual hobbies, and they report boredom and low mood when these are absent (Harmer and Orrell, 2008). Applying the theory, staff design personalised </w:t>
      </w:r>
      <w:r w:rsidRPr="00DE35F4">
        <w:rPr>
          <w:rFonts w:ascii="Arial" w:hAnsi="Arial" w:cs="Arial"/>
          <w:sz w:val="22"/>
          <w:szCs w:val="22"/>
        </w:rPr>
        <w:lastRenderedPageBreak/>
        <w:t xml:space="preserve">programmes that match functional level and personality style of interest, structure small group social or musical sessions to preserve </w:t>
      </w:r>
      <w:r w:rsidRPr="00DE35F4">
        <w:rPr>
          <w:rFonts w:ascii="Arial" w:hAnsi="Arial" w:cs="Arial"/>
          <w:sz w:val="22"/>
          <w:szCs w:val="22"/>
        </w:rPr>
        <w:t>connections and</w:t>
      </w:r>
      <w:r w:rsidRPr="00DE35F4">
        <w:rPr>
          <w:rFonts w:ascii="Arial" w:hAnsi="Arial" w:cs="Arial"/>
          <w:sz w:val="22"/>
          <w:szCs w:val="22"/>
        </w:rPr>
        <w:t xml:space="preserve"> adapt tasks to cognitive and physical limits using simplified or sensory activities (Harmer and Orrell, 2008, Kolanowski et al., 2011). In trials, such tailored engagement reduced agitation and passivity, increased pleasure and alertness, and higher affect balance related to better </w:t>
      </w:r>
      <w:r w:rsidRPr="00DE35F4">
        <w:rPr>
          <w:rFonts w:ascii="Arial" w:hAnsi="Arial" w:cs="Arial"/>
          <w:sz w:val="22"/>
          <w:szCs w:val="22"/>
        </w:rPr>
        <w:t>wellbeing</w:t>
      </w:r>
      <w:r w:rsidRPr="00DE35F4">
        <w:rPr>
          <w:rFonts w:ascii="Arial" w:hAnsi="Arial" w:cs="Arial"/>
          <w:sz w:val="22"/>
          <w:szCs w:val="22"/>
        </w:rPr>
        <w:t xml:space="preserve"> and greater activity engagement (Kolanowski et al., 2011, Kolanowski et al., 2014).</w:t>
      </w:r>
    </w:p>
    <w:p w14:paraId="317998CE" w14:textId="77777777" w:rsidR="00FC1E38" w:rsidRPr="00FC1E38" w:rsidRDefault="00FC1E38" w:rsidP="00DE35F4">
      <w:pPr>
        <w:spacing w:line="360" w:lineRule="auto"/>
        <w:rPr>
          <w:rFonts w:ascii="Arial" w:hAnsi="Arial" w:cs="Arial"/>
          <w:sz w:val="22"/>
          <w:szCs w:val="22"/>
        </w:rPr>
      </w:pPr>
      <w:r w:rsidRPr="00FC1E38">
        <w:rPr>
          <w:rFonts w:ascii="Arial" w:hAnsi="Arial" w:cs="Arial"/>
          <w:sz w:val="22"/>
          <w:szCs w:val="22"/>
        </w:rPr>
        <w:t xml:space="preserve">Tailored, </w:t>
      </w:r>
      <w:proofErr w:type="gramStart"/>
      <w:r w:rsidRPr="00FC1E38">
        <w:rPr>
          <w:rFonts w:ascii="Arial" w:hAnsi="Arial" w:cs="Arial"/>
          <w:sz w:val="22"/>
          <w:szCs w:val="22"/>
        </w:rPr>
        <w:t>theory based</w:t>
      </w:r>
      <w:proofErr w:type="gramEnd"/>
      <w:r w:rsidRPr="00FC1E38">
        <w:rPr>
          <w:rFonts w:ascii="Arial" w:hAnsi="Arial" w:cs="Arial"/>
          <w:sz w:val="22"/>
          <w:szCs w:val="22"/>
        </w:rPr>
        <w:t xml:space="preserve"> activity programmes for residents aged 65 and over with dementia have clear strengths but also important practical and ethical limitations.​</w:t>
      </w:r>
    </w:p>
    <w:p w14:paraId="2BB79C00" w14:textId="18D16E83" w:rsidR="00FC1E38" w:rsidRPr="00FC1E38" w:rsidRDefault="00FC1E38" w:rsidP="00DE35F4">
      <w:pPr>
        <w:spacing w:line="360" w:lineRule="auto"/>
        <w:rPr>
          <w:rFonts w:ascii="Arial" w:hAnsi="Arial" w:cs="Arial"/>
          <w:sz w:val="22"/>
          <w:szCs w:val="22"/>
        </w:rPr>
      </w:pPr>
      <w:r w:rsidRPr="00FC1E38">
        <w:rPr>
          <w:rFonts w:ascii="Arial" w:hAnsi="Arial" w:cs="Arial"/>
          <w:sz w:val="22"/>
          <w:szCs w:val="22"/>
        </w:rPr>
        <w:t xml:space="preserve">Randomised trials of Need driven, dementia compromised behaviour based activities show reduced agitation and passivity, greater engagement, alertness and pleasure during sessions, with no reported adverse events, which supports the approach as an evidence based non pharmacological option for behavioural symptoms (Kolanowski et al., 2011; </w:t>
      </w:r>
      <w:proofErr w:type="spellStart"/>
      <w:r w:rsidRPr="00FC1E38">
        <w:rPr>
          <w:rFonts w:ascii="Arial" w:hAnsi="Arial" w:cs="Arial"/>
          <w:sz w:val="22"/>
          <w:szCs w:val="22"/>
        </w:rPr>
        <w:t>Möhler</w:t>
      </w:r>
      <w:proofErr w:type="spellEnd"/>
      <w:r w:rsidRPr="00FC1E38">
        <w:rPr>
          <w:rFonts w:ascii="Arial" w:hAnsi="Arial" w:cs="Arial"/>
          <w:sz w:val="22"/>
          <w:szCs w:val="22"/>
        </w:rPr>
        <w:t xml:space="preserve"> et al., 2018).​</w:t>
      </w:r>
      <w:r w:rsidRPr="00DE35F4">
        <w:rPr>
          <w:rFonts w:ascii="Arial" w:hAnsi="Arial" w:cs="Arial"/>
          <w:sz w:val="22"/>
          <w:szCs w:val="22"/>
        </w:rPr>
        <w:t xml:space="preserve"> </w:t>
      </w:r>
      <w:r w:rsidRPr="00FC1E38">
        <w:rPr>
          <w:rFonts w:ascii="Arial" w:hAnsi="Arial" w:cs="Arial"/>
          <w:sz w:val="22"/>
          <w:szCs w:val="22"/>
        </w:rPr>
        <w:t xml:space="preserve">By basing activities on past roles, interests and </w:t>
      </w:r>
      <w:proofErr w:type="spellStart"/>
      <w:r w:rsidRPr="00FC1E38">
        <w:rPr>
          <w:rFonts w:ascii="Arial" w:hAnsi="Arial" w:cs="Arial"/>
          <w:sz w:val="22"/>
          <w:szCs w:val="22"/>
        </w:rPr>
        <w:t>self identity</w:t>
      </w:r>
      <w:proofErr w:type="spellEnd"/>
      <w:r w:rsidRPr="00FC1E38">
        <w:rPr>
          <w:rFonts w:ascii="Arial" w:hAnsi="Arial" w:cs="Arial"/>
          <w:sz w:val="22"/>
          <w:szCs w:val="22"/>
        </w:rPr>
        <w:t xml:space="preserve">, programmes help maintain personhood and a sense of purpose for care home residents, which residents themselves link to feeling valued and “kept in touch with life” (Harmer and Orrell, 2008; </w:t>
      </w:r>
      <w:proofErr w:type="spellStart"/>
      <w:r w:rsidRPr="00FC1E38">
        <w:rPr>
          <w:rFonts w:ascii="Arial" w:hAnsi="Arial" w:cs="Arial"/>
          <w:sz w:val="22"/>
          <w:szCs w:val="22"/>
        </w:rPr>
        <w:t>Möhler</w:t>
      </w:r>
      <w:proofErr w:type="spellEnd"/>
      <w:r w:rsidRPr="00FC1E38">
        <w:rPr>
          <w:rFonts w:ascii="Arial" w:hAnsi="Arial" w:cs="Arial"/>
          <w:sz w:val="22"/>
          <w:szCs w:val="22"/>
        </w:rPr>
        <w:t xml:space="preserve"> et al., 2018).​</w:t>
      </w:r>
      <w:r w:rsidRPr="00DE35F4">
        <w:rPr>
          <w:rFonts w:ascii="Arial" w:hAnsi="Arial" w:cs="Arial"/>
          <w:sz w:val="22"/>
          <w:szCs w:val="22"/>
        </w:rPr>
        <w:t xml:space="preserve"> </w:t>
      </w:r>
      <w:r w:rsidRPr="00FC1E38">
        <w:rPr>
          <w:rFonts w:ascii="Arial" w:hAnsi="Arial" w:cs="Arial"/>
          <w:sz w:val="22"/>
          <w:szCs w:val="22"/>
        </w:rPr>
        <w:t>Guidance from person centred frameworks and implementation studies shows that, with attention to environment, communication, and simple adaptations such as seating layout or ramps, such interventions can be delivered in routine care and align closely with person centred care principles (Harmer and Orrell, 2008; Burke et al., 2021).​</w:t>
      </w:r>
    </w:p>
    <w:p w14:paraId="3DE868C4" w14:textId="73F5D29B" w:rsidR="00FC1E38" w:rsidRPr="00DE35F4" w:rsidRDefault="00FC1E38" w:rsidP="00DE35F4">
      <w:pPr>
        <w:spacing w:line="360" w:lineRule="auto"/>
        <w:rPr>
          <w:rFonts w:ascii="Arial" w:hAnsi="Arial" w:cs="Arial"/>
          <w:sz w:val="22"/>
          <w:szCs w:val="22"/>
        </w:rPr>
      </w:pPr>
      <w:r w:rsidRPr="00DE35F4">
        <w:rPr>
          <w:rFonts w:ascii="Arial" w:hAnsi="Arial" w:cs="Arial"/>
          <w:sz w:val="22"/>
          <w:szCs w:val="22"/>
        </w:rPr>
        <w:t xml:space="preserve">However, </w:t>
      </w:r>
      <w:r w:rsidRPr="00FC1E38">
        <w:rPr>
          <w:rFonts w:ascii="Arial" w:hAnsi="Arial" w:cs="Arial"/>
          <w:sz w:val="22"/>
          <w:szCs w:val="22"/>
        </w:rPr>
        <w:t xml:space="preserve">Qualitative and trial data show that some residents are tired, prefer quiet or solitary engagement, or lack motivation, so an activity focused model risks assuming everyone wants to be active in the same way (Harmer and Orrell, 2008; </w:t>
      </w:r>
      <w:proofErr w:type="spellStart"/>
      <w:r w:rsidRPr="00FC1E38">
        <w:rPr>
          <w:rFonts w:ascii="Arial" w:hAnsi="Arial" w:cs="Arial"/>
          <w:sz w:val="22"/>
          <w:szCs w:val="22"/>
        </w:rPr>
        <w:t>Möhler</w:t>
      </w:r>
      <w:proofErr w:type="spellEnd"/>
      <w:r w:rsidRPr="00FC1E38">
        <w:rPr>
          <w:rFonts w:ascii="Arial" w:hAnsi="Arial" w:cs="Arial"/>
          <w:sz w:val="22"/>
          <w:szCs w:val="22"/>
        </w:rPr>
        <w:t xml:space="preserve"> et al., 2018).​</w:t>
      </w:r>
      <w:r w:rsidRPr="00FC1E38">
        <w:rPr>
          <w:rFonts w:ascii="Arial" w:hAnsi="Arial" w:cs="Arial"/>
          <w:sz w:val="22"/>
          <w:szCs w:val="22"/>
        </w:rPr>
        <w:br/>
        <w:t xml:space="preserve">All effective programmes rely on detailed assessment of life history, current abilities and preferences, training for staff and fidelity monitoring, which is time intensive and difficult to sustain in understaffed care homes (Kolanowski et al., 2011; </w:t>
      </w:r>
      <w:proofErr w:type="spellStart"/>
      <w:r w:rsidRPr="00FC1E38">
        <w:rPr>
          <w:rFonts w:ascii="Arial" w:hAnsi="Arial" w:cs="Arial"/>
          <w:sz w:val="22"/>
          <w:szCs w:val="22"/>
        </w:rPr>
        <w:t>Möhler</w:t>
      </w:r>
      <w:proofErr w:type="spellEnd"/>
      <w:r w:rsidRPr="00FC1E38">
        <w:rPr>
          <w:rFonts w:ascii="Arial" w:hAnsi="Arial" w:cs="Arial"/>
          <w:sz w:val="22"/>
          <w:szCs w:val="22"/>
        </w:rPr>
        <w:t xml:space="preserve"> et al., 2018; Burke et al., 2021).​</w:t>
      </w:r>
      <w:r w:rsidRPr="00DE35F4">
        <w:rPr>
          <w:rFonts w:ascii="Arial" w:hAnsi="Arial" w:cs="Arial"/>
          <w:sz w:val="22"/>
          <w:szCs w:val="22"/>
        </w:rPr>
        <w:t xml:space="preserve"> </w:t>
      </w:r>
      <w:r w:rsidRPr="00FC1E38">
        <w:rPr>
          <w:rFonts w:ascii="Arial" w:hAnsi="Arial" w:cs="Arial"/>
          <w:sz w:val="22"/>
          <w:szCs w:val="22"/>
        </w:rPr>
        <w:t xml:space="preserve">Studies also report that effects on behaviour and affect often occur only while activities are running, usual care offers few meaningful options, and routines sometimes involve pressure to join group sessions, so residents’ real choice and control over engagement can be limited and participation may become more obligatory than voluntary (Harmer and Orrell, 2008; Kolanowski et al., 2011; </w:t>
      </w:r>
      <w:proofErr w:type="spellStart"/>
      <w:r w:rsidRPr="00FC1E38">
        <w:rPr>
          <w:rFonts w:ascii="Arial" w:hAnsi="Arial" w:cs="Arial"/>
          <w:sz w:val="22"/>
          <w:szCs w:val="22"/>
        </w:rPr>
        <w:t>Möhler</w:t>
      </w:r>
      <w:proofErr w:type="spellEnd"/>
      <w:r w:rsidRPr="00FC1E38">
        <w:rPr>
          <w:rFonts w:ascii="Arial" w:hAnsi="Arial" w:cs="Arial"/>
          <w:sz w:val="22"/>
          <w:szCs w:val="22"/>
        </w:rPr>
        <w:t xml:space="preserve"> et al., 2018; Burke et al., 2021).</w:t>
      </w:r>
    </w:p>
    <w:p w14:paraId="3CD05FF0" w14:textId="45862B6F" w:rsidR="00AD3AF1" w:rsidRPr="00FC1E38" w:rsidRDefault="00AD3AF1" w:rsidP="00DE35F4">
      <w:pPr>
        <w:spacing w:line="360" w:lineRule="auto"/>
        <w:rPr>
          <w:rFonts w:ascii="Arial" w:hAnsi="Arial" w:cs="Arial"/>
          <w:sz w:val="22"/>
          <w:szCs w:val="22"/>
        </w:rPr>
      </w:pPr>
      <w:r w:rsidRPr="00DE35F4">
        <w:rPr>
          <w:rFonts w:ascii="Arial" w:hAnsi="Arial" w:cs="Arial"/>
          <w:sz w:val="22"/>
          <w:szCs w:val="22"/>
        </w:rPr>
        <w:t xml:space="preserve">In practice you can offer music therapy based on residents’ lifelong musical tastes to support emotion regulation and engagement, and use life story work to design reminiscence sessions that draw on family photos and past roles to support continuity of self and memory (Harmer and Orrell, 2008; Jones et al., 2020; Van Haitsma et al., 2015; Burke et al., 2021). </w:t>
      </w:r>
      <w:r w:rsidRPr="00DE35F4">
        <w:rPr>
          <w:rFonts w:ascii="Arial" w:hAnsi="Arial" w:cs="Arial"/>
          <w:sz w:val="22"/>
          <w:szCs w:val="22"/>
        </w:rPr>
        <w:lastRenderedPageBreak/>
        <w:t xml:space="preserve">Staff time limits and varied cognitive stages mean you can combine individual activity plans co designed with families with </w:t>
      </w:r>
      <w:proofErr w:type="spellStart"/>
      <w:r w:rsidRPr="00DE35F4">
        <w:rPr>
          <w:rFonts w:ascii="Arial" w:hAnsi="Arial" w:cs="Arial"/>
          <w:sz w:val="22"/>
          <w:szCs w:val="22"/>
        </w:rPr>
        <w:t>non facilitated</w:t>
      </w:r>
      <w:proofErr w:type="spellEnd"/>
      <w:r w:rsidRPr="00DE35F4">
        <w:rPr>
          <w:rFonts w:ascii="Arial" w:hAnsi="Arial" w:cs="Arial"/>
          <w:sz w:val="22"/>
          <w:szCs w:val="22"/>
        </w:rPr>
        <w:t xml:space="preserve"> options such as personalised music or sensory items when staff are busy (</w:t>
      </w:r>
      <w:proofErr w:type="spellStart"/>
      <w:r w:rsidRPr="00DE35F4">
        <w:rPr>
          <w:rFonts w:ascii="Arial" w:hAnsi="Arial" w:cs="Arial"/>
          <w:sz w:val="22"/>
          <w:szCs w:val="22"/>
        </w:rPr>
        <w:t>Möhler</w:t>
      </w:r>
      <w:proofErr w:type="spellEnd"/>
      <w:r w:rsidRPr="00DE35F4">
        <w:rPr>
          <w:rFonts w:ascii="Arial" w:hAnsi="Arial" w:cs="Arial"/>
          <w:sz w:val="22"/>
          <w:szCs w:val="22"/>
        </w:rPr>
        <w:t xml:space="preserve"> et al., 2018; Jones et al., 2020; </w:t>
      </w:r>
      <w:proofErr w:type="spellStart"/>
      <w:r w:rsidRPr="00DE35F4">
        <w:rPr>
          <w:rFonts w:ascii="Arial" w:hAnsi="Arial" w:cs="Arial"/>
          <w:sz w:val="22"/>
          <w:szCs w:val="22"/>
        </w:rPr>
        <w:t>Wenborn</w:t>
      </w:r>
      <w:proofErr w:type="spellEnd"/>
      <w:r w:rsidRPr="00DE35F4">
        <w:rPr>
          <w:rFonts w:ascii="Arial" w:hAnsi="Arial" w:cs="Arial"/>
          <w:sz w:val="22"/>
          <w:szCs w:val="22"/>
        </w:rPr>
        <w:t xml:space="preserve"> et al., 2013).</w:t>
      </w:r>
    </w:p>
    <w:p w14:paraId="3EBC59E6" w14:textId="77777777" w:rsidR="00277BD1" w:rsidRPr="00DE35F4" w:rsidRDefault="00277BD1" w:rsidP="00DE35F4">
      <w:pPr>
        <w:spacing w:line="360" w:lineRule="auto"/>
        <w:rPr>
          <w:rFonts w:ascii="Arial" w:hAnsi="Arial" w:cs="Arial"/>
        </w:rPr>
      </w:pPr>
    </w:p>
    <w:p w14:paraId="1409A3B1" w14:textId="5E65A754" w:rsidR="00AD3AF1" w:rsidRPr="00DE35F4" w:rsidRDefault="00AD3AF1" w:rsidP="00DE35F4">
      <w:pPr>
        <w:pStyle w:val="Heading1"/>
        <w:spacing w:line="360" w:lineRule="auto"/>
        <w:rPr>
          <w:rFonts w:ascii="Arial" w:hAnsi="Arial" w:cs="Arial"/>
        </w:rPr>
      </w:pPr>
      <w:bookmarkStart w:id="2" w:name="_Toc214293248"/>
      <w:r w:rsidRPr="00DE35F4">
        <w:rPr>
          <w:rFonts w:ascii="Arial" w:hAnsi="Arial" w:cs="Arial"/>
        </w:rPr>
        <w:t>Maslow’s Hierarchy of Needs</w:t>
      </w:r>
      <w:bookmarkEnd w:id="2"/>
    </w:p>
    <w:p w14:paraId="23D7D073" w14:textId="158A7316" w:rsidR="00FC5D44" w:rsidRPr="00DE35F4" w:rsidRDefault="00FC5D44" w:rsidP="00DE35F4">
      <w:pPr>
        <w:spacing w:line="360" w:lineRule="auto"/>
        <w:rPr>
          <w:rFonts w:ascii="Arial" w:hAnsi="Arial" w:cs="Arial"/>
          <w:sz w:val="22"/>
          <w:szCs w:val="22"/>
        </w:rPr>
      </w:pPr>
      <w:r w:rsidRPr="00DE35F4">
        <w:rPr>
          <w:rFonts w:ascii="Arial" w:hAnsi="Arial" w:cs="Arial"/>
          <w:sz w:val="22"/>
          <w:szCs w:val="22"/>
        </w:rPr>
        <w:t>The theory was developed by American psychologist Abraham H. Maslow in his paper “A Theory of Human Motivation” published in 1943 (Maslow, 1943).​</w:t>
      </w:r>
      <w:r w:rsidRPr="00DE35F4">
        <w:rPr>
          <w:rFonts w:ascii="Arial" w:hAnsi="Arial" w:cs="Arial"/>
          <w:sz w:val="22"/>
          <w:szCs w:val="22"/>
        </w:rPr>
        <w:br/>
        <w:t xml:space="preserve">Maslow proposed that human needs are organised in a hierarchy of </w:t>
      </w:r>
      <w:proofErr w:type="spellStart"/>
      <w:r w:rsidRPr="00DE35F4">
        <w:rPr>
          <w:rFonts w:ascii="Arial" w:hAnsi="Arial" w:cs="Arial"/>
          <w:sz w:val="22"/>
          <w:szCs w:val="22"/>
        </w:rPr>
        <w:t>prepotency</w:t>
      </w:r>
      <w:proofErr w:type="spellEnd"/>
      <w:r w:rsidRPr="00DE35F4">
        <w:rPr>
          <w:rFonts w:ascii="Arial" w:hAnsi="Arial" w:cs="Arial"/>
          <w:sz w:val="22"/>
          <w:szCs w:val="22"/>
        </w:rPr>
        <w:t>, where lower needs must be sufficiently satisfied before higher needs become strong motivators (Maslow, 1943).​</w:t>
      </w:r>
      <w:r w:rsidRPr="00DE35F4">
        <w:rPr>
          <w:rFonts w:ascii="Arial" w:hAnsi="Arial" w:cs="Arial"/>
          <w:sz w:val="22"/>
          <w:szCs w:val="22"/>
        </w:rPr>
        <w:br/>
        <w:t xml:space="preserve">He described basic physiological and safety needs, followed by needs for love and belonging, esteem and finally </w:t>
      </w:r>
      <w:proofErr w:type="spellStart"/>
      <w:r w:rsidRPr="00DE35F4">
        <w:rPr>
          <w:rFonts w:ascii="Arial" w:hAnsi="Arial" w:cs="Arial"/>
          <w:sz w:val="22"/>
          <w:szCs w:val="22"/>
        </w:rPr>
        <w:t>self actualisation</w:t>
      </w:r>
      <w:proofErr w:type="spellEnd"/>
      <w:r w:rsidRPr="00DE35F4">
        <w:rPr>
          <w:rFonts w:ascii="Arial" w:hAnsi="Arial" w:cs="Arial"/>
          <w:sz w:val="22"/>
          <w:szCs w:val="22"/>
        </w:rPr>
        <w:t>, which reflect growth and fulfilment motives (Maslow, 1943).​</w:t>
      </w:r>
      <w:r w:rsidRPr="00DE35F4">
        <w:rPr>
          <w:rFonts w:ascii="Arial" w:hAnsi="Arial" w:cs="Arial"/>
          <w:sz w:val="22"/>
          <w:szCs w:val="22"/>
        </w:rPr>
        <w:br/>
        <w:t>He argued that people are “perpetually wanting” and that any behaviour can express several needs at once, because the person functions as an integrated whole (Maslow, 1943).​</w:t>
      </w:r>
    </w:p>
    <w:p w14:paraId="0AEBD23A" w14:textId="53A7B226" w:rsidR="00FC5D44" w:rsidRPr="00DE35F4" w:rsidRDefault="00FC5D44" w:rsidP="00DE35F4">
      <w:pPr>
        <w:spacing w:line="360" w:lineRule="auto"/>
        <w:rPr>
          <w:rFonts w:ascii="Arial" w:hAnsi="Arial" w:cs="Arial"/>
          <w:sz w:val="22"/>
          <w:szCs w:val="22"/>
        </w:rPr>
      </w:pPr>
      <w:r w:rsidRPr="00DE35F4">
        <w:rPr>
          <w:rFonts w:ascii="Arial" w:hAnsi="Arial" w:cs="Arial"/>
          <w:sz w:val="22"/>
          <w:szCs w:val="22"/>
        </w:rPr>
        <w:t xml:space="preserve">The Hierarchy Model of Needs in Dementia (HMND) adapts Maslow’s theory to older adults with dementia by showing how physiological, safety, belongingness, esteem and </w:t>
      </w:r>
      <w:proofErr w:type="spellStart"/>
      <w:r w:rsidRPr="00DE35F4">
        <w:rPr>
          <w:rFonts w:ascii="Arial" w:hAnsi="Arial" w:cs="Arial"/>
          <w:sz w:val="22"/>
          <w:szCs w:val="22"/>
        </w:rPr>
        <w:t>self actualisation</w:t>
      </w:r>
      <w:proofErr w:type="spellEnd"/>
      <w:r w:rsidRPr="00DE35F4">
        <w:rPr>
          <w:rFonts w:ascii="Arial" w:hAnsi="Arial" w:cs="Arial"/>
          <w:sz w:val="22"/>
          <w:szCs w:val="22"/>
        </w:rPr>
        <w:t xml:space="preserve"> needs interact rather than follow a strict ladder (Maslow, 1943; </w:t>
      </w:r>
      <w:proofErr w:type="spellStart"/>
      <w:r w:rsidRPr="00DE35F4">
        <w:rPr>
          <w:rFonts w:ascii="Arial" w:hAnsi="Arial" w:cs="Arial"/>
          <w:sz w:val="22"/>
          <w:szCs w:val="22"/>
        </w:rPr>
        <w:t>Schölzel</w:t>
      </w:r>
      <w:proofErr w:type="spellEnd"/>
      <w:r w:rsidRPr="00DE35F4">
        <w:rPr>
          <w:rFonts w:ascii="Arial" w:hAnsi="Arial" w:cs="Arial"/>
          <w:sz w:val="22"/>
          <w:szCs w:val="22"/>
        </w:rPr>
        <w:t xml:space="preserve">-Dorenbos et al., 2010; Scerri et al., 2019). Research in hospitals and specialist dementia institutions shows that basic physiological and safety needs such as toileting, feeding assistance, fall prevention and medication management are often the </w:t>
      </w:r>
      <w:proofErr w:type="gramStart"/>
      <w:r w:rsidRPr="00DE35F4">
        <w:rPr>
          <w:rFonts w:ascii="Arial" w:hAnsi="Arial" w:cs="Arial"/>
          <w:sz w:val="22"/>
          <w:szCs w:val="22"/>
        </w:rPr>
        <w:t>main focus</w:t>
      </w:r>
      <w:proofErr w:type="gramEnd"/>
      <w:r w:rsidRPr="00DE35F4">
        <w:rPr>
          <w:rFonts w:ascii="Arial" w:hAnsi="Arial" w:cs="Arial"/>
          <w:sz w:val="22"/>
          <w:szCs w:val="22"/>
        </w:rPr>
        <w:t xml:space="preserve"> of staff, yet even these can be inconsistently met for people with dementia (Scerri et al., 2019; Sun et al., 2025). HMND highlights a large gap at the belongingness level, where needs for family contact, affection, conversation and social roles are most often unmet, particularly for those under constant observation or in standardised routines (</w:t>
      </w:r>
      <w:proofErr w:type="spellStart"/>
      <w:r w:rsidRPr="00DE35F4">
        <w:rPr>
          <w:rFonts w:ascii="Arial" w:hAnsi="Arial" w:cs="Arial"/>
          <w:sz w:val="22"/>
          <w:szCs w:val="22"/>
        </w:rPr>
        <w:t>Schölzel</w:t>
      </w:r>
      <w:proofErr w:type="spellEnd"/>
      <w:r w:rsidRPr="00DE35F4">
        <w:rPr>
          <w:rFonts w:ascii="Arial" w:hAnsi="Arial" w:cs="Arial"/>
          <w:sz w:val="22"/>
          <w:szCs w:val="22"/>
        </w:rPr>
        <w:t xml:space="preserve">-Dorenbos et al., 2010; Scerri et al., 2019; Sun et al., 2025). In Eastern care institutions, older adults with dementia place strong value on group belonging and family bonds, while Western models place more emphasis on individual autonomy and choice, so priority and expression of needs differ across cultures (Sun et al., 2025). Studies also show that esteem needs such as dignity, privacy, being addressed respectfully and having some control over clothing or daily choices are often overridden by risk management and time pressure, leaving residents feeling ignored or devalued (Scerri et al., 2019; Sun et al., 2025). At the top level, some care institutions offer creative and vocational activities that support </w:t>
      </w:r>
      <w:proofErr w:type="spellStart"/>
      <w:r w:rsidRPr="00DE35F4">
        <w:rPr>
          <w:rFonts w:ascii="Arial" w:hAnsi="Arial" w:cs="Arial"/>
          <w:sz w:val="22"/>
          <w:szCs w:val="22"/>
        </w:rPr>
        <w:t>self actualisation</w:t>
      </w:r>
      <w:proofErr w:type="spellEnd"/>
      <w:r w:rsidRPr="00DE35F4">
        <w:rPr>
          <w:rFonts w:ascii="Arial" w:hAnsi="Arial" w:cs="Arial"/>
          <w:sz w:val="22"/>
          <w:szCs w:val="22"/>
        </w:rPr>
        <w:t xml:space="preserve">, but participation depends on staff time and skill in life story work and identity focused </w:t>
      </w:r>
      <w:r w:rsidRPr="00DE35F4">
        <w:rPr>
          <w:rFonts w:ascii="Arial" w:hAnsi="Arial" w:cs="Arial"/>
          <w:sz w:val="22"/>
          <w:szCs w:val="22"/>
        </w:rPr>
        <w:lastRenderedPageBreak/>
        <w:t xml:space="preserve">interventions (Sun et al., 2025). The critical risk for older adults with dementia in care homes is that staff meet only </w:t>
      </w:r>
      <w:proofErr w:type="gramStart"/>
      <w:r w:rsidRPr="00DE35F4">
        <w:rPr>
          <w:rFonts w:ascii="Arial" w:hAnsi="Arial" w:cs="Arial"/>
          <w:sz w:val="22"/>
          <w:szCs w:val="22"/>
        </w:rPr>
        <w:t>lower level</w:t>
      </w:r>
      <w:proofErr w:type="gramEnd"/>
      <w:r w:rsidRPr="00DE35F4">
        <w:rPr>
          <w:rFonts w:ascii="Arial" w:hAnsi="Arial" w:cs="Arial"/>
          <w:sz w:val="22"/>
          <w:szCs w:val="22"/>
        </w:rPr>
        <w:t xml:space="preserve"> needs, because working higher up the hierarchy demands more nuanced assessment, relational skill and cultural sensitivity (</w:t>
      </w:r>
      <w:proofErr w:type="spellStart"/>
      <w:r w:rsidRPr="00DE35F4">
        <w:rPr>
          <w:rFonts w:ascii="Arial" w:hAnsi="Arial" w:cs="Arial"/>
          <w:sz w:val="22"/>
          <w:szCs w:val="22"/>
        </w:rPr>
        <w:t>Schölzel</w:t>
      </w:r>
      <w:proofErr w:type="spellEnd"/>
      <w:r w:rsidRPr="00DE35F4">
        <w:rPr>
          <w:rFonts w:ascii="Arial" w:hAnsi="Arial" w:cs="Arial"/>
          <w:sz w:val="22"/>
          <w:szCs w:val="22"/>
        </w:rPr>
        <w:t>-Dorenbos et al., 2010; Scerri et al., 2019; Sun et al., 2025)</w:t>
      </w:r>
    </w:p>
    <w:p w14:paraId="7CDCE7FB" w14:textId="4CA8DEBB" w:rsidR="009D0B54" w:rsidRPr="009D0B54" w:rsidRDefault="009D0B54" w:rsidP="00DE35F4">
      <w:pPr>
        <w:spacing w:line="360" w:lineRule="auto"/>
        <w:rPr>
          <w:rFonts w:ascii="Arial" w:hAnsi="Arial" w:cs="Arial"/>
          <w:sz w:val="22"/>
          <w:szCs w:val="22"/>
        </w:rPr>
      </w:pPr>
      <w:r w:rsidRPr="009D0B54">
        <w:rPr>
          <w:rFonts w:ascii="Arial" w:hAnsi="Arial" w:cs="Arial"/>
          <w:sz w:val="22"/>
          <w:szCs w:val="22"/>
        </w:rPr>
        <w:t>Strengths</w:t>
      </w:r>
    </w:p>
    <w:p w14:paraId="7A869BBD" w14:textId="777BC50E" w:rsidR="009D0B54" w:rsidRPr="00DE35F4" w:rsidRDefault="009D0B54" w:rsidP="00DE35F4">
      <w:pPr>
        <w:pStyle w:val="ListParagraph"/>
        <w:numPr>
          <w:ilvl w:val="0"/>
          <w:numId w:val="2"/>
        </w:numPr>
        <w:spacing w:line="360" w:lineRule="auto"/>
        <w:rPr>
          <w:rFonts w:ascii="Arial" w:hAnsi="Arial" w:cs="Arial"/>
          <w:sz w:val="22"/>
          <w:szCs w:val="22"/>
        </w:rPr>
      </w:pPr>
      <w:r w:rsidRPr="00DE35F4">
        <w:rPr>
          <w:rFonts w:ascii="Arial" w:hAnsi="Arial" w:cs="Arial"/>
          <w:sz w:val="22"/>
          <w:szCs w:val="22"/>
        </w:rPr>
        <w:t>Provides a clear, holistic framework for understanding physical, emotional, and psychological needs.</w:t>
      </w:r>
    </w:p>
    <w:p w14:paraId="52C3A0E5" w14:textId="3CC99F3D" w:rsidR="009D0B54" w:rsidRPr="00DE35F4" w:rsidRDefault="009D0B54" w:rsidP="00DE35F4">
      <w:pPr>
        <w:pStyle w:val="ListParagraph"/>
        <w:numPr>
          <w:ilvl w:val="0"/>
          <w:numId w:val="2"/>
        </w:numPr>
        <w:spacing w:line="360" w:lineRule="auto"/>
        <w:rPr>
          <w:rFonts w:ascii="Arial" w:hAnsi="Arial" w:cs="Arial"/>
          <w:sz w:val="22"/>
          <w:szCs w:val="22"/>
        </w:rPr>
      </w:pPr>
      <w:r w:rsidRPr="00DE35F4">
        <w:rPr>
          <w:rFonts w:ascii="Arial" w:hAnsi="Arial" w:cs="Arial"/>
          <w:sz w:val="22"/>
          <w:szCs w:val="22"/>
        </w:rPr>
        <w:t>Supports person-centred dementia care by helping practitioners identify unmet needs behind behaviours</w:t>
      </w:r>
    </w:p>
    <w:p w14:paraId="4311F1AD" w14:textId="62BECC1A" w:rsidR="009D0B54" w:rsidRPr="00DE35F4" w:rsidRDefault="009D0B54" w:rsidP="00DE35F4">
      <w:pPr>
        <w:pStyle w:val="ListParagraph"/>
        <w:numPr>
          <w:ilvl w:val="0"/>
          <w:numId w:val="2"/>
        </w:numPr>
        <w:spacing w:line="360" w:lineRule="auto"/>
        <w:rPr>
          <w:rFonts w:ascii="Arial" w:hAnsi="Arial" w:cs="Arial"/>
          <w:sz w:val="22"/>
          <w:szCs w:val="22"/>
        </w:rPr>
      </w:pPr>
      <w:r w:rsidRPr="00DE35F4">
        <w:rPr>
          <w:rFonts w:ascii="Arial" w:hAnsi="Arial" w:cs="Arial"/>
          <w:sz w:val="22"/>
          <w:szCs w:val="22"/>
        </w:rPr>
        <w:t>Can be adapted for individuals with varying cognitive abilities.</w:t>
      </w:r>
    </w:p>
    <w:p w14:paraId="22714813" w14:textId="77777777" w:rsidR="009D0B54" w:rsidRPr="00DE35F4" w:rsidRDefault="009D0B54" w:rsidP="00DE35F4">
      <w:pPr>
        <w:pStyle w:val="ListParagraph"/>
        <w:numPr>
          <w:ilvl w:val="0"/>
          <w:numId w:val="2"/>
        </w:numPr>
        <w:spacing w:line="360" w:lineRule="auto"/>
        <w:rPr>
          <w:rFonts w:ascii="Arial" w:hAnsi="Arial" w:cs="Arial"/>
          <w:sz w:val="22"/>
          <w:szCs w:val="22"/>
        </w:rPr>
      </w:pPr>
      <w:r w:rsidRPr="00DE35F4">
        <w:rPr>
          <w:rFonts w:ascii="Arial" w:hAnsi="Arial" w:cs="Arial"/>
          <w:sz w:val="22"/>
          <w:szCs w:val="22"/>
        </w:rPr>
        <w:t>Recognises that older adults retain emotional and social needs throughout life.</w:t>
      </w:r>
    </w:p>
    <w:p w14:paraId="6EE6CCA7" w14:textId="77777777" w:rsidR="009D0B54" w:rsidRPr="009D0B54" w:rsidRDefault="009D0B54" w:rsidP="00DE35F4">
      <w:pPr>
        <w:spacing w:line="360" w:lineRule="auto"/>
        <w:rPr>
          <w:rFonts w:ascii="Arial" w:hAnsi="Arial" w:cs="Arial"/>
          <w:sz w:val="22"/>
          <w:szCs w:val="22"/>
        </w:rPr>
      </w:pPr>
    </w:p>
    <w:p w14:paraId="27461503" w14:textId="77777777" w:rsidR="009D0B54" w:rsidRPr="009D0B54" w:rsidRDefault="009D0B54" w:rsidP="00DE35F4">
      <w:pPr>
        <w:spacing w:line="360" w:lineRule="auto"/>
        <w:rPr>
          <w:rFonts w:ascii="Arial" w:hAnsi="Arial" w:cs="Arial"/>
          <w:sz w:val="22"/>
          <w:szCs w:val="22"/>
        </w:rPr>
      </w:pPr>
    </w:p>
    <w:p w14:paraId="46A0CEC2" w14:textId="77777777" w:rsidR="009D0B54" w:rsidRPr="009D0B54" w:rsidRDefault="009D0B54" w:rsidP="00DE35F4">
      <w:pPr>
        <w:spacing w:line="360" w:lineRule="auto"/>
        <w:rPr>
          <w:rFonts w:ascii="Arial" w:hAnsi="Arial" w:cs="Arial"/>
          <w:sz w:val="22"/>
          <w:szCs w:val="22"/>
        </w:rPr>
      </w:pPr>
      <w:r w:rsidRPr="009D0B54">
        <w:rPr>
          <w:rFonts w:ascii="Arial" w:hAnsi="Arial" w:cs="Arial"/>
          <w:sz w:val="22"/>
          <w:szCs w:val="22"/>
        </w:rPr>
        <w:t>Limitations</w:t>
      </w:r>
    </w:p>
    <w:p w14:paraId="2228CAEF" w14:textId="77777777" w:rsidR="009D0B54" w:rsidRPr="009D0B54" w:rsidRDefault="009D0B54" w:rsidP="00DE35F4">
      <w:pPr>
        <w:spacing w:line="360" w:lineRule="auto"/>
        <w:rPr>
          <w:rFonts w:ascii="Arial" w:hAnsi="Arial" w:cs="Arial"/>
          <w:sz w:val="22"/>
          <w:szCs w:val="22"/>
        </w:rPr>
      </w:pPr>
    </w:p>
    <w:p w14:paraId="585B7CE6" w14:textId="01E87289" w:rsidR="009D0B54" w:rsidRPr="00DE35F4" w:rsidRDefault="009D0B54" w:rsidP="00DE35F4">
      <w:pPr>
        <w:pStyle w:val="ListParagraph"/>
        <w:numPr>
          <w:ilvl w:val="0"/>
          <w:numId w:val="1"/>
        </w:numPr>
        <w:spacing w:line="360" w:lineRule="auto"/>
        <w:rPr>
          <w:rFonts w:ascii="Arial" w:hAnsi="Arial" w:cs="Arial"/>
          <w:sz w:val="22"/>
          <w:szCs w:val="22"/>
        </w:rPr>
      </w:pPr>
      <w:r w:rsidRPr="00DE35F4">
        <w:rPr>
          <w:rFonts w:ascii="Arial" w:hAnsi="Arial" w:cs="Arial"/>
          <w:sz w:val="22"/>
          <w:szCs w:val="22"/>
        </w:rPr>
        <w:t>The hierarchical structure may not apply universally; individuals with dementia may prioritise emotional needs even when physical needs are unmet (</w:t>
      </w:r>
      <w:r w:rsidR="001E681E" w:rsidRPr="00DE35F4">
        <w:rPr>
          <w:rFonts w:ascii="Arial" w:hAnsi="Arial" w:cs="Arial"/>
          <w:sz w:val="22"/>
          <w:szCs w:val="22"/>
        </w:rPr>
        <w:t>Sun et al., 2025</w:t>
      </w:r>
      <w:r w:rsidR="001E681E" w:rsidRPr="00DE35F4">
        <w:rPr>
          <w:rFonts w:ascii="Arial" w:hAnsi="Arial" w:cs="Arial"/>
          <w:sz w:val="22"/>
          <w:szCs w:val="22"/>
        </w:rPr>
        <w:t>).</w:t>
      </w:r>
    </w:p>
    <w:p w14:paraId="6EAA4942" w14:textId="31B60E98" w:rsidR="009D0B54" w:rsidRPr="00DE35F4" w:rsidRDefault="009D0B54" w:rsidP="00DE35F4">
      <w:pPr>
        <w:pStyle w:val="ListParagraph"/>
        <w:numPr>
          <w:ilvl w:val="0"/>
          <w:numId w:val="1"/>
        </w:numPr>
        <w:spacing w:line="360" w:lineRule="auto"/>
        <w:rPr>
          <w:rFonts w:ascii="Arial" w:hAnsi="Arial" w:cs="Arial"/>
          <w:sz w:val="22"/>
          <w:szCs w:val="22"/>
        </w:rPr>
      </w:pPr>
      <w:r w:rsidRPr="00DE35F4">
        <w:rPr>
          <w:rFonts w:ascii="Arial" w:hAnsi="Arial" w:cs="Arial"/>
          <w:sz w:val="22"/>
          <w:szCs w:val="22"/>
        </w:rPr>
        <w:t>Lacks strong empirical evidence and may oversimplify complex needs</w:t>
      </w:r>
      <w:r w:rsidR="001E681E" w:rsidRPr="00DE35F4">
        <w:rPr>
          <w:rFonts w:ascii="Arial" w:hAnsi="Arial" w:cs="Arial"/>
          <w:sz w:val="22"/>
          <w:szCs w:val="22"/>
        </w:rPr>
        <w:t>.</w:t>
      </w:r>
    </w:p>
    <w:p w14:paraId="6A1723FE" w14:textId="44C18A18" w:rsidR="009D0B54" w:rsidRPr="00DE35F4" w:rsidRDefault="009D0B54" w:rsidP="00DE35F4">
      <w:pPr>
        <w:pStyle w:val="ListParagraph"/>
        <w:numPr>
          <w:ilvl w:val="0"/>
          <w:numId w:val="1"/>
        </w:numPr>
        <w:spacing w:line="360" w:lineRule="auto"/>
        <w:rPr>
          <w:rFonts w:ascii="Arial" w:hAnsi="Arial" w:cs="Arial"/>
          <w:sz w:val="22"/>
          <w:szCs w:val="22"/>
        </w:rPr>
      </w:pPr>
      <w:r w:rsidRPr="00DE35F4">
        <w:rPr>
          <w:rFonts w:ascii="Arial" w:hAnsi="Arial" w:cs="Arial"/>
          <w:sz w:val="22"/>
          <w:szCs w:val="22"/>
        </w:rPr>
        <w:t>Does not account fully for cultural variation in need prioritisation.</w:t>
      </w:r>
    </w:p>
    <w:p w14:paraId="14CCAB15" w14:textId="77777777" w:rsidR="009D0B54" w:rsidRPr="00DE35F4" w:rsidRDefault="009D0B54" w:rsidP="00DE35F4">
      <w:pPr>
        <w:pStyle w:val="ListParagraph"/>
        <w:numPr>
          <w:ilvl w:val="0"/>
          <w:numId w:val="1"/>
        </w:numPr>
        <w:spacing w:line="360" w:lineRule="auto"/>
        <w:rPr>
          <w:rFonts w:ascii="Arial" w:hAnsi="Arial" w:cs="Arial"/>
          <w:sz w:val="22"/>
          <w:szCs w:val="22"/>
        </w:rPr>
      </w:pPr>
      <w:r w:rsidRPr="00DE35F4">
        <w:rPr>
          <w:rFonts w:ascii="Arial" w:hAnsi="Arial" w:cs="Arial"/>
          <w:sz w:val="22"/>
          <w:szCs w:val="22"/>
        </w:rPr>
        <w:t>Real-world health care settings often involve competing needs that do not follow a strict order.</w:t>
      </w:r>
    </w:p>
    <w:p w14:paraId="134E84EA" w14:textId="5DB37BFB" w:rsidR="00172A29" w:rsidRPr="00DE35F4" w:rsidRDefault="00172A29" w:rsidP="00DE35F4">
      <w:pPr>
        <w:spacing w:line="360" w:lineRule="auto"/>
        <w:rPr>
          <w:rFonts w:ascii="Arial" w:hAnsi="Arial" w:cs="Arial"/>
          <w:sz w:val="22"/>
          <w:szCs w:val="22"/>
        </w:rPr>
      </w:pPr>
      <w:r w:rsidRPr="00DE35F4">
        <w:rPr>
          <w:rFonts w:ascii="Arial" w:hAnsi="Arial" w:cs="Arial"/>
          <w:sz w:val="22"/>
          <w:szCs w:val="22"/>
        </w:rPr>
        <w:t>Regular hydration schedules, adapted dining and comfort measures such as proactive pain relief operationalise physiological needs for residents with dementia (Maslow, 1943; Scerri, Scerri and Innes, 2019).​</w:t>
      </w:r>
      <w:r w:rsidRPr="00DE35F4">
        <w:rPr>
          <w:rFonts w:ascii="Arial" w:hAnsi="Arial" w:cs="Arial"/>
          <w:sz w:val="22"/>
          <w:szCs w:val="22"/>
        </w:rPr>
        <w:t xml:space="preserve"> </w:t>
      </w:r>
      <w:r w:rsidRPr="00DE35F4">
        <w:rPr>
          <w:rFonts w:ascii="Arial" w:hAnsi="Arial" w:cs="Arial"/>
          <w:sz w:val="22"/>
          <w:szCs w:val="22"/>
        </w:rPr>
        <w:t>Familiar routines, consistent caregivers and secure but homelike spaces support safety, while family involvement programmes, peer groups and one</w:t>
      </w:r>
      <w:r w:rsidRPr="00DE35F4">
        <w:rPr>
          <w:rFonts w:ascii="Arial" w:hAnsi="Arial" w:cs="Arial"/>
          <w:sz w:val="22"/>
          <w:szCs w:val="22"/>
        </w:rPr>
        <w:noBreakHyphen/>
        <w:t>to</w:t>
      </w:r>
      <w:r w:rsidRPr="00DE35F4">
        <w:rPr>
          <w:rFonts w:ascii="Arial" w:hAnsi="Arial" w:cs="Arial"/>
          <w:sz w:val="22"/>
          <w:szCs w:val="22"/>
        </w:rPr>
        <w:noBreakHyphen/>
        <w:t>one contact promote belongingness and esteem through maintained roles and respectful communication (Scerri, Scerri and Innes, 2019; Sun et al., 2025).​</w:t>
      </w:r>
      <w:r w:rsidRPr="00DE35F4">
        <w:rPr>
          <w:rFonts w:ascii="Arial" w:hAnsi="Arial" w:cs="Arial"/>
          <w:sz w:val="22"/>
          <w:szCs w:val="22"/>
        </w:rPr>
        <w:br/>
        <w:t>A key challenge is that basic care and risk management dominate; staff training should emphasise addressing several need levels at once and using family interaction and personalised, consistent care to prevent behaviour linked to unmet belongingness needs (</w:t>
      </w:r>
      <w:proofErr w:type="spellStart"/>
      <w:r w:rsidRPr="00DE35F4">
        <w:rPr>
          <w:rFonts w:ascii="Arial" w:hAnsi="Arial" w:cs="Arial"/>
          <w:sz w:val="22"/>
          <w:szCs w:val="22"/>
        </w:rPr>
        <w:t>Schölzel</w:t>
      </w:r>
      <w:proofErr w:type="spellEnd"/>
      <w:r w:rsidRPr="00DE35F4">
        <w:rPr>
          <w:rFonts w:ascii="Arial" w:hAnsi="Arial" w:cs="Arial"/>
          <w:sz w:val="22"/>
          <w:szCs w:val="22"/>
        </w:rPr>
        <w:t>-Dorenbos, Meeuwsen and Olde Rikkert, 2010; Sun et al., 2025)</w:t>
      </w:r>
    </w:p>
    <w:p w14:paraId="39A9C6C9" w14:textId="77777777" w:rsidR="009D0B54" w:rsidRPr="00DE35F4" w:rsidRDefault="009D0B54" w:rsidP="00DE35F4">
      <w:pPr>
        <w:spacing w:line="360" w:lineRule="auto"/>
        <w:rPr>
          <w:rFonts w:ascii="Arial" w:hAnsi="Arial" w:cs="Arial"/>
        </w:rPr>
      </w:pPr>
    </w:p>
    <w:p w14:paraId="45B6A67C" w14:textId="0E294A8C" w:rsidR="00172A29" w:rsidRPr="00DE35F4" w:rsidRDefault="00172A29" w:rsidP="00DE35F4">
      <w:pPr>
        <w:pStyle w:val="Heading1"/>
        <w:spacing w:line="360" w:lineRule="auto"/>
        <w:rPr>
          <w:rFonts w:ascii="Arial" w:hAnsi="Arial" w:cs="Arial"/>
        </w:rPr>
      </w:pPr>
      <w:bookmarkStart w:id="3" w:name="_Toc214293249"/>
      <w:r w:rsidRPr="00DE35F4">
        <w:rPr>
          <w:rFonts w:ascii="Arial" w:hAnsi="Arial" w:cs="Arial"/>
        </w:rPr>
        <w:lastRenderedPageBreak/>
        <w:t>C</w:t>
      </w:r>
      <w:r w:rsidR="00AD3AF1" w:rsidRPr="00DE35F4">
        <w:rPr>
          <w:rFonts w:ascii="Arial" w:hAnsi="Arial" w:cs="Arial"/>
        </w:rPr>
        <w:t>onclusion</w:t>
      </w:r>
      <w:bookmarkEnd w:id="3"/>
    </w:p>
    <w:p w14:paraId="0B43C256" w14:textId="562BA1EF" w:rsidR="00277BD1" w:rsidRPr="00DE35F4" w:rsidRDefault="00172A29" w:rsidP="00DE35F4">
      <w:pPr>
        <w:spacing w:line="360" w:lineRule="auto"/>
        <w:rPr>
          <w:rFonts w:ascii="Arial" w:hAnsi="Arial" w:cs="Arial"/>
          <w:sz w:val="22"/>
          <w:szCs w:val="22"/>
        </w:rPr>
      </w:pPr>
      <w:r w:rsidRPr="00DE35F4">
        <w:rPr>
          <w:rFonts w:ascii="Arial" w:hAnsi="Arial" w:cs="Arial"/>
          <w:sz w:val="22"/>
          <w:szCs w:val="22"/>
        </w:rPr>
        <w:t>Together, activity theory and Maslow</w:t>
      </w:r>
      <w:r w:rsidRPr="00DE35F4">
        <w:rPr>
          <w:rFonts w:ascii="Arial" w:hAnsi="Arial" w:cs="Arial"/>
          <w:sz w:val="22"/>
          <w:szCs w:val="22"/>
        </w:rPr>
        <w:noBreakHyphen/>
        <w:t>based need models indicate that high</w:t>
      </w:r>
      <w:r w:rsidRPr="00DE35F4">
        <w:rPr>
          <w:rFonts w:ascii="Arial" w:hAnsi="Arial" w:cs="Arial"/>
          <w:sz w:val="22"/>
          <w:szCs w:val="22"/>
        </w:rPr>
        <w:noBreakHyphen/>
        <w:t>quality dementia care in later life must move beyond basic maintenance towards sustaining identity, meaning and relationship. This is supported by evidence that personally tailored, theory</w:t>
      </w:r>
      <w:r w:rsidRPr="00DE35F4">
        <w:rPr>
          <w:rFonts w:ascii="Arial" w:hAnsi="Arial" w:cs="Arial"/>
          <w:sz w:val="22"/>
          <w:szCs w:val="22"/>
        </w:rPr>
        <w:noBreakHyphen/>
        <w:t xml:space="preserve">driven activity programmes can reduce agitation and passivity and increase engagement, attention and pleasure, even if effects are often modest and largely confined to the period of activity delivery (Kolanowski et al., 2011; </w:t>
      </w:r>
      <w:proofErr w:type="spellStart"/>
      <w:r w:rsidRPr="00DE35F4">
        <w:rPr>
          <w:rFonts w:ascii="Arial" w:hAnsi="Arial" w:cs="Arial"/>
          <w:sz w:val="22"/>
          <w:szCs w:val="22"/>
        </w:rPr>
        <w:t>Möhler</w:t>
      </w:r>
      <w:proofErr w:type="spellEnd"/>
      <w:r w:rsidRPr="00DE35F4">
        <w:rPr>
          <w:rFonts w:ascii="Arial" w:hAnsi="Arial" w:cs="Arial"/>
          <w:sz w:val="22"/>
          <w:szCs w:val="22"/>
        </w:rPr>
        <w:t xml:space="preserve"> et al., 2018; Burke et al., 2021). Maslow</w:t>
      </w:r>
      <w:r w:rsidRPr="00DE35F4">
        <w:rPr>
          <w:rFonts w:ascii="Arial" w:hAnsi="Arial" w:cs="Arial"/>
          <w:sz w:val="22"/>
          <w:szCs w:val="22"/>
        </w:rPr>
        <w:noBreakHyphen/>
        <w:t>derived frameworks such as the Hierarchy Model of Needs in Dementia show that while physiological and safety needs are usually prioritised, belongingness, esteem and self</w:t>
      </w:r>
      <w:r w:rsidRPr="00DE35F4">
        <w:rPr>
          <w:rFonts w:ascii="Arial" w:hAnsi="Arial" w:cs="Arial"/>
          <w:sz w:val="22"/>
          <w:szCs w:val="22"/>
        </w:rPr>
        <w:noBreakHyphen/>
        <w:t xml:space="preserve">actualisation needs are most neglected, particularly for people under constant observation or standardised routines (Maslow, 1943; </w:t>
      </w:r>
      <w:proofErr w:type="spellStart"/>
      <w:r w:rsidRPr="00DE35F4">
        <w:rPr>
          <w:rFonts w:ascii="Arial" w:hAnsi="Arial" w:cs="Arial"/>
          <w:sz w:val="22"/>
          <w:szCs w:val="22"/>
        </w:rPr>
        <w:t>Schölzel</w:t>
      </w:r>
      <w:proofErr w:type="spellEnd"/>
      <w:r w:rsidRPr="00DE35F4">
        <w:rPr>
          <w:rFonts w:ascii="Arial" w:hAnsi="Arial" w:cs="Arial"/>
          <w:sz w:val="22"/>
          <w:szCs w:val="22"/>
        </w:rPr>
        <w:noBreakHyphen/>
        <w:t>Dorenbos et al., 2010; Scerri, Scerri and Innes, 2019; Sun et al., 2025). Across both perspectives, unmet social and psychological needs are consistently linked to behavioural symptoms, low mood and feelings of devaluation, underscoring the need for personalised activity and systematic attention to all levels of need, delivered by trained, consistent staff in partnership with families (Harmer and Orrell, 2008; Jones et al., 2020; Pini et al., 2018).</w:t>
      </w:r>
      <w:r w:rsidR="00277BD1" w:rsidRPr="00DE35F4">
        <w:rPr>
          <w:rFonts w:ascii="Arial" w:hAnsi="Arial" w:cs="Arial"/>
          <w:sz w:val="22"/>
          <w:szCs w:val="22"/>
        </w:rPr>
        <w:br w:type="page"/>
      </w:r>
    </w:p>
    <w:p w14:paraId="349C2863" w14:textId="2BE8564E" w:rsidR="00277BD1" w:rsidRPr="00DE35F4" w:rsidRDefault="00277BD1" w:rsidP="00DE35F4">
      <w:pPr>
        <w:pStyle w:val="Heading1"/>
        <w:spacing w:line="360" w:lineRule="auto"/>
        <w:rPr>
          <w:rFonts w:ascii="Arial" w:hAnsi="Arial" w:cs="Arial"/>
        </w:rPr>
      </w:pPr>
      <w:bookmarkStart w:id="4" w:name="_Toc214293250"/>
      <w:r w:rsidRPr="00DE35F4">
        <w:rPr>
          <w:rFonts w:ascii="Arial" w:hAnsi="Arial" w:cs="Arial"/>
        </w:rPr>
        <w:lastRenderedPageBreak/>
        <w:t>REFRENCES</w:t>
      </w:r>
      <w:bookmarkEnd w:id="4"/>
    </w:p>
    <w:p w14:paraId="6EFFA8EB" w14:textId="77777777" w:rsidR="00277BD1" w:rsidRPr="00DE35F4" w:rsidRDefault="00277BD1" w:rsidP="00DE35F4">
      <w:pPr>
        <w:spacing w:line="360" w:lineRule="auto"/>
        <w:rPr>
          <w:rFonts w:ascii="Arial" w:hAnsi="Arial" w:cs="Arial"/>
          <w:b/>
          <w:bCs/>
        </w:rPr>
      </w:pPr>
      <w:r w:rsidRPr="00277BD1">
        <w:rPr>
          <w:rFonts w:ascii="Arial" w:hAnsi="Arial" w:cs="Arial"/>
          <w:b/>
          <w:bCs/>
        </w:rPr>
        <w:t>References</w:t>
      </w:r>
    </w:p>
    <w:p w14:paraId="5743337D" w14:textId="6B194446" w:rsidR="00DE35F4" w:rsidRPr="00DE35F4" w:rsidRDefault="00DE35F4" w:rsidP="00DE35F4">
      <w:pPr>
        <w:spacing w:line="360" w:lineRule="auto"/>
        <w:rPr>
          <w:rFonts w:ascii="Arial" w:hAnsi="Arial" w:cs="Arial"/>
          <w:b/>
          <w:bCs/>
        </w:rPr>
      </w:pPr>
      <w:r w:rsidRPr="00DE35F4">
        <w:rPr>
          <w:rFonts w:ascii="Arial" w:hAnsi="Arial" w:cs="Arial"/>
          <w:b/>
          <w:bCs/>
        </w:rPr>
        <w:t>Alzheimer's Society (2024) Facts for the media about dementia. Available at: https://www.alzheimers.org.uk/about-us/news-and-media/facts-media (Accessed: 1</w:t>
      </w:r>
      <w:r w:rsidRPr="00DE35F4">
        <w:rPr>
          <w:rFonts w:ascii="Arial" w:hAnsi="Arial" w:cs="Arial"/>
          <w:b/>
          <w:bCs/>
        </w:rPr>
        <w:t>6</w:t>
      </w:r>
      <w:r w:rsidRPr="00DE35F4">
        <w:rPr>
          <w:rFonts w:ascii="Arial" w:hAnsi="Arial" w:cs="Arial"/>
          <w:b/>
          <w:bCs/>
        </w:rPr>
        <w:t xml:space="preserve"> November 2025).</w:t>
      </w:r>
    </w:p>
    <w:p w14:paraId="41964E2A" w14:textId="678B5071" w:rsidR="00DE35F4" w:rsidRPr="00277BD1" w:rsidRDefault="00DE35F4" w:rsidP="00DE35F4">
      <w:pPr>
        <w:spacing w:line="360" w:lineRule="auto"/>
        <w:rPr>
          <w:rFonts w:ascii="Arial" w:hAnsi="Arial" w:cs="Arial"/>
          <w:b/>
          <w:bCs/>
        </w:rPr>
      </w:pPr>
      <w:r w:rsidRPr="00DE35F4">
        <w:rPr>
          <w:rFonts w:ascii="Arial" w:hAnsi="Arial" w:cs="Arial"/>
          <w:b/>
          <w:bCs/>
        </w:rPr>
        <w:t>CareHome.co.uk (2024) Care home facts &amp; stats: Settings, population &amp; workforce. Available at: https://www.carehome.co.uk/advice/care-home-facts-stats (Accessed: 1</w:t>
      </w:r>
      <w:r w:rsidRPr="00DE35F4">
        <w:rPr>
          <w:rFonts w:ascii="Arial" w:hAnsi="Arial" w:cs="Arial"/>
          <w:b/>
          <w:bCs/>
        </w:rPr>
        <w:t>6</w:t>
      </w:r>
      <w:r w:rsidRPr="00DE35F4">
        <w:rPr>
          <w:rFonts w:ascii="Arial" w:hAnsi="Arial" w:cs="Arial"/>
          <w:b/>
          <w:bCs/>
        </w:rPr>
        <w:t xml:space="preserve"> November 2025).</w:t>
      </w:r>
    </w:p>
    <w:p w14:paraId="616B7DF5" w14:textId="2B6E6F7B" w:rsidR="00277BD1" w:rsidRPr="00277BD1" w:rsidRDefault="00277BD1" w:rsidP="00DE35F4">
      <w:pPr>
        <w:spacing w:line="360" w:lineRule="auto"/>
        <w:rPr>
          <w:rFonts w:ascii="Arial" w:hAnsi="Arial" w:cs="Arial"/>
        </w:rPr>
      </w:pPr>
      <w:r w:rsidRPr="00277BD1">
        <w:rPr>
          <w:rFonts w:ascii="Arial" w:hAnsi="Arial" w:cs="Arial"/>
        </w:rPr>
        <w:t xml:space="preserve">Havighurst, R.J. (1961) ‘Successful Aging’, </w:t>
      </w:r>
      <w:r w:rsidRPr="00277BD1">
        <w:rPr>
          <w:rFonts w:ascii="Arial" w:hAnsi="Arial" w:cs="Arial"/>
          <w:i/>
          <w:iCs/>
        </w:rPr>
        <w:t>The Gerontologist</w:t>
      </w:r>
      <w:r w:rsidRPr="00277BD1">
        <w:rPr>
          <w:rFonts w:ascii="Arial" w:hAnsi="Arial" w:cs="Arial"/>
        </w:rPr>
        <w:t>, 1(1), pp. 8–13.</w:t>
      </w:r>
    </w:p>
    <w:p w14:paraId="73CC13B1" w14:textId="08C1AF75" w:rsidR="00277BD1" w:rsidRPr="00DE35F4" w:rsidRDefault="00277BD1" w:rsidP="00DE35F4">
      <w:pPr>
        <w:spacing w:line="360" w:lineRule="auto"/>
        <w:rPr>
          <w:rFonts w:ascii="Arial" w:hAnsi="Arial" w:cs="Arial"/>
        </w:rPr>
      </w:pPr>
      <w:r w:rsidRPr="00277BD1">
        <w:rPr>
          <w:rFonts w:ascii="Arial" w:hAnsi="Arial" w:cs="Arial"/>
        </w:rPr>
        <w:t xml:space="preserve">Lemon, B.W., Bengtson, V.L. and Peterson, J.A. (1972) ‘An Exploration of the Activity Theory of Aging: Activity Types and Life Satisfaction among In-Movers to a Retirement Community’, </w:t>
      </w:r>
      <w:r w:rsidRPr="00277BD1">
        <w:rPr>
          <w:rFonts w:ascii="Arial" w:hAnsi="Arial" w:cs="Arial"/>
          <w:i/>
          <w:iCs/>
        </w:rPr>
        <w:t>Journal of Gerontology</w:t>
      </w:r>
      <w:r w:rsidRPr="00277BD1">
        <w:rPr>
          <w:rFonts w:ascii="Arial" w:hAnsi="Arial" w:cs="Arial"/>
        </w:rPr>
        <w:t>, 27(4), pp. 511–523.</w:t>
      </w:r>
    </w:p>
    <w:p w14:paraId="43800BF5" w14:textId="7EE07F7F" w:rsidR="00277BD1" w:rsidRPr="00277BD1" w:rsidRDefault="00277BD1" w:rsidP="00DE35F4">
      <w:pPr>
        <w:spacing w:line="360" w:lineRule="auto"/>
        <w:rPr>
          <w:rFonts w:ascii="Arial" w:hAnsi="Arial" w:cs="Arial"/>
        </w:rPr>
      </w:pPr>
      <w:r w:rsidRPr="00277BD1">
        <w:rPr>
          <w:rFonts w:ascii="Arial" w:hAnsi="Arial" w:cs="Arial"/>
        </w:rPr>
        <w:t>Harmer, B.J. and Orrell, M. (2008) ‘What is meaningful activity for people with dementia living in care homes? A comparison of the views of older people with dementia, staff and family carers’, Aging and Mental Health, 12(5), pp. 548–558. DOI: 10.1080/13607860802343019.​</w:t>
      </w:r>
    </w:p>
    <w:p w14:paraId="225795B1" w14:textId="77777777" w:rsidR="00277BD1" w:rsidRPr="00277BD1" w:rsidRDefault="00277BD1" w:rsidP="00DE35F4">
      <w:pPr>
        <w:spacing w:line="360" w:lineRule="auto"/>
        <w:rPr>
          <w:rFonts w:ascii="Arial" w:hAnsi="Arial" w:cs="Arial"/>
        </w:rPr>
      </w:pPr>
      <w:r w:rsidRPr="00277BD1">
        <w:rPr>
          <w:rFonts w:ascii="Arial" w:hAnsi="Arial" w:cs="Arial"/>
        </w:rPr>
        <w:t xml:space="preserve">Kolanowski, A., Litaker, M., Buettner, L., Moeller, J. and Costa, P.T. Jr (2011) ‘A randomized clinical trial of theory-based activities for the </w:t>
      </w:r>
      <w:proofErr w:type="spellStart"/>
      <w:r w:rsidRPr="00277BD1">
        <w:rPr>
          <w:rFonts w:ascii="Arial" w:hAnsi="Arial" w:cs="Arial"/>
        </w:rPr>
        <w:t>behavioral</w:t>
      </w:r>
      <w:proofErr w:type="spellEnd"/>
      <w:r w:rsidRPr="00277BD1">
        <w:rPr>
          <w:rFonts w:ascii="Arial" w:hAnsi="Arial" w:cs="Arial"/>
        </w:rPr>
        <w:t xml:space="preserve"> symptoms of dementia in nursing home residents’, Journal of the American Geriatrics Society, 59(6), pp. 1032–1041. DOI: 10.1111/j.1532-5415.2011.</w:t>
      </w:r>
      <w:proofErr w:type="gramStart"/>
      <w:r w:rsidRPr="00277BD1">
        <w:rPr>
          <w:rFonts w:ascii="Arial" w:hAnsi="Arial" w:cs="Arial"/>
        </w:rPr>
        <w:t>03449.x.</w:t>
      </w:r>
      <w:proofErr w:type="gramEnd"/>
      <w:r w:rsidRPr="00277BD1">
        <w:rPr>
          <w:rFonts w:ascii="Arial" w:hAnsi="Arial" w:cs="Arial"/>
        </w:rPr>
        <w:t>​</w:t>
      </w:r>
    </w:p>
    <w:p w14:paraId="1516590E" w14:textId="77777777" w:rsidR="00277BD1" w:rsidRPr="00277BD1" w:rsidRDefault="00277BD1" w:rsidP="00DE35F4">
      <w:pPr>
        <w:spacing w:line="360" w:lineRule="auto"/>
        <w:rPr>
          <w:rFonts w:ascii="Arial" w:hAnsi="Arial" w:cs="Arial"/>
        </w:rPr>
      </w:pPr>
      <w:r w:rsidRPr="00277BD1">
        <w:rPr>
          <w:rFonts w:ascii="Arial" w:hAnsi="Arial" w:cs="Arial"/>
        </w:rPr>
        <w:t>Kolanowski, A.M., Van Haitsma, K., Meeks, S. and Litaker, M. (2014) ‘Affect balance and relationship with well-being in nursing home residents with dementia’, American Journal of Alzheimer’s Disease &amp; Other Dementias, 29(5), pp. 457–462. DOI: 10.1177/1533317513518657.​</w:t>
      </w:r>
    </w:p>
    <w:p w14:paraId="78B0755C" w14:textId="77777777" w:rsidR="00FC1E38" w:rsidRPr="00FC1E38" w:rsidRDefault="00FC1E38" w:rsidP="00DE35F4">
      <w:pPr>
        <w:spacing w:line="360" w:lineRule="auto"/>
        <w:rPr>
          <w:rFonts w:ascii="Arial" w:hAnsi="Arial" w:cs="Arial"/>
        </w:rPr>
      </w:pPr>
      <w:proofErr w:type="spellStart"/>
      <w:r w:rsidRPr="00FC1E38">
        <w:rPr>
          <w:rFonts w:ascii="Arial" w:hAnsi="Arial" w:cs="Arial"/>
        </w:rPr>
        <w:t>Möhler</w:t>
      </w:r>
      <w:proofErr w:type="spellEnd"/>
      <w:r w:rsidRPr="00FC1E38">
        <w:rPr>
          <w:rFonts w:ascii="Arial" w:hAnsi="Arial" w:cs="Arial"/>
        </w:rPr>
        <w:t xml:space="preserve">, R., </w:t>
      </w:r>
      <w:proofErr w:type="spellStart"/>
      <w:r w:rsidRPr="00FC1E38">
        <w:rPr>
          <w:rFonts w:ascii="Arial" w:hAnsi="Arial" w:cs="Arial"/>
        </w:rPr>
        <w:t>Renom</w:t>
      </w:r>
      <w:proofErr w:type="spellEnd"/>
      <w:r w:rsidRPr="00FC1E38">
        <w:rPr>
          <w:rFonts w:ascii="Arial" w:hAnsi="Arial" w:cs="Arial"/>
        </w:rPr>
        <w:t xml:space="preserve">, A., </w:t>
      </w:r>
      <w:proofErr w:type="spellStart"/>
      <w:r w:rsidRPr="00FC1E38">
        <w:rPr>
          <w:rFonts w:ascii="Arial" w:hAnsi="Arial" w:cs="Arial"/>
        </w:rPr>
        <w:t>Renom</w:t>
      </w:r>
      <w:proofErr w:type="spellEnd"/>
      <w:r w:rsidRPr="00FC1E38">
        <w:rPr>
          <w:rFonts w:ascii="Arial" w:hAnsi="Arial" w:cs="Arial"/>
        </w:rPr>
        <w:t>, H. and Meyer, G. (2018) ‘Personally tailored activities for improving psychosocial outcomes for people with dementia in long-term care’, Cochrane Database of Systematic Reviews, 2018(2), Art. No. CD009812. DOI: 10.1002/14651858.CD009812.pub2</w:t>
      </w:r>
    </w:p>
    <w:p w14:paraId="249333EC" w14:textId="77777777" w:rsidR="00FC1E38" w:rsidRPr="00FC1E38" w:rsidRDefault="00FC1E38" w:rsidP="00DE35F4">
      <w:pPr>
        <w:spacing w:line="360" w:lineRule="auto"/>
        <w:rPr>
          <w:rFonts w:ascii="Arial" w:hAnsi="Arial" w:cs="Arial"/>
        </w:rPr>
      </w:pPr>
      <w:r w:rsidRPr="00FC1E38">
        <w:rPr>
          <w:rFonts w:ascii="Arial" w:hAnsi="Arial" w:cs="Arial"/>
        </w:rPr>
        <w:lastRenderedPageBreak/>
        <w:t>Burke, A., Jones, A., Hughes, R. and Player, E. (2021) ‘From evidence to practice: Developing best practice guidelines for the delivery of activities to people living with moderate to advanced dementia using a pragmatic observational study’, Dementia, 20(5), pp. 1604–1616. DOI: 10.1177/1471301220957805</w:t>
      </w:r>
    </w:p>
    <w:p w14:paraId="2E0CAB66" w14:textId="77777777" w:rsidR="00172A29" w:rsidRPr="00172A29" w:rsidRDefault="00172A29" w:rsidP="00DE35F4">
      <w:pPr>
        <w:spacing w:line="360" w:lineRule="auto"/>
        <w:rPr>
          <w:rFonts w:ascii="Arial" w:hAnsi="Arial" w:cs="Arial"/>
        </w:rPr>
      </w:pPr>
      <w:r w:rsidRPr="00172A29">
        <w:rPr>
          <w:rFonts w:ascii="Arial" w:hAnsi="Arial" w:cs="Arial"/>
        </w:rPr>
        <w:t>Maslow, A.H. (1943) ‘A theory of human motivation’, </w:t>
      </w:r>
      <w:r w:rsidRPr="00172A29">
        <w:rPr>
          <w:rFonts w:ascii="Arial" w:hAnsi="Arial" w:cs="Arial"/>
          <w:i/>
          <w:iCs/>
        </w:rPr>
        <w:t>Psychological Review</w:t>
      </w:r>
      <w:r w:rsidRPr="00172A29">
        <w:rPr>
          <w:rFonts w:ascii="Arial" w:hAnsi="Arial" w:cs="Arial"/>
        </w:rPr>
        <w:t>, 50(4), pp. 370–396. DOI: 10.1037/h0054346​</w:t>
      </w:r>
    </w:p>
    <w:p w14:paraId="37182DBD" w14:textId="77777777" w:rsidR="00172A29" w:rsidRPr="00172A29" w:rsidRDefault="00172A29" w:rsidP="00DE35F4">
      <w:pPr>
        <w:spacing w:line="360" w:lineRule="auto"/>
        <w:rPr>
          <w:rFonts w:ascii="Arial" w:hAnsi="Arial" w:cs="Arial"/>
        </w:rPr>
      </w:pPr>
      <w:r w:rsidRPr="00172A29">
        <w:rPr>
          <w:rFonts w:ascii="Arial" w:hAnsi="Arial" w:cs="Arial"/>
        </w:rPr>
        <w:t xml:space="preserve">Pini, S., Ingleson, E., Megson, M., Clare, L., Wright, P. and </w:t>
      </w:r>
      <w:proofErr w:type="spellStart"/>
      <w:r w:rsidRPr="00172A29">
        <w:rPr>
          <w:rFonts w:ascii="Arial" w:hAnsi="Arial" w:cs="Arial"/>
        </w:rPr>
        <w:t>Oyebode</w:t>
      </w:r>
      <w:proofErr w:type="spellEnd"/>
      <w:r w:rsidRPr="00172A29">
        <w:rPr>
          <w:rFonts w:ascii="Arial" w:hAnsi="Arial" w:cs="Arial"/>
        </w:rPr>
        <w:t>, J.R. (2018) ‘A needs-led framework for understanding the impact of caring for a family member with dementia’, </w:t>
      </w:r>
      <w:r w:rsidRPr="00172A29">
        <w:rPr>
          <w:rFonts w:ascii="Arial" w:hAnsi="Arial" w:cs="Arial"/>
          <w:i/>
          <w:iCs/>
        </w:rPr>
        <w:t>The Gerontologist</w:t>
      </w:r>
      <w:r w:rsidRPr="00172A29">
        <w:rPr>
          <w:rFonts w:ascii="Arial" w:hAnsi="Arial" w:cs="Arial"/>
        </w:rPr>
        <w:t>, 58(2), pp. e68–e77. DOI: 10.1093/</w:t>
      </w:r>
      <w:proofErr w:type="spellStart"/>
      <w:r w:rsidRPr="00172A29">
        <w:rPr>
          <w:rFonts w:ascii="Arial" w:hAnsi="Arial" w:cs="Arial"/>
        </w:rPr>
        <w:t>geront</w:t>
      </w:r>
      <w:proofErr w:type="spellEnd"/>
      <w:r w:rsidRPr="00172A29">
        <w:rPr>
          <w:rFonts w:ascii="Arial" w:hAnsi="Arial" w:cs="Arial"/>
        </w:rPr>
        <w:t>/gnx148​</w:t>
      </w:r>
    </w:p>
    <w:p w14:paraId="359F82A7" w14:textId="77777777" w:rsidR="00172A29" w:rsidRPr="00172A29" w:rsidRDefault="00172A29" w:rsidP="00DE35F4">
      <w:pPr>
        <w:spacing w:line="360" w:lineRule="auto"/>
        <w:rPr>
          <w:rFonts w:ascii="Arial" w:hAnsi="Arial" w:cs="Arial"/>
        </w:rPr>
      </w:pPr>
      <w:r w:rsidRPr="00172A29">
        <w:rPr>
          <w:rFonts w:ascii="Arial" w:hAnsi="Arial" w:cs="Arial"/>
        </w:rPr>
        <w:t>Scerri, A., Scerri, C. and Innes, A. (2019) ‘The perceived and observed needs of patients with dementia admitted to acute medical wards’, </w:t>
      </w:r>
      <w:r w:rsidRPr="00172A29">
        <w:rPr>
          <w:rFonts w:ascii="Arial" w:hAnsi="Arial" w:cs="Arial"/>
          <w:i/>
          <w:iCs/>
        </w:rPr>
        <w:t>Dementia</w:t>
      </w:r>
      <w:r w:rsidRPr="00172A29">
        <w:rPr>
          <w:rFonts w:ascii="Arial" w:hAnsi="Arial" w:cs="Arial"/>
        </w:rPr>
        <w:t>, 19(6), pp. 1997–2017. DOI: 10.1177/1471301218814383​</w:t>
      </w:r>
    </w:p>
    <w:p w14:paraId="43641616" w14:textId="77777777" w:rsidR="00172A29" w:rsidRPr="00172A29" w:rsidRDefault="00172A29" w:rsidP="00DE35F4">
      <w:pPr>
        <w:spacing w:line="360" w:lineRule="auto"/>
        <w:rPr>
          <w:rFonts w:ascii="Arial" w:hAnsi="Arial" w:cs="Arial"/>
        </w:rPr>
      </w:pPr>
      <w:r w:rsidRPr="00172A29">
        <w:rPr>
          <w:rFonts w:ascii="Arial" w:hAnsi="Arial" w:cs="Arial"/>
        </w:rPr>
        <w:t>Sun, H., Chai, R., Huang, S., Xue, W., Wang, Z., Yu, X. and Zhu, Z. (2025) ‘Study on the needs of the older adults with dementia in care institutions based on a hierarchical interaction model: a case study of an institution in Hangzhou, China’, </w:t>
      </w:r>
      <w:r w:rsidRPr="00172A29">
        <w:rPr>
          <w:rFonts w:ascii="Arial" w:hAnsi="Arial" w:cs="Arial"/>
          <w:i/>
          <w:iCs/>
        </w:rPr>
        <w:t>Frontiers in Public Health</w:t>
      </w:r>
      <w:r w:rsidRPr="00172A29">
        <w:rPr>
          <w:rFonts w:ascii="Arial" w:hAnsi="Arial" w:cs="Arial"/>
        </w:rPr>
        <w:t>, 13, 1633806. DOI: 10.3389/fpubh.2025.1633806</w:t>
      </w:r>
    </w:p>
    <w:p w14:paraId="6BADC103" w14:textId="77777777" w:rsidR="00277BD1" w:rsidRPr="00277BD1" w:rsidRDefault="00277BD1" w:rsidP="00DE35F4">
      <w:pPr>
        <w:spacing w:line="360" w:lineRule="auto"/>
        <w:rPr>
          <w:rFonts w:ascii="Arial" w:hAnsi="Arial" w:cs="Arial"/>
        </w:rPr>
      </w:pPr>
    </w:p>
    <w:p w14:paraId="59F4ADBC" w14:textId="77777777" w:rsidR="00277BD1" w:rsidRPr="00DE35F4" w:rsidRDefault="00277BD1" w:rsidP="00DE35F4">
      <w:pPr>
        <w:spacing w:line="360" w:lineRule="auto"/>
        <w:rPr>
          <w:rFonts w:ascii="Arial" w:hAnsi="Arial" w:cs="Arial"/>
        </w:rPr>
      </w:pPr>
    </w:p>
    <w:sectPr w:rsidR="00277BD1" w:rsidRPr="00DE35F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30CD4" w14:textId="77777777" w:rsidR="00771486" w:rsidRDefault="00771486" w:rsidP="00AD3AF1">
      <w:pPr>
        <w:spacing w:after="0" w:line="240" w:lineRule="auto"/>
      </w:pPr>
      <w:r>
        <w:separator/>
      </w:r>
    </w:p>
  </w:endnote>
  <w:endnote w:type="continuationSeparator" w:id="0">
    <w:p w14:paraId="56F448D1" w14:textId="77777777" w:rsidR="00771486" w:rsidRDefault="00771486" w:rsidP="00AD3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3984146"/>
      <w:docPartObj>
        <w:docPartGallery w:val="Page Numbers (Bottom of Page)"/>
        <w:docPartUnique/>
      </w:docPartObj>
    </w:sdtPr>
    <w:sdtEndPr>
      <w:rPr>
        <w:noProof/>
      </w:rPr>
    </w:sdtEndPr>
    <w:sdtContent>
      <w:p w14:paraId="490FE2CD" w14:textId="27E83F5B" w:rsidR="00AD3AF1" w:rsidRDefault="00AD3A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7DEC16" w14:textId="77777777" w:rsidR="00AD3AF1" w:rsidRDefault="00AD3A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6353F" w14:textId="77777777" w:rsidR="00771486" w:rsidRDefault="00771486" w:rsidP="00AD3AF1">
      <w:pPr>
        <w:spacing w:after="0" w:line="240" w:lineRule="auto"/>
      </w:pPr>
      <w:r>
        <w:separator/>
      </w:r>
    </w:p>
  </w:footnote>
  <w:footnote w:type="continuationSeparator" w:id="0">
    <w:p w14:paraId="15C427CC" w14:textId="77777777" w:rsidR="00771486" w:rsidRDefault="00771486" w:rsidP="00AD3A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047BA"/>
    <w:multiLevelType w:val="hybridMultilevel"/>
    <w:tmpl w:val="BDC01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922954"/>
    <w:multiLevelType w:val="hybridMultilevel"/>
    <w:tmpl w:val="52AE3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6620195">
    <w:abstractNumId w:val="1"/>
  </w:num>
  <w:num w:numId="2" w16cid:durableId="564797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DBF"/>
    <w:rsid w:val="00154B4A"/>
    <w:rsid w:val="00172A29"/>
    <w:rsid w:val="001E681E"/>
    <w:rsid w:val="00277BD1"/>
    <w:rsid w:val="004B1C89"/>
    <w:rsid w:val="00533A40"/>
    <w:rsid w:val="00591E44"/>
    <w:rsid w:val="00614143"/>
    <w:rsid w:val="00771486"/>
    <w:rsid w:val="007F646E"/>
    <w:rsid w:val="00982F88"/>
    <w:rsid w:val="009D0B54"/>
    <w:rsid w:val="00AD3AF1"/>
    <w:rsid w:val="00B50092"/>
    <w:rsid w:val="00DE35F4"/>
    <w:rsid w:val="00E2525C"/>
    <w:rsid w:val="00F27DBF"/>
    <w:rsid w:val="00FC1E38"/>
    <w:rsid w:val="00FC5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4B445"/>
  <w15:chartTrackingRefBased/>
  <w15:docId w15:val="{6343C8AB-866A-4709-8333-5A19CDE11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7D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7D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7D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7D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7D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7D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7D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7D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7D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D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7D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7D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7D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7D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7D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7D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7D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7DBF"/>
    <w:rPr>
      <w:rFonts w:eastAsiaTheme="majorEastAsia" w:cstheme="majorBidi"/>
      <w:color w:val="272727" w:themeColor="text1" w:themeTint="D8"/>
    </w:rPr>
  </w:style>
  <w:style w:type="paragraph" w:styleId="Title">
    <w:name w:val="Title"/>
    <w:basedOn w:val="Normal"/>
    <w:next w:val="Normal"/>
    <w:link w:val="TitleChar"/>
    <w:uiPriority w:val="10"/>
    <w:qFormat/>
    <w:rsid w:val="00F27D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7D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7D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7D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7DBF"/>
    <w:pPr>
      <w:spacing w:before="160"/>
      <w:jc w:val="center"/>
    </w:pPr>
    <w:rPr>
      <w:i/>
      <w:iCs/>
      <w:color w:val="404040" w:themeColor="text1" w:themeTint="BF"/>
    </w:rPr>
  </w:style>
  <w:style w:type="character" w:customStyle="1" w:styleId="QuoteChar">
    <w:name w:val="Quote Char"/>
    <w:basedOn w:val="DefaultParagraphFont"/>
    <w:link w:val="Quote"/>
    <w:uiPriority w:val="29"/>
    <w:rsid w:val="00F27DBF"/>
    <w:rPr>
      <w:i/>
      <w:iCs/>
      <w:color w:val="404040" w:themeColor="text1" w:themeTint="BF"/>
    </w:rPr>
  </w:style>
  <w:style w:type="paragraph" w:styleId="ListParagraph">
    <w:name w:val="List Paragraph"/>
    <w:basedOn w:val="Normal"/>
    <w:uiPriority w:val="34"/>
    <w:qFormat/>
    <w:rsid w:val="00F27DBF"/>
    <w:pPr>
      <w:ind w:left="720"/>
      <w:contextualSpacing/>
    </w:pPr>
  </w:style>
  <w:style w:type="character" w:styleId="IntenseEmphasis">
    <w:name w:val="Intense Emphasis"/>
    <w:basedOn w:val="DefaultParagraphFont"/>
    <w:uiPriority w:val="21"/>
    <w:qFormat/>
    <w:rsid w:val="00F27DBF"/>
    <w:rPr>
      <w:i/>
      <w:iCs/>
      <w:color w:val="0F4761" w:themeColor="accent1" w:themeShade="BF"/>
    </w:rPr>
  </w:style>
  <w:style w:type="paragraph" w:styleId="IntenseQuote">
    <w:name w:val="Intense Quote"/>
    <w:basedOn w:val="Normal"/>
    <w:next w:val="Normal"/>
    <w:link w:val="IntenseQuoteChar"/>
    <w:uiPriority w:val="30"/>
    <w:qFormat/>
    <w:rsid w:val="00F27D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7DBF"/>
    <w:rPr>
      <w:i/>
      <w:iCs/>
      <w:color w:val="0F4761" w:themeColor="accent1" w:themeShade="BF"/>
    </w:rPr>
  </w:style>
  <w:style w:type="character" w:styleId="IntenseReference">
    <w:name w:val="Intense Reference"/>
    <w:basedOn w:val="DefaultParagraphFont"/>
    <w:uiPriority w:val="32"/>
    <w:qFormat/>
    <w:rsid w:val="00F27DBF"/>
    <w:rPr>
      <w:b/>
      <w:bCs/>
      <w:smallCaps/>
      <w:color w:val="0F4761" w:themeColor="accent1" w:themeShade="BF"/>
      <w:spacing w:val="5"/>
    </w:rPr>
  </w:style>
  <w:style w:type="paragraph" w:styleId="Header">
    <w:name w:val="header"/>
    <w:basedOn w:val="Normal"/>
    <w:link w:val="HeaderChar"/>
    <w:uiPriority w:val="99"/>
    <w:unhideWhenUsed/>
    <w:rsid w:val="00AD3A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3AF1"/>
  </w:style>
  <w:style w:type="paragraph" w:styleId="Footer">
    <w:name w:val="footer"/>
    <w:basedOn w:val="Normal"/>
    <w:link w:val="FooterChar"/>
    <w:uiPriority w:val="99"/>
    <w:unhideWhenUsed/>
    <w:rsid w:val="00AD3A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3AF1"/>
  </w:style>
  <w:style w:type="paragraph" w:styleId="TOCHeading">
    <w:name w:val="TOC Heading"/>
    <w:basedOn w:val="Heading1"/>
    <w:next w:val="Normal"/>
    <w:uiPriority w:val="39"/>
    <w:unhideWhenUsed/>
    <w:qFormat/>
    <w:rsid w:val="00AD3AF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D3AF1"/>
    <w:pPr>
      <w:spacing w:after="100"/>
    </w:pPr>
  </w:style>
  <w:style w:type="character" w:styleId="Hyperlink">
    <w:name w:val="Hyperlink"/>
    <w:basedOn w:val="DefaultParagraphFont"/>
    <w:uiPriority w:val="99"/>
    <w:unhideWhenUsed/>
    <w:rsid w:val="00AD3AF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6571D9-E9D5-4E71-AC01-D15063C75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2222</Words>
  <Characters>12955</Characters>
  <Application>Microsoft Office Word</Application>
  <DocSecurity>0</DocSecurity>
  <Lines>762</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Yonathan Wondimu</dc:creator>
  <cp:keywords/>
  <dc:description/>
  <cp:lastModifiedBy>Yonathan Wondimu</cp:lastModifiedBy>
  <cp:revision>2</cp:revision>
  <dcterms:created xsi:type="dcterms:W3CDTF">2025-11-17T17:42:00Z</dcterms:created>
  <dcterms:modified xsi:type="dcterms:W3CDTF">2025-11-17T17:42:00Z</dcterms:modified>
</cp:coreProperties>
</file>