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949084601"/>
        <w:docPartObj>
          <w:docPartGallery w:val="Cover Pages"/>
          <w:docPartUnique/>
        </w:docPartObj>
      </w:sdtPr>
      <w:sdtEndPr>
        <w:rPr>
          <w:rFonts w:ascii="Calibri" w:eastAsia="Calibri" w:hAnsi="Calibri" w:cs="Calibri"/>
          <w:b/>
          <w:bCs/>
          <w:color w:val="000000"/>
          <w:sz w:val="24"/>
          <w:szCs w:val="24"/>
          <w:lang w:val="en-US"/>
        </w:rPr>
      </w:sdtEndPr>
      <w:sdtContent>
        <w:p w14:paraId="0B6650CC" w14:textId="2EFE0FF8" w:rsidR="005C1721" w:rsidRDefault="005C1721">
          <w:r>
            <w:rPr>
              <w:noProof/>
            </w:rPr>
            <mc:AlternateContent>
              <mc:Choice Requires="wpg">
                <w:drawing>
                  <wp:anchor distT="0" distB="0" distL="114300" distR="114300" simplePos="0" relativeHeight="251659264" behindDoc="1" locked="0" layoutInCell="1" allowOverlap="1" wp14:anchorId="6F365C1A" wp14:editId="137841EA">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D2B64B9" w14:textId="34E391AB" w:rsidR="005C1721" w:rsidRDefault="005C1721">
                                      <w:pPr>
                                        <w:pStyle w:val="NoSpacing"/>
                                        <w:spacing w:before="120"/>
                                        <w:jc w:val="center"/>
                                        <w:rPr>
                                          <w:color w:val="FFFFFF" w:themeColor="background1"/>
                                        </w:rPr>
                                      </w:pPr>
                                      <w:r>
                                        <w:rPr>
                                          <w:color w:val="FFFFFF" w:themeColor="background1"/>
                                        </w:rPr>
                                        <w:t>Ancuta Selaru (1918834)</w:t>
                                      </w:r>
                                    </w:p>
                                  </w:sdtContent>
                                </w:sdt>
                                <w:p w14:paraId="74C3D0CA" w14:textId="4182BA2B" w:rsidR="005C1721" w:rsidRDefault="005C1721">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WUTSD</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37BF7D8" w14:textId="053DB073" w:rsidR="005C1721" w:rsidRDefault="005C1721">
                                      <w:pPr>
                                        <w:pStyle w:val="NoSpacing"/>
                                        <w:jc w:val="center"/>
                                        <w:rPr>
                                          <w:rFonts w:asciiTheme="majorHAnsi" w:eastAsiaTheme="majorEastAsia" w:hAnsiTheme="majorHAnsi" w:cstheme="majorBidi"/>
                                          <w:caps/>
                                          <w:color w:val="156082" w:themeColor="accent1"/>
                                          <w:sz w:val="72"/>
                                          <w:szCs w:val="72"/>
                                        </w:rPr>
                                      </w:pPr>
                                      <w:r w:rsidRPr="005C1721">
                                        <w:rPr>
                                          <w:rFonts w:asciiTheme="majorHAnsi" w:eastAsiaTheme="majorEastAsia" w:hAnsiTheme="majorHAnsi" w:cstheme="majorBidi"/>
                                          <w:caps/>
                                          <w:color w:val="156082" w:themeColor="accent1"/>
                                          <w:sz w:val="72"/>
                                          <w:szCs w:val="72"/>
                                        </w:rPr>
                                        <w:t>Leaders in Global Busines</w:t>
                                      </w:r>
                                      <w:r>
                                        <w:rPr>
                                          <w:rFonts w:asciiTheme="majorHAnsi" w:eastAsiaTheme="majorEastAsia" w:hAnsiTheme="majorHAnsi" w:cstheme="majorBidi"/>
                                          <w:caps/>
                                          <w:color w:val="156082" w:themeColor="accent1"/>
                                          <w:sz w:val="72"/>
                                          <w:szCs w:val="72"/>
                                        </w:rPr>
                                        <w:t>s: Marks &amp; spencer case study</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F365C1A"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D2B64B9" w14:textId="34E391AB" w:rsidR="005C1721" w:rsidRDefault="005C1721">
                                <w:pPr>
                                  <w:pStyle w:val="NoSpacing"/>
                                  <w:spacing w:before="120"/>
                                  <w:jc w:val="center"/>
                                  <w:rPr>
                                    <w:color w:val="FFFFFF" w:themeColor="background1"/>
                                  </w:rPr>
                                </w:pPr>
                                <w:r>
                                  <w:rPr>
                                    <w:color w:val="FFFFFF" w:themeColor="background1"/>
                                  </w:rPr>
                                  <w:t>Ancuta Selaru (1918834)</w:t>
                                </w:r>
                              </w:p>
                            </w:sdtContent>
                          </w:sdt>
                          <w:p w14:paraId="74C3D0CA" w14:textId="4182BA2B" w:rsidR="005C1721" w:rsidRDefault="005C1721">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WUTSD</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37BF7D8" w14:textId="053DB073" w:rsidR="005C1721" w:rsidRDefault="005C1721">
                                <w:pPr>
                                  <w:pStyle w:val="NoSpacing"/>
                                  <w:jc w:val="center"/>
                                  <w:rPr>
                                    <w:rFonts w:asciiTheme="majorHAnsi" w:eastAsiaTheme="majorEastAsia" w:hAnsiTheme="majorHAnsi" w:cstheme="majorBidi"/>
                                    <w:caps/>
                                    <w:color w:val="156082" w:themeColor="accent1"/>
                                    <w:sz w:val="72"/>
                                    <w:szCs w:val="72"/>
                                  </w:rPr>
                                </w:pPr>
                                <w:r w:rsidRPr="005C1721">
                                  <w:rPr>
                                    <w:rFonts w:asciiTheme="majorHAnsi" w:eastAsiaTheme="majorEastAsia" w:hAnsiTheme="majorHAnsi" w:cstheme="majorBidi"/>
                                    <w:caps/>
                                    <w:color w:val="156082" w:themeColor="accent1"/>
                                    <w:sz w:val="72"/>
                                    <w:szCs w:val="72"/>
                                  </w:rPr>
                                  <w:t>Leaders in Global Busines</w:t>
                                </w:r>
                                <w:r>
                                  <w:rPr>
                                    <w:rFonts w:asciiTheme="majorHAnsi" w:eastAsiaTheme="majorEastAsia" w:hAnsiTheme="majorHAnsi" w:cstheme="majorBidi"/>
                                    <w:caps/>
                                    <w:color w:val="156082" w:themeColor="accent1"/>
                                    <w:sz w:val="72"/>
                                    <w:szCs w:val="72"/>
                                  </w:rPr>
                                  <w:t>s: Marks &amp; spencer case study</w:t>
                                </w:r>
                              </w:p>
                            </w:sdtContent>
                          </w:sdt>
                        </w:txbxContent>
                      </v:textbox>
                    </v:shape>
                    <w10:wrap anchorx="page" anchory="page"/>
                  </v:group>
                </w:pict>
              </mc:Fallback>
            </mc:AlternateContent>
          </w:r>
        </w:p>
        <w:p w14:paraId="6AD999FB" w14:textId="0572C96E" w:rsidR="003A3D37" w:rsidRPr="005C1721" w:rsidRDefault="005C1721" w:rsidP="005C1721">
          <w:pPr>
            <w:rPr>
              <w:rFonts w:ascii="Calibri" w:eastAsia="Calibri" w:hAnsi="Calibri" w:cs="Calibri"/>
              <w:b/>
              <w:bCs/>
              <w:color w:val="000000"/>
              <w:sz w:val="24"/>
              <w:szCs w:val="24"/>
              <w:lang w:val="en-US"/>
            </w:rPr>
          </w:pPr>
          <w:r>
            <w:rPr>
              <w:rFonts w:ascii="Calibri" w:eastAsia="Calibri" w:hAnsi="Calibri" w:cs="Calibri"/>
              <w:b/>
              <w:bCs/>
              <w:color w:val="000000"/>
              <w:sz w:val="24"/>
              <w:szCs w:val="24"/>
              <w:rtl/>
              <w:lang w:val="en-US"/>
            </w:rPr>
            <w:br w:type="page"/>
          </w:r>
        </w:p>
      </w:sdtContent>
    </w:sdt>
    <w:p w14:paraId="10644317" w14:textId="77777777" w:rsidR="003A3D37" w:rsidRPr="003A3D37" w:rsidRDefault="003A3D37" w:rsidP="003A3D37">
      <w:pPr>
        <w:bidi/>
        <w:spacing w:after="0" w:line="360" w:lineRule="auto"/>
        <w:jc w:val="center"/>
        <w:rPr>
          <w:rFonts w:ascii="Calibri" w:eastAsia="Calibri" w:hAnsi="Calibri" w:cs="Calibri"/>
          <w:b/>
          <w:bCs/>
          <w:color w:val="000000"/>
          <w:sz w:val="24"/>
          <w:szCs w:val="24"/>
          <w:lang w:val="en-US"/>
        </w:rPr>
      </w:pPr>
    </w:p>
    <w:p w14:paraId="716E79F6" w14:textId="77777777" w:rsidR="003A3D37" w:rsidRPr="003A3D37" w:rsidRDefault="003A3D37" w:rsidP="003A3D37">
      <w:pPr>
        <w:bidi/>
        <w:spacing w:after="0" w:line="360" w:lineRule="auto"/>
        <w:jc w:val="center"/>
        <w:rPr>
          <w:rFonts w:ascii="Calibri" w:eastAsia="Calibri" w:hAnsi="Calibri" w:cs="Calibri"/>
          <w:b/>
          <w:bCs/>
          <w:color w:val="000000"/>
          <w:sz w:val="24"/>
          <w:szCs w:val="24"/>
          <w:lang w:val="en-US"/>
        </w:rPr>
      </w:pPr>
    </w:p>
    <w:p w14:paraId="3649D600" w14:textId="77777777" w:rsidR="003A3D37" w:rsidRPr="003A3D37" w:rsidRDefault="003A3D37" w:rsidP="003A3D37">
      <w:pPr>
        <w:bidi/>
        <w:spacing w:after="0" w:line="360" w:lineRule="auto"/>
        <w:jc w:val="center"/>
        <w:rPr>
          <w:rFonts w:ascii="Calibri" w:eastAsia="Calibri" w:hAnsi="Calibri" w:cs="Calibri"/>
          <w:b/>
          <w:bCs/>
          <w:color w:val="000000"/>
          <w:sz w:val="24"/>
          <w:szCs w:val="24"/>
          <w:lang w:val="en-US"/>
        </w:rPr>
      </w:pPr>
    </w:p>
    <w:p w14:paraId="49A37ED0" w14:textId="77777777" w:rsidR="003A3D37" w:rsidRPr="003A3D37" w:rsidRDefault="003A3D37" w:rsidP="003A3D37">
      <w:pPr>
        <w:bidi/>
        <w:spacing w:after="0" w:line="360" w:lineRule="auto"/>
        <w:jc w:val="center"/>
        <w:rPr>
          <w:rFonts w:ascii="Calibri" w:eastAsia="Calibri" w:hAnsi="Calibri" w:cs="Calibri"/>
          <w:b/>
          <w:bCs/>
          <w:color w:val="000000"/>
          <w:sz w:val="24"/>
          <w:szCs w:val="24"/>
          <w:lang w:val="en-US"/>
        </w:rPr>
      </w:pPr>
    </w:p>
    <w:p w14:paraId="01A38714" w14:textId="5F456CFB" w:rsidR="003A3D37" w:rsidRPr="003A3D37" w:rsidRDefault="003A3D37" w:rsidP="005C1721">
      <w:pPr>
        <w:bidi/>
        <w:spacing w:after="0" w:line="360" w:lineRule="auto"/>
        <w:rPr>
          <w:rFonts w:ascii="Calibri" w:eastAsia="Calibri" w:hAnsi="Calibri" w:cs="Calibri"/>
          <w:color w:val="000000"/>
          <w:sz w:val="24"/>
          <w:szCs w:val="24"/>
          <w:lang w:val="en-US"/>
        </w:rPr>
      </w:pPr>
    </w:p>
    <w:p w14:paraId="7981C8FA" w14:textId="3F46591F" w:rsidR="003A3D37" w:rsidRPr="003A3D37" w:rsidRDefault="003A3D37" w:rsidP="003A3D37">
      <w:pPr>
        <w:spacing w:after="0" w:line="360" w:lineRule="auto"/>
        <w:rPr>
          <w:rFonts w:ascii="Calibri" w:eastAsia="Calibri" w:hAnsi="Calibri" w:cs="Calibri"/>
          <w:color w:val="000000"/>
          <w:sz w:val="24"/>
          <w:szCs w:val="24"/>
          <w:lang w:val="en-US"/>
        </w:rPr>
      </w:pPr>
    </w:p>
    <w:p w14:paraId="0308204D" w14:textId="77777777" w:rsidR="003A3D37" w:rsidRPr="003A3D37" w:rsidRDefault="003A3D37" w:rsidP="003A3D37">
      <w:pPr>
        <w:keepNext/>
        <w:keepLines/>
        <w:spacing w:after="0" w:line="360" w:lineRule="auto"/>
        <w:jc w:val="center"/>
        <w:outlineLvl w:val="0"/>
        <w:rPr>
          <w:rFonts w:ascii="Calibri" w:eastAsia="DengXian Light" w:hAnsi="Calibri" w:cs="Calibri"/>
          <w:b/>
          <w:bCs/>
          <w:color w:val="000000"/>
          <w:sz w:val="24"/>
          <w:szCs w:val="24"/>
          <w:lang w:val="en-US"/>
        </w:rPr>
      </w:pPr>
    </w:p>
    <w:p w14:paraId="69CBE431" w14:textId="77777777" w:rsidR="003A3D37" w:rsidRPr="003A3D37" w:rsidRDefault="003A3D37" w:rsidP="003A3D37">
      <w:pPr>
        <w:keepNext/>
        <w:keepLines/>
        <w:spacing w:after="0" w:line="360" w:lineRule="auto"/>
        <w:jc w:val="center"/>
        <w:outlineLvl w:val="0"/>
        <w:rPr>
          <w:rFonts w:ascii="Calibri" w:eastAsia="DengXian Light" w:hAnsi="Calibri" w:cs="Calibri"/>
          <w:b/>
          <w:bCs/>
          <w:color w:val="000000"/>
          <w:sz w:val="24"/>
          <w:szCs w:val="24"/>
          <w:lang w:val="en-US"/>
        </w:rPr>
      </w:pPr>
      <w:bookmarkStart w:id="0" w:name="_Toc203991940"/>
      <w:r w:rsidRPr="003A3D37">
        <w:rPr>
          <w:rFonts w:ascii="Calibri" w:eastAsia="DengXian Light" w:hAnsi="Calibri" w:cs="Calibri"/>
          <w:b/>
          <w:bCs/>
          <w:color w:val="000000"/>
          <w:sz w:val="24"/>
          <w:szCs w:val="24"/>
          <w:lang w:val="en-US"/>
        </w:rPr>
        <w:t>Executive Summary</w:t>
      </w:r>
      <w:bookmarkEnd w:id="0"/>
    </w:p>
    <w:p w14:paraId="4DFE0AD0" w14:textId="77777777" w:rsidR="003A3D37" w:rsidRPr="003A3D37" w:rsidRDefault="003A3D37" w:rsidP="003A3D37">
      <w:pPr>
        <w:spacing w:after="0" w:line="360" w:lineRule="auto"/>
        <w:jc w:val="both"/>
        <w:rPr>
          <w:rFonts w:ascii="Calibri" w:eastAsia="Calibri" w:hAnsi="Calibri" w:cs="Calibri"/>
          <w:color w:val="000000"/>
          <w:sz w:val="24"/>
          <w:szCs w:val="24"/>
          <w:lang w:val="en-US"/>
        </w:rPr>
      </w:pPr>
      <w:r w:rsidRPr="003A3D37">
        <w:rPr>
          <w:rFonts w:ascii="Calibri" w:eastAsia="Calibri" w:hAnsi="Calibri" w:cs="Calibri"/>
          <w:color w:val="000000"/>
          <w:sz w:val="24"/>
          <w:szCs w:val="24"/>
          <w:lang w:val="en-US"/>
        </w:rPr>
        <w:t>This report critically examines the ethical, strategic, and operational responsibilities of multinational enterprises (MNEs) in addressing climate change, with Marks &amp; Spencer (M&amp;S) as the case study. It presents balanced arguments for and against MNE climate leadership, evaluating the roles of corporate governance, stakeholder engagement, and ethical decision-making. While M&amp;S demonstrates strong initiatives through its Plan A strategy, challenges such as greenwashing and conflicting business pressures remain. The analysis concludes that effective climate leadership requires visionary governance, transparency, and alignment with stakeholder values to balance profit with long-term environmental sustainability.</w:t>
      </w:r>
    </w:p>
    <w:p w14:paraId="25F1A455" w14:textId="77777777" w:rsidR="003A3D37" w:rsidRPr="003A3D37" w:rsidRDefault="003A3D37" w:rsidP="003A3D37">
      <w:pPr>
        <w:spacing w:after="0" w:line="360" w:lineRule="auto"/>
        <w:rPr>
          <w:rFonts w:ascii="Calibri" w:eastAsia="Calibri" w:hAnsi="Calibri" w:cs="Calibri"/>
          <w:color w:val="000000"/>
          <w:sz w:val="24"/>
          <w:szCs w:val="24"/>
          <w:lang w:val="en-US"/>
        </w:rPr>
      </w:pPr>
    </w:p>
    <w:p w14:paraId="423A1164" w14:textId="77777777" w:rsidR="003A3D37" w:rsidRPr="003A3D37" w:rsidRDefault="003A3D37" w:rsidP="003A3D37">
      <w:pPr>
        <w:spacing w:after="0" w:line="360" w:lineRule="auto"/>
        <w:rPr>
          <w:rFonts w:ascii="Calibri" w:eastAsia="Calibri" w:hAnsi="Calibri" w:cs="Calibri"/>
          <w:color w:val="000000"/>
          <w:sz w:val="24"/>
          <w:szCs w:val="24"/>
          <w:lang w:val="en-US"/>
        </w:rPr>
      </w:pPr>
      <w:r w:rsidRPr="003A3D37">
        <w:rPr>
          <w:rFonts w:ascii="Calibri" w:eastAsia="Calibri" w:hAnsi="Calibri" w:cs="Calibri"/>
          <w:color w:val="000000"/>
          <w:sz w:val="24"/>
          <w:szCs w:val="24"/>
          <w:lang w:val="en-US"/>
        </w:rPr>
        <w:br w:type="page"/>
      </w:r>
    </w:p>
    <w:sdt>
      <w:sdtPr>
        <w:rPr>
          <w:rFonts w:ascii="Calibri" w:eastAsia="Calibri" w:hAnsi="Calibri" w:cs="Calibri"/>
          <w:color w:val="000000"/>
          <w:sz w:val="24"/>
          <w:szCs w:val="24"/>
          <w:lang w:val="en-US"/>
        </w:rPr>
        <w:id w:val="-1554542049"/>
        <w:docPartObj>
          <w:docPartGallery w:val="Table of Contents"/>
          <w:docPartUnique/>
        </w:docPartObj>
      </w:sdtPr>
      <w:sdtEndPr>
        <w:rPr>
          <w:b/>
          <w:bCs/>
          <w:noProof/>
        </w:rPr>
      </w:sdtEndPr>
      <w:sdtContent>
        <w:p w14:paraId="48BA123A" w14:textId="77777777" w:rsidR="003A3D37" w:rsidRPr="003A3D37" w:rsidRDefault="003A3D37" w:rsidP="003A3D37">
          <w:pPr>
            <w:keepNext/>
            <w:keepLines/>
            <w:spacing w:after="0" w:line="360" w:lineRule="auto"/>
            <w:rPr>
              <w:rFonts w:ascii="Calibri" w:eastAsia="DengXian Light" w:hAnsi="Calibri" w:cs="Calibri"/>
              <w:color w:val="000000"/>
              <w:sz w:val="24"/>
              <w:szCs w:val="24"/>
              <w:lang w:val="en-US"/>
            </w:rPr>
          </w:pPr>
        </w:p>
        <w:p w14:paraId="255A204D" w14:textId="77777777" w:rsidR="003A3D37" w:rsidRPr="003A3D37" w:rsidRDefault="003A3D37" w:rsidP="003A3D37">
          <w:pPr>
            <w:keepNext/>
            <w:keepLines/>
            <w:spacing w:after="0" w:line="360" w:lineRule="auto"/>
            <w:jc w:val="center"/>
            <w:rPr>
              <w:rFonts w:ascii="Calibri" w:eastAsia="DengXian Light" w:hAnsi="Calibri" w:cs="Calibri"/>
              <w:b/>
              <w:bCs/>
              <w:color w:val="000000"/>
              <w:sz w:val="24"/>
              <w:szCs w:val="24"/>
              <w:lang w:val="en-US"/>
            </w:rPr>
          </w:pPr>
          <w:r w:rsidRPr="003A3D37">
            <w:rPr>
              <w:rFonts w:ascii="Calibri" w:eastAsia="DengXian Light" w:hAnsi="Calibri" w:cs="Calibri"/>
              <w:b/>
              <w:bCs/>
              <w:color w:val="000000"/>
              <w:sz w:val="24"/>
              <w:szCs w:val="24"/>
              <w:lang w:val="en-US"/>
            </w:rPr>
            <w:t>Table of Contents</w:t>
          </w:r>
        </w:p>
        <w:p w14:paraId="7A31BB6F" w14:textId="1359F450" w:rsidR="005C1721" w:rsidRDefault="003A3D37">
          <w:pPr>
            <w:pStyle w:val="TOC1"/>
            <w:tabs>
              <w:tab w:val="right" w:leader="dot" w:pos="9350"/>
            </w:tabs>
            <w:rPr>
              <w:rFonts w:eastAsiaTheme="minorEastAsia"/>
              <w:noProof/>
              <w:kern w:val="2"/>
              <w:sz w:val="24"/>
              <w:szCs w:val="24"/>
              <w:lang w:eastAsia="en-GB"/>
              <w14:ligatures w14:val="standardContextual"/>
            </w:rPr>
          </w:pPr>
          <w:r w:rsidRPr="003A3D37">
            <w:rPr>
              <w:rFonts w:ascii="Calibri" w:eastAsia="Calibri" w:hAnsi="Calibri" w:cs="Calibri"/>
              <w:color w:val="000000"/>
              <w:sz w:val="24"/>
              <w:szCs w:val="24"/>
              <w:lang w:val="en-US"/>
            </w:rPr>
            <w:fldChar w:fldCharType="begin"/>
          </w:r>
          <w:r w:rsidRPr="003A3D37">
            <w:rPr>
              <w:rFonts w:ascii="Calibri" w:eastAsia="Calibri" w:hAnsi="Calibri" w:cs="Calibri"/>
              <w:color w:val="000000"/>
              <w:sz w:val="24"/>
              <w:szCs w:val="24"/>
              <w:lang w:val="en-US"/>
            </w:rPr>
            <w:instrText xml:space="preserve"> TOC \o "1-3" \h \z \u </w:instrText>
          </w:r>
          <w:r w:rsidRPr="003A3D37">
            <w:rPr>
              <w:rFonts w:ascii="Calibri" w:eastAsia="Calibri" w:hAnsi="Calibri" w:cs="Calibri"/>
              <w:color w:val="000000"/>
              <w:sz w:val="24"/>
              <w:szCs w:val="24"/>
              <w:lang w:val="en-US"/>
            </w:rPr>
            <w:fldChar w:fldCharType="separate"/>
          </w:r>
          <w:hyperlink w:anchor="_Toc203991940" w:history="1">
            <w:r w:rsidR="005C1721" w:rsidRPr="00B44D7A">
              <w:rPr>
                <w:rStyle w:val="Hyperlink"/>
                <w:rFonts w:ascii="Calibri" w:eastAsia="DengXian Light" w:hAnsi="Calibri" w:cs="Calibri"/>
                <w:b/>
                <w:bCs/>
                <w:noProof/>
                <w:lang w:val="en-US"/>
              </w:rPr>
              <w:t>Executive Summary</w:t>
            </w:r>
            <w:r w:rsidR="005C1721">
              <w:rPr>
                <w:noProof/>
                <w:webHidden/>
              </w:rPr>
              <w:tab/>
            </w:r>
            <w:r w:rsidR="005C1721">
              <w:rPr>
                <w:noProof/>
                <w:webHidden/>
              </w:rPr>
              <w:fldChar w:fldCharType="begin"/>
            </w:r>
            <w:r w:rsidR="005C1721">
              <w:rPr>
                <w:noProof/>
                <w:webHidden/>
              </w:rPr>
              <w:instrText xml:space="preserve"> PAGEREF _Toc203991940 \h </w:instrText>
            </w:r>
            <w:r w:rsidR="005C1721">
              <w:rPr>
                <w:noProof/>
                <w:webHidden/>
              </w:rPr>
            </w:r>
            <w:r w:rsidR="005C1721">
              <w:rPr>
                <w:noProof/>
                <w:webHidden/>
              </w:rPr>
              <w:fldChar w:fldCharType="separate"/>
            </w:r>
            <w:r w:rsidR="005C1721">
              <w:rPr>
                <w:noProof/>
                <w:webHidden/>
              </w:rPr>
              <w:t>1</w:t>
            </w:r>
            <w:r w:rsidR="005C1721">
              <w:rPr>
                <w:noProof/>
                <w:webHidden/>
              </w:rPr>
              <w:fldChar w:fldCharType="end"/>
            </w:r>
          </w:hyperlink>
        </w:p>
        <w:p w14:paraId="60F091AD" w14:textId="449C1CB1" w:rsidR="005C1721" w:rsidRDefault="005C1721">
          <w:pPr>
            <w:pStyle w:val="TOC1"/>
            <w:tabs>
              <w:tab w:val="right" w:leader="dot" w:pos="9350"/>
            </w:tabs>
            <w:rPr>
              <w:rFonts w:eastAsiaTheme="minorEastAsia"/>
              <w:noProof/>
              <w:kern w:val="2"/>
              <w:sz w:val="24"/>
              <w:szCs w:val="24"/>
              <w:lang w:eastAsia="en-GB"/>
              <w14:ligatures w14:val="standardContextual"/>
            </w:rPr>
          </w:pPr>
          <w:hyperlink w:anchor="_Toc203991941" w:history="1">
            <w:r w:rsidRPr="00B44D7A">
              <w:rPr>
                <w:rStyle w:val="Hyperlink"/>
                <w:rFonts w:ascii="Calibri" w:eastAsia="DengXian Light" w:hAnsi="Calibri" w:cs="Calibri"/>
                <w:noProof/>
                <w:lang w:val="en-US"/>
              </w:rPr>
              <w:t>1. Introduction</w:t>
            </w:r>
            <w:r>
              <w:rPr>
                <w:noProof/>
                <w:webHidden/>
              </w:rPr>
              <w:tab/>
            </w:r>
            <w:r>
              <w:rPr>
                <w:noProof/>
                <w:webHidden/>
              </w:rPr>
              <w:fldChar w:fldCharType="begin"/>
            </w:r>
            <w:r>
              <w:rPr>
                <w:noProof/>
                <w:webHidden/>
              </w:rPr>
              <w:instrText xml:space="preserve"> PAGEREF _Toc203991941 \h </w:instrText>
            </w:r>
            <w:r>
              <w:rPr>
                <w:noProof/>
                <w:webHidden/>
              </w:rPr>
            </w:r>
            <w:r>
              <w:rPr>
                <w:noProof/>
                <w:webHidden/>
              </w:rPr>
              <w:fldChar w:fldCharType="separate"/>
            </w:r>
            <w:r>
              <w:rPr>
                <w:noProof/>
                <w:webHidden/>
              </w:rPr>
              <w:t>4</w:t>
            </w:r>
            <w:r>
              <w:rPr>
                <w:noProof/>
                <w:webHidden/>
              </w:rPr>
              <w:fldChar w:fldCharType="end"/>
            </w:r>
          </w:hyperlink>
        </w:p>
        <w:p w14:paraId="08117989" w14:textId="5456CD51" w:rsidR="005C1721" w:rsidRDefault="005C1721">
          <w:pPr>
            <w:pStyle w:val="TOC1"/>
            <w:tabs>
              <w:tab w:val="right" w:leader="dot" w:pos="9350"/>
            </w:tabs>
            <w:rPr>
              <w:rFonts w:eastAsiaTheme="minorEastAsia"/>
              <w:noProof/>
              <w:kern w:val="2"/>
              <w:sz w:val="24"/>
              <w:szCs w:val="24"/>
              <w:lang w:eastAsia="en-GB"/>
              <w14:ligatures w14:val="standardContextual"/>
            </w:rPr>
          </w:pPr>
          <w:hyperlink w:anchor="_Toc203991942" w:history="1">
            <w:r w:rsidRPr="00B44D7A">
              <w:rPr>
                <w:rStyle w:val="Hyperlink"/>
                <w:rFonts w:eastAsia="DengXian Light"/>
                <w:noProof/>
                <w:lang w:val="en-US"/>
              </w:rPr>
              <w:t>2. Analysis</w:t>
            </w:r>
            <w:r>
              <w:rPr>
                <w:noProof/>
                <w:webHidden/>
              </w:rPr>
              <w:tab/>
            </w:r>
            <w:r>
              <w:rPr>
                <w:noProof/>
                <w:webHidden/>
              </w:rPr>
              <w:fldChar w:fldCharType="begin"/>
            </w:r>
            <w:r>
              <w:rPr>
                <w:noProof/>
                <w:webHidden/>
              </w:rPr>
              <w:instrText xml:space="preserve"> PAGEREF _Toc203991942 \h </w:instrText>
            </w:r>
            <w:r>
              <w:rPr>
                <w:noProof/>
                <w:webHidden/>
              </w:rPr>
            </w:r>
            <w:r>
              <w:rPr>
                <w:noProof/>
                <w:webHidden/>
              </w:rPr>
              <w:fldChar w:fldCharType="separate"/>
            </w:r>
            <w:r>
              <w:rPr>
                <w:noProof/>
                <w:webHidden/>
              </w:rPr>
              <w:t>5</w:t>
            </w:r>
            <w:r>
              <w:rPr>
                <w:noProof/>
                <w:webHidden/>
              </w:rPr>
              <w:fldChar w:fldCharType="end"/>
            </w:r>
          </w:hyperlink>
        </w:p>
        <w:p w14:paraId="21702E86" w14:textId="6BF640D1" w:rsidR="005C1721" w:rsidRDefault="005C1721">
          <w:pPr>
            <w:pStyle w:val="TOC2"/>
            <w:tabs>
              <w:tab w:val="right" w:leader="dot" w:pos="9350"/>
            </w:tabs>
            <w:rPr>
              <w:rFonts w:eastAsiaTheme="minorEastAsia"/>
              <w:noProof/>
              <w:kern w:val="2"/>
              <w:sz w:val="24"/>
              <w:szCs w:val="24"/>
              <w:lang w:eastAsia="en-GB"/>
              <w14:ligatures w14:val="standardContextual"/>
            </w:rPr>
          </w:pPr>
          <w:hyperlink w:anchor="_Toc203991943" w:history="1">
            <w:r w:rsidRPr="00B44D7A">
              <w:rPr>
                <w:rStyle w:val="Hyperlink"/>
                <w:rFonts w:eastAsia="Times New Roman"/>
                <w:noProof/>
                <w:lang w:val="en-US"/>
              </w:rPr>
              <w:t>2.1 Case for and Against MNE Leadership in Climate Action</w:t>
            </w:r>
            <w:r>
              <w:rPr>
                <w:noProof/>
                <w:webHidden/>
              </w:rPr>
              <w:tab/>
            </w:r>
            <w:r>
              <w:rPr>
                <w:noProof/>
                <w:webHidden/>
              </w:rPr>
              <w:fldChar w:fldCharType="begin"/>
            </w:r>
            <w:r>
              <w:rPr>
                <w:noProof/>
                <w:webHidden/>
              </w:rPr>
              <w:instrText xml:space="preserve"> PAGEREF _Toc203991943 \h </w:instrText>
            </w:r>
            <w:r>
              <w:rPr>
                <w:noProof/>
                <w:webHidden/>
              </w:rPr>
            </w:r>
            <w:r>
              <w:rPr>
                <w:noProof/>
                <w:webHidden/>
              </w:rPr>
              <w:fldChar w:fldCharType="separate"/>
            </w:r>
            <w:r>
              <w:rPr>
                <w:noProof/>
                <w:webHidden/>
              </w:rPr>
              <w:t>5</w:t>
            </w:r>
            <w:r>
              <w:rPr>
                <w:noProof/>
                <w:webHidden/>
              </w:rPr>
              <w:fldChar w:fldCharType="end"/>
            </w:r>
          </w:hyperlink>
        </w:p>
        <w:p w14:paraId="67B59588" w14:textId="5EA81C7A" w:rsidR="005C1721" w:rsidRDefault="005C1721">
          <w:pPr>
            <w:pStyle w:val="TOC2"/>
            <w:tabs>
              <w:tab w:val="right" w:leader="dot" w:pos="9350"/>
            </w:tabs>
            <w:rPr>
              <w:rFonts w:eastAsiaTheme="minorEastAsia"/>
              <w:noProof/>
              <w:kern w:val="2"/>
              <w:sz w:val="24"/>
              <w:szCs w:val="24"/>
              <w:lang w:eastAsia="en-GB"/>
              <w14:ligatures w14:val="standardContextual"/>
            </w:rPr>
          </w:pPr>
          <w:hyperlink w:anchor="_Toc203991944" w:history="1">
            <w:r w:rsidRPr="00B44D7A">
              <w:rPr>
                <w:rStyle w:val="Hyperlink"/>
                <w:rFonts w:eastAsia="Times New Roman"/>
                <w:noProof/>
                <w:lang w:val="en-US"/>
              </w:rPr>
              <w:t>2.2 The Case Against MNEs as Climate Leaders</w:t>
            </w:r>
            <w:r>
              <w:rPr>
                <w:noProof/>
                <w:webHidden/>
              </w:rPr>
              <w:tab/>
            </w:r>
            <w:r>
              <w:rPr>
                <w:noProof/>
                <w:webHidden/>
              </w:rPr>
              <w:fldChar w:fldCharType="begin"/>
            </w:r>
            <w:r>
              <w:rPr>
                <w:noProof/>
                <w:webHidden/>
              </w:rPr>
              <w:instrText xml:space="preserve"> PAGEREF _Toc203991944 \h </w:instrText>
            </w:r>
            <w:r>
              <w:rPr>
                <w:noProof/>
                <w:webHidden/>
              </w:rPr>
            </w:r>
            <w:r>
              <w:rPr>
                <w:noProof/>
                <w:webHidden/>
              </w:rPr>
              <w:fldChar w:fldCharType="separate"/>
            </w:r>
            <w:r>
              <w:rPr>
                <w:noProof/>
                <w:webHidden/>
              </w:rPr>
              <w:t>7</w:t>
            </w:r>
            <w:r>
              <w:rPr>
                <w:noProof/>
                <w:webHidden/>
              </w:rPr>
              <w:fldChar w:fldCharType="end"/>
            </w:r>
          </w:hyperlink>
        </w:p>
        <w:p w14:paraId="3C366DDB" w14:textId="697C9105" w:rsidR="005C1721" w:rsidRDefault="005C1721">
          <w:pPr>
            <w:pStyle w:val="TOC2"/>
            <w:tabs>
              <w:tab w:val="right" w:leader="dot" w:pos="9350"/>
            </w:tabs>
            <w:rPr>
              <w:rFonts w:eastAsiaTheme="minorEastAsia"/>
              <w:noProof/>
              <w:kern w:val="2"/>
              <w:sz w:val="24"/>
              <w:szCs w:val="24"/>
              <w:lang w:eastAsia="en-GB"/>
              <w14:ligatures w14:val="standardContextual"/>
            </w:rPr>
          </w:pPr>
          <w:hyperlink w:anchor="_Toc203991945" w:history="1">
            <w:r w:rsidRPr="00B44D7A">
              <w:rPr>
                <w:rStyle w:val="Hyperlink"/>
                <w:rFonts w:eastAsia="Times New Roman"/>
                <w:noProof/>
                <w:lang w:val="en-US"/>
              </w:rPr>
              <w:t>2.3 Ethical Responsibilities of Business Leaders</w:t>
            </w:r>
            <w:r>
              <w:rPr>
                <w:noProof/>
                <w:webHidden/>
              </w:rPr>
              <w:tab/>
            </w:r>
            <w:r>
              <w:rPr>
                <w:noProof/>
                <w:webHidden/>
              </w:rPr>
              <w:fldChar w:fldCharType="begin"/>
            </w:r>
            <w:r>
              <w:rPr>
                <w:noProof/>
                <w:webHidden/>
              </w:rPr>
              <w:instrText xml:space="preserve"> PAGEREF _Toc203991945 \h </w:instrText>
            </w:r>
            <w:r>
              <w:rPr>
                <w:noProof/>
                <w:webHidden/>
              </w:rPr>
            </w:r>
            <w:r>
              <w:rPr>
                <w:noProof/>
                <w:webHidden/>
              </w:rPr>
              <w:fldChar w:fldCharType="separate"/>
            </w:r>
            <w:r>
              <w:rPr>
                <w:noProof/>
                <w:webHidden/>
              </w:rPr>
              <w:t>10</w:t>
            </w:r>
            <w:r>
              <w:rPr>
                <w:noProof/>
                <w:webHidden/>
              </w:rPr>
              <w:fldChar w:fldCharType="end"/>
            </w:r>
          </w:hyperlink>
        </w:p>
        <w:p w14:paraId="0F21302C" w14:textId="6D486575" w:rsidR="005C1721" w:rsidRDefault="005C1721">
          <w:pPr>
            <w:pStyle w:val="TOC2"/>
            <w:tabs>
              <w:tab w:val="right" w:leader="dot" w:pos="9350"/>
            </w:tabs>
            <w:rPr>
              <w:rFonts w:eastAsiaTheme="minorEastAsia"/>
              <w:noProof/>
              <w:kern w:val="2"/>
              <w:sz w:val="24"/>
              <w:szCs w:val="24"/>
              <w:lang w:eastAsia="en-GB"/>
              <w14:ligatures w14:val="standardContextual"/>
            </w:rPr>
          </w:pPr>
          <w:hyperlink w:anchor="_Toc203991946" w:history="1">
            <w:r w:rsidRPr="00B44D7A">
              <w:rPr>
                <w:rStyle w:val="Hyperlink"/>
                <w:rFonts w:eastAsia="Times New Roman"/>
                <w:noProof/>
                <w:lang w:val="en-US"/>
              </w:rPr>
              <w:t>2.4 Stakeholder Relationships and Climate Accountability</w:t>
            </w:r>
            <w:r>
              <w:rPr>
                <w:noProof/>
                <w:webHidden/>
              </w:rPr>
              <w:tab/>
            </w:r>
            <w:r>
              <w:rPr>
                <w:noProof/>
                <w:webHidden/>
              </w:rPr>
              <w:fldChar w:fldCharType="begin"/>
            </w:r>
            <w:r>
              <w:rPr>
                <w:noProof/>
                <w:webHidden/>
              </w:rPr>
              <w:instrText xml:space="preserve"> PAGEREF _Toc203991946 \h </w:instrText>
            </w:r>
            <w:r>
              <w:rPr>
                <w:noProof/>
                <w:webHidden/>
              </w:rPr>
            </w:r>
            <w:r>
              <w:rPr>
                <w:noProof/>
                <w:webHidden/>
              </w:rPr>
              <w:fldChar w:fldCharType="separate"/>
            </w:r>
            <w:r>
              <w:rPr>
                <w:noProof/>
                <w:webHidden/>
              </w:rPr>
              <w:t>11</w:t>
            </w:r>
            <w:r>
              <w:rPr>
                <w:noProof/>
                <w:webHidden/>
              </w:rPr>
              <w:fldChar w:fldCharType="end"/>
            </w:r>
          </w:hyperlink>
        </w:p>
        <w:p w14:paraId="0741B1A6" w14:textId="18B5280E" w:rsidR="005C1721" w:rsidRDefault="005C1721">
          <w:pPr>
            <w:pStyle w:val="TOC1"/>
            <w:tabs>
              <w:tab w:val="right" w:leader="dot" w:pos="9350"/>
            </w:tabs>
            <w:rPr>
              <w:rFonts w:eastAsiaTheme="minorEastAsia"/>
              <w:noProof/>
              <w:kern w:val="2"/>
              <w:sz w:val="24"/>
              <w:szCs w:val="24"/>
              <w:lang w:eastAsia="en-GB"/>
              <w14:ligatures w14:val="standardContextual"/>
            </w:rPr>
          </w:pPr>
          <w:hyperlink w:anchor="_Toc203991947" w:history="1">
            <w:r w:rsidRPr="00B44D7A">
              <w:rPr>
                <w:rStyle w:val="Hyperlink"/>
                <w:rFonts w:eastAsia="Times New Roman"/>
                <w:noProof/>
                <w:lang w:val="en-US"/>
              </w:rPr>
              <w:t>3.0 Conclusion</w:t>
            </w:r>
            <w:r>
              <w:rPr>
                <w:noProof/>
                <w:webHidden/>
              </w:rPr>
              <w:tab/>
            </w:r>
            <w:r>
              <w:rPr>
                <w:noProof/>
                <w:webHidden/>
              </w:rPr>
              <w:fldChar w:fldCharType="begin"/>
            </w:r>
            <w:r>
              <w:rPr>
                <w:noProof/>
                <w:webHidden/>
              </w:rPr>
              <w:instrText xml:space="preserve"> PAGEREF _Toc203991947 \h </w:instrText>
            </w:r>
            <w:r>
              <w:rPr>
                <w:noProof/>
                <w:webHidden/>
              </w:rPr>
            </w:r>
            <w:r>
              <w:rPr>
                <w:noProof/>
                <w:webHidden/>
              </w:rPr>
              <w:fldChar w:fldCharType="separate"/>
            </w:r>
            <w:r>
              <w:rPr>
                <w:noProof/>
                <w:webHidden/>
              </w:rPr>
              <w:t>13</w:t>
            </w:r>
            <w:r>
              <w:rPr>
                <w:noProof/>
                <w:webHidden/>
              </w:rPr>
              <w:fldChar w:fldCharType="end"/>
            </w:r>
          </w:hyperlink>
        </w:p>
        <w:p w14:paraId="7E48E07A" w14:textId="21326B98" w:rsidR="005C1721" w:rsidRDefault="005C1721">
          <w:pPr>
            <w:pStyle w:val="TOC1"/>
            <w:tabs>
              <w:tab w:val="right" w:leader="dot" w:pos="9350"/>
            </w:tabs>
            <w:rPr>
              <w:rFonts w:eastAsiaTheme="minorEastAsia"/>
              <w:noProof/>
              <w:kern w:val="2"/>
              <w:sz w:val="24"/>
              <w:szCs w:val="24"/>
              <w:lang w:eastAsia="en-GB"/>
              <w14:ligatures w14:val="standardContextual"/>
            </w:rPr>
          </w:pPr>
          <w:hyperlink w:anchor="_Toc203991948" w:history="1">
            <w:r w:rsidRPr="00B44D7A">
              <w:rPr>
                <w:rStyle w:val="Hyperlink"/>
                <w:rFonts w:eastAsia="DengXian Light"/>
                <w:noProof/>
                <w:lang w:val="en-US"/>
              </w:rPr>
              <w:t>4.0 References</w:t>
            </w:r>
            <w:r>
              <w:rPr>
                <w:noProof/>
                <w:webHidden/>
              </w:rPr>
              <w:tab/>
            </w:r>
            <w:r>
              <w:rPr>
                <w:noProof/>
                <w:webHidden/>
              </w:rPr>
              <w:fldChar w:fldCharType="begin"/>
            </w:r>
            <w:r>
              <w:rPr>
                <w:noProof/>
                <w:webHidden/>
              </w:rPr>
              <w:instrText xml:space="preserve"> PAGEREF _Toc203991948 \h </w:instrText>
            </w:r>
            <w:r>
              <w:rPr>
                <w:noProof/>
                <w:webHidden/>
              </w:rPr>
            </w:r>
            <w:r>
              <w:rPr>
                <w:noProof/>
                <w:webHidden/>
              </w:rPr>
              <w:fldChar w:fldCharType="separate"/>
            </w:r>
            <w:r>
              <w:rPr>
                <w:noProof/>
                <w:webHidden/>
              </w:rPr>
              <w:t>15</w:t>
            </w:r>
            <w:r>
              <w:rPr>
                <w:noProof/>
                <w:webHidden/>
              </w:rPr>
              <w:fldChar w:fldCharType="end"/>
            </w:r>
          </w:hyperlink>
        </w:p>
        <w:p w14:paraId="4CD8AAD8" w14:textId="5E05E1EF" w:rsidR="005C1721" w:rsidRDefault="005C1721">
          <w:pPr>
            <w:pStyle w:val="TOC1"/>
            <w:tabs>
              <w:tab w:val="right" w:leader="dot" w:pos="9350"/>
            </w:tabs>
            <w:rPr>
              <w:rFonts w:eastAsiaTheme="minorEastAsia"/>
              <w:noProof/>
              <w:kern w:val="2"/>
              <w:sz w:val="24"/>
              <w:szCs w:val="24"/>
              <w:lang w:eastAsia="en-GB"/>
              <w14:ligatures w14:val="standardContextual"/>
            </w:rPr>
          </w:pPr>
          <w:hyperlink w:anchor="_Toc203991949" w:history="1">
            <w:r w:rsidRPr="00B44D7A">
              <w:rPr>
                <w:rStyle w:val="Hyperlink"/>
                <w:rFonts w:eastAsia="DengXian Light"/>
                <w:noProof/>
                <w:lang w:val="en-US"/>
              </w:rPr>
              <w:t>5.0 Appendices</w:t>
            </w:r>
            <w:r>
              <w:rPr>
                <w:noProof/>
                <w:webHidden/>
              </w:rPr>
              <w:tab/>
            </w:r>
            <w:r>
              <w:rPr>
                <w:noProof/>
                <w:webHidden/>
              </w:rPr>
              <w:fldChar w:fldCharType="begin"/>
            </w:r>
            <w:r>
              <w:rPr>
                <w:noProof/>
                <w:webHidden/>
              </w:rPr>
              <w:instrText xml:space="preserve"> PAGEREF _Toc203991949 \h </w:instrText>
            </w:r>
            <w:r>
              <w:rPr>
                <w:noProof/>
                <w:webHidden/>
              </w:rPr>
            </w:r>
            <w:r>
              <w:rPr>
                <w:noProof/>
                <w:webHidden/>
              </w:rPr>
              <w:fldChar w:fldCharType="separate"/>
            </w:r>
            <w:r>
              <w:rPr>
                <w:noProof/>
                <w:webHidden/>
              </w:rPr>
              <w:t>20</w:t>
            </w:r>
            <w:r>
              <w:rPr>
                <w:noProof/>
                <w:webHidden/>
              </w:rPr>
              <w:fldChar w:fldCharType="end"/>
            </w:r>
          </w:hyperlink>
        </w:p>
        <w:p w14:paraId="2F1F0A7E" w14:textId="3D85B989" w:rsidR="005C1721" w:rsidRDefault="005C1721">
          <w:pPr>
            <w:pStyle w:val="TOC2"/>
            <w:tabs>
              <w:tab w:val="right" w:leader="dot" w:pos="9350"/>
            </w:tabs>
            <w:rPr>
              <w:rFonts w:eastAsiaTheme="minorEastAsia"/>
              <w:noProof/>
              <w:kern w:val="2"/>
              <w:sz w:val="24"/>
              <w:szCs w:val="24"/>
              <w:lang w:eastAsia="en-GB"/>
              <w14:ligatures w14:val="standardContextual"/>
            </w:rPr>
          </w:pPr>
          <w:hyperlink w:anchor="_Toc203991950" w:history="1">
            <w:r w:rsidRPr="00B44D7A">
              <w:rPr>
                <w:rStyle w:val="Hyperlink"/>
                <w:rFonts w:ascii="Calibri" w:eastAsia="Times New Roman" w:hAnsi="Calibri" w:cs="Calibri"/>
                <w:b/>
                <w:bCs/>
                <w:noProof/>
                <w:lang w:val="en-US"/>
              </w:rPr>
              <w:t>Appendix 1: Cultural Factors and Sustainability Strategy</w:t>
            </w:r>
            <w:r>
              <w:rPr>
                <w:noProof/>
                <w:webHidden/>
              </w:rPr>
              <w:tab/>
            </w:r>
            <w:r>
              <w:rPr>
                <w:noProof/>
                <w:webHidden/>
              </w:rPr>
              <w:fldChar w:fldCharType="begin"/>
            </w:r>
            <w:r>
              <w:rPr>
                <w:noProof/>
                <w:webHidden/>
              </w:rPr>
              <w:instrText xml:space="preserve"> PAGEREF _Toc203991950 \h </w:instrText>
            </w:r>
            <w:r>
              <w:rPr>
                <w:noProof/>
                <w:webHidden/>
              </w:rPr>
            </w:r>
            <w:r>
              <w:rPr>
                <w:noProof/>
                <w:webHidden/>
              </w:rPr>
              <w:fldChar w:fldCharType="separate"/>
            </w:r>
            <w:r>
              <w:rPr>
                <w:noProof/>
                <w:webHidden/>
              </w:rPr>
              <w:t>20</w:t>
            </w:r>
            <w:r>
              <w:rPr>
                <w:noProof/>
                <w:webHidden/>
              </w:rPr>
              <w:fldChar w:fldCharType="end"/>
            </w:r>
          </w:hyperlink>
        </w:p>
        <w:p w14:paraId="54E25E70" w14:textId="76BF8D0D" w:rsidR="005C1721" w:rsidRDefault="005C1721">
          <w:pPr>
            <w:pStyle w:val="TOC2"/>
            <w:tabs>
              <w:tab w:val="right" w:leader="dot" w:pos="9350"/>
            </w:tabs>
            <w:rPr>
              <w:rFonts w:eastAsiaTheme="minorEastAsia"/>
              <w:noProof/>
              <w:kern w:val="2"/>
              <w:sz w:val="24"/>
              <w:szCs w:val="24"/>
              <w:lang w:eastAsia="en-GB"/>
              <w14:ligatures w14:val="standardContextual"/>
            </w:rPr>
          </w:pPr>
          <w:hyperlink w:anchor="_Toc203991951" w:history="1">
            <w:r w:rsidRPr="00B44D7A">
              <w:rPr>
                <w:rStyle w:val="Hyperlink"/>
                <w:rFonts w:ascii="Calibri" w:eastAsia="Times New Roman" w:hAnsi="Calibri" w:cs="Calibri"/>
                <w:b/>
                <w:bCs/>
                <w:noProof/>
                <w:lang w:val="en-US"/>
              </w:rPr>
              <w:t>Appendix 2: Stakeholder Roles in Climate Strategy</w:t>
            </w:r>
            <w:r>
              <w:rPr>
                <w:noProof/>
                <w:webHidden/>
              </w:rPr>
              <w:tab/>
            </w:r>
            <w:r>
              <w:rPr>
                <w:noProof/>
                <w:webHidden/>
              </w:rPr>
              <w:fldChar w:fldCharType="begin"/>
            </w:r>
            <w:r>
              <w:rPr>
                <w:noProof/>
                <w:webHidden/>
              </w:rPr>
              <w:instrText xml:space="preserve"> PAGEREF _Toc203991951 \h </w:instrText>
            </w:r>
            <w:r>
              <w:rPr>
                <w:noProof/>
                <w:webHidden/>
              </w:rPr>
            </w:r>
            <w:r>
              <w:rPr>
                <w:noProof/>
                <w:webHidden/>
              </w:rPr>
              <w:fldChar w:fldCharType="separate"/>
            </w:r>
            <w:r>
              <w:rPr>
                <w:noProof/>
                <w:webHidden/>
              </w:rPr>
              <w:t>20</w:t>
            </w:r>
            <w:r>
              <w:rPr>
                <w:noProof/>
                <w:webHidden/>
              </w:rPr>
              <w:fldChar w:fldCharType="end"/>
            </w:r>
          </w:hyperlink>
        </w:p>
        <w:p w14:paraId="0B4DC04A" w14:textId="01177FB6" w:rsidR="005C1721" w:rsidRDefault="005C1721">
          <w:pPr>
            <w:pStyle w:val="TOC2"/>
            <w:tabs>
              <w:tab w:val="right" w:leader="dot" w:pos="9350"/>
            </w:tabs>
            <w:rPr>
              <w:rFonts w:eastAsiaTheme="minorEastAsia"/>
              <w:noProof/>
              <w:kern w:val="2"/>
              <w:sz w:val="24"/>
              <w:szCs w:val="24"/>
              <w:lang w:eastAsia="en-GB"/>
              <w14:ligatures w14:val="standardContextual"/>
            </w:rPr>
          </w:pPr>
          <w:hyperlink w:anchor="_Toc203991952" w:history="1">
            <w:r w:rsidRPr="00B44D7A">
              <w:rPr>
                <w:rStyle w:val="Hyperlink"/>
                <w:rFonts w:ascii="Calibri" w:eastAsia="Times New Roman" w:hAnsi="Calibri" w:cs="Calibri"/>
                <w:b/>
                <w:bCs/>
                <w:noProof/>
                <w:lang w:val="en-US"/>
              </w:rPr>
              <w:t>Appendix 3: ESG Factors and M&amp;S Responses</w:t>
            </w:r>
            <w:r>
              <w:rPr>
                <w:noProof/>
                <w:webHidden/>
              </w:rPr>
              <w:tab/>
            </w:r>
            <w:r>
              <w:rPr>
                <w:noProof/>
                <w:webHidden/>
              </w:rPr>
              <w:fldChar w:fldCharType="begin"/>
            </w:r>
            <w:r>
              <w:rPr>
                <w:noProof/>
                <w:webHidden/>
              </w:rPr>
              <w:instrText xml:space="preserve"> PAGEREF _Toc203991952 \h </w:instrText>
            </w:r>
            <w:r>
              <w:rPr>
                <w:noProof/>
                <w:webHidden/>
              </w:rPr>
            </w:r>
            <w:r>
              <w:rPr>
                <w:noProof/>
                <w:webHidden/>
              </w:rPr>
              <w:fldChar w:fldCharType="separate"/>
            </w:r>
            <w:r>
              <w:rPr>
                <w:noProof/>
                <w:webHidden/>
              </w:rPr>
              <w:t>20</w:t>
            </w:r>
            <w:r>
              <w:rPr>
                <w:noProof/>
                <w:webHidden/>
              </w:rPr>
              <w:fldChar w:fldCharType="end"/>
            </w:r>
          </w:hyperlink>
        </w:p>
        <w:p w14:paraId="40D682F1" w14:textId="5DF15816" w:rsidR="005C1721" w:rsidRDefault="005C1721">
          <w:pPr>
            <w:pStyle w:val="TOC2"/>
            <w:tabs>
              <w:tab w:val="right" w:leader="dot" w:pos="9350"/>
            </w:tabs>
            <w:rPr>
              <w:rFonts w:eastAsiaTheme="minorEastAsia"/>
              <w:noProof/>
              <w:kern w:val="2"/>
              <w:sz w:val="24"/>
              <w:szCs w:val="24"/>
              <w:lang w:eastAsia="en-GB"/>
              <w14:ligatures w14:val="standardContextual"/>
            </w:rPr>
          </w:pPr>
          <w:hyperlink w:anchor="_Toc203991953" w:history="1">
            <w:r w:rsidRPr="00B44D7A">
              <w:rPr>
                <w:rStyle w:val="Hyperlink"/>
                <w:rFonts w:ascii="Calibri" w:eastAsia="Times New Roman" w:hAnsi="Calibri" w:cs="Calibri"/>
                <w:b/>
                <w:bCs/>
                <w:noProof/>
                <w:lang w:val="en-US"/>
              </w:rPr>
              <w:t>Appendix 4: M&amp;S Profit Performance Over Time</w:t>
            </w:r>
            <w:r>
              <w:rPr>
                <w:noProof/>
                <w:webHidden/>
              </w:rPr>
              <w:tab/>
            </w:r>
            <w:r>
              <w:rPr>
                <w:noProof/>
                <w:webHidden/>
              </w:rPr>
              <w:fldChar w:fldCharType="begin"/>
            </w:r>
            <w:r>
              <w:rPr>
                <w:noProof/>
                <w:webHidden/>
              </w:rPr>
              <w:instrText xml:space="preserve"> PAGEREF _Toc203991953 \h </w:instrText>
            </w:r>
            <w:r>
              <w:rPr>
                <w:noProof/>
                <w:webHidden/>
              </w:rPr>
            </w:r>
            <w:r>
              <w:rPr>
                <w:noProof/>
                <w:webHidden/>
              </w:rPr>
              <w:fldChar w:fldCharType="separate"/>
            </w:r>
            <w:r>
              <w:rPr>
                <w:noProof/>
                <w:webHidden/>
              </w:rPr>
              <w:t>21</w:t>
            </w:r>
            <w:r>
              <w:rPr>
                <w:noProof/>
                <w:webHidden/>
              </w:rPr>
              <w:fldChar w:fldCharType="end"/>
            </w:r>
          </w:hyperlink>
        </w:p>
        <w:p w14:paraId="006A29E7" w14:textId="71C41A98" w:rsidR="005C1721" w:rsidRDefault="005C1721">
          <w:pPr>
            <w:pStyle w:val="TOC2"/>
            <w:tabs>
              <w:tab w:val="right" w:leader="dot" w:pos="9350"/>
            </w:tabs>
            <w:rPr>
              <w:rFonts w:eastAsiaTheme="minorEastAsia"/>
              <w:noProof/>
              <w:kern w:val="2"/>
              <w:sz w:val="24"/>
              <w:szCs w:val="24"/>
              <w:lang w:eastAsia="en-GB"/>
              <w14:ligatures w14:val="standardContextual"/>
            </w:rPr>
          </w:pPr>
          <w:hyperlink w:anchor="_Toc203991954" w:history="1">
            <w:r w:rsidRPr="00B44D7A">
              <w:rPr>
                <w:rStyle w:val="Hyperlink"/>
                <w:rFonts w:ascii="Calibri" w:eastAsia="Times New Roman" w:hAnsi="Calibri" w:cs="Calibri"/>
                <w:b/>
                <w:bCs/>
                <w:noProof/>
                <w:lang w:val="en-US"/>
              </w:rPr>
              <w:t>Appendix 5: Supply Chain Climate Risks and Interventions</w:t>
            </w:r>
            <w:r>
              <w:rPr>
                <w:noProof/>
                <w:webHidden/>
              </w:rPr>
              <w:tab/>
            </w:r>
            <w:r>
              <w:rPr>
                <w:noProof/>
                <w:webHidden/>
              </w:rPr>
              <w:fldChar w:fldCharType="begin"/>
            </w:r>
            <w:r>
              <w:rPr>
                <w:noProof/>
                <w:webHidden/>
              </w:rPr>
              <w:instrText xml:space="preserve"> PAGEREF _Toc203991954 \h </w:instrText>
            </w:r>
            <w:r>
              <w:rPr>
                <w:noProof/>
                <w:webHidden/>
              </w:rPr>
            </w:r>
            <w:r>
              <w:rPr>
                <w:noProof/>
                <w:webHidden/>
              </w:rPr>
              <w:fldChar w:fldCharType="separate"/>
            </w:r>
            <w:r>
              <w:rPr>
                <w:noProof/>
                <w:webHidden/>
              </w:rPr>
              <w:t>21</w:t>
            </w:r>
            <w:r>
              <w:rPr>
                <w:noProof/>
                <w:webHidden/>
              </w:rPr>
              <w:fldChar w:fldCharType="end"/>
            </w:r>
          </w:hyperlink>
        </w:p>
        <w:p w14:paraId="03D627F0" w14:textId="46357CF7" w:rsidR="005C1721" w:rsidRDefault="005C1721">
          <w:pPr>
            <w:pStyle w:val="TOC2"/>
            <w:tabs>
              <w:tab w:val="right" w:leader="dot" w:pos="9350"/>
            </w:tabs>
            <w:rPr>
              <w:rFonts w:eastAsiaTheme="minorEastAsia"/>
              <w:noProof/>
              <w:kern w:val="2"/>
              <w:sz w:val="24"/>
              <w:szCs w:val="24"/>
              <w:lang w:eastAsia="en-GB"/>
              <w14:ligatures w14:val="standardContextual"/>
            </w:rPr>
          </w:pPr>
          <w:hyperlink w:anchor="_Toc203991955" w:history="1">
            <w:r w:rsidRPr="00B44D7A">
              <w:rPr>
                <w:rStyle w:val="Hyperlink"/>
                <w:rFonts w:ascii="Calibri" w:eastAsia="Times New Roman" w:hAnsi="Calibri" w:cs="Calibri"/>
                <w:b/>
                <w:bCs/>
                <w:noProof/>
                <w:lang w:val="en-US"/>
              </w:rPr>
              <w:t>Appendix 6: Dynamic Capabilities Supporting Climate Strategy</w:t>
            </w:r>
            <w:r>
              <w:rPr>
                <w:noProof/>
                <w:webHidden/>
              </w:rPr>
              <w:tab/>
            </w:r>
            <w:r>
              <w:rPr>
                <w:noProof/>
                <w:webHidden/>
              </w:rPr>
              <w:fldChar w:fldCharType="begin"/>
            </w:r>
            <w:r>
              <w:rPr>
                <w:noProof/>
                <w:webHidden/>
              </w:rPr>
              <w:instrText xml:space="preserve"> PAGEREF _Toc203991955 \h </w:instrText>
            </w:r>
            <w:r>
              <w:rPr>
                <w:noProof/>
                <w:webHidden/>
              </w:rPr>
            </w:r>
            <w:r>
              <w:rPr>
                <w:noProof/>
                <w:webHidden/>
              </w:rPr>
              <w:fldChar w:fldCharType="separate"/>
            </w:r>
            <w:r>
              <w:rPr>
                <w:noProof/>
                <w:webHidden/>
              </w:rPr>
              <w:t>22</w:t>
            </w:r>
            <w:r>
              <w:rPr>
                <w:noProof/>
                <w:webHidden/>
              </w:rPr>
              <w:fldChar w:fldCharType="end"/>
            </w:r>
          </w:hyperlink>
        </w:p>
        <w:p w14:paraId="49C6CB53" w14:textId="036D39A8" w:rsidR="005C1721" w:rsidRDefault="005C1721">
          <w:pPr>
            <w:pStyle w:val="TOC2"/>
            <w:tabs>
              <w:tab w:val="right" w:leader="dot" w:pos="9350"/>
            </w:tabs>
            <w:rPr>
              <w:rFonts w:eastAsiaTheme="minorEastAsia"/>
              <w:noProof/>
              <w:kern w:val="2"/>
              <w:sz w:val="24"/>
              <w:szCs w:val="24"/>
              <w:lang w:eastAsia="en-GB"/>
              <w14:ligatures w14:val="standardContextual"/>
            </w:rPr>
          </w:pPr>
          <w:hyperlink w:anchor="_Toc203991956" w:history="1">
            <w:r w:rsidRPr="00B44D7A">
              <w:rPr>
                <w:rStyle w:val="Hyperlink"/>
                <w:rFonts w:ascii="Calibri" w:eastAsia="Times New Roman" w:hAnsi="Calibri" w:cs="Calibri"/>
                <w:b/>
                <w:bCs/>
                <w:noProof/>
                <w:lang w:val="en-US"/>
              </w:rPr>
              <w:t>Appendix 7: M&amp;S Communication Channels for Climate Action</w:t>
            </w:r>
            <w:r>
              <w:rPr>
                <w:noProof/>
                <w:webHidden/>
              </w:rPr>
              <w:tab/>
            </w:r>
            <w:r>
              <w:rPr>
                <w:noProof/>
                <w:webHidden/>
              </w:rPr>
              <w:fldChar w:fldCharType="begin"/>
            </w:r>
            <w:r>
              <w:rPr>
                <w:noProof/>
                <w:webHidden/>
              </w:rPr>
              <w:instrText xml:space="preserve"> PAGEREF _Toc203991956 \h </w:instrText>
            </w:r>
            <w:r>
              <w:rPr>
                <w:noProof/>
                <w:webHidden/>
              </w:rPr>
            </w:r>
            <w:r>
              <w:rPr>
                <w:noProof/>
                <w:webHidden/>
              </w:rPr>
              <w:fldChar w:fldCharType="separate"/>
            </w:r>
            <w:r>
              <w:rPr>
                <w:noProof/>
                <w:webHidden/>
              </w:rPr>
              <w:t>22</w:t>
            </w:r>
            <w:r>
              <w:rPr>
                <w:noProof/>
                <w:webHidden/>
              </w:rPr>
              <w:fldChar w:fldCharType="end"/>
            </w:r>
          </w:hyperlink>
        </w:p>
        <w:p w14:paraId="6A7309C5" w14:textId="6FAC2868" w:rsidR="005C1721" w:rsidRDefault="005C1721">
          <w:pPr>
            <w:pStyle w:val="TOC2"/>
            <w:tabs>
              <w:tab w:val="right" w:leader="dot" w:pos="9350"/>
            </w:tabs>
            <w:rPr>
              <w:rFonts w:eastAsiaTheme="minorEastAsia"/>
              <w:noProof/>
              <w:kern w:val="2"/>
              <w:sz w:val="24"/>
              <w:szCs w:val="24"/>
              <w:lang w:eastAsia="en-GB"/>
              <w14:ligatures w14:val="standardContextual"/>
            </w:rPr>
          </w:pPr>
          <w:hyperlink w:anchor="_Toc203991957" w:history="1">
            <w:r w:rsidRPr="00B44D7A">
              <w:rPr>
                <w:rStyle w:val="Hyperlink"/>
                <w:rFonts w:ascii="Calibri" w:eastAsia="Times New Roman" w:hAnsi="Calibri" w:cs="Calibri"/>
                <w:b/>
                <w:bCs/>
                <w:noProof/>
                <w:lang w:val="en-US"/>
              </w:rPr>
              <w:t>Appendix 8: Theoretical Frameworks Supporting Leadership &amp; Change</w:t>
            </w:r>
            <w:r>
              <w:rPr>
                <w:noProof/>
                <w:webHidden/>
              </w:rPr>
              <w:tab/>
            </w:r>
            <w:r>
              <w:rPr>
                <w:noProof/>
                <w:webHidden/>
              </w:rPr>
              <w:fldChar w:fldCharType="begin"/>
            </w:r>
            <w:r>
              <w:rPr>
                <w:noProof/>
                <w:webHidden/>
              </w:rPr>
              <w:instrText xml:space="preserve"> PAGEREF _Toc203991957 \h </w:instrText>
            </w:r>
            <w:r>
              <w:rPr>
                <w:noProof/>
                <w:webHidden/>
              </w:rPr>
            </w:r>
            <w:r>
              <w:rPr>
                <w:noProof/>
                <w:webHidden/>
              </w:rPr>
              <w:fldChar w:fldCharType="separate"/>
            </w:r>
            <w:r>
              <w:rPr>
                <w:noProof/>
                <w:webHidden/>
              </w:rPr>
              <w:t>22</w:t>
            </w:r>
            <w:r>
              <w:rPr>
                <w:noProof/>
                <w:webHidden/>
              </w:rPr>
              <w:fldChar w:fldCharType="end"/>
            </w:r>
          </w:hyperlink>
        </w:p>
        <w:p w14:paraId="064C6BA7" w14:textId="5A4ACA9E" w:rsidR="003A3D37" w:rsidRPr="003A3D37" w:rsidRDefault="003A3D37" w:rsidP="003A3D37">
          <w:pPr>
            <w:spacing w:after="0" w:line="360" w:lineRule="auto"/>
            <w:rPr>
              <w:rFonts w:ascii="Calibri" w:eastAsia="Calibri" w:hAnsi="Calibri" w:cs="Calibri"/>
              <w:color w:val="000000"/>
              <w:sz w:val="24"/>
              <w:szCs w:val="24"/>
              <w:lang w:val="en-US"/>
            </w:rPr>
          </w:pPr>
          <w:r w:rsidRPr="003A3D37">
            <w:rPr>
              <w:rFonts w:ascii="Calibri" w:eastAsia="Calibri" w:hAnsi="Calibri" w:cs="Calibri"/>
              <w:b/>
              <w:bCs/>
              <w:noProof/>
              <w:color w:val="000000"/>
              <w:sz w:val="24"/>
              <w:szCs w:val="24"/>
              <w:lang w:val="en-US"/>
            </w:rPr>
            <w:fldChar w:fldCharType="end"/>
          </w:r>
        </w:p>
      </w:sdtContent>
    </w:sdt>
    <w:p w14:paraId="3CCA8942" w14:textId="77777777" w:rsidR="003A3D37" w:rsidRPr="003A3D37" w:rsidRDefault="003A3D37" w:rsidP="003A3D37">
      <w:pPr>
        <w:spacing w:after="0" w:line="360" w:lineRule="auto"/>
        <w:rPr>
          <w:rFonts w:ascii="Calibri" w:eastAsia="DengXian Light" w:hAnsi="Calibri" w:cs="Calibri"/>
          <w:b/>
          <w:bCs/>
          <w:color w:val="000000"/>
          <w:sz w:val="24"/>
          <w:szCs w:val="24"/>
          <w:lang w:val="en-US"/>
        </w:rPr>
      </w:pPr>
      <w:r w:rsidRPr="003A3D37">
        <w:rPr>
          <w:rFonts w:ascii="Calibri" w:eastAsia="DengXian Light" w:hAnsi="Calibri" w:cs="Calibri"/>
          <w:b/>
          <w:bCs/>
          <w:color w:val="000000"/>
          <w:sz w:val="24"/>
          <w:szCs w:val="24"/>
          <w:lang w:val="en-US"/>
        </w:rPr>
        <w:br w:type="page"/>
      </w:r>
    </w:p>
    <w:p w14:paraId="41008D88" w14:textId="77777777" w:rsidR="003A3D37" w:rsidRPr="003A3D37" w:rsidRDefault="003A3D37" w:rsidP="003A3D37">
      <w:pPr>
        <w:tabs>
          <w:tab w:val="right" w:leader="dot" w:pos="9350"/>
        </w:tabs>
        <w:spacing w:after="0" w:line="360" w:lineRule="auto"/>
        <w:rPr>
          <w:rFonts w:ascii="Calibri" w:eastAsia="DengXian Light" w:hAnsi="Calibri" w:cs="Calibri"/>
          <w:b/>
          <w:bCs/>
          <w:color w:val="000000"/>
          <w:sz w:val="24"/>
          <w:szCs w:val="24"/>
          <w:lang w:val="en-US"/>
        </w:rPr>
      </w:pPr>
    </w:p>
    <w:p w14:paraId="4D426B1B" w14:textId="77777777" w:rsidR="003A3D37" w:rsidRPr="003A3D37" w:rsidRDefault="003A3D37" w:rsidP="003A3D37">
      <w:pPr>
        <w:tabs>
          <w:tab w:val="right" w:leader="dot" w:pos="9350"/>
        </w:tabs>
        <w:spacing w:after="0" w:line="360" w:lineRule="auto"/>
        <w:jc w:val="center"/>
        <w:rPr>
          <w:rFonts w:ascii="Calibri" w:eastAsia="DengXian Light" w:hAnsi="Calibri" w:cs="Calibri"/>
          <w:b/>
          <w:bCs/>
          <w:color w:val="000000"/>
          <w:sz w:val="24"/>
          <w:szCs w:val="24"/>
          <w:lang w:val="en-US"/>
        </w:rPr>
      </w:pPr>
      <w:r w:rsidRPr="003A3D37">
        <w:rPr>
          <w:rFonts w:ascii="Calibri" w:eastAsia="DengXian Light" w:hAnsi="Calibri" w:cs="Calibri"/>
          <w:b/>
          <w:bCs/>
          <w:color w:val="000000"/>
          <w:sz w:val="24"/>
          <w:szCs w:val="24"/>
          <w:lang w:val="en-US"/>
        </w:rPr>
        <w:t>List of Tables</w:t>
      </w:r>
    </w:p>
    <w:p w14:paraId="0813B657" w14:textId="77777777" w:rsidR="003A3D37" w:rsidRPr="003A3D37" w:rsidRDefault="003A3D37" w:rsidP="003A3D37">
      <w:pPr>
        <w:tabs>
          <w:tab w:val="right" w:leader="dot" w:pos="9350"/>
        </w:tabs>
        <w:spacing w:after="0" w:line="360" w:lineRule="auto"/>
        <w:rPr>
          <w:rFonts w:ascii="Calibri" w:eastAsia="Calibri" w:hAnsi="Calibri" w:cs="Calibri"/>
          <w:noProof/>
          <w:color w:val="000000"/>
          <w:sz w:val="24"/>
          <w:szCs w:val="24"/>
          <w:lang w:val="en-US"/>
        </w:rPr>
      </w:pPr>
      <w:r w:rsidRPr="003A3D37">
        <w:rPr>
          <w:rFonts w:ascii="Calibri" w:eastAsia="DengXian Light" w:hAnsi="Calibri" w:cs="Calibri"/>
          <w:b/>
          <w:bCs/>
          <w:color w:val="000000"/>
          <w:sz w:val="24"/>
          <w:szCs w:val="24"/>
          <w:lang w:val="en-US"/>
        </w:rPr>
        <w:fldChar w:fldCharType="begin"/>
      </w:r>
      <w:r w:rsidRPr="003A3D37">
        <w:rPr>
          <w:rFonts w:ascii="Calibri" w:eastAsia="DengXian Light" w:hAnsi="Calibri" w:cs="Calibri"/>
          <w:b/>
          <w:bCs/>
          <w:color w:val="000000"/>
          <w:sz w:val="24"/>
          <w:szCs w:val="24"/>
          <w:lang w:val="en-US"/>
        </w:rPr>
        <w:instrText xml:space="preserve"> TOC \h \z \c "Table" </w:instrText>
      </w:r>
      <w:r w:rsidRPr="003A3D37">
        <w:rPr>
          <w:rFonts w:ascii="Calibri" w:eastAsia="DengXian Light" w:hAnsi="Calibri" w:cs="Calibri"/>
          <w:b/>
          <w:bCs/>
          <w:color w:val="000000"/>
          <w:sz w:val="24"/>
          <w:szCs w:val="24"/>
          <w:lang w:val="en-US"/>
        </w:rPr>
        <w:fldChar w:fldCharType="separate"/>
      </w:r>
      <w:hyperlink w:anchor="_Toc203776799" w:history="1">
        <w:r w:rsidRPr="003A3D37">
          <w:rPr>
            <w:rFonts w:ascii="Calibri" w:eastAsia="Calibri" w:hAnsi="Calibri" w:cs="Calibri"/>
            <w:noProof/>
            <w:color w:val="000000"/>
            <w:sz w:val="24"/>
            <w:szCs w:val="24"/>
            <w:u w:val="single"/>
            <w:lang w:val="en-US"/>
          </w:rPr>
          <w:t>Table 1 Strategic Climate Leadership Factors at M&amp;S</w:t>
        </w:r>
        <w:r w:rsidRPr="003A3D37">
          <w:rPr>
            <w:rFonts w:ascii="Calibri" w:eastAsia="Calibri" w:hAnsi="Calibri" w:cs="Calibri"/>
            <w:noProof/>
            <w:webHidden/>
            <w:color w:val="000000"/>
            <w:sz w:val="24"/>
            <w:szCs w:val="24"/>
            <w:lang w:val="en-US"/>
          </w:rPr>
          <w:tab/>
        </w:r>
        <w:r w:rsidRPr="003A3D37">
          <w:rPr>
            <w:rFonts w:ascii="Calibri" w:eastAsia="Calibri" w:hAnsi="Calibri" w:cs="Calibri"/>
            <w:noProof/>
            <w:webHidden/>
            <w:color w:val="000000"/>
            <w:sz w:val="24"/>
            <w:szCs w:val="24"/>
            <w:lang w:val="en-US"/>
          </w:rPr>
          <w:fldChar w:fldCharType="begin"/>
        </w:r>
        <w:r w:rsidRPr="003A3D37">
          <w:rPr>
            <w:rFonts w:ascii="Calibri" w:eastAsia="Calibri" w:hAnsi="Calibri" w:cs="Calibri"/>
            <w:noProof/>
            <w:webHidden/>
            <w:color w:val="000000"/>
            <w:sz w:val="24"/>
            <w:szCs w:val="24"/>
            <w:lang w:val="en-US"/>
          </w:rPr>
          <w:instrText xml:space="preserve"> PAGEREF _Toc203776799 \h </w:instrText>
        </w:r>
        <w:r w:rsidRPr="003A3D37">
          <w:rPr>
            <w:rFonts w:ascii="Calibri" w:eastAsia="Calibri" w:hAnsi="Calibri" w:cs="Calibri"/>
            <w:noProof/>
            <w:webHidden/>
            <w:color w:val="000000"/>
            <w:sz w:val="24"/>
            <w:szCs w:val="24"/>
            <w:lang w:val="en-US"/>
          </w:rPr>
        </w:r>
        <w:r w:rsidRPr="003A3D37">
          <w:rPr>
            <w:rFonts w:ascii="Calibri" w:eastAsia="Calibri" w:hAnsi="Calibri" w:cs="Calibri"/>
            <w:noProof/>
            <w:webHidden/>
            <w:color w:val="000000"/>
            <w:sz w:val="24"/>
            <w:szCs w:val="24"/>
            <w:lang w:val="en-US"/>
          </w:rPr>
          <w:fldChar w:fldCharType="separate"/>
        </w:r>
        <w:r w:rsidRPr="003A3D37">
          <w:rPr>
            <w:rFonts w:ascii="Calibri" w:eastAsia="Calibri" w:hAnsi="Calibri" w:cs="Calibri"/>
            <w:noProof/>
            <w:webHidden/>
            <w:color w:val="000000"/>
            <w:sz w:val="24"/>
            <w:szCs w:val="24"/>
            <w:lang w:val="en-US"/>
          </w:rPr>
          <w:t>7</w:t>
        </w:r>
        <w:r w:rsidRPr="003A3D37">
          <w:rPr>
            <w:rFonts w:ascii="Calibri" w:eastAsia="Calibri" w:hAnsi="Calibri" w:cs="Calibri"/>
            <w:noProof/>
            <w:webHidden/>
            <w:color w:val="000000"/>
            <w:sz w:val="24"/>
            <w:szCs w:val="24"/>
            <w:lang w:val="en-US"/>
          </w:rPr>
          <w:fldChar w:fldCharType="end"/>
        </w:r>
      </w:hyperlink>
    </w:p>
    <w:p w14:paraId="7746DEAD" w14:textId="77777777" w:rsidR="003A3D37" w:rsidRPr="003A3D37" w:rsidRDefault="003A3D37" w:rsidP="003A3D37">
      <w:pPr>
        <w:tabs>
          <w:tab w:val="right" w:leader="dot" w:pos="9350"/>
        </w:tabs>
        <w:spacing w:after="0" w:line="360" w:lineRule="auto"/>
        <w:rPr>
          <w:rFonts w:ascii="Calibri" w:eastAsia="Calibri" w:hAnsi="Calibri" w:cs="Calibri"/>
          <w:noProof/>
          <w:color w:val="000000"/>
          <w:sz w:val="24"/>
          <w:szCs w:val="24"/>
          <w:lang w:val="en-US"/>
        </w:rPr>
      </w:pPr>
      <w:hyperlink w:anchor="_Toc203776800" w:history="1">
        <w:r w:rsidRPr="003A3D37">
          <w:rPr>
            <w:rFonts w:ascii="Calibri" w:eastAsia="Calibri" w:hAnsi="Calibri" w:cs="Calibri"/>
            <w:noProof/>
            <w:color w:val="000000"/>
            <w:sz w:val="24"/>
            <w:szCs w:val="24"/>
            <w:u w:val="single"/>
            <w:lang w:val="en-US"/>
          </w:rPr>
          <w:t>Table 2 Structural and Strategic Barriers to M&amp;S Climate Leadership</w:t>
        </w:r>
        <w:r w:rsidRPr="003A3D37">
          <w:rPr>
            <w:rFonts w:ascii="Calibri" w:eastAsia="Calibri" w:hAnsi="Calibri" w:cs="Calibri"/>
            <w:noProof/>
            <w:webHidden/>
            <w:color w:val="000000"/>
            <w:sz w:val="24"/>
            <w:szCs w:val="24"/>
            <w:lang w:val="en-US"/>
          </w:rPr>
          <w:tab/>
        </w:r>
        <w:r w:rsidRPr="003A3D37">
          <w:rPr>
            <w:rFonts w:ascii="Calibri" w:eastAsia="Calibri" w:hAnsi="Calibri" w:cs="Calibri"/>
            <w:noProof/>
            <w:webHidden/>
            <w:color w:val="000000"/>
            <w:sz w:val="24"/>
            <w:szCs w:val="24"/>
            <w:lang w:val="en-US"/>
          </w:rPr>
          <w:fldChar w:fldCharType="begin"/>
        </w:r>
        <w:r w:rsidRPr="003A3D37">
          <w:rPr>
            <w:rFonts w:ascii="Calibri" w:eastAsia="Calibri" w:hAnsi="Calibri" w:cs="Calibri"/>
            <w:noProof/>
            <w:webHidden/>
            <w:color w:val="000000"/>
            <w:sz w:val="24"/>
            <w:szCs w:val="24"/>
            <w:lang w:val="en-US"/>
          </w:rPr>
          <w:instrText xml:space="preserve"> PAGEREF _Toc203776800 \h </w:instrText>
        </w:r>
        <w:r w:rsidRPr="003A3D37">
          <w:rPr>
            <w:rFonts w:ascii="Calibri" w:eastAsia="Calibri" w:hAnsi="Calibri" w:cs="Calibri"/>
            <w:noProof/>
            <w:webHidden/>
            <w:color w:val="000000"/>
            <w:sz w:val="24"/>
            <w:szCs w:val="24"/>
            <w:lang w:val="en-US"/>
          </w:rPr>
        </w:r>
        <w:r w:rsidRPr="003A3D37">
          <w:rPr>
            <w:rFonts w:ascii="Calibri" w:eastAsia="Calibri" w:hAnsi="Calibri" w:cs="Calibri"/>
            <w:noProof/>
            <w:webHidden/>
            <w:color w:val="000000"/>
            <w:sz w:val="24"/>
            <w:szCs w:val="24"/>
            <w:lang w:val="en-US"/>
          </w:rPr>
          <w:fldChar w:fldCharType="separate"/>
        </w:r>
        <w:r w:rsidRPr="003A3D37">
          <w:rPr>
            <w:rFonts w:ascii="Calibri" w:eastAsia="Calibri" w:hAnsi="Calibri" w:cs="Calibri"/>
            <w:noProof/>
            <w:webHidden/>
            <w:color w:val="000000"/>
            <w:sz w:val="24"/>
            <w:szCs w:val="24"/>
            <w:lang w:val="en-US"/>
          </w:rPr>
          <w:t>8</w:t>
        </w:r>
        <w:r w:rsidRPr="003A3D37">
          <w:rPr>
            <w:rFonts w:ascii="Calibri" w:eastAsia="Calibri" w:hAnsi="Calibri" w:cs="Calibri"/>
            <w:noProof/>
            <w:webHidden/>
            <w:color w:val="000000"/>
            <w:sz w:val="24"/>
            <w:szCs w:val="24"/>
            <w:lang w:val="en-US"/>
          </w:rPr>
          <w:fldChar w:fldCharType="end"/>
        </w:r>
      </w:hyperlink>
    </w:p>
    <w:p w14:paraId="74D98017" w14:textId="77777777" w:rsidR="003A3D37" w:rsidRPr="003A3D37" w:rsidRDefault="003A3D37" w:rsidP="003A3D37">
      <w:pPr>
        <w:tabs>
          <w:tab w:val="right" w:leader="dot" w:pos="9350"/>
        </w:tabs>
        <w:spacing w:after="0" w:line="360" w:lineRule="auto"/>
        <w:rPr>
          <w:rFonts w:ascii="Calibri" w:eastAsia="Calibri" w:hAnsi="Calibri" w:cs="Calibri"/>
          <w:noProof/>
          <w:color w:val="000000"/>
          <w:sz w:val="24"/>
          <w:szCs w:val="24"/>
          <w:lang w:val="en-US"/>
        </w:rPr>
      </w:pPr>
      <w:hyperlink w:anchor="_Toc203776801" w:history="1">
        <w:r w:rsidRPr="003A3D37">
          <w:rPr>
            <w:rFonts w:ascii="Calibri" w:eastAsia="Calibri" w:hAnsi="Calibri" w:cs="Calibri"/>
            <w:noProof/>
            <w:color w:val="000000"/>
            <w:sz w:val="24"/>
            <w:szCs w:val="24"/>
            <w:u w:val="single"/>
            <w:lang w:val="en-US"/>
          </w:rPr>
          <w:t>Table 3 Ethical Frameworks in Climate Leadership</w:t>
        </w:r>
        <w:r w:rsidRPr="003A3D37">
          <w:rPr>
            <w:rFonts w:ascii="Calibri" w:eastAsia="Calibri" w:hAnsi="Calibri" w:cs="Calibri"/>
            <w:noProof/>
            <w:webHidden/>
            <w:color w:val="000000"/>
            <w:sz w:val="24"/>
            <w:szCs w:val="24"/>
            <w:lang w:val="en-US"/>
          </w:rPr>
          <w:tab/>
        </w:r>
        <w:r w:rsidRPr="003A3D37">
          <w:rPr>
            <w:rFonts w:ascii="Calibri" w:eastAsia="Calibri" w:hAnsi="Calibri" w:cs="Calibri"/>
            <w:noProof/>
            <w:webHidden/>
            <w:color w:val="000000"/>
            <w:sz w:val="24"/>
            <w:szCs w:val="24"/>
            <w:lang w:val="en-US"/>
          </w:rPr>
          <w:fldChar w:fldCharType="begin"/>
        </w:r>
        <w:r w:rsidRPr="003A3D37">
          <w:rPr>
            <w:rFonts w:ascii="Calibri" w:eastAsia="Calibri" w:hAnsi="Calibri" w:cs="Calibri"/>
            <w:noProof/>
            <w:webHidden/>
            <w:color w:val="000000"/>
            <w:sz w:val="24"/>
            <w:szCs w:val="24"/>
            <w:lang w:val="en-US"/>
          </w:rPr>
          <w:instrText xml:space="preserve"> PAGEREF _Toc203776801 \h </w:instrText>
        </w:r>
        <w:r w:rsidRPr="003A3D37">
          <w:rPr>
            <w:rFonts w:ascii="Calibri" w:eastAsia="Calibri" w:hAnsi="Calibri" w:cs="Calibri"/>
            <w:noProof/>
            <w:webHidden/>
            <w:color w:val="000000"/>
            <w:sz w:val="24"/>
            <w:szCs w:val="24"/>
            <w:lang w:val="en-US"/>
          </w:rPr>
        </w:r>
        <w:r w:rsidRPr="003A3D37">
          <w:rPr>
            <w:rFonts w:ascii="Calibri" w:eastAsia="Calibri" w:hAnsi="Calibri" w:cs="Calibri"/>
            <w:noProof/>
            <w:webHidden/>
            <w:color w:val="000000"/>
            <w:sz w:val="24"/>
            <w:szCs w:val="24"/>
            <w:lang w:val="en-US"/>
          </w:rPr>
          <w:fldChar w:fldCharType="separate"/>
        </w:r>
        <w:r w:rsidRPr="003A3D37">
          <w:rPr>
            <w:rFonts w:ascii="Calibri" w:eastAsia="Calibri" w:hAnsi="Calibri" w:cs="Calibri"/>
            <w:noProof/>
            <w:webHidden/>
            <w:color w:val="000000"/>
            <w:sz w:val="24"/>
            <w:szCs w:val="24"/>
            <w:lang w:val="en-US"/>
          </w:rPr>
          <w:t>9</w:t>
        </w:r>
        <w:r w:rsidRPr="003A3D37">
          <w:rPr>
            <w:rFonts w:ascii="Calibri" w:eastAsia="Calibri" w:hAnsi="Calibri" w:cs="Calibri"/>
            <w:noProof/>
            <w:webHidden/>
            <w:color w:val="000000"/>
            <w:sz w:val="24"/>
            <w:szCs w:val="24"/>
            <w:lang w:val="en-US"/>
          </w:rPr>
          <w:fldChar w:fldCharType="end"/>
        </w:r>
      </w:hyperlink>
    </w:p>
    <w:p w14:paraId="5713EC43" w14:textId="77777777" w:rsidR="003A3D37" w:rsidRPr="003A3D37" w:rsidRDefault="003A3D37" w:rsidP="003A3D37">
      <w:pPr>
        <w:tabs>
          <w:tab w:val="right" w:leader="dot" w:pos="9350"/>
        </w:tabs>
        <w:spacing w:after="0" w:line="360" w:lineRule="auto"/>
        <w:rPr>
          <w:rFonts w:ascii="Calibri" w:eastAsia="Calibri" w:hAnsi="Calibri" w:cs="Calibri"/>
          <w:noProof/>
          <w:color w:val="000000"/>
          <w:sz w:val="24"/>
          <w:szCs w:val="24"/>
          <w:lang w:val="en-US"/>
        </w:rPr>
      </w:pPr>
      <w:hyperlink w:anchor="_Toc203776802" w:history="1">
        <w:r w:rsidRPr="003A3D37">
          <w:rPr>
            <w:rFonts w:ascii="Calibri" w:eastAsia="Calibri" w:hAnsi="Calibri" w:cs="Calibri"/>
            <w:noProof/>
            <w:color w:val="000000"/>
            <w:sz w:val="24"/>
            <w:szCs w:val="24"/>
            <w:u w:val="single"/>
            <w:lang w:val="en-US"/>
          </w:rPr>
          <w:t>Table 4 Influence of Leadership on Climate Ethics</w:t>
        </w:r>
        <w:r w:rsidRPr="003A3D37">
          <w:rPr>
            <w:rFonts w:ascii="Calibri" w:eastAsia="Calibri" w:hAnsi="Calibri" w:cs="Calibri"/>
            <w:noProof/>
            <w:webHidden/>
            <w:color w:val="000000"/>
            <w:sz w:val="24"/>
            <w:szCs w:val="24"/>
            <w:lang w:val="en-US"/>
          </w:rPr>
          <w:tab/>
        </w:r>
        <w:r w:rsidRPr="003A3D37">
          <w:rPr>
            <w:rFonts w:ascii="Calibri" w:eastAsia="Calibri" w:hAnsi="Calibri" w:cs="Calibri"/>
            <w:noProof/>
            <w:webHidden/>
            <w:color w:val="000000"/>
            <w:sz w:val="24"/>
            <w:szCs w:val="24"/>
            <w:lang w:val="en-US"/>
          </w:rPr>
          <w:fldChar w:fldCharType="begin"/>
        </w:r>
        <w:r w:rsidRPr="003A3D37">
          <w:rPr>
            <w:rFonts w:ascii="Calibri" w:eastAsia="Calibri" w:hAnsi="Calibri" w:cs="Calibri"/>
            <w:noProof/>
            <w:webHidden/>
            <w:color w:val="000000"/>
            <w:sz w:val="24"/>
            <w:szCs w:val="24"/>
            <w:lang w:val="en-US"/>
          </w:rPr>
          <w:instrText xml:space="preserve"> PAGEREF _Toc203776802 \h </w:instrText>
        </w:r>
        <w:r w:rsidRPr="003A3D37">
          <w:rPr>
            <w:rFonts w:ascii="Calibri" w:eastAsia="Calibri" w:hAnsi="Calibri" w:cs="Calibri"/>
            <w:noProof/>
            <w:webHidden/>
            <w:color w:val="000000"/>
            <w:sz w:val="24"/>
            <w:szCs w:val="24"/>
            <w:lang w:val="en-US"/>
          </w:rPr>
        </w:r>
        <w:r w:rsidRPr="003A3D37">
          <w:rPr>
            <w:rFonts w:ascii="Calibri" w:eastAsia="Calibri" w:hAnsi="Calibri" w:cs="Calibri"/>
            <w:noProof/>
            <w:webHidden/>
            <w:color w:val="000000"/>
            <w:sz w:val="24"/>
            <w:szCs w:val="24"/>
            <w:lang w:val="en-US"/>
          </w:rPr>
          <w:fldChar w:fldCharType="separate"/>
        </w:r>
        <w:r w:rsidRPr="003A3D37">
          <w:rPr>
            <w:rFonts w:ascii="Calibri" w:eastAsia="Calibri" w:hAnsi="Calibri" w:cs="Calibri"/>
            <w:noProof/>
            <w:webHidden/>
            <w:color w:val="000000"/>
            <w:sz w:val="24"/>
            <w:szCs w:val="24"/>
            <w:lang w:val="en-US"/>
          </w:rPr>
          <w:t>10</w:t>
        </w:r>
        <w:r w:rsidRPr="003A3D37">
          <w:rPr>
            <w:rFonts w:ascii="Calibri" w:eastAsia="Calibri" w:hAnsi="Calibri" w:cs="Calibri"/>
            <w:noProof/>
            <w:webHidden/>
            <w:color w:val="000000"/>
            <w:sz w:val="24"/>
            <w:szCs w:val="24"/>
            <w:lang w:val="en-US"/>
          </w:rPr>
          <w:fldChar w:fldCharType="end"/>
        </w:r>
      </w:hyperlink>
    </w:p>
    <w:p w14:paraId="325BB48F" w14:textId="77777777" w:rsidR="003A3D37" w:rsidRPr="003A3D37" w:rsidRDefault="003A3D37" w:rsidP="003A3D37">
      <w:pPr>
        <w:tabs>
          <w:tab w:val="right" w:leader="dot" w:pos="9350"/>
        </w:tabs>
        <w:spacing w:after="0" w:line="360" w:lineRule="auto"/>
        <w:rPr>
          <w:rFonts w:ascii="Calibri" w:eastAsia="Calibri" w:hAnsi="Calibri" w:cs="Calibri"/>
          <w:noProof/>
          <w:color w:val="000000"/>
          <w:sz w:val="24"/>
          <w:szCs w:val="24"/>
          <w:lang w:val="en-US"/>
        </w:rPr>
      </w:pPr>
      <w:hyperlink w:anchor="_Toc203776803" w:history="1">
        <w:r w:rsidRPr="003A3D37">
          <w:rPr>
            <w:rFonts w:ascii="Calibri" w:eastAsia="Calibri" w:hAnsi="Calibri" w:cs="Calibri"/>
            <w:noProof/>
            <w:color w:val="000000"/>
            <w:sz w:val="24"/>
            <w:szCs w:val="24"/>
            <w:u w:val="single"/>
            <w:lang w:val="en-US"/>
          </w:rPr>
          <w:t>Table 5 Internal vs External Stakeholder Influence on Climate Action</w:t>
        </w:r>
        <w:r w:rsidRPr="003A3D37">
          <w:rPr>
            <w:rFonts w:ascii="Calibri" w:eastAsia="Calibri" w:hAnsi="Calibri" w:cs="Calibri"/>
            <w:noProof/>
            <w:webHidden/>
            <w:color w:val="000000"/>
            <w:sz w:val="24"/>
            <w:szCs w:val="24"/>
            <w:lang w:val="en-US"/>
          </w:rPr>
          <w:tab/>
        </w:r>
        <w:r w:rsidRPr="003A3D37">
          <w:rPr>
            <w:rFonts w:ascii="Calibri" w:eastAsia="Calibri" w:hAnsi="Calibri" w:cs="Calibri"/>
            <w:noProof/>
            <w:webHidden/>
            <w:color w:val="000000"/>
            <w:sz w:val="24"/>
            <w:szCs w:val="24"/>
            <w:lang w:val="en-US"/>
          </w:rPr>
          <w:fldChar w:fldCharType="begin"/>
        </w:r>
        <w:r w:rsidRPr="003A3D37">
          <w:rPr>
            <w:rFonts w:ascii="Calibri" w:eastAsia="Calibri" w:hAnsi="Calibri" w:cs="Calibri"/>
            <w:noProof/>
            <w:webHidden/>
            <w:color w:val="000000"/>
            <w:sz w:val="24"/>
            <w:szCs w:val="24"/>
            <w:lang w:val="en-US"/>
          </w:rPr>
          <w:instrText xml:space="preserve"> PAGEREF _Toc203776803 \h </w:instrText>
        </w:r>
        <w:r w:rsidRPr="003A3D37">
          <w:rPr>
            <w:rFonts w:ascii="Calibri" w:eastAsia="Calibri" w:hAnsi="Calibri" w:cs="Calibri"/>
            <w:noProof/>
            <w:webHidden/>
            <w:color w:val="000000"/>
            <w:sz w:val="24"/>
            <w:szCs w:val="24"/>
            <w:lang w:val="en-US"/>
          </w:rPr>
        </w:r>
        <w:r w:rsidRPr="003A3D37">
          <w:rPr>
            <w:rFonts w:ascii="Calibri" w:eastAsia="Calibri" w:hAnsi="Calibri" w:cs="Calibri"/>
            <w:noProof/>
            <w:webHidden/>
            <w:color w:val="000000"/>
            <w:sz w:val="24"/>
            <w:szCs w:val="24"/>
            <w:lang w:val="en-US"/>
          </w:rPr>
          <w:fldChar w:fldCharType="separate"/>
        </w:r>
        <w:r w:rsidRPr="003A3D37">
          <w:rPr>
            <w:rFonts w:ascii="Calibri" w:eastAsia="Calibri" w:hAnsi="Calibri" w:cs="Calibri"/>
            <w:noProof/>
            <w:webHidden/>
            <w:color w:val="000000"/>
            <w:sz w:val="24"/>
            <w:szCs w:val="24"/>
            <w:lang w:val="en-US"/>
          </w:rPr>
          <w:t>10</w:t>
        </w:r>
        <w:r w:rsidRPr="003A3D37">
          <w:rPr>
            <w:rFonts w:ascii="Calibri" w:eastAsia="Calibri" w:hAnsi="Calibri" w:cs="Calibri"/>
            <w:noProof/>
            <w:webHidden/>
            <w:color w:val="000000"/>
            <w:sz w:val="24"/>
            <w:szCs w:val="24"/>
            <w:lang w:val="en-US"/>
          </w:rPr>
          <w:fldChar w:fldCharType="end"/>
        </w:r>
      </w:hyperlink>
    </w:p>
    <w:p w14:paraId="032AB336" w14:textId="77777777" w:rsidR="003A3D37" w:rsidRPr="003A3D37" w:rsidRDefault="003A3D37" w:rsidP="003A3D37">
      <w:pPr>
        <w:tabs>
          <w:tab w:val="right" w:leader="dot" w:pos="9350"/>
        </w:tabs>
        <w:spacing w:after="0" w:line="360" w:lineRule="auto"/>
        <w:rPr>
          <w:rFonts w:ascii="Calibri" w:eastAsia="Calibri" w:hAnsi="Calibri" w:cs="Calibri"/>
          <w:noProof/>
          <w:color w:val="000000"/>
          <w:sz w:val="24"/>
          <w:szCs w:val="24"/>
          <w:lang w:val="en-US"/>
        </w:rPr>
      </w:pPr>
      <w:hyperlink w:anchor="_Toc203776804" w:history="1">
        <w:r w:rsidRPr="003A3D37">
          <w:rPr>
            <w:rFonts w:ascii="Calibri" w:eastAsia="Calibri" w:hAnsi="Calibri" w:cs="Calibri"/>
            <w:noProof/>
            <w:color w:val="000000"/>
            <w:sz w:val="24"/>
            <w:szCs w:val="24"/>
            <w:u w:val="single"/>
            <w:lang w:val="en-US"/>
          </w:rPr>
          <w:t>Table 6 Mendelow Power-Interest Matrix for M&amp;S Climate Strategy</w:t>
        </w:r>
        <w:r w:rsidRPr="003A3D37">
          <w:rPr>
            <w:rFonts w:ascii="Calibri" w:eastAsia="Calibri" w:hAnsi="Calibri" w:cs="Calibri"/>
            <w:noProof/>
            <w:webHidden/>
            <w:color w:val="000000"/>
            <w:sz w:val="24"/>
            <w:szCs w:val="24"/>
            <w:lang w:val="en-US"/>
          </w:rPr>
          <w:tab/>
        </w:r>
        <w:r w:rsidRPr="003A3D37">
          <w:rPr>
            <w:rFonts w:ascii="Calibri" w:eastAsia="Calibri" w:hAnsi="Calibri" w:cs="Calibri"/>
            <w:noProof/>
            <w:webHidden/>
            <w:color w:val="000000"/>
            <w:sz w:val="24"/>
            <w:szCs w:val="24"/>
            <w:lang w:val="en-US"/>
          </w:rPr>
          <w:fldChar w:fldCharType="begin"/>
        </w:r>
        <w:r w:rsidRPr="003A3D37">
          <w:rPr>
            <w:rFonts w:ascii="Calibri" w:eastAsia="Calibri" w:hAnsi="Calibri" w:cs="Calibri"/>
            <w:noProof/>
            <w:webHidden/>
            <w:color w:val="000000"/>
            <w:sz w:val="24"/>
            <w:szCs w:val="24"/>
            <w:lang w:val="en-US"/>
          </w:rPr>
          <w:instrText xml:space="preserve"> PAGEREF _Toc203776804 \h </w:instrText>
        </w:r>
        <w:r w:rsidRPr="003A3D37">
          <w:rPr>
            <w:rFonts w:ascii="Calibri" w:eastAsia="Calibri" w:hAnsi="Calibri" w:cs="Calibri"/>
            <w:noProof/>
            <w:webHidden/>
            <w:color w:val="000000"/>
            <w:sz w:val="24"/>
            <w:szCs w:val="24"/>
            <w:lang w:val="en-US"/>
          </w:rPr>
        </w:r>
        <w:r w:rsidRPr="003A3D37">
          <w:rPr>
            <w:rFonts w:ascii="Calibri" w:eastAsia="Calibri" w:hAnsi="Calibri" w:cs="Calibri"/>
            <w:noProof/>
            <w:webHidden/>
            <w:color w:val="000000"/>
            <w:sz w:val="24"/>
            <w:szCs w:val="24"/>
            <w:lang w:val="en-US"/>
          </w:rPr>
          <w:fldChar w:fldCharType="separate"/>
        </w:r>
        <w:r w:rsidRPr="003A3D37">
          <w:rPr>
            <w:rFonts w:ascii="Calibri" w:eastAsia="Calibri" w:hAnsi="Calibri" w:cs="Calibri"/>
            <w:noProof/>
            <w:webHidden/>
            <w:color w:val="000000"/>
            <w:sz w:val="24"/>
            <w:szCs w:val="24"/>
            <w:lang w:val="en-US"/>
          </w:rPr>
          <w:t>11</w:t>
        </w:r>
        <w:r w:rsidRPr="003A3D37">
          <w:rPr>
            <w:rFonts w:ascii="Calibri" w:eastAsia="Calibri" w:hAnsi="Calibri" w:cs="Calibri"/>
            <w:noProof/>
            <w:webHidden/>
            <w:color w:val="000000"/>
            <w:sz w:val="24"/>
            <w:szCs w:val="24"/>
            <w:lang w:val="en-US"/>
          </w:rPr>
          <w:fldChar w:fldCharType="end"/>
        </w:r>
      </w:hyperlink>
    </w:p>
    <w:p w14:paraId="1829C941" w14:textId="77777777" w:rsidR="003A3D37" w:rsidRPr="003A3D37" w:rsidRDefault="003A3D37" w:rsidP="003A3D37">
      <w:pPr>
        <w:tabs>
          <w:tab w:val="right" w:leader="dot" w:pos="9350"/>
        </w:tabs>
        <w:spacing w:after="0" w:line="360" w:lineRule="auto"/>
        <w:rPr>
          <w:rFonts w:ascii="Calibri" w:eastAsia="Calibri" w:hAnsi="Calibri" w:cs="Calibri"/>
          <w:noProof/>
          <w:color w:val="000000"/>
          <w:sz w:val="24"/>
          <w:szCs w:val="24"/>
          <w:lang w:val="en-US"/>
        </w:rPr>
      </w:pPr>
      <w:hyperlink w:anchor="_Toc203776805" w:history="1">
        <w:r w:rsidRPr="003A3D37">
          <w:rPr>
            <w:rFonts w:ascii="Calibri" w:eastAsia="Calibri" w:hAnsi="Calibri" w:cs="Calibri"/>
            <w:noProof/>
            <w:color w:val="000000"/>
            <w:sz w:val="24"/>
            <w:szCs w:val="24"/>
            <w:u w:val="single"/>
            <w:lang w:val="en-US"/>
          </w:rPr>
          <w:t>7 Key Business Benefits of Climate Leadership at M&amp;</w:t>
        </w:r>
        <w:r w:rsidRPr="003A3D37">
          <w:rPr>
            <w:rFonts w:ascii="Calibri" w:eastAsia="Calibri" w:hAnsi="Calibri" w:cs="Calibri"/>
            <w:noProof/>
            <w:webHidden/>
            <w:color w:val="000000"/>
            <w:sz w:val="24"/>
            <w:szCs w:val="24"/>
            <w:lang w:val="en-US"/>
          </w:rPr>
          <w:tab/>
        </w:r>
        <w:r w:rsidRPr="003A3D37">
          <w:rPr>
            <w:rFonts w:ascii="Calibri" w:eastAsia="Calibri" w:hAnsi="Calibri" w:cs="Calibri"/>
            <w:noProof/>
            <w:webHidden/>
            <w:color w:val="000000"/>
            <w:sz w:val="24"/>
            <w:szCs w:val="24"/>
            <w:lang w:val="en-US"/>
          </w:rPr>
          <w:fldChar w:fldCharType="begin"/>
        </w:r>
        <w:r w:rsidRPr="003A3D37">
          <w:rPr>
            <w:rFonts w:ascii="Calibri" w:eastAsia="Calibri" w:hAnsi="Calibri" w:cs="Calibri"/>
            <w:noProof/>
            <w:webHidden/>
            <w:color w:val="000000"/>
            <w:sz w:val="24"/>
            <w:szCs w:val="24"/>
            <w:lang w:val="en-US"/>
          </w:rPr>
          <w:instrText xml:space="preserve"> PAGEREF _Toc203776805 \h </w:instrText>
        </w:r>
        <w:r w:rsidRPr="003A3D37">
          <w:rPr>
            <w:rFonts w:ascii="Calibri" w:eastAsia="Calibri" w:hAnsi="Calibri" w:cs="Calibri"/>
            <w:noProof/>
            <w:webHidden/>
            <w:color w:val="000000"/>
            <w:sz w:val="24"/>
            <w:szCs w:val="24"/>
            <w:lang w:val="en-US"/>
          </w:rPr>
        </w:r>
        <w:r w:rsidRPr="003A3D37">
          <w:rPr>
            <w:rFonts w:ascii="Calibri" w:eastAsia="Calibri" w:hAnsi="Calibri" w:cs="Calibri"/>
            <w:noProof/>
            <w:webHidden/>
            <w:color w:val="000000"/>
            <w:sz w:val="24"/>
            <w:szCs w:val="24"/>
            <w:lang w:val="en-US"/>
          </w:rPr>
          <w:fldChar w:fldCharType="separate"/>
        </w:r>
        <w:r w:rsidRPr="003A3D37">
          <w:rPr>
            <w:rFonts w:ascii="Calibri" w:eastAsia="Calibri" w:hAnsi="Calibri" w:cs="Calibri"/>
            <w:noProof/>
            <w:webHidden/>
            <w:color w:val="000000"/>
            <w:sz w:val="24"/>
            <w:szCs w:val="24"/>
            <w:lang w:val="en-US"/>
          </w:rPr>
          <w:t>11</w:t>
        </w:r>
        <w:r w:rsidRPr="003A3D37">
          <w:rPr>
            <w:rFonts w:ascii="Calibri" w:eastAsia="Calibri" w:hAnsi="Calibri" w:cs="Calibri"/>
            <w:noProof/>
            <w:webHidden/>
            <w:color w:val="000000"/>
            <w:sz w:val="24"/>
            <w:szCs w:val="24"/>
            <w:lang w:val="en-US"/>
          </w:rPr>
          <w:fldChar w:fldCharType="end"/>
        </w:r>
      </w:hyperlink>
    </w:p>
    <w:p w14:paraId="161A83A8" w14:textId="77777777" w:rsidR="003A3D37" w:rsidRPr="003A3D37" w:rsidRDefault="003A3D37" w:rsidP="003A3D37">
      <w:pPr>
        <w:spacing w:after="0" w:line="360" w:lineRule="auto"/>
        <w:rPr>
          <w:rFonts w:ascii="Calibri" w:eastAsia="DengXian Light" w:hAnsi="Calibri" w:cs="Calibri"/>
          <w:b/>
          <w:bCs/>
          <w:color w:val="000000"/>
          <w:sz w:val="24"/>
          <w:szCs w:val="24"/>
          <w:lang w:val="en-US"/>
        </w:rPr>
      </w:pPr>
      <w:r w:rsidRPr="003A3D37">
        <w:rPr>
          <w:rFonts w:ascii="Calibri" w:eastAsia="DengXian Light" w:hAnsi="Calibri" w:cs="Calibri"/>
          <w:b/>
          <w:bCs/>
          <w:color w:val="000000"/>
          <w:sz w:val="24"/>
          <w:szCs w:val="24"/>
          <w:lang w:val="en-US"/>
        </w:rPr>
        <w:fldChar w:fldCharType="end"/>
      </w:r>
    </w:p>
    <w:p w14:paraId="123981A0" w14:textId="77777777" w:rsidR="003A3D37" w:rsidRPr="003A3D37" w:rsidRDefault="003A3D37" w:rsidP="003A3D37">
      <w:pPr>
        <w:spacing w:line="360" w:lineRule="auto"/>
        <w:rPr>
          <w:rFonts w:ascii="Calibri" w:eastAsia="DengXian Light" w:hAnsi="Calibri" w:cs="Calibri"/>
          <w:b/>
          <w:bCs/>
          <w:color w:val="000000"/>
          <w:sz w:val="24"/>
          <w:szCs w:val="24"/>
          <w:lang w:val="en-US"/>
        </w:rPr>
      </w:pPr>
      <w:r w:rsidRPr="003A3D37">
        <w:rPr>
          <w:rFonts w:ascii="Calibri" w:eastAsia="Calibri" w:hAnsi="Calibri" w:cs="Calibri"/>
          <w:color w:val="000000"/>
          <w:sz w:val="24"/>
          <w:szCs w:val="24"/>
          <w:lang w:val="en-US"/>
        </w:rPr>
        <w:br w:type="page"/>
      </w:r>
    </w:p>
    <w:p w14:paraId="432E9671" w14:textId="77777777" w:rsidR="003A3D37" w:rsidRPr="003A3D37" w:rsidRDefault="003A3D37" w:rsidP="003A3D37">
      <w:pPr>
        <w:keepNext/>
        <w:keepLines/>
        <w:spacing w:after="0" w:line="360" w:lineRule="auto"/>
        <w:jc w:val="center"/>
        <w:outlineLvl w:val="0"/>
        <w:rPr>
          <w:rFonts w:ascii="Calibri" w:eastAsia="DengXian Light" w:hAnsi="Calibri" w:cs="Calibri"/>
          <w:b/>
          <w:bCs/>
          <w:color w:val="000000"/>
          <w:sz w:val="24"/>
          <w:szCs w:val="24"/>
          <w:lang w:val="en-US"/>
        </w:rPr>
      </w:pPr>
    </w:p>
    <w:p w14:paraId="6D4E332E" w14:textId="77777777" w:rsidR="003A3D37" w:rsidRPr="003A3D37" w:rsidRDefault="003A3D37" w:rsidP="003A3D37">
      <w:pPr>
        <w:pStyle w:val="Heading1"/>
        <w:spacing w:line="360" w:lineRule="auto"/>
        <w:jc w:val="center"/>
        <w:rPr>
          <w:rFonts w:ascii="Calibri" w:eastAsia="DengXian Light" w:hAnsi="Calibri" w:cs="Calibri"/>
          <w:sz w:val="24"/>
          <w:szCs w:val="24"/>
          <w:lang w:val="en-US"/>
        </w:rPr>
      </w:pPr>
      <w:bookmarkStart w:id="1" w:name="_Toc203991941"/>
      <w:r w:rsidRPr="003A3D37">
        <w:rPr>
          <w:rFonts w:ascii="Calibri" w:eastAsia="DengXian Light" w:hAnsi="Calibri" w:cs="Calibri"/>
          <w:sz w:val="24"/>
          <w:szCs w:val="24"/>
          <w:lang w:val="en-US"/>
        </w:rPr>
        <w:t>1. Introduction</w:t>
      </w:r>
      <w:bookmarkEnd w:id="1"/>
    </w:p>
    <w:p w14:paraId="6C0E6C83" w14:textId="77777777" w:rsidR="003A3D37" w:rsidRPr="003A3D37" w:rsidRDefault="003A3D37" w:rsidP="003A3D37">
      <w:pPr>
        <w:spacing w:after="0" w:line="360" w:lineRule="auto"/>
        <w:jc w:val="both"/>
        <w:rPr>
          <w:rFonts w:ascii="Calibri" w:eastAsia="Times New Roman" w:hAnsi="Calibri" w:cs="Calibri"/>
          <w:color w:val="000000"/>
          <w:sz w:val="24"/>
          <w:szCs w:val="24"/>
          <w:lang w:val="en-US"/>
        </w:rPr>
      </w:pPr>
      <w:r w:rsidRPr="003A3D37">
        <w:rPr>
          <w:rFonts w:ascii="Calibri" w:eastAsia="Times New Roman" w:hAnsi="Calibri" w:cs="Calibri"/>
          <w:color w:val="000000"/>
          <w:sz w:val="24"/>
          <w:szCs w:val="24"/>
          <w:lang w:val="en-US"/>
        </w:rPr>
        <w:t>Climate change has emerged as the defining crisis of the 21st century, challenging global business leaders to move beyond profit-led models and toward sustainable responsibility. According to the World Bank (2023), multinational enterprises (MNEs) hold a paradoxical position while their global operations contribute significantly to environmental degradation. They also possess the scale, resources, and influence to lead meaningful climate change mitigation efforts. In this duality lies both opportunity and risk for businesses and society at large (Mullins, 2019; Pullan, 2022; Ramakrishnan, 2013).</w:t>
      </w:r>
    </w:p>
    <w:p w14:paraId="0065C0B9" w14:textId="3D74C312" w:rsidR="003A3D37" w:rsidRPr="003A3D37" w:rsidRDefault="003A3D37" w:rsidP="003A3D37">
      <w:pPr>
        <w:spacing w:after="0" w:line="360" w:lineRule="auto"/>
        <w:jc w:val="both"/>
        <w:rPr>
          <w:rFonts w:ascii="Calibri" w:eastAsia="Times New Roman" w:hAnsi="Calibri" w:cs="Calibri"/>
          <w:color w:val="000000"/>
          <w:sz w:val="24"/>
          <w:szCs w:val="24"/>
          <w:lang w:val="en-US"/>
        </w:rPr>
      </w:pPr>
      <w:r w:rsidRPr="003A3D37">
        <w:rPr>
          <w:rFonts w:ascii="Calibri" w:eastAsia="Times New Roman" w:hAnsi="Calibri" w:cs="Calibri"/>
          <w:color w:val="000000"/>
          <w:sz w:val="24"/>
          <w:szCs w:val="24"/>
          <w:lang w:val="en-US"/>
        </w:rPr>
        <w:t>MNEs operate complex global supply chains, influence international policy, and shape consumer behavior across markets, making their role in the climate transition especially critical. Their leadership, ethical responsibility, and engagement with sustainability initiatives are instrumental in meeting international frameworks like the Paris Agreement and the United Nations Sustainable Development Goals (SDGs). Marks &amp; Spencer (M&amp;S), one of the UK’s leading retailers, offers a valuable case study for examining these issues. As part of the competitive department store sector, M&amp;S has actively implemented a long-term climate and sustainability program, such as Plan A while navigating profitability and public scrutiny (IBISWorld, 2025). Recent reports show a 58% profit surge driven by strategic transformation, further positioning the company at the forefront of ethical retail leadership (Irish Times, 2024).</w:t>
      </w:r>
    </w:p>
    <w:p w14:paraId="5A9F38AC" w14:textId="7A5D73E6" w:rsidR="003A3D37" w:rsidRPr="003A3D37" w:rsidRDefault="003A3D37" w:rsidP="003A3D37">
      <w:pPr>
        <w:spacing w:after="0" w:line="360" w:lineRule="auto"/>
        <w:jc w:val="both"/>
        <w:rPr>
          <w:rFonts w:ascii="Calibri" w:eastAsia="Times New Roman" w:hAnsi="Calibri" w:cs="Calibri"/>
          <w:color w:val="000000"/>
          <w:sz w:val="24"/>
          <w:szCs w:val="24"/>
          <w:lang w:val="en-US"/>
        </w:rPr>
      </w:pPr>
      <w:r w:rsidRPr="003A3D37">
        <w:rPr>
          <w:rFonts w:ascii="Calibri" w:eastAsia="Times New Roman" w:hAnsi="Calibri" w:cs="Calibri"/>
          <w:color w:val="000000"/>
          <w:sz w:val="24"/>
          <w:szCs w:val="24"/>
          <w:lang w:val="en-US"/>
        </w:rPr>
        <w:t>This report critically evaluates the responsibilities and roles of MNEs in addressing climate change, using M&amp;S to present arguments both in favor of and against MNEs taking a leadership role, incorporating ethical perspectives, stakeholder relationships, and business motivations. The research also presents a critical review of academic literature, sustainability frameworks, and corporate disclosures. The analysis aims to provide a reasonable perspective on whether companies like M&amp;S should act as climate leaders, and how leadership can be exercised ethically and effectively in global business contexts.</w:t>
      </w:r>
    </w:p>
    <w:p w14:paraId="294DF28F" w14:textId="77777777" w:rsidR="003A3D37" w:rsidRPr="003A3D37" w:rsidRDefault="003A3D37" w:rsidP="003A3D37">
      <w:pPr>
        <w:keepNext/>
        <w:keepLines/>
        <w:spacing w:after="0" w:line="360" w:lineRule="auto"/>
        <w:jc w:val="center"/>
        <w:outlineLvl w:val="0"/>
        <w:rPr>
          <w:rFonts w:ascii="Calibri" w:eastAsia="DengXian Light" w:hAnsi="Calibri" w:cs="Calibri"/>
          <w:b/>
          <w:bCs/>
          <w:color w:val="000000"/>
          <w:sz w:val="24"/>
          <w:szCs w:val="24"/>
          <w:lang w:val="en-US"/>
        </w:rPr>
      </w:pPr>
    </w:p>
    <w:p w14:paraId="2E5F122B" w14:textId="77777777" w:rsidR="003A3D37" w:rsidRPr="003A3D37" w:rsidRDefault="003A3D37" w:rsidP="003A3D37">
      <w:pPr>
        <w:keepNext/>
        <w:keepLines/>
        <w:spacing w:after="0" w:line="360" w:lineRule="auto"/>
        <w:jc w:val="center"/>
        <w:outlineLvl w:val="0"/>
        <w:rPr>
          <w:rFonts w:ascii="Calibri" w:eastAsia="DengXian Light" w:hAnsi="Calibri" w:cs="Calibri"/>
          <w:b/>
          <w:bCs/>
          <w:color w:val="000000"/>
          <w:sz w:val="24"/>
          <w:szCs w:val="24"/>
          <w:lang w:val="en-US"/>
        </w:rPr>
      </w:pPr>
    </w:p>
    <w:p w14:paraId="1048DAA2" w14:textId="77777777" w:rsidR="003A3D37" w:rsidRPr="003A3D37" w:rsidRDefault="003A3D37" w:rsidP="003A3D37">
      <w:pPr>
        <w:pStyle w:val="Heading1"/>
        <w:jc w:val="center"/>
        <w:rPr>
          <w:rFonts w:eastAsia="DengXian Light"/>
          <w:lang w:val="en-US"/>
        </w:rPr>
      </w:pPr>
      <w:bookmarkStart w:id="2" w:name="_Toc203991942"/>
      <w:r w:rsidRPr="003A3D37">
        <w:rPr>
          <w:rFonts w:eastAsia="DengXian Light"/>
          <w:lang w:val="en-US"/>
        </w:rPr>
        <w:t>2. Analysis</w:t>
      </w:r>
      <w:bookmarkEnd w:id="2"/>
    </w:p>
    <w:p w14:paraId="55F8389D" w14:textId="03D842B6" w:rsidR="003A3D37" w:rsidRPr="003A3D37" w:rsidRDefault="003A3D37" w:rsidP="003A3D37">
      <w:pPr>
        <w:pStyle w:val="Heading2"/>
        <w:jc w:val="center"/>
        <w:rPr>
          <w:rFonts w:eastAsia="Times New Roman"/>
          <w:lang w:val="en-US"/>
        </w:rPr>
      </w:pPr>
      <w:bookmarkStart w:id="3" w:name="_Toc203991943"/>
      <w:r w:rsidRPr="003A3D37">
        <w:rPr>
          <w:rFonts w:eastAsia="Times New Roman"/>
          <w:lang w:val="en-US"/>
        </w:rPr>
        <w:t>2.1 Case for and Against MNE Leadership in Climate Action</w:t>
      </w:r>
      <w:bookmarkEnd w:id="3"/>
    </w:p>
    <w:p w14:paraId="2EA0CEFB" w14:textId="48627176" w:rsidR="003A3D37" w:rsidRPr="003A3D37" w:rsidRDefault="003A3D37" w:rsidP="003A3D37">
      <w:pPr>
        <w:spacing w:after="0" w:line="360" w:lineRule="auto"/>
        <w:jc w:val="both"/>
        <w:rPr>
          <w:rFonts w:ascii="Calibri" w:eastAsia="Times New Roman" w:hAnsi="Calibri" w:cs="Calibri"/>
          <w:color w:val="000000"/>
          <w:sz w:val="24"/>
          <w:szCs w:val="24"/>
          <w:lang w:val="en-US"/>
        </w:rPr>
      </w:pPr>
      <w:r w:rsidRPr="003A3D37">
        <w:rPr>
          <w:rFonts w:ascii="Calibri" w:eastAsia="Times New Roman" w:hAnsi="Calibri" w:cs="Calibri"/>
          <w:color w:val="000000"/>
          <w:sz w:val="24"/>
          <w:szCs w:val="24"/>
          <w:lang w:val="en-US"/>
        </w:rPr>
        <w:t xml:space="preserve">Marks &amp; Spencer (M&amp;S) is a multinational enterprise (MNE) with large global networks and with value chains that can cross the continents in terms of control over its operations. This large shoving power puts them in a critical spot in either promoting or lessening the degeneration of the environment (Gunduz, 2025). The global sourcing approach of M&amp;S links producers in third-world countries with markets in Europe and the UK. A report by Razzak (2023) indicated that these networks are quite productive but also cause a lot of Scope 3 emissions, including in the form of manufacturing, logistics, and post-consumer waste. Yet, through the reformation of the procurement and the process of </w:t>
      </w:r>
      <w:r w:rsidR="00465704" w:rsidRPr="003A3D37">
        <w:rPr>
          <w:rFonts w:ascii="Calibri" w:eastAsia="Times New Roman" w:hAnsi="Calibri" w:cs="Calibri"/>
          <w:color w:val="000000"/>
          <w:sz w:val="24"/>
          <w:szCs w:val="24"/>
          <w:lang w:val="en-US"/>
        </w:rPr>
        <w:t>green incentivizing</w:t>
      </w:r>
      <w:r w:rsidRPr="003A3D37">
        <w:rPr>
          <w:rFonts w:ascii="Calibri" w:eastAsia="Times New Roman" w:hAnsi="Calibri" w:cs="Calibri"/>
          <w:color w:val="000000"/>
          <w:sz w:val="24"/>
          <w:szCs w:val="24"/>
          <w:lang w:val="en-US"/>
        </w:rPr>
        <w:t xml:space="preserve"> the wider network of suppliers, MNEs have the opportunity to decrease these emissions on a large scale.</w:t>
      </w:r>
    </w:p>
    <w:p w14:paraId="6A3134E5" w14:textId="7913CCC7" w:rsidR="003A3D37" w:rsidRPr="003A3D37" w:rsidRDefault="003A3D37" w:rsidP="003A3D37">
      <w:pPr>
        <w:spacing w:after="0" w:line="360" w:lineRule="auto"/>
        <w:jc w:val="both"/>
        <w:rPr>
          <w:rFonts w:ascii="Calibri" w:eastAsia="Times New Roman" w:hAnsi="Calibri" w:cs="Calibri"/>
          <w:color w:val="000000"/>
          <w:sz w:val="24"/>
          <w:szCs w:val="24"/>
          <w:lang w:val="en-US"/>
        </w:rPr>
      </w:pPr>
      <w:r w:rsidRPr="003A3D37">
        <w:rPr>
          <w:rFonts w:ascii="Calibri" w:eastAsia="Times New Roman" w:hAnsi="Calibri" w:cs="Calibri"/>
          <w:color w:val="000000"/>
          <w:sz w:val="24"/>
          <w:szCs w:val="24"/>
          <w:lang w:val="en-US"/>
        </w:rPr>
        <w:t xml:space="preserve">In contrast, FT Staff (2025) revealed that the Plan A </w:t>
      </w:r>
      <w:r w:rsidR="00465704" w:rsidRPr="003A3D37">
        <w:rPr>
          <w:rFonts w:ascii="Calibri" w:eastAsia="Times New Roman" w:hAnsi="Calibri" w:cs="Calibri"/>
          <w:color w:val="000000"/>
          <w:sz w:val="24"/>
          <w:szCs w:val="24"/>
          <w:lang w:val="en-US"/>
        </w:rPr>
        <w:t>program</w:t>
      </w:r>
      <w:r w:rsidRPr="003A3D37">
        <w:rPr>
          <w:rFonts w:ascii="Calibri" w:eastAsia="Times New Roman" w:hAnsi="Calibri" w:cs="Calibri"/>
          <w:color w:val="000000"/>
          <w:sz w:val="24"/>
          <w:szCs w:val="24"/>
          <w:lang w:val="en-US"/>
        </w:rPr>
        <w:t xml:space="preserve"> of M&amp;S is a case example of the way through which sustainability can be integrated throughout the supply chain. The company has invested in a superior modern tracking system to track carbon emissions and the amount of waste as well as investing in low-emission logistics </w:t>
      </w:r>
      <w:r w:rsidR="00465704" w:rsidRPr="003A3D37">
        <w:rPr>
          <w:rFonts w:ascii="Calibri" w:eastAsia="Times New Roman" w:hAnsi="Calibri" w:cs="Calibri"/>
          <w:color w:val="000000"/>
          <w:sz w:val="24"/>
          <w:szCs w:val="24"/>
          <w:lang w:val="en-US"/>
        </w:rPr>
        <w:t>centers</w:t>
      </w:r>
      <w:r w:rsidRPr="003A3D37">
        <w:rPr>
          <w:rFonts w:ascii="Calibri" w:eastAsia="Times New Roman" w:hAnsi="Calibri" w:cs="Calibri"/>
          <w:color w:val="000000"/>
          <w:sz w:val="24"/>
          <w:szCs w:val="24"/>
          <w:lang w:val="en-US"/>
        </w:rPr>
        <w:t xml:space="preserve">. The clauses within supply contracts arranged by it are associated with environmental compliance, where better partners are sought to use less water than wasted water and switch to renewable energy. Such initiatives are a component of the wider plan of M&amp;S to achieve net zero by 2040, which speaks of the potential of corporate giants to influence industry-wide standards and </w:t>
      </w:r>
      <w:r w:rsidR="00465704" w:rsidRPr="003A3D37">
        <w:rPr>
          <w:rFonts w:ascii="Calibri" w:eastAsia="Times New Roman" w:hAnsi="Calibri" w:cs="Calibri"/>
          <w:color w:val="000000"/>
          <w:sz w:val="24"/>
          <w:szCs w:val="24"/>
          <w:lang w:val="en-US"/>
        </w:rPr>
        <w:t>incentivize</w:t>
      </w:r>
      <w:r w:rsidRPr="003A3D37">
        <w:rPr>
          <w:rFonts w:ascii="Calibri" w:eastAsia="Times New Roman" w:hAnsi="Calibri" w:cs="Calibri"/>
          <w:color w:val="000000"/>
          <w:sz w:val="24"/>
          <w:szCs w:val="24"/>
          <w:lang w:val="en-US"/>
        </w:rPr>
        <w:t xml:space="preserve"> climate action by others (Davey, 2024).</w:t>
      </w:r>
    </w:p>
    <w:p w14:paraId="7CC71A7E" w14:textId="5B7868C1" w:rsidR="003A3D37" w:rsidRPr="003A3D37" w:rsidRDefault="003A3D37" w:rsidP="003A3D37">
      <w:pPr>
        <w:spacing w:after="0" w:line="360" w:lineRule="auto"/>
        <w:jc w:val="both"/>
        <w:rPr>
          <w:rFonts w:ascii="Calibri" w:eastAsia="Times New Roman" w:hAnsi="Calibri" w:cs="Calibri"/>
          <w:color w:val="000000"/>
          <w:sz w:val="24"/>
          <w:szCs w:val="24"/>
          <w:lang w:val="en-US"/>
        </w:rPr>
      </w:pPr>
      <w:r w:rsidRPr="003A3D37">
        <w:rPr>
          <w:rFonts w:ascii="Calibri" w:eastAsia="Times New Roman" w:hAnsi="Calibri" w:cs="Calibri"/>
          <w:color w:val="000000"/>
          <w:sz w:val="24"/>
          <w:szCs w:val="24"/>
          <w:lang w:val="en-US"/>
        </w:rPr>
        <w:t xml:space="preserve">Besides international influence, business reasons exist to be the biggest climate leaders. The emergence of ESG investing has brought in new performance metrics that can reward companies that behave in an ethical and sustainable manner. Customers, particularly the younger populations, will now be buying products based on long-term sustainability of brands, and investors will be </w:t>
      </w:r>
      <w:r w:rsidR="00465704" w:rsidRPr="003A3D37">
        <w:rPr>
          <w:rFonts w:ascii="Calibri" w:eastAsia="Times New Roman" w:hAnsi="Calibri" w:cs="Calibri"/>
          <w:color w:val="000000"/>
          <w:sz w:val="24"/>
          <w:szCs w:val="24"/>
          <w:lang w:val="en-US"/>
        </w:rPr>
        <w:t>channeling</w:t>
      </w:r>
      <w:r w:rsidRPr="003A3D37">
        <w:rPr>
          <w:rFonts w:ascii="Calibri" w:eastAsia="Times New Roman" w:hAnsi="Calibri" w:cs="Calibri"/>
          <w:color w:val="000000"/>
          <w:sz w:val="24"/>
          <w:szCs w:val="24"/>
          <w:lang w:val="en-US"/>
        </w:rPr>
        <w:t xml:space="preserve"> funds more into a company they can actually hold to climate pledges. M&amp;S has </w:t>
      </w:r>
      <w:r w:rsidR="00465704" w:rsidRPr="003A3D37">
        <w:rPr>
          <w:rFonts w:ascii="Calibri" w:eastAsia="Times New Roman" w:hAnsi="Calibri" w:cs="Calibri"/>
          <w:color w:val="000000"/>
          <w:sz w:val="24"/>
          <w:szCs w:val="24"/>
          <w:lang w:val="en-US"/>
        </w:rPr>
        <w:t>made</w:t>
      </w:r>
      <w:r w:rsidRPr="003A3D37">
        <w:rPr>
          <w:rFonts w:ascii="Calibri" w:eastAsia="Times New Roman" w:hAnsi="Calibri" w:cs="Calibri"/>
          <w:color w:val="000000"/>
          <w:sz w:val="24"/>
          <w:szCs w:val="24"/>
          <w:lang w:val="en-US"/>
        </w:rPr>
        <w:t xml:space="preserve"> direct </w:t>
      </w:r>
      <w:r w:rsidR="005C1721">
        <w:rPr>
          <w:rFonts w:ascii="Calibri" w:eastAsia="Times New Roman" w:hAnsi="Calibri" w:cs="Calibri"/>
          <w:color w:val="000000"/>
          <w:sz w:val="24"/>
          <w:szCs w:val="24"/>
          <w:lang w:val="en-US"/>
        </w:rPr>
        <w:t>gains</w:t>
      </w:r>
      <w:r w:rsidRPr="003A3D37">
        <w:rPr>
          <w:rFonts w:ascii="Calibri" w:eastAsia="Times New Roman" w:hAnsi="Calibri" w:cs="Calibri"/>
          <w:color w:val="000000"/>
          <w:sz w:val="24"/>
          <w:szCs w:val="24"/>
          <w:lang w:val="en-US"/>
        </w:rPr>
        <w:t xml:space="preserve"> with this trend as this was reported by Marketscreener (2024) to have </w:t>
      </w:r>
      <w:r w:rsidRPr="003A3D37">
        <w:rPr>
          <w:rFonts w:ascii="Calibri" w:eastAsia="Times New Roman" w:hAnsi="Calibri" w:cs="Calibri"/>
          <w:color w:val="000000"/>
          <w:sz w:val="24"/>
          <w:szCs w:val="24"/>
          <w:lang w:val="en-US"/>
        </w:rPr>
        <w:lastRenderedPageBreak/>
        <w:t xml:space="preserve">increased the profits of the firm by 58% during the year 2024, and this was partly because of the operations but due to the regained consumer confidence in its ethical stance and transparency as regards environmental concerns. Other circular </w:t>
      </w:r>
      <w:r w:rsidR="00465704" w:rsidRPr="003A3D37">
        <w:rPr>
          <w:rFonts w:ascii="Calibri" w:eastAsia="Times New Roman" w:hAnsi="Calibri" w:cs="Calibri"/>
          <w:color w:val="000000"/>
          <w:sz w:val="24"/>
          <w:szCs w:val="24"/>
          <w:lang w:val="en-US"/>
        </w:rPr>
        <w:t>economic</w:t>
      </w:r>
      <w:r w:rsidRPr="003A3D37">
        <w:rPr>
          <w:rFonts w:ascii="Calibri" w:eastAsia="Times New Roman" w:hAnsi="Calibri" w:cs="Calibri"/>
          <w:color w:val="000000"/>
          <w:sz w:val="24"/>
          <w:szCs w:val="24"/>
          <w:lang w:val="en-US"/>
        </w:rPr>
        <w:t xml:space="preserve"> practices put in place by Plan A are also long-term saving practices. Financial Times (2025) </w:t>
      </w:r>
      <w:r w:rsidR="00465704" w:rsidRPr="003A3D37">
        <w:rPr>
          <w:rFonts w:ascii="Calibri" w:eastAsia="Times New Roman" w:hAnsi="Calibri" w:cs="Calibri"/>
          <w:color w:val="000000"/>
          <w:sz w:val="24"/>
          <w:szCs w:val="24"/>
          <w:lang w:val="en-US"/>
        </w:rPr>
        <w:t>informs us</w:t>
      </w:r>
      <w:r w:rsidRPr="003A3D37">
        <w:rPr>
          <w:rFonts w:ascii="Calibri" w:eastAsia="Times New Roman" w:hAnsi="Calibri" w:cs="Calibri"/>
          <w:color w:val="000000"/>
          <w:sz w:val="24"/>
          <w:szCs w:val="24"/>
          <w:lang w:val="en-US"/>
        </w:rPr>
        <w:t xml:space="preserve"> that M&amp;S is at risk of having to pay as much as £40 million in the new recycling taxes, which also means that the company should actively invest in the realm of sustainable innovation.</w:t>
      </w:r>
    </w:p>
    <w:p w14:paraId="7D5043CA" w14:textId="656B744C" w:rsidR="003A3D37" w:rsidRPr="003A3D37" w:rsidRDefault="003A3D37" w:rsidP="003A3D37">
      <w:pPr>
        <w:spacing w:after="0" w:line="360" w:lineRule="auto"/>
        <w:jc w:val="both"/>
        <w:rPr>
          <w:rFonts w:ascii="Calibri" w:eastAsia="Times New Roman" w:hAnsi="Calibri" w:cs="Calibri"/>
          <w:color w:val="000000"/>
          <w:sz w:val="24"/>
          <w:szCs w:val="24"/>
          <w:lang w:val="en-US"/>
        </w:rPr>
      </w:pPr>
      <w:r w:rsidRPr="003A3D37">
        <w:rPr>
          <w:rFonts w:ascii="Calibri" w:eastAsia="Times New Roman" w:hAnsi="Calibri" w:cs="Calibri"/>
          <w:color w:val="000000"/>
          <w:sz w:val="24"/>
          <w:szCs w:val="24"/>
          <w:lang w:val="en-US"/>
        </w:rPr>
        <w:t xml:space="preserve">A study by Onita (2025) stated that the strategic advantage of the early move into climate compliance is obvious. Early adopters of green infrastructure and digital reporting tools on the environment stand a better chance of adjusting to the impending legislative pressures, including the EU anti-fast fashion campaign and the UK's new Extended Producer Responsibility plans (Financial Times, 2025). In this regard, </w:t>
      </w:r>
      <w:r w:rsidR="00465704" w:rsidRPr="003A3D37">
        <w:rPr>
          <w:rFonts w:ascii="Calibri" w:eastAsia="Times New Roman" w:hAnsi="Calibri" w:cs="Calibri"/>
          <w:color w:val="000000"/>
          <w:sz w:val="24"/>
          <w:szCs w:val="24"/>
          <w:lang w:val="en-US"/>
        </w:rPr>
        <w:t>climate</w:t>
      </w:r>
      <w:r w:rsidRPr="003A3D37">
        <w:rPr>
          <w:rFonts w:ascii="Calibri" w:eastAsia="Times New Roman" w:hAnsi="Calibri" w:cs="Calibri"/>
          <w:color w:val="000000"/>
          <w:sz w:val="24"/>
          <w:szCs w:val="24"/>
          <w:lang w:val="en-US"/>
        </w:rPr>
        <w:t xml:space="preserve"> action turns not only into a reputational necessity but also into a crucial business protective strategy.</w:t>
      </w:r>
    </w:p>
    <w:p w14:paraId="0B458B81" w14:textId="5A49271C" w:rsidR="003A3D37" w:rsidRPr="003A3D37" w:rsidRDefault="003A3D37" w:rsidP="003A3D37">
      <w:pPr>
        <w:spacing w:after="0" w:line="360" w:lineRule="auto"/>
        <w:jc w:val="both"/>
        <w:rPr>
          <w:rFonts w:ascii="Calibri" w:eastAsia="Times New Roman" w:hAnsi="Calibri" w:cs="Calibri"/>
          <w:color w:val="000000"/>
          <w:sz w:val="24"/>
          <w:szCs w:val="24"/>
          <w:lang w:val="en-US"/>
        </w:rPr>
      </w:pPr>
      <w:r w:rsidRPr="003A3D37">
        <w:rPr>
          <w:rFonts w:ascii="Calibri" w:eastAsia="Times New Roman" w:hAnsi="Calibri" w:cs="Calibri"/>
          <w:color w:val="000000"/>
          <w:sz w:val="24"/>
          <w:szCs w:val="24"/>
          <w:lang w:val="en-US"/>
        </w:rPr>
        <w:t xml:space="preserve">The core of M&amp;S's climate strategy is leadership. Thoughtful and moral leadership has allowed businesses to integrate climate pledges into operation strategies instead of optional initiatives (Marks &amp; Spencer Group Plc, 2025). However, Davey (2024) stated that M&amp;S leaders have also been very critical in the development of supplier relationships. M&amp;S does not perceive sustainability as a compliance issue; instead, </w:t>
      </w:r>
      <w:r w:rsidR="00465704" w:rsidRPr="003A3D37">
        <w:rPr>
          <w:rFonts w:ascii="Calibri" w:eastAsia="Times New Roman" w:hAnsi="Calibri" w:cs="Calibri"/>
          <w:color w:val="000000"/>
          <w:sz w:val="24"/>
          <w:szCs w:val="24"/>
          <w:lang w:val="en-US"/>
        </w:rPr>
        <w:t>it</w:t>
      </w:r>
      <w:r w:rsidRPr="003A3D37">
        <w:rPr>
          <w:rFonts w:ascii="Calibri" w:eastAsia="Times New Roman" w:hAnsi="Calibri" w:cs="Calibri"/>
          <w:color w:val="000000"/>
          <w:sz w:val="24"/>
          <w:szCs w:val="24"/>
          <w:lang w:val="en-US"/>
        </w:rPr>
        <w:t xml:space="preserve"> advises its partners on technical </w:t>
      </w:r>
      <w:r w:rsidR="00465704" w:rsidRPr="003A3D37">
        <w:rPr>
          <w:rFonts w:ascii="Calibri" w:eastAsia="Times New Roman" w:hAnsi="Calibri" w:cs="Calibri"/>
          <w:color w:val="000000"/>
          <w:sz w:val="24"/>
          <w:szCs w:val="24"/>
          <w:lang w:val="en-US"/>
        </w:rPr>
        <w:t>training</w:t>
      </w:r>
      <w:r w:rsidRPr="003A3D37">
        <w:rPr>
          <w:rFonts w:ascii="Calibri" w:eastAsia="Times New Roman" w:hAnsi="Calibri" w:cs="Calibri"/>
          <w:color w:val="000000"/>
          <w:sz w:val="24"/>
          <w:szCs w:val="24"/>
          <w:lang w:val="en-US"/>
        </w:rPr>
        <w:t xml:space="preserve"> and monitors their </w:t>
      </w:r>
      <w:r w:rsidR="00465704" w:rsidRPr="003A3D37">
        <w:rPr>
          <w:rFonts w:ascii="Calibri" w:eastAsia="Times New Roman" w:hAnsi="Calibri" w:cs="Calibri"/>
          <w:color w:val="000000"/>
          <w:sz w:val="24"/>
          <w:szCs w:val="24"/>
          <w:lang w:val="en-US"/>
        </w:rPr>
        <w:t>performance</w:t>
      </w:r>
      <w:r w:rsidRPr="003A3D37">
        <w:rPr>
          <w:rFonts w:ascii="Calibri" w:eastAsia="Times New Roman" w:hAnsi="Calibri" w:cs="Calibri"/>
          <w:color w:val="000000"/>
          <w:sz w:val="24"/>
          <w:szCs w:val="24"/>
          <w:lang w:val="en-US"/>
        </w:rPr>
        <w:t xml:space="preserve"> to ensure that they can achieve higher environmental standards. M&amp;S shapes change both outside and inside its </w:t>
      </w:r>
      <w:r w:rsidR="00465704" w:rsidRPr="003A3D37">
        <w:rPr>
          <w:rFonts w:ascii="Calibri" w:eastAsia="Times New Roman" w:hAnsi="Calibri" w:cs="Calibri"/>
          <w:color w:val="000000"/>
          <w:sz w:val="24"/>
          <w:szCs w:val="24"/>
          <w:lang w:val="en-US"/>
        </w:rPr>
        <w:t>organizational</w:t>
      </w:r>
      <w:r w:rsidRPr="003A3D37">
        <w:rPr>
          <w:rFonts w:ascii="Calibri" w:eastAsia="Times New Roman" w:hAnsi="Calibri" w:cs="Calibri"/>
          <w:color w:val="000000"/>
          <w:sz w:val="24"/>
          <w:szCs w:val="24"/>
          <w:lang w:val="en-US"/>
        </w:rPr>
        <w:t xml:space="preserve"> boundaries by shaping collaborations with others, such as its Better Cotton Initiative or its own Food Waste Reduction roadmap (Reuters Video, 2025). This industry-broad type of leadership </w:t>
      </w:r>
      <w:r w:rsidR="00465704" w:rsidRPr="003A3D37">
        <w:rPr>
          <w:rFonts w:ascii="Calibri" w:eastAsia="Times New Roman" w:hAnsi="Calibri" w:cs="Calibri"/>
          <w:color w:val="000000"/>
          <w:sz w:val="24"/>
          <w:szCs w:val="24"/>
          <w:lang w:val="en-US"/>
        </w:rPr>
        <w:t>emphasizes the</w:t>
      </w:r>
      <w:r w:rsidRPr="003A3D37">
        <w:rPr>
          <w:rFonts w:ascii="Calibri" w:eastAsia="Times New Roman" w:hAnsi="Calibri" w:cs="Calibri"/>
          <w:color w:val="000000"/>
          <w:sz w:val="24"/>
          <w:szCs w:val="24"/>
          <w:lang w:val="en-US"/>
        </w:rPr>
        <w:t xml:space="preserve"> aspect that responsible leadership can give rise to sustainability spillover at industry and regional levels. Moreover, the two new tools discovered to be of necessity in leadership are transparency and communication with the stakeholders. Marks &amp; Spencer Group Plc (2025) reports environmental progress on a regular basis by 7.1% annually through its investor relations channel, giving yearly environmental metrics, carbon reduction trends, and policy responses. Such disclosures assist investor assurance and enable clients to evaluate the ethical purity of the company (Marks &amp; Spencer Group Plc, 2025). </w:t>
      </w:r>
    </w:p>
    <w:p w14:paraId="060595BB" w14:textId="77777777" w:rsidR="003A3D37" w:rsidRPr="003A3D37" w:rsidRDefault="003A3D37" w:rsidP="003A3D37">
      <w:pPr>
        <w:keepNext/>
        <w:spacing w:after="0" w:line="360" w:lineRule="auto"/>
        <w:rPr>
          <w:rFonts w:ascii="Calibri" w:eastAsia="Calibri" w:hAnsi="Calibri" w:cs="Calibri"/>
          <w:i/>
          <w:iCs/>
          <w:color w:val="000000"/>
          <w:sz w:val="24"/>
          <w:szCs w:val="24"/>
          <w:lang w:val="en-US"/>
        </w:rPr>
      </w:pPr>
      <w:bookmarkStart w:id="4" w:name="_Toc203776799"/>
      <w:r w:rsidRPr="003A3D37">
        <w:rPr>
          <w:rFonts w:ascii="Calibri" w:eastAsia="Calibri" w:hAnsi="Calibri" w:cs="Calibri"/>
          <w:i/>
          <w:iCs/>
          <w:color w:val="000000"/>
          <w:sz w:val="24"/>
          <w:szCs w:val="24"/>
          <w:lang w:val="en-US"/>
        </w:rPr>
        <w:lastRenderedPageBreak/>
        <w:t xml:space="preserve">Table </w:t>
      </w:r>
      <w:r w:rsidRPr="003A3D37">
        <w:rPr>
          <w:rFonts w:ascii="Calibri" w:eastAsia="Calibri" w:hAnsi="Calibri" w:cs="Calibri"/>
          <w:i/>
          <w:iCs/>
          <w:color w:val="000000"/>
          <w:sz w:val="24"/>
          <w:szCs w:val="24"/>
          <w:lang w:val="en-US"/>
        </w:rPr>
        <w:fldChar w:fldCharType="begin"/>
      </w:r>
      <w:r w:rsidRPr="003A3D37">
        <w:rPr>
          <w:rFonts w:ascii="Calibri" w:eastAsia="Calibri" w:hAnsi="Calibri" w:cs="Calibri"/>
          <w:i/>
          <w:iCs/>
          <w:color w:val="000000"/>
          <w:sz w:val="24"/>
          <w:szCs w:val="24"/>
          <w:lang w:val="en-US"/>
        </w:rPr>
        <w:instrText xml:space="preserve"> SEQ Table \* ARABIC </w:instrText>
      </w:r>
      <w:r w:rsidRPr="003A3D37">
        <w:rPr>
          <w:rFonts w:ascii="Calibri" w:eastAsia="Calibri" w:hAnsi="Calibri" w:cs="Calibri"/>
          <w:i/>
          <w:iCs/>
          <w:color w:val="000000"/>
          <w:sz w:val="24"/>
          <w:szCs w:val="24"/>
          <w:lang w:val="en-US"/>
        </w:rPr>
        <w:fldChar w:fldCharType="separate"/>
      </w:r>
      <w:r w:rsidRPr="003A3D37">
        <w:rPr>
          <w:rFonts w:ascii="Calibri" w:eastAsia="Calibri" w:hAnsi="Calibri" w:cs="Calibri"/>
          <w:i/>
          <w:iCs/>
          <w:noProof/>
          <w:color w:val="000000"/>
          <w:sz w:val="24"/>
          <w:szCs w:val="24"/>
          <w:lang w:val="en-US"/>
        </w:rPr>
        <w:t>1</w:t>
      </w:r>
      <w:r w:rsidRPr="003A3D37">
        <w:rPr>
          <w:rFonts w:ascii="Calibri" w:eastAsia="Calibri" w:hAnsi="Calibri" w:cs="Calibri"/>
          <w:i/>
          <w:iCs/>
          <w:color w:val="000000"/>
          <w:sz w:val="24"/>
          <w:szCs w:val="24"/>
          <w:lang w:val="en-US"/>
        </w:rPr>
        <w:fldChar w:fldCharType="end"/>
      </w:r>
      <w:r w:rsidRPr="003A3D37">
        <w:rPr>
          <w:rFonts w:ascii="Calibri" w:eastAsia="Calibri" w:hAnsi="Calibri" w:cs="Calibri"/>
          <w:i/>
          <w:iCs/>
          <w:color w:val="000000"/>
          <w:sz w:val="24"/>
          <w:szCs w:val="24"/>
          <w:lang w:val="en-US"/>
        </w:rPr>
        <w:t xml:space="preserve"> Strategic Climate Leadership Factors at M&amp;S</w:t>
      </w:r>
      <w:bookmarkEnd w:id="4"/>
    </w:p>
    <w:tbl>
      <w:tblPr>
        <w:tblStyle w:val="GridTable4-Accent51"/>
        <w:tblW w:w="0" w:type="auto"/>
        <w:tblLook w:val="04A0" w:firstRow="1" w:lastRow="0" w:firstColumn="1" w:lastColumn="0" w:noHBand="0" w:noVBand="1"/>
      </w:tblPr>
      <w:tblGrid>
        <w:gridCol w:w="3628"/>
        <w:gridCol w:w="5722"/>
      </w:tblGrid>
      <w:tr w:rsidR="003A3D37" w:rsidRPr="003A3D37" w14:paraId="5FF5FF3B" w14:textId="77777777" w:rsidTr="00373CA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F4DCD73" w14:textId="77777777" w:rsidR="003A3D37" w:rsidRPr="003A3D37" w:rsidRDefault="003A3D37" w:rsidP="003A3D37">
            <w:pPr>
              <w:spacing w:line="360" w:lineRule="auto"/>
              <w:jc w:val="center"/>
              <w:rPr>
                <w:rFonts w:ascii="Calibri" w:eastAsia="Calibri" w:hAnsi="Calibri" w:cs="Calibri"/>
                <w:color w:val="000000"/>
                <w:sz w:val="24"/>
                <w:szCs w:val="24"/>
              </w:rPr>
            </w:pPr>
            <w:r w:rsidRPr="003A3D37">
              <w:rPr>
                <w:rFonts w:ascii="Calibri" w:eastAsia="Calibri" w:hAnsi="Calibri" w:cs="Calibri"/>
                <w:color w:val="000000"/>
                <w:sz w:val="24"/>
                <w:szCs w:val="24"/>
              </w:rPr>
              <w:t>Leadership &amp; Strategy Area</w:t>
            </w:r>
          </w:p>
        </w:tc>
        <w:tc>
          <w:tcPr>
            <w:tcW w:w="0" w:type="auto"/>
            <w:hideMark/>
          </w:tcPr>
          <w:p w14:paraId="06CF7632" w14:textId="77777777" w:rsidR="003A3D37" w:rsidRPr="003A3D37" w:rsidRDefault="003A3D37" w:rsidP="003A3D37">
            <w:pPr>
              <w:spacing w:line="360" w:lineRule="auto"/>
              <w:jc w:val="center"/>
              <w:cnfStyle w:val="100000000000" w:firstRow="1" w:lastRow="0" w:firstColumn="0" w:lastColumn="0" w:oddVBand="0" w:evenVBand="0" w:oddHBand="0" w:evenHBand="0" w:firstRowFirstColumn="0" w:firstRowLastColumn="0" w:lastRowFirstColumn="0" w:lastRowLastColumn="0"/>
              <w:rPr>
                <w:rFonts w:ascii="Calibri" w:eastAsia="Calibri" w:hAnsi="Calibri" w:cs="Calibri"/>
                <w:color w:val="000000"/>
                <w:sz w:val="24"/>
                <w:szCs w:val="24"/>
              </w:rPr>
            </w:pPr>
            <w:r w:rsidRPr="003A3D37">
              <w:rPr>
                <w:rFonts w:ascii="Calibri" w:eastAsia="Calibri" w:hAnsi="Calibri" w:cs="Calibri"/>
                <w:color w:val="000000"/>
                <w:sz w:val="24"/>
                <w:szCs w:val="24"/>
              </w:rPr>
              <w:t>Climate Impact Summary</w:t>
            </w:r>
          </w:p>
        </w:tc>
      </w:tr>
      <w:tr w:rsidR="003A3D37" w:rsidRPr="003A3D37" w14:paraId="34170D8C" w14:textId="77777777" w:rsidTr="00373C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B4D5492" w14:textId="77777777" w:rsidR="003A3D37" w:rsidRPr="003A3D37" w:rsidRDefault="003A3D37" w:rsidP="003A3D37">
            <w:pPr>
              <w:spacing w:line="360" w:lineRule="auto"/>
              <w:rPr>
                <w:rFonts w:ascii="Calibri" w:eastAsia="Calibri" w:hAnsi="Calibri" w:cs="Calibri"/>
                <w:color w:val="000000"/>
                <w:sz w:val="24"/>
                <w:szCs w:val="24"/>
              </w:rPr>
            </w:pPr>
            <w:r w:rsidRPr="003A3D37">
              <w:rPr>
                <w:rFonts w:ascii="Calibri" w:eastAsia="Calibri" w:hAnsi="Calibri" w:cs="Calibri"/>
                <w:color w:val="000000"/>
                <w:sz w:val="24"/>
                <w:szCs w:val="24"/>
              </w:rPr>
              <w:t>Global Supply Chain</w:t>
            </w:r>
          </w:p>
        </w:tc>
        <w:tc>
          <w:tcPr>
            <w:tcW w:w="0" w:type="auto"/>
            <w:hideMark/>
          </w:tcPr>
          <w:p w14:paraId="60B25295" w14:textId="77777777" w:rsidR="003A3D37" w:rsidRPr="003A3D37" w:rsidRDefault="003A3D37" w:rsidP="003A3D37">
            <w:pPr>
              <w:spacing w:line="360" w:lineRule="auto"/>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 w:val="24"/>
                <w:szCs w:val="24"/>
              </w:rPr>
            </w:pPr>
            <w:r w:rsidRPr="003A3D37">
              <w:rPr>
                <w:rFonts w:ascii="Calibri" w:eastAsia="Calibri" w:hAnsi="Calibri" w:cs="Calibri"/>
                <w:color w:val="000000"/>
                <w:sz w:val="24"/>
                <w:szCs w:val="24"/>
              </w:rPr>
              <w:t>Enables large-scale reduction in Scope 3 emissions through supplier engagement</w:t>
            </w:r>
          </w:p>
        </w:tc>
      </w:tr>
      <w:tr w:rsidR="003A3D37" w:rsidRPr="003A3D37" w14:paraId="039C0DEB" w14:textId="77777777" w:rsidTr="00373CA8">
        <w:tc>
          <w:tcPr>
            <w:cnfStyle w:val="001000000000" w:firstRow="0" w:lastRow="0" w:firstColumn="1" w:lastColumn="0" w:oddVBand="0" w:evenVBand="0" w:oddHBand="0" w:evenHBand="0" w:firstRowFirstColumn="0" w:firstRowLastColumn="0" w:lastRowFirstColumn="0" w:lastRowLastColumn="0"/>
            <w:tcW w:w="0" w:type="auto"/>
            <w:hideMark/>
          </w:tcPr>
          <w:p w14:paraId="736F9184" w14:textId="77777777" w:rsidR="003A3D37" w:rsidRPr="003A3D37" w:rsidRDefault="003A3D37" w:rsidP="003A3D37">
            <w:pPr>
              <w:spacing w:line="360" w:lineRule="auto"/>
              <w:rPr>
                <w:rFonts w:ascii="Calibri" w:eastAsia="Calibri" w:hAnsi="Calibri" w:cs="Calibri"/>
                <w:color w:val="000000"/>
                <w:sz w:val="24"/>
                <w:szCs w:val="24"/>
              </w:rPr>
            </w:pPr>
            <w:r w:rsidRPr="003A3D37">
              <w:rPr>
                <w:rFonts w:ascii="Calibri" w:eastAsia="Calibri" w:hAnsi="Calibri" w:cs="Calibri"/>
                <w:color w:val="000000"/>
                <w:sz w:val="24"/>
                <w:szCs w:val="24"/>
              </w:rPr>
              <w:t>Circular Economy Innovation (Plan A)</w:t>
            </w:r>
          </w:p>
        </w:tc>
        <w:tc>
          <w:tcPr>
            <w:tcW w:w="0" w:type="auto"/>
            <w:hideMark/>
          </w:tcPr>
          <w:p w14:paraId="1A2E771B" w14:textId="76A8BB1A" w:rsidR="003A3D37" w:rsidRPr="003A3D37" w:rsidRDefault="00465704" w:rsidP="003A3D37">
            <w:pPr>
              <w:spacing w:line="360" w:lineRule="auto"/>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 w:val="24"/>
                <w:szCs w:val="24"/>
              </w:rPr>
            </w:pPr>
            <w:r w:rsidRPr="003A3D37">
              <w:rPr>
                <w:rFonts w:ascii="Calibri" w:eastAsia="Calibri" w:hAnsi="Calibri" w:cs="Calibri"/>
                <w:color w:val="000000"/>
                <w:sz w:val="24"/>
                <w:szCs w:val="24"/>
              </w:rPr>
              <w:t>Minimizes</w:t>
            </w:r>
            <w:r w:rsidR="003A3D37" w:rsidRPr="003A3D37">
              <w:rPr>
                <w:rFonts w:ascii="Calibri" w:eastAsia="Calibri" w:hAnsi="Calibri" w:cs="Calibri"/>
                <w:color w:val="000000"/>
                <w:sz w:val="24"/>
                <w:szCs w:val="24"/>
              </w:rPr>
              <w:t xml:space="preserve"> waste, cuts material costs, and reduces carbon footprint</w:t>
            </w:r>
          </w:p>
        </w:tc>
      </w:tr>
      <w:tr w:rsidR="003A3D37" w:rsidRPr="003A3D37" w14:paraId="5A073C26" w14:textId="77777777" w:rsidTr="00373C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4CEB250" w14:textId="77777777" w:rsidR="003A3D37" w:rsidRPr="003A3D37" w:rsidRDefault="003A3D37" w:rsidP="003A3D37">
            <w:pPr>
              <w:spacing w:line="360" w:lineRule="auto"/>
              <w:rPr>
                <w:rFonts w:ascii="Calibri" w:eastAsia="Calibri" w:hAnsi="Calibri" w:cs="Calibri"/>
                <w:color w:val="000000"/>
                <w:sz w:val="24"/>
                <w:szCs w:val="24"/>
              </w:rPr>
            </w:pPr>
            <w:r w:rsidRPr="003A3D37">
              <w:rPr>
                <w:rFonts w:ascii="Calibri" w:eastAsia="Calibri" w:hAnsi="Calibri" w:cs="Calibri"/>
                <w:color w:val="000000"/>
                <w:sz w:val="24"/>
                <w:szCs w:val="24"/>
              </w:rPr>
              <w:t>ESG and Brand Reputation</w:t>
            </w:r>
          </w:p>
        </w:tc>
        <w:tc>
          <w:tcPr>
            <w:tcW w:w="0" w:type="auto"/>
            <w:hideMark/>
          </w:tcPr>
          <w:p w14:paraId="589B548B" w14:textId="3482EE09" w:rsidR="003A3D37" w:rsidRPr="003A3D37" w:rsidRDefault="003A3D37" w:rsidP="003A3D37">
            <w:pPr>
              <w:spacing w:line="360" w:lineRule="auto"/>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 w:val="24"/>
                <w:szCs w:val="24"/>
              </w:rPr>
            </w:pPr>
            <w:r w:rsidRPr="003A3D37">
              <w:rPr>
                <w:rFonts w:ascii="Calibri" w:eastAsia="Calibri" w:hAnsi="Calibri" w:cs="Calibri"/>
                <w:color w:val="000000"/>
                <w:sz w:val="24"/>
                <w:szCs w:val="24"/>
              </w:rPr>
              <w:t xml:space="preserve">Enhances customer loyalty and investor </w:t>
            </w:r>
            <w:r w:rsidR="00465704" w:rsidRPr="003A3D37">
              <w:rPr>
                <w:rFonts w:ascii="Calibri" w:eastAsia="Calibri" w:hAnsi="Calibri" w:cs="Calibri"/>
                <w:color w:val="000000"/>
                <w:sz w:val="24"/>
                <w:szCs w:val="24"/>
              </w:rPr>
              <w:t>interest</w:t>
            </w:r>
            <w:r w:rsidRPr="003A3D37">
              <w:rPr>
                <w:rFonts w:ascii="Calibri" w:eastAsia="Calibri" w:hAnsi="Calibri" w:cs="Calibri"/>
                <w:color w:val="000000"/>
                <w:sz w:val="24"/>
                <w:szCs w:val="24"/>
              </w:rPr>
              <w:t xml:space="preserve"> drives ethical differentiation</w:t>
            </w:r>
          </w:p>
        </w:tc>
      </w:tr>
      <w:tr w:rsidR="003A3D37" w:rsidRPr="003A3D37" w14:paraId="6C9371D7" w14:textId="77777777" w:rsidTr="00373CA8">
        <w:tc>
          <w:tcPr>
            <w:cnfStyle w:val="001000000000" w:firstRow="0" w:lastRow="0" w:firstColumn="1" w:lastColumn="0" w:oddVBand="0" w:evenVBand="0" w:oddHBand="0" w:evenHBand="0" w:firstRowFirstColumn="0" w:firstRowLastColumn="0" w:lastRowFirstColumn="0" w:lastRowLastColumn="0"/>
            <w:tcW w:w="0" w:type="auto"/>
            <w:hideMark/>
          </w:tcPr>
          <w:p w14:paraId="629B6DF8" w14:textId="77777777" w:rsidR="003A3D37" w:rsidRPr="003A3D37" w:rsidRDefault="003A3D37" w:rsidP="003A3D37">
            <w:pPr>
              <w:spacing w:line="360" w:lineRule="auto"/>
              <w:rPr>
                <w:rFonts w:ascii="Calibri" w:eastAsia="Calibri" w:hAnsi="Calibri" w:cs="Calibri"/>
                <w:color w:val="000000"/>
                <w:sz w:val="24"/>
                <w:szCs w:val="24"/>
              </w:rPr>
            </w:pPr>
            <w:r w:rsidRPr="003A3D37">
              <w:rPr>
                <w:rFonts w:ascii="Calibri" w:eastAsia="Calibri" w:hAnsi="Calibri" w:cs="Calibri"/>
                <w:color w:val="000000"/>
                <w:sz w:val="24"/>
                <w:szCs w:val="24"/>
              </w:rPr>
              <w:t>Board-Level Vision and Accountability</w:t>
            </w:r>
          </w:p>
        </w:tc>
        <w:tc>
          <w:tcPr>
            <w:tcW w:w="0" w:type="auto"/>
            <w:hideMark/>
          </w:tcPr>
          <w:p w14:paraId="7FD6C012" w14:textId="77777777" w:rsidR="003A3D37" w:rsidRPr="003A3D37" w:rsidRDefault="003A3D37" w:rsidP="003A3D37">
            <w:pPr>
              <w:spacing w:line="360" w:lineRule="auto"/>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 w:val="24"/>
                <w:szCs w:val="24"/>
              </w:rPr>
            </w:pPr>
            <w:r w:rsidRPr="003A3D37">
              <w:rPr>
                <w:rFonts w:ascii="Calibri" w:eastAsia="Calibri" w:hAnsi="Calibri" w:cs="Calibri"/>
                <w:color w:val="000000"/>
                <w:sz w:val="24"/>
                <w:szCs w:val="24"/>
              </w:rPr>
              <w:t>Integrates climate goals into strategic planning and executive incentives</w:t>
            </w:r>
          </w:p>
        </w:tc>
      </w:tr>
      <w:tr w:rsidR="003A3D37" w:rsidRPr="003A3D37" w14:paraId="680270B6" w14:textId="77777777" w:rsidTr="00373C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F833652" w14:textId="77777777" w:rsidR="003A3D37" w:rsidRPr="003A3D37" w:rsidRDefault="003A3D37" w:rsidP="003A3D37">
            <w:pPr>
              <w:spacing w:line="360" w:lineRule="auto"/>
              <w:rPr>
                <w:rFonts w:ascii="Calibri" w:eastAsia="Calibri" w:hAnsi="Calibri" w:cs="Calibri"/>
                <w:color w:val="000000"/>
                <w:sz w:val="24"/>
                <w:szCs w:val="24"/>
              </w:rPr>
            </w:pPr>
            <w:r w:rsidRPr="003A3D37">
              <w:rPr>
                <w:rFonts w:ascii="Calibri" w:eastAsia="Calibri" w:hAnsi="Calibri" w:cs="Calibri"/>
                <w:color w:val="000000"/>
                <w:sz w:val="24"/>
                <w:szCs w:val="24"/>
              </w:rPr>
              <w:t>Stakeholder Transparency and Communication</w:t>
            </w:r>
          </w:p>
        </w:tc>
        <w:tc>
          <w:tcPr>
            <w:tcW w:w="0" w:type="auto"/>
            <w:hideMark/>
          </w:tcPr>
          <w:p w14:paraId="17C7D350" w14:textId="77777777" w:rsidR="003A3D37" w:rsidRPr="003A3D37" w:rsidRDefault="003A3D37" w:rsidP="003A3D37">
            <w:pPr>
              <w:spacing w:line="360" w:lineRule="auto"/>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 w:val="24"/>
                <w:szCs w:val="24"/>
              </w:rPr>
            </w:pPr>
            <w:r w:rsidRPr="003A3D37">
              <w:rPr>
                <w:rFonts w:ascii="Calibri" w:eastAsia="Calibri" w:hAnsi="Calibri" w:cs="Calibri"/>
                <w:color w:val="000000"/>
                <w:sz w:val="24"/>
                <w:szCs w:val="24"/>
              </w:rPr>
              <w:t>Strengthens trust via detailed disclosures and real-time climate performance tracking</w:t>
            </w:r>
          </w:p>
        </w:tc>
      </w:tr>
    </w:tbl>
    <w:p w14:paraId="088AA0EB" w14:textId="77777777" w:rsidR="00465704" w:rsidRDefault="00465704" w:rsidP="00465704">
      <w:pPr>
        <w:pStyle w:val="Heading2"/>
        <w:jc w:val="center"/>
        <w:rPr>
          <w:rFonts w:eastAsia="Times New Roman"/>
          <w:lang w:val="en-US"/>
        </w:rPr>
      </w:pPr>
    </w:p>
    <w:p w14:paraId="40AAEF5A" w14:textId="1DEF833E" w:rsidR="003A3D37" w:rsidRPr="003A3D37" w:rsidRDefault="003A3D37" w:rsidP="00465704">
      <w:pPr>
        <w:pStyle w:val="Heading2"/>
        <w:jc w:val="center"/>
        <w:rPr>
          <w:rFonts w:eastAsia="Times New Roman"/>
          <w:lang w:val="en-US"/>
        </w:rPr>
      </w:pPr>
      <w:bookmarkStart w:id="5" w:name="_Toc203991944"/>
      <w:r w:rsidRPr="003A3D37">
        <w:rPr>
          <w:rFonts w:eastAsia="Times New Roman"/>
          <w:lang w:val="en-US"/>
        </w:rPr>
        <w:t>2.2 The Case Against MNEs as Climate Leaders</w:t>
      </w:r>
      <w:bookmarkEnd w:id="5"/>
    </w:p>
    <w:p w14:paraId="78AD257C" w14:textId="17CC2327" w:rsidR="003A3D37" w:rsidRPr="003A3D37" w:rsidRDefault="003A3D37" w:rsidP="003A3D37">
      <w:pPr>
        <w:spacing w:after="0" w:line="360" w:lineRule="auto"/>
        <w:jc w:val="both"/>
        <w:rPr>
          <w:rFonts w:ascii="Calibri" w:eastAsia="Times New Roman" w:hAnsi="Calibri" w:cs="Calibri"/>
          <w:color w:val="000000"/>
          <w:sz w:val="24"/>
          <w:szCs w:val="24"/>
          <w:lang w:val="en-US"/>
        </w:rPr>
      </w:pPr>
      <w:r w:rsidRPr="003A3D37">
        <w:rPr>
          <w:rFonts w:ascii="Calibri" w:eastAsia="Times New Roman" w:hAnsi="Calibri" w:cs="Calibri"/>
          <w:color w:val="000000"/>
          <w:sz w:val="24"/>
          <w:szCs w:val="24"/>
          <w:lang w:val="en-US"/>
        </w:rPr>
        <w:t xml:space="preserve">According to Swissinfo (2024), Multinational Enterprises (MNEs) are under great criticism regarding exaggerating their environmental responsibilities despite the fact that they are capable of mitigating climate change. When a company is greenwashing, it is convincing the stakeholders about its environmental performance when it is not, which is a trend that is increasingly becoming a problem in the business sector (Shares Magazine, 2024). M&amp;S, although much touted as a role model with its </w:t>
      </w:r>
      <w:r w:rsidR="00465704" w:rsidRPr="003A3D37">
        <w:rPr>
          <w:rFonts w:ascii="Calibri" w:eastAsia="Times New Roman" w:hAnsi="Calibri" w:cs="Calibri"/>
          <w:color w:val="000000"/>
          <w:sz w:val="24"/>
          <w:szCs w:val="24"/>
          <w:lang w:val="en-US"/>
        </w:rPr>
        <w:t>as</w:t>
      </w:r>
      <w:r w:rsidRPr="003A3D37">
        <w:rPr>
          <w:rFonts w:ascii="Calibri" w:eastAsia="Times New Roman" w:hAnsi="Calibri" w:cs="Calibri"/>
          <w:color w:val="000000"/>
          <w:sz w:val="24"/>
          <w:szCs w:val="24"/>
          <w:lang w:val="en-US"/>
        </w:rPr>
        <w:t xml:space="preserve"> per Yahoo News UK (2024), Plan A sustainability strategy, has not been spared of such claims. Although Plan A was initially launched as a transformative agenda, critics have claimed that its quantifiable effect has more often than not failed to live up to its undertaking, with changing targets and ambiguous goals also hurting its credibility. In contrast, </w:t>
      </w:r>
      <w:r w:rsidRPr="003A3D37">
        <w:rPr>
          <w:rFonts w:ascii="Calibri" w:eastAsia="Times New Roman" w:hAnsi="Calibri" w:cs="Calibri"/>
          <w:color w:val="000000"/>
          <w:sz w:val="24"/>
          <w:szCs w:val="24"/>
          <w:shd w:val="clear" w:color="auto" w:fill="FFFFFF"/>
          <w:lang w:val="en-US"/>
        </w:rPr>
        <w:t>Ulijn and Salamzadeh</w:t>
      </w:r>
      <w:r w:rsidRPr="003A3D37">
        <w:rPr>
          <w:rFonts w:ascii="Calibri" w:eastAsia="Times New Roman" w:hAnsi="Calibri" w:cs="Calibri"/>
          <w:color w:val="000000"/>
          <w:sz w:val="24"/>
          <w:szCs w:val="24"/>
          <w:lang w:val="en-US"/>
        </w:rPr>
        <w:t xml:space="preserve"> (2024) reported that the 2021 Plan A, as an example, </w:t>
      </w:r>
      <w:r w:rsidR="00465704" w:rsidRPr="003A3D37">
        <w:rPr>
          <w:rFonts w:ascii="Calibri" w:eastAsia="Times New Roman" w:hAnsi="Calibri" w:cs="Calibri"/>
          <w:color w:val="000000"/>
          <w:sz w:val="24"/>
          <w:szCs w:val="24"/>
          <w:lang w:val="en-US"/>
        </w:rPr>
        <w:t>recognized</w:t>
      </w:r>
      <w:r w:rsidRPr="003A3D37">
        <w:rPr>
          <w:rFonts w:ascii="Calibri" w:eastAsia="Times New Roman" w:hAnsi="Calibri" w:cs="Calibri"/>
          <w:color w:val="000000"/>
          <w:sz w:val="24"/>
          <w:szCs w:val="24"/>
          <w:lang w:val="en-US"/>
        </w:rPr>
        <w:t xml:space="preserve"> the improvement; however, it lacked third-party validation and lacked transparency of data on </w:t>
      </w:r>
      <w:r w:rsidR="00465704" w:rsidRPr="003A3D37">
        <w:rPr>
          <w:rFonts w:ascii="Calibri" w:eastAsia="Times New Roman" w:hAnsi="Calibri" w:cs="Calibri"/>
          <w:color w:val="000000"/>
          <w:sz w:val="24"/>
          <w:szCs w:val="24"/>
          <w:lang w:val="en-US"/>
        </w:rPr>
        <w:t>life cycles</w:t>
      </w:r>
      <w:r w:rsidRPr="003A3D37">
        <w:rPr>
          <w:rFonts w:ascii="Calibri" w:eastAsia="Times New Roman" w:hAnsi="Calibri" w:cs="Calibri"/>
          <w:color w:val="000000"/>
          <w:sz w:val="24"/>
          <w:szCs w:val="24"/>
          <w:lang w:val="en-US"/>
        </w:rPr>
        <w:t xml:space="preserve"> across the supply chain. Wild (2024) further reported that there exists the disconnection between the communication about the promotion and systemic change. M&amp;S has been </w:t>
      </w:r>
      <w:r w:rsidR="00465704" w:rsidRPr="003A3D37">
        <w:rPr>
          <w:rFonts w:ascii="Calibri" w:eastAsia="Times New Roman" w:hAnsi="Calibri" w:cs="Calibri"/>
          <w:color w:val="000000"/>
          <w:sz w:val="24"/>
          <w:szCs w:val="24"/>
          <w:lang w:val="en-US"/>
        </w:rPr>
        <w:t>publicizing</w:t>
      </w:r>
      <w:r w:rsidRPr="003A3D37">
        <w:rPr>
          <w:rFonts w:ascii="Calibri" w:eastAsia="Times New Roman" w:hAnsi="Calibri" w:cs="Calibri"/>
          <w:color w:val="000000"/>
          <w:sz w:val="24"/>
          <w:szCs w:val="24"/>
          <w:lang w:val="en-US"/>
        </w:rPr>
        <w:t xml:space="preserve"> the eco-labelling, carbon-reduction claims, and </w:t>
      </w:r>
      <w:r w:rsidR="00465704" w:rsidRPr="003A3D37">
        <w:rPr>
          <w:rFonts w:ascii="Calibri" w:eastAsia="Times New Roman" w:hAnsi="Calibri" w:cs="Calibri"/>
          <w:color w:val="000000"/>
          <w:sz w:val="24"/>
          <w:szCs w:val="24"/>
          <w:lang w:val="en-US"/>
        </w:rPr>
        <w:t>wasting</w:t>
      </w:r>
      <w:r w:rsidRPr="003A3D37">
        <w:rPr>
          <w:rFonts w:ascii="Calibri" w:eastAsia="Times New Roman" w:hAnsi="Calibri" w:cs="Calibri"/>
          <w:color w:val="000000"/>
          <w:sz w:val="24"/>
          <w:szCs w:val="24"/>
          <w:lang w:val="en-US"/>
        </w:rPr>
        <w:t xml:space="preserve"> effort heavily on the digital </w:t>
      </w:r>
      <w:r w:rsidRPr="003A3D37">
        <w:rPr>
          <w:rFonts w:ascii="Calibri" w:eastAsia="Times New Roman" w:hAnsi="Calibri" w:cs="Calibri"/>
          <w:color w:val="000000"/>
          <w:sz w:val="24"/>
          <w:szCs w:val="24"/>
          <w:lang w:val="en-US"/>
        </w:rPr>
        <w:lastRenderedPageBreak/>
        <w:t xml:space="preserve">and retailer fronts. According to reports from the outside media and analysts, other initiatives, though being on display, do little in the total overall environmental impact of M&amp;S (Shares Magazine, 2024). There is a discrepancy in communication and disclosures, and this has cast doubt on the true effect of the retailer </w:t>
      </w:r>
      <w:r w:rsidR="00465704" w:rsidRPr="003A3D37">
        <w:rPr>
          <w:rFonts w:ascii="Calibri" w:eastAsia="Times New Roman" w:hAnsi="Calibri" w:cs="Calibri"/>
          <w:color w:val="000000"/>
          <w:sz w:val="24"/>
          <w:szCs w:val="24"/>
          <w:lang w:val="en-US"/>
        </w:rPr>
        <w:t>on</w:t>
      </w:r>
      <w:r w:rsidRPr="003A3D37">
        <w:rPr>
          <w:rFonts w:ascii="Calibri" w:eastAsia="Times New Roman" w:hAnsi="Calibri" w:cs="Calibri"/>
          <w:color w:val="000000"/>
          <w:sz w:val="24"/>
          <w:szCs w:val="24"/>
          <w:lang w:val="en-US"/>
        </w:rPr>
        <w:t xml:space="preserve"> its sustainability claims. </w:t>
      </w:r>
    </w:p>
    <w:p w14:paraId="2584056D" w14:textId="0AF557B4" w:rsidR="003A3D37" w:rsidRPr="003A3D37" w:rsidRDefault="003A3D37" w:rsidP="003A3D37">
      <w:pPr>
        <w:spacing w:after="0" w:line="360" w:lineRule="auto"/>
        <w:jc w:val="both"/>
        <w:rPr>
          <w:rFonts w:ascii="Calibri" w:eastAsia="Times New Roman" w:hAnsi="Calibri" w:cs="Calibri"/>
          <w:color w:val="000000"/>
          <w:sz w:val="24"/>
          <w:szCs w:val="24"/>
          <w:lang w:val="en-US"/>
        </w:rPr>
      </w:pPr>
      <w:r w:rsidRPr="003A3D37">
        <w:rPr>
          <w:rFonts w:ascii="Calibri" w:eastAsia="Times New Roman" w:hAnsi="Calibri" w:cs="Calibri"/>
          <w:color w:val="000000"/>
          <w:sz w:val="24"/>
          <w:szCs w:val="24"/>
          <w:lang w:val="en-US"/>
        </w:rPr>
        <w:t>The dynamic nature of the retail business, particularly the fashion segment, requires quick inventory turnover and cost-effectiveness, at which point sustainability is lost (</w:t>
      </w:r>
      <w:r w:rsidRPr="003A3D37">
        <w:rPr>
          <w:rFonts w:ascii="Calibri" w:eastAsia="Times New Roman" w:hAnsi="Calibri" w:cs="Calibri"/>
          <w:color w:val="000000"/>
          <w:sz w:val="24"/>
          <w:szCs w:val="24"/>
          <w:shd w:val="clear" w:color="auto" w:fill="FFFFFF"/>
          <w:lang w:val="en-US"/>
        </w:rPr>
        <w:t>Yang et al. 2024</w:t>
      </w:r>
      <w:r w:rsidRPr="003A3D37">
        <w:rPr>
          <w:rFonts w:ascii="Calibri" w:eastAsia="Times New Roman" w:hAnsi="Calibri" w:cs="Calibri"/>
          <w:color w:val="000000"/>
          <w:sz w:val="24"/>
          <w:szCs w:val="24"/>
          <w:lang w:val="en-US"/>
        </w:rPr>
        <w:t xml:space="preserve">). Despite increasing its actual sourcing towards sustainability, M&amp;S's apparel division continues to be deeply dependent on offshore production of goods in countries that have low </w:t>
      </w:r>
      <w:r w:rsidR="00465704" w:rsidRPr="003A3D37">
        <w:rPr>
          <w:rFonts w:ascii="Calibri" w:eastAsia="Times New Roman" w:hAnsi="Calibri" w:cs="Calibri"/>
          <w:color w:val="000000"/>
          <w:sz w:val="24"/>
          <w:szCs w:val="24"/>
          <w:lang w:val="en-US"/>
        </w:rPr>
        <w:t>labor</w:t>
      </w:r>
      <w:r w:rsidRPr="003A3D37">
        <w:rPr>
          <w:rFonts w:ascii="Calibri" w:eastAsia="Times New Roman" w:hAnsi="Calibri" w:cs="Calibri"/>
          <w:color w:val="000000"/>
          <w:sz w:val="24"/>
          <w:szCs w:val="24"/>
          <w:lang w:val="en-US"/>
        </w:rPr>
        <w:t xml:space="preserve"> and environmental standards. The reliance creates supply chain uncertainty and hinders attempts to track Scope 3 emissions (Financial Times, 2025). Cost-reduction measures to raise profit, like becoming lean and contracting or outsourcing logistical responsibilities, are likely to trim overheads but tend to </w:t>
      </w:r>
      <w:r w:rsidR="00465704" w:rsidRPr="003A3D37">
        <w:rPr>
          <w:rFonts w:ascii="Calibri" w:eastAsia="Times New Roman" w:hAnsi="Calibri" w:cs="Calibri"/>
          <w:color w:val="000000"/>
          <w:sz w:val="24"/>
          <w:szCs w:val="24"/>
          <w:lang w:val="en-US"/>
        </w:rPr>
        <w:t>externalize</w:t>
      </w:r>
      <w:r w:rsidRPr="003A3D37">
        <w:rPr>
          <w:rFonts w:ascii="Calibri" w:eastAsia="Times New Roman" w:hAnsi="Calibri" w:cs="Calibri"/>
          <w:color w:val="000000"/>
          <w:sz w:val="24"/>
          <w:szCs w:val="24"/>
          <w:lang w:val="en-US"/>
        </w:rPr>
        <w:t xml:space="preserve"> the social and environmental costs. In addition, shareholder primacy can create the instinct of pushing long-term climate investments to the side (</w:t>
      </w:r>
      <w:r w:rsidRPr="003A3D37">
        <w:rPr>
          <w:rFonts w:ascii="Calibri" w:eastAsia="Times New Roman" w:hAnsi="Calibri" w:cs="Calibri"/>
          <w:color w:val="000000"/>
          <w:sz w:val="24"/>
          <w:szCs w:val="24"/>
          <w:shd w:val="clear" w:color="auto" w:fill="FFFFFF"/>
          <w:lang w:val="en-US"/>
        </w:rPr>
        <w:t>Yang et al. 2024</w:t>
      </w:r>
      <w:r w:rsidRPr="003A3D37">
        <w:rPr>
          <w:rFonts w:ascii="Calibri" w:eastAsia="Times New Roman" w:hAnsi="Calibri" w:cs="Calibri"/>
          <w:color w:val="000000"/>
          <w:sz w:val="24"/>
          <w:szCs w:val="24"/>
          <w:lang w:val="en-US"/>
        </w:rPr>
        <w:t xml:space="preserve">). </w:t>
      </w:r>
    </w:p>
    <w:p w14:paraId="54D0F858" w14:textId="77777777" w:rsidR="003A3D37" w:rsidRPr="003A3D37" w:rsidRDefault="003A3D37" w:rsidP="003A3D37">
      <w:pPr>
        <w:spacing w:after="0" w:line="360" w:lineRule="auto"/>
        <w:jc w:val="both"/>
        <w:rPr>
          <w:rFonts w:ascii="Calibri" w:eastAsia="Times New Roman" w:hAnsi="Calibri" w:cs="Calibri"/>
          <w:color w:val="000000"/>
          <w:sz w:val="24"/>
          <w:szCs w:val="24"/>
          <w:lang w:val="en-US"/>
        </w:rPr>
      </w:pPr>
      <w:r w:rsidRPr="003A3D37">
        <w:rPr>
          <w:rFonts w:ascii="Calibri" w:eastAsia="Times New Roman" w:hAnsi="Calibri" w:cs="Calibri"/>
          <w:color w:val="000000"/>
          <w:sz w:val="24"/>
          <w:szCs w:val="24"/>
          <w:lang w:val="en-US"/>
        </w:rPr>
        <w:t>The studies by Xu (2023) confirm this perspective, namely, that companies such as M&amp;S also change their capital structure to reward short-term performance measures at the expense of long-term value-generating potential. External obstacles limiting the ability of MNEs to take a leadership role in climate change transgress internal tensions and are an important additional factor. The inconsistency in the regulations between different jurisdictions is one of the most remarkable drawbacks. M&amp;S has business in more than 50 countries where the carbon pricing, environmental laws, and their implementation power are different. The fragmentation makes compliance difficult and tends to encourage such a low common denominator approach by companies that they only follow the local minimums and do not follow global sustainability standards that are uniformly applied to all companies.</w:t>
      </w:r>
    </w:p>
    <w:p w14:paraId="6FD42853" w14:textId="620F3FD2" w:rsidR="003A3D37" w:rsidRPr="003A3D37" w:rsidRDefault="003A3D37" w:rsidP="003A3D37">
      <w:pPr>
        <w:spacing w:after="0" w:line="360" w:lineRule="auto"/>
        <w:jc w:val="both"/>
        <w:rPr>
          <w:rFonts w:ascii="Calibri" w:eastAsia="Times New Roman" w:hAnsi="Calibri" w:cs="Calibri"/>
          <w:color w:val="000000"/>
          <w:sz w:val="24"/>
          <w:szCs w:val="24"/>
          <w:lang w:val="en-US"/>
        </w:rPr>
      </w:pPr>
      <w:r w:rsidRPr="003A3D37">
        <w:rPr>
          <w:rFonts w:ascii="Calibri" w:eastAsia="Times New Roman" w:hAnsi="Calibri" w:cs="Calibri"/>
          <w:color w:val="000000"/>
          <w:sz w:val="24"/>
          <w:szCs w:val="24"/>
          <w:lang w:val="en-US"/>
        </w:rPr>
        <w:t xml:space="preserve">The inconsistency in the regulations is furthermore pressing when one </w:t>
      </w:r>
      <w:r w:rsidR="00465704" w:rsidRPr="003A3D37">
        <w:rPr>
          <w:rFonts w:ascii="Calibri" w:eastAsia="Times New Roman" w:hAnsi="Calibri" w:cs="Calibri"/>
          <w:color w:val="000000"/>
          <w:sz w:val="24"/>
          <w:szCs w:val="24"/>
          <w:lang w:val="en-US"/>
        </w:rPr>
        <w:t>considers</w:t>
      </w:r>
      <w:r w:rsidRPr="003A3D37">
        <w:rPr>
          <w:rFonts w:ascii="Calibri" w:eastAsia="Times New Roman" w:hAnsi="Calibri" w:cs="Calibri"/>
          <w:color w:val="000000"/>
          <w:sz w:val="24"/>
          <w:szCs w:val="24"/>
          <w:lang w:val="en-US"/>
        </w:rPr>
        <w:t xml:space="preserve"> the fact that there are no binding international policies regarding Scope 3 emissions. Such emissions, which are indirect as they are created by the suppliers, distributors, and consumers, make up the greatest proportion of the carbon footprint of a retailer. According to Schleper et al. (2021), the global retail Scope 3 emissions tracking and reduction is an insufficient research area. M&amp;S has </w:t>
      </w:r>
      <w:r w:rsidRPr="003A3D37">
        <w:rPr>
          <w:rFonts w:ascii="Calibri" w:eastAsia="Times New Roman" w:hAnsi="Calibri" w:cs="Calibri"/>
          <w:color w:val="000000"/>
          <w:sz w:val="24"/>
          <w:szCs w:val="24"/>
          <w:lang w:val="en-US"/>
        </w:rPr>
        <w:lastRenderedPageBreak/>
        <w:t xml:space="preserve">attempted to quantify its indirect emissions, although due to supply chain opaqueness and fragmented reporting guidelines, it proves hard to enforce comprehensively. Spreading the use of voluntary disclosure and self-reporting reduces the credibility of climate reporting, and even good-intentioned </w:t>
      </w:r>
      <w:r w:rsidR="00465704" w:rsidRPr="003A3D37">
        <w:rPr>
          <w:rFonts w:ascii="Calibri" w:eastAsia="Times New Roman" w:hAnsi="Calibri" w:cs="Calibri"/>
          <w:color w:val="000000"/>
          <w:sz w:val="24"/>
          <w:szCs w:val="24"/>
          <w:lang w:val="en-US"/>
        </w:rPr>
        <w:t>programs</w:t>
      </w:r>
      <w:r w:rsidRPr="003A3D37">
        <w:rPr>
          <w:rFonts w:ascii="Calibri" w:eastAsia="Times New Roman" w:hAnsi="Calibri" w:cs="Calibri"/>
          <w:color w:val="000000"/>
          <w:sz w:val="24"/>
          <w:szCs w:val="24"/>
          <w:lang w:val="en-US"/>
        </w:rPr>
        <w:t xml:space="preserve"> may be confronted with </w:t>
      </w:r>
      <w:r w:rsidR="00465704" w:rsidRPr="003A3D37">
        <w:rPr>
          <w:rFonts w:ascii="Calibri" w:eastAsia="Times New Roman" w:hAnsi="Calibri" w:cs="Calibri"/>
          <w:color w:val="000000"/>
          <w:sz w:val="24"/>
          <w:szCs w:val="24"/>
          <w:lang w:val="en-US"/>
        </w:rPr>
        <w:t>skepticism</w:t>
      </w:r>
      <w:r w:rsidRPr="003A3D37">
        <w:rPr>
          <w:rFonts w:ascii="Calibri" w:eastAsia="Times New Roman" w:hAnsi="Calibri" w:cs="Calibri"/>
          <w:color w:val="000000"/>
          <w:sz w:val="24"/>
          <w:szCs w:val="24"/>
          <w:lang w:val="en-US"/>
        </w:rPr>
        <w:t xml:space="preserve">. Moreover, the international finance environment usually encourages companies to make financial returns rather than ethical or environmental ones. According to Charles and Uford (2023), capital performance ratios rather than environmental integrity continue to drive the dynamics of the stock markets. And although ESG investing is gaining new traction, it can be seen as inconsistent and unequal in its implementation and effects. M&amp;S might even have good ESG ratings, and yet those ratings do not fully reflect supply chain emissions or environmental damage outside direct operations. These structural issues are coupled with market volatility. Climate goals are risks when subjected to economic uncertainty or the disruption of supply. For instance, during the COVID-19 pandemic, many retailers scaled back their sustainability programs to ensure survival and maintain operational efficiency. Schleper et al. (2021) mention that the condition of the crisis has shown that sustainability governance has severe knowledge gaps and that climate </w:t>
      </w:r>
      <w:r w:rsidR="001906E5" w:rsidRPr="003A3D37">
        <w:rPr>
          <w:rFonts w:ascii="Calibri" w:eastAsia="Times New Roman" w:hAnsi="Calibri" w:cs="Calibri"/>
          <w:color w:val="000000"/>
          <w:sz w:val="24"/>
          <w:szCs w:val="24"/>
          <w:lang w:val="en-US"/>
        </w:rPr>
        <w:t>programs</w:t>
      </w:r>
      <w:r w:rsidRPr="003A3D37">
        <w:rPr>
          <w:rFonts w:ascii="Calibri" w:eastAsia="Times New Roman" w:hAnsi="Calibri" w:cs="Calibri"/>
          <w:color w:val="000000"/>
          <w:sz w:val="24"/>
          <w:szCs w:val="24"/>
          <w:lang w:val="en-US"/>
        </w:rPr>
        <w:t xml:space="preserve"> are vulnerable to pressure. </w:t>
      </w:r>
    </w:p>
    <w:p w14:paraId="391BE89F" w14:textId="77777777" w:rsidR="003A3D37" w:rsidRPr="003A3D37" w:rsidRDefault="003A3D37" w:rsidP="003A3D37">
      <w:pPr>
        <w:keepNext/>
        <w:spacing w:after="0" w:line="360" w:lineRule="auto"/>
        <w:rPr>
          <w:rFonts w:ascii="Calibri" w:eastAsia="Calibri" w:hAnsi="Calibri" w:cs="Calibri"/>
          <w:i/>
          <w:iCs/>
          <w:color w:val="000000"/>
          <w:sz w:val="24"/>
          <w:szCs w:val="24"/>
          <w:lang w:val="en-US"/>
        </w:rPr>
      </w:pPr>
      <w:bookmarkStart w:id="6" w:name="_Toc203776800"/>
      <w:r w:rsidRPr="003A3D37">
        <w:rPr>
          <w:rFonts w:ascii="Calibri" w:eastAsia="Calibri" w:hAnsi="Calibri" w:cs="Calibri"/>
          <w:i/>
          <w:iCs/>
          <w:color w:val="000000"/>
          <w:sz w:val="24"/>
          <w:szCs w:val="24"/>
          <w:lang w:val="en-US"/>
        </w:rPr>
        <w:t xml:space="preserve">Table </w:t>
      </w:r>
      <w:r w:rsidRPr="003A3D37">
        <w:rPr>
          <w:rFonts w:ascii="Calibri" w:eastAsia="Calibri" w:hAnsi="Calibri" w:cs="Calibri"/>
          <w:i/>
          <w:iCs/>
          <w:color w:val="000000"/>
          <w:sz w:val="24"/>
          <w:szCs w:val="24"/>
          <w:lang w:val="en-US"/>
        </w:rPr>
        <w:fldChar w:fldCharType="begin"/>
      </w:r>
      <w:r w:rsidRPr="003A3D37">
        <w:rPr>
          <w:rFonts w:ascii="Calibri" w:eastAsia="Calibri" w:hAnsi="Calibri" w:cs="Calibri"/>
          <w:i/>
          <w:iCs/>
          <w:color w:val="000000"/>
          <w:sz w:val="24"/>
          <w:szCs w:val="24"/>
          <w:lang w:val="en-US"/>
        </w:rPr>
        <w:instrText xml:space="preserve"> SEQ Table \* ARABIC </w:instrText>
      </w:r>
      <w:r w:rsidRPr="003A3D37">
        <w:rPr>
          <w:rFonts w:ascii="Calibri" w:eastAsia="Calibri" w:hAnsi="Calibri" w:cs="Calibri"/>
          <w:i/>
          <w:iCs/>
          <w:color w:val="000000"/>
          <w:sz w:val="24"/>
          <w:szCs w:val="24"/>
          <w:lang w:val="en-US"/>
        </w:rPr>
        <w:fldChar w:fldCharType="separate"/>
      </w:r>
      <w:r w:rsidRPr="003A3D37">
        <w:rPr>
          <w:rFonts w:ascii="Calibri" w:eastAsia="Calibri" w:hAnsi="Calibri" w:cs="Calibri"/>
          <w:i/>
          <w:iCs/>
          <w:noProof/>
          <w:color w:val="000000"/>
          <w:sz w:val="24"/>
          <w:szCs w:val="24"/>
          <w:lang w:val="en-US"/>
        </w:rPr>
        <w:t>2</w:t>
      </w:r>
      <w:r w:rsidRPr="003A3D37">
        <w:rPr>
          <w:rFonts w:ascii="Calibri" w:eastAsia="Calibri" w:hAnsi="Calibri" w:cs="Calibri"/>
          <w:i/>
          <w:iCs/>
          <w:color w:val="000000"/>
          <w:sz w:val="24"/>
          <w:szCs w:val="24"/>
          <w:lang w:val="en-US"/>
        </w:rPr>
        <w:fldChar w:fldCharType="end"/>
      </w:r>
      <w:r w:rsidRPr="003A3D37">
        <w:rPr>
          <w:rFonts w:ascii="Calibri" w:eastAsia="Calibri" w:hAnsi="Calibri" w:cs="Calibri"/>
          <w:i/>
          <w:iCs/>
          <w:color w:val="000000"/>
          <w:sz w:val="24"/>
          <w:szCs w:val="24"/>
          <w:lang w:val="en-US"/>
        </w:rPr>
        <w:t xml:space="preserve"> Structural and Strategic Barriers to M&amp;S Climate Leadership</w:t>
      </w:r>
      <w:bookmarkEnd w:id="6"/>
    </w:p>
    <w:tbl>
      <w:tblPr>
        <w:tblStyle w:val="GridTable4-Accent51"/>
        <w:tblW w:w="0" w:type="auto"/>
        <w:tblLook w:val="04A0" w:firstRow="1" w:lastRow="0" w:firstColumn="1" w:lastColumn="0" w:noHBand="0" w:noVBand="1"/>
      </w:tblPr>
      <w:tblGrid>
        <w:gridCol w:w="2838"/>
        <w:gridCol w:w="6512"/>
      </w:tblGrid>
      <w:tr w:rsidR="003A3D37" w:rsidRPr="003A3D37" w14:paraId="7E6DCCAF" w14:textId="77777777" w:rsidTr="00373CA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EB7E7F6" w14:textId="77777777" w:rsidR="003A3D37" w:rsidRPr="003A3D37" w:rsidRDefault="003A3D37" w:rsidP="003A3D37">
            <w:pPr>
              <w:spacing w:line="360" w:lineRule="auto"/>
              <w:jc w:val="both"/>
              <w:rPr>
                <w:rFonts w:ascii="Calibri" w:eastAsia="Times New Roman" w:hAnsi="Calibri" w:cs="Calibri"/>
                <w:color w:val="000000"/>
                <w:sz w:val="24"/>
                <w:szCs w:val="24"/>
              </w:rPr>
            </w:pPr>
            <w:r w:rsidRPr="003A3D37">
              <w:rPr>
                <w:rFonts w:ascii="Calibri" w:eastAsia="Times New Roman" w:hAnsi="Calibri" w:cs="Calibri"/>
                <w:color w:val="000000"/>
                <w:sz w:val="24"/>
                <w:szCs w:val="24"/>
              </w:rPr>
              <w:t>Barrier Type</w:t>
            </w:r>
          </w:p>
        </w:tc>
        <w:tc>
          <w:tcPr>
            <w:tcW w:w="0" w:type="auto"/>
            <w:hideMark/>
          </w:tcPr>
          <w:p w14:paraId="704ABE27" w14:textId="77777777" w:rsidR="003A3D37" w:rsidRPr="003A3D37" w:rsidRDefault="003A3D37" w:rsidP="003A3D37">
            <w:pPr>
              <w:spacing w:line="360" w:lineRule="auto"/>
              <w:jc w:val="both"/>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sz w:val="24"/>
                <w:szCs w:val="24"/>
              </w:rPr>
            </w:pPr>
            <w:r w:rsidRPr="003A3D37">
              <w:rPr>
                <w:rFonts w:ascii="Calibri" w:eastAsia="Times New Roman" w:hAnsi="Calibri" w:cs="Calibri"/>
                <w:color w:val="000000"/>
                <w:sz w:val="24"/>
                <w:szCs w:val="24"/>
              </w:rPr>
              <w:t>Description</w:t>
            </w:r>
          </w:p>
        </w:tc>
      </w:tr>
      <w:tr w:rsidR="003A3D37" w:rsidRPr="003A3D37" w14:paraId="4449255D" w14:textId="77777777" w:rsidTr="00373C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55252C7" w14:textId="77777777" w:rsidR="003A3D37" w:rsidRPr="003A3D37" w:rsidRDefault="003A3D37" w:rsidP="003A3D37">
            <w:pPr>
              <w:spacing w:line="360" w:lineRule="auto"/>
              <w:jc w:val="both"/>
              <w:rPr>
                <w:rFonts w:ascii="Calibri" w:eastAsia="Times New Roman" w:hAnsi="Calibri" w:cs="Calibri"/>
                <w:color w:val="000000"/>
                <w:sz w:val="24"/>
                <w:szCs w:val="24"/>
              </w:rPr>
            </w:pPr>
            <w:r w:rsidRPr="003A3D37">
              <w:rPr>
                <w:rFonts w:ascii="Calibri" w:eastAsia="Times New Roman" w:hAnsi="Calibri" w:cs="Calibri"/>
                <w:color w:val="000000"/>
                <w:sz w:val="24"/>
                <w:szCs w:val="24"/>
              </w:rPr>
              <w:t>Greenwashing Risk</w:t>
            </w:r>
          </w:p>
        </w:tc>
        <w:tc>
          <w:tcPr>
            <w:tcW w:w="0" w:type="auto"/>
            <w:hideMark/>
          </w:tcPr>
          <w:p w14:paraId="523E8A36" w14:textId="77777777" w:rsidR="003A3D37" w:rsidRPr="003A3D37" w:rsidRDefault="003A3D37" w:rsidP="003A3D37">
            <w:pPr>
              <w:spacing w:line="360" w:lineRule="auto"/>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4"/>
                <w:szCs w:val="24"/>
              </w:rPr>
            </w:pPr>
            <w:r w:rsidRPr="003A3D37">
              <w:rPr>
                <w:rFonts w:ascii="Calibri" w:eastAsia="Times New Roman" w:hAnsi="Calibri" w:cs="Calibri"/>
                <w:color w:val="000000"/>
                <w:sz w:val="24"/>
                <w:szCs w:val="24"/>
              </w:rPr>
              <w:t>Mismatch between messaging and verified climate outcomes; inconsistent disclosure practices</w:t>
            </w:r>
          </w:p>
        </w:tc>
      </w:tr>
      <w:tr w:rsidR="003A3D37" w:rsidRPr="003A3D37" w14:paraId="5C7BE558" w14:textId="77777777" w:rsidTr="00373CA8">
        <w:tc>
          <w:tcPr>
            <w:cnfStyle w:val="001000000000" w:firstRow="0" w:lastRow="0" w:firstColumn="1" w:lastColumn="0" w:oddVBand="0" w:evenVBand="0" w:oddHBand="0" w:evenHBand="0" w:firstRowFirstColumn="0" w:firstRowLastColumn="0" w:lastRowFirstColumn="0" w:lastRowLastColumn="0"/>
            <w:tcW w:w="0" w:type="auto"/>
            <w:hideMark/>
          </w:tcPr>
          <w:p w14:paraId="452B4244" w14:textId="77777777" w:rsidR="003A3D37" w:rsidRPr="003A3D37" w:rsidRDefault="003A3D37" w:rsidP="003A3D37">
            <w:pPr>
              <w:spacing w:line="360" w:lineRule="auto"/>
              <w:jc w:val="both"/>
              <w:rPr>
                <w:rFonts w:ascii="Calibri" w:eastAsia="Times New Roman" w:hAnsi="Calibri" w:cs="Calibri"/>
                <w:color w:val="000000"/>
                <w:sz w:val="24"/>
                <w:szCs w:val="24"/>
              </w:rPr>
            </w:pPr>
            <w:r w:rsidRPr="003A3D37">
              <w:rPr>
                <w:rFonts w:ascii="Calibri" w:eastAsia="Times New Roman" w:hAnsi="Calibri" w:cs="Calibri"/>
                <w:color w:val="000000"/>
                <w:sz w:val="24"/>
                <w:szCs w:val="24"/>
              </w:rPr>
              <w:t>Shareholder Value Pressure</w:t>
            </w:r>
          </w:p>
        </w:tc>
        <w:tc>
          <w:tcPr>
            <w:tcW w:w="0" w:type="auto"/>
            <w:hideMark/>
          </w:tcPr>
          <w:p w14:paraId="279A109B" w14:textId="77777777" w:rsidR="003A3D37" w:rsidRPr="003A3D37" w:rsidRDefault="003A3D37" w:rsidP="003A3D37">
            <w:pPr>
              <w:spacing w:line="360" w:lineRule="auto"/>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4"/>
                <w:szCs w:val="24"/>
              </w:rPr>
            </w:pPr>
            <w:r w:rsidRPr="003A3D37">
              <w:rPr>
                <w:rFonts w:ascii="Calibri" w:eastAsia="Times New Roman" w:hAnsi="Calibri" w:cs="Calibri"/>
                <w:color w:val="000000"/>
                <w:sz w:val="24"/>
                <w:szCs w:val="24"/>
              </w:rPr>
              <w:t>Profit expectations delay or dilute long-term climate investment</w:t>
            </w:r>
          </w:p>
        </w:tc>
      </w:tr>
      <w:tr w:rsidR="003A3D37" w:rsidRPr="003A3D37" w14:paraId="76ED6395" w14:textId="77777777" w:rsidTr="00373C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81A5569" w14:textId="77777777" w:rsidR="003A3D37" w:rsidRPr="003A3D37" w:rsidRDefault="003A3D37" w:rsidP="003A3D37">
            <w:pPr>
              <w:spacing w:line="360" w:lineRule="auto"/>
              <w:jc w:val="both"/>
              <w:rPr>
                <w:rFonts w:ascii="Calibri" w:eastAsia="Times New Roman" w:hAnsi="Calibri" w:cs="Calibri"/>
                <w:color w:val="000000"/>
                <w:sz w:val="24"/>
                <w:szCs w:val="24"/>
              </w:rPr>
            </w:pPr>
            <w:r w:rsidRPr="003A3D37">
              <w:rPr>
                <w:rFonts w:ascii="Calibri" w:eastAsia="Times New Roman" w:hAnsi="Calibri" w:cs="Calibri"/>
                <w:color w:val="000000"/>
                <w:sz w:val="24"/>
                <w:szCs w:val="24"/>
              </w:rPr>
              <w:t>Global Regulatory Fragmentation</w:t>
            </w:r>
          </w:p>
        </w:tc>
        <w:tc>
          <w:tcPr>
            <w:tcW w:w="0" w:type="auto"/>
            <w:hideMark/>
          </w:tcPr>
          <w:p w14:paraId="454B5AF6" w14:textId="77777777" w:rsidR="003A3D37" w:rsidRPr="003A3D37" w:rsidRDefault="003A3D37" w:rsidP="003A3D37">
            <w:pPr>
              <w:spacing w:line="360" w:lineRule="auto"/>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4"/>
                <w:szCs w:val="24"/>
              </w:rPr>
            </w:pPr>
            <w:r w:rsidRPr="003A3D37">
              <w:rPr>
                <w:rFonts w:ascii="Calibri" w:eastAsia="Times New Roman" w:hAnsi="Calibri" w:cs="Calibri"/>
                <w:color w:val="000000"/>
                <w:sz w:val="24"/>
                <w:szCs w:val="24"/>
              </w:rPr>
              <w:t>Disparate laws make uniform sustainability enforcement difficult</w:t>
            </w:r>
          </w:p>
        </w:tc>
      </w:tr>
      <w:tr w:rsidR="003A3D37" w:rsidRPr="003A3D37" w14:paraId="5E58124C" w14:textId="77777777" w:rsidTr="00373CA8">
        <w:tc>
          <w:tcPr>
            <w:cnfStyle w:val="001000000000" w:firstRow="0" w:lastRow="0" w:firstColumn="1" w:lastColumn="0" w:oddVBand="0" w:evenVBand="0" w:oddHBand="0" w:evenHBand="0" w:firstRowFirstColumn="0" w:firstRowLastColumn="0" w:lastRowFirstColumn="0" w:lastRowLastColumn="0"/>
            <w:tcW w:w="0" w:type="auto"/>
            <w:hideMark/>
          </w:tcPr>
          <w:p w14:paraId="0C1251A1" w14:textId="77777777" w:rsidR="003A3D37" w:rsidRPr="003A3D37" w:rsidRDefault="003A3D37" w:rsidP="003A3D37">
            <w:pPr>
              <w:spacing w:line="360" w:lineRule="auto"/>
              <w:jc w:val="both"/>
              <w:rPr>
                <w:rFonts w:ascii="Calibri" w:eastAsia="Times New Roman" w:hAnsi="Calibri" w:cs="Calibri"/>
                <w:color w:val="000000"/>
                <w:sz w:val="24"/>
                <w:szCs w:val="24"/>
              </w:rPr>
            </w:pPr>
            <w:r w:rsidRPr="003A3D37">
              <w:rPr>
                <w:rFonts w:ascii="Calibri" w:eastAsia="Times New Roman" w:hAnsi="Calibri" w:cs="Calibri"/>
                <w:color w:val="000000"/>
                <w:sz w:val="24"/>
                <w:szCs w:val="24"/>
              </w:rPr>
              <w:t>Scope 3 Emissions Complexity</w:t>
            </w:r>
          </w:p>
        </w:tc>
        <w:tc>
          <w:tcPr>
            <w:tcW w:w="0" w:type="auto"/>
            <w:hideMark/>
          </w:tcPr>
          <w:p w14:paraId="35D242C3" w14:textId="77777777" w:rsidR="003A3D37" w:rsidRPr="003A3D37" w:rsidRDefault="003A3D37" w:rsidP="003A3D37">
            <w:pPr>
              <w:spacing w:line="360" w:lineRule="auto"/>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4"/>
                <w:szCs w:val="24"/>
              </w:rPr>
            </w:pPr>
            <w:r w:rsidRPr="003A3D37">
              <w:rPr>
                <w:rFonts w:ascii="Calibri" w:eastAsia="Times New Roman" w:hAnsi="Calibri" w:cs="Calibri"/>
                <w:color w:val="000000"/>
                <w:sz w:val="24"/>
                <w:szCs w:val="24"/>
              </w:rPr>
              <w:t>Indirect emissions remain difficult to measure, track, and mitigate effectively</w:t>
            </w:r>
          </w:p>
        </w:tc>
      </w:tr>
      <w:tr w:rsidR="003A3D37" w:rsidRPr="003A3D37" w14:paraId="0A92EA36" w14:textId="77777777" w:rsidTr="00373C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3C2D72E" w14:textId="77777777" w:rsidR="003A3D37" w:rsidRPr="003A3D37" w:rsidRDefault="003A3D37" w:rsidP="003A3D37">
            <w:pPr>
              <w:spacing w:line="360" w:lineRule="auto"/>
              <w:jc w:val="both"/>
              <w:rPr>
                <w:rFonts w:ascii="Calibri" w:eastAsia="Times New Roman" w:hAnsi="Calibri" w:cs="Calibri"/>
                <w:color w:val="000000"/>
                <w:sz w:val="24"/>
                <w:szCs w:val="24"/>
              </w:rPr>
            </w:pPr>
            <w:r w:rsidRPr="003A3D37">
              <w:rPr>
                <w:rFonts w:ascii="Calibri" w:eastAsia="Times New Roman" w:hAnsi="Calibri" w:cs="Calibri"/>
                <w:color w:val="000000"/>
                <w:sz w:val="24"/>
                <w:szCs w:val="24"/>
              </w:rPr>
              <w:t>Capital Market Incentives</w:t>
            </w:r>
          </w:p>
        </w:tc>
        <w:tc>
          <w:tcPr>
            <w:tcW w:w="0" w:type="auto"/>
            <w:hideMark/>
          </w:tcPr>
          <w:p w14:paraId="14C5FD4B" w14:textId="504E7397" w:rsidR="003A3D37" w:rsidRPr="003A3D37" w:rsidRDefault="003A3D37" w:rsidP="003A3D37">
            <w:pPr>
              <w:spacing w:line="360" w:lineRule="auto"/>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4"/>
                <w:szCs w:val="24"/>
              </w:rPr>
            </w:pPr>
            <w:r w:rsidRPr="003A3D37">
              <w:rPr>
                <w:rFonts w:ascii="Calibri" w:eastAsia="Times New Roman" w:hAnsi="Calibri" w:cs="Calibri"/>
                <w:color w:val="000000"/>
                <w:sz w:val="24"/>
                <w:szCs w:val="24"/>
              </w:rPr>
              <w:t xml:space="preserve">Financial systems </w:t>
            </w:r>
            <w:r w:rsidR="001906E5" w:rsidRPr="003A3D37">
              <w:rPr>
                <w:rFonts w:ascii="Calibri" w:eastAsia="Times New Roman" w:hAnsi="Calibri" w:cs="Calibri"/>
                <w:color w:val="000000"/>
                <w:sz w:val="24"/>
                <w:szCs w:val="24"/>
              </w:rPr>
              <w:t>favor</w:t>
            </w:r>
            <w:r w:rsidRPr="003A3D37">
              <w:rPr>
                <w:rFonts w:ascii="Calibri" w:eastAsia="Times New Roman" w:hAnsi="Calibri" w:cs="Calibri"/>
                <w:color w:val="000000"/>
                <w:sz w:val="24"/>
                <w:szCs w:val="24"/>
              </w:rPr>
              <w:t xml:space="preserve"> short-term returns over ethical or environmental strategies</w:t>
            </w:r>
          </w:p>
        </w:tc>
      </w:tr>
    </w:tbl>
    <w:p w14:paraId="412FC36D" w14:textId="77777777" w:rsidR="003A3D37" w:rsidRPr="003A3D37" w:rsidRDefault="003A3D37" w:rsidP="003A3D37">
      <w:pPr>
        <w:spacing w:after="0" w:line="360" w:lineRule="auto"/>
        <w:jc w:val="both"/>
        <w:rPr>
          <w:rFonts w:ascii="Calibri" w:eastAsia="Calibri" w:hAnsi="Calibri" w:cs="Calibri"/>
          <w:color w:val="000000"/>
          <w:sz w:val="24"/>
          <w:szCs w:val="24"/>
          <w:lang w:val="en-US"/>
        </w:rPr>
      </w:pPr>
    </w:p>
    <w:p w14:paraId="60691412" w14:textId="77777777" w:rsidR="003A3D37" w:rsidRPr="003A3D37" w:rsidRDefault="003A3D37" w:rsidP="001906E5">
      <w:pPr>
        <w:pStyle w:val="Heading2"/>
        <w:jc w:val="center"/>
        <w:rPr>
          <w:rFonts w:eastAsia="Times New Roman"/>
          <w:lang w:val="en-US"/>
        </w:rPr>
      </w:pPr>
      <w:bookmarkStart w:id="7" w:name="_Toc203991945"/>
      <w:r w:rsidRPr="003A3D37">
        <w:rPr>
          <w:rFonts w:eastAsia="Times New Roman"/>
          <w:lang w:val="en-US"/>
        </w:rPr>
        <w:lastRenderedPageBreak/>
        <w:t>2.3 Ethical Responsibilities of Business Leaders</w:t>
      </w:r>
      <w:bookmarkEnd w:id="7"/>
    </w:p>
    <w:p w14:paraId="3A33F0D3" w14:textId="023618A0" w:rsidR="003A3D37" w:rsidRDefault="003A3D37" w:rsidP="003A3D37">
      <w:pPr>
        <w:spacing w:after="0" w:line="360" w:lineRule="auto"/>
        <w:jc w:val="both"/>
        <w:rPr>
          <w:rFonts w:ascii="Calibri" w:eastAsia="Times New Roman" w:hAnsi="Calibri" w:cs="Calibri"/>
          <w:color w:val="000000"/>
          <w:sz w:val="24"/>
          <w:szCs w:val="24"/>
          <w:lang w:val="en-US"/>
        </w:rPr>
      </w:pPr>
      <w:r w:rsidRPr="003A3D37">
        <w:rPr>
          <w:rFonts w:ascii="Calibri" w:eastAsia="Times New Roman" w:hAnsi="Calibri" w:cs="Calibri"/>
          <w:color w:val="000000"/>
          <w:sz w:val="24"/>
          <w:szCs w:val="24"/>
          <w:lang w:val="en-US"/>
        </w:rPr>
        <w:t xml:space="preserve">There are two major models of approaching climate-related choices, utilitarianism and deontological ethics, that have conflicting solutions to the problem as shown in table 3. Utilitarianism tends to </w:t>
      </w:r>
      <w:r w:rsidR="001906E5" w:rsidRPr="003A3D37">
        <w:rPr>
          <w:rFonts w:ascii="Calibri" w:eastAsia="Times New Roman" w:hAnsi="Calibri" w:cs="Calibri"/>
          <w:color w:val="000000"/>
          <w:sz w:val="24"/>
          <w:szCs w:val="24"/>
          <w:lang w:val="en-US"/>
        </w:rPr>
        <w:t>favor</w:t>
      </w:r>
      <w:r w:rsidRPr="003A3D37">
        <w:rPr>
          <w:rFonts w:ascii="Calibri" w:eastAsia="Times New Roman" w:hAnsi="Calibri" w:cs="Calibri"/>
          <w:color w:val="000000"/>
          <w:sz w:val="24"/>
          <w:szCs w:val="24"/>
          <w:lang w:val="en-US"/>
        </w:rPr>
        <w:t xml:space="preserve"> the greatest good for the greatest number of people; hence, it is applicable in cost-benefit environmental policies. </w:t>
      </w:r>
      <w:r w:rsidR="001906E5" w:rsidRPr="003A3D37">
        <w:rPr>
          <w:rFonts w:ascii="Calibri" w:eastAsia="Times New Roman" w:hAnsi="Calibri" w:cs="Calibri"/>
          <w:color w:val="000000"/>
          <w:sz w:val="24"/>
          <w:szCs w:val="24"/>
          <w:lang w:val="en-US"/>
        </w:rPr>
        <w:t>Contradicting</w:t>
      </w:r>
      <w:r w:rsidRPr="003A3D37">
        <w:rPr>
          <w:rFonts w:ascii="Calibri" w:eastAsia="Times New Roman" w:hAnsi="Calibri" w:cs="Calibri"/>
          <w:color w:val="000000"/>
          <w:sz w:val="24"/>
          <w:szCs w:val="24"/>
          <w:lang w:val="en-US"/>
        </w:rPr>
        <w:t xml:space="preserve">, deontological ethics demands that people perform their moral obligations, which can proceed whether it is financially advantageous or not, including emissions reductions. In both approaches, leaders will have to contend with the balance of environmental effects on both monetary and societal as well as generational levels. This moral duty is at the </w:t>
      </w:r>
      <w:r w:rsidR="001906E5" w:rsidRPr="003A3D37">
        <w:rPr>
          <w:rFonts w:ascii="Calibri" w:eastAsia="Times New Roman" w:hAnsi="Calibri" w:cs="Calibri"/>
          <w:color w:val="000000"/>
          <w:sz w:val="24"/>
          <w:szCs w:val="24"/>
          <w:lang w:val="en-US"/>
        </w:rPr>
        <w:t>center</w:t>
      </w:r>
      <w:r w:rsidRPr="003A3D37">
        <w:rPr>
          <w:rFonts w:ascii="Calibri" w:eastAsia="Times New Roman" w:hAnsi="Calibri" w:cs="Calibri"/>
          <w:color w:val="000000"/>
          <w:sz w:val="24"/>
          <w:szCs w:val="24"/>
          <w:lang w:val="en-US"/>
        </w:rPr>
        <w:t xml:space="preserve"> of the Corporate Social Responsibility (CSR), which presents climate action as an ethical duty rather than a branding project. The long-term wellbeing of the stakeholders is placed over the short-term returns to stockholders of firms by CSR. As part of its Plan A strategy, M&amp;S </w:t>
      </w:r>
      <w:r w:rsidR="001906E5" w:rsidRPr="003A3D37">
        <w:rPr>
          <w:rFonts w:ascii="Calibri" w:eastAsia="Times New Roman" w:hAnsi="Calibri" w:cs="Calibri"/>
          <w:color w:val="000000"/>
          <w:sz w:val="24"/>
          <w:szCs w:val="24"/>
          <w:lang w:val="en-US"/>
        </w:rPr>
        <w:t>is contended</w:t>
      </w:r>
      <w:r w:rsidRPr="003A3D37">
        <w:rPr>
          <w:rFonts w:ascii="Calibri" w:eastAsia="Times New Roman" w:hAnsi="Calibri" w:cs="Calibri"/>
          <w:color w:val="000000"/>
          <w:sz w:val="24"/>
          <w:szCs w:val="24"/>
          <w:lang w:val="en-US"/>
        </w:rPr>
        <w:t xml:space="preserve"> to </w:t>
      </w:r>
      <w:r w:rsidR="001906E5" w:rsidRPr="003A3D37">
        <w:rPr>
          <w:rFonts w:ascii="Calibri" w:eastAsia="Times New Roman" w:hAnsi="Calibri" w:cs="Calibri"/>
          <w:color w:val="000000"/>
          <w:sz w:val="24"/>
          <w:szCs w:val="24"/>
          <w:lang w:val="en-US"/>
        </w:rPr>
        <w:t>connect</w:t>
      </w:r>
      <w:r w:rsidRPr="003A3D37">
        <w:rPr>
          <w:rFonts w:ascii="Calibri" w:eastAsia="Times New Roman" w:hAnsi="Calibri" w:cs="Calibri"/>
          <w:color w:val="000000"/>
          <w:sz w:val="24"/>
          <w:szCs w:val="24"/>
          <w:lang w:val="en-US"/>
        </w:rPr>
        <w:t xml:space="preserve"> this ethical obligation by investing in ethical sourcing, </w:t>
      </w:r>
      <w:r w:rsidR="001906E5" w:rsidRPr="003A3D37">
        <w:rPr>
          <w:rFonts w:ascii="Calibri" w:eastAsia="Times New Roman" w:hAnsi="Calibri" w:cs="Calibri"/>
          <w:color w:val="000000"/>
          <w:sz w:val="24"/>
          <w:szCs w:val="24"/>
          <w:lang w:val="en-US"/>
        </w:rPr>
        <w:t>decarbonization</w:t>
      </w:r>
      <w:r w:rsidRPr="003A3D37">
        <w:rPr>
          <w:rFonts w:ascii="Calibri" w:eastAsia="Times New Roman" w:hAnsi="Calibri" w:cs="Calibri"/>
          <w:color w:val="000000"/>
          <w:sz w:val="24"/>
          <w:szCs w:val="24"/>
          <w:lang w:val="en-US"/>
        </w:rPr>
        <w:t>, and clear stakeholders. Ethical credibility holds, however, not on what is stated but on results that can be measured and recorded as consistent.</w:t>
      </w:r>
    </w:p>
    <w:p w14:paraId="3377FDA0" w14:textId="77777777" w:rsidR="001906E5" w:rsidRPr="003A3D37" w:rsidRDefault="001906E5" w:rsidP="003A3D37">
      <w:pPr>
        <w:spacing w:after="0" w:line="360" w:lineRule="auto"/>
        <w:jc w:val="both"/>
        <w:rPr>
          <w:rFonts w:ascii="Calibri" w:eastAsia="Times New Roman" w:hAnsi="Calibri" w:cs="Calibri"/>
          <w:color w:val="000000"/>
          <w:sz w:val="24"/>
          <w:szCs w:val="24"/>
          <w:lang w:val="en-US"/>
        </w:rPr>
      </w:pPr>
    </w:p>
    <w:p w14:paraId="75AA92E9" w14:textId="77777777" w:rsidR="003A3D37" w:rsidRPr="003A3D37" w:rsidRDefault="003A3D37" w:rsidP="003A3D37">
      <w:pPr>
        <w:keepNext/>
        <w:spacing w:after="0" w:line="360" w:lineRule="auto"/>
        <w:rPr>
          <w:rFonts w:ascii="Calibri" w:eastAsia="Calibri" w:hAnsi="Calibri" w:cs="Calibri"/>
          <w:i/>
          <w:iCs/>
          <w:color w:val="000000"/>
          <w:sz w:val="24"/>
          <w:szCs w:val="24"/>
          <w:lang w:val="en-US"/>
        </w:rPr>
      </w:pPr>
      <w:bookmarkStart w:id="8" w:name="_Toc203776801"/>
      <w:r w:rsidRPr="003A3D37">
        <w:rPr>
          <w:rFonts w:ascii="Calibri" w:eastAsia="Calibri" w:hAnsi="Calibri" w:cs="Calibri"/>
          <w:i/>
          <w:iCs/>
          <w:color w:val="000000"/>
          <w:sz w:val="24"/>
          <w:szCs w:val="24"/>
          <w:lang w:val="en-US"/>
        </w:rPr>
        <w:t xml:space="preserve">Table </w:t>
      </w:r>
      <w:r w:rsidRPr="003A3D37">
        <w:rPr>
          <w:rFonts w:ascii="Calibri" w:eastAsia="Calibri" w:hAnsi="Calibri" w:cs="Calibri"/>
          <w:i/>
          <w:iCs/>
          <w:color w:val="000000"/>
          <w:sz w:val="24"/>
          <w:szCs w:val="24"/>
          <w:lang w:val="en-US"/>
        </w:rPr>
        <w:fldChar w:fldCharType="begin"/>
      </w:r>
      <w:r w:rsidRPr="003A3D37">
        <w:rPr>
          <w:rFonts w:ascii="Calibri" w:eastAsia="Calibri" w:hAnsi="Calibri" w:cs="Calibri"/>
          <w:i/>
          <w:iCs/>
          <w:color w:val="000000"/>
          <w:sz w:val="24"/>
          <w:szCs w:val="24"/>
          <w:lang w:val="en-US"/>
        </w:rPr>
        <w:instrText xml:space="preserve"> SEQ Table \* ARABIC </w:instrText>
      </w:r>
      <w:r w:rsidRPr="003A3D37">
        <w:rPr>
          <w:rFonts w:ascii="Calibri" w:eastAsia="Calibri" w:hAnsi="Calibri" w:cs="Calibri"/>
          <w:i/>
          <w:iCs/>
          <w:color w:val="000000"/>
          <w:sz w:val="24"/>
          <w:szCs w:val="24"/>
          <w:lang w:val="en-US"/>
        </w:rPr>
        <w:fldChar w:fldCharType="separate"/>
      </w:r>
      <w:r w:rsidRPr="003A3D37">
        <w:rPr>
          <w:rFonts w:ascii="Calibri" w:eastAsia="Calibri" w:hAnsi="Calibri" w:cs="Calibri"/>
          <w:i/>
          <w:iCs/>
          <w:noProof/>
          <w:color w:val="000000"/>
          <w:sz w:val="24"/>
          <w:szCs w:val="24"/>
          <w:lang w:val="en-US"/>
        </w:rPr>
        <w:t>3</w:t>
      </w:r>
      <w:r w:rsidRPr="003A3D37">
        <w:rPr>
          <w:rFonts w:ascii="Calibri" w:eastAsia="Calibri" w:hAnsi="Calibri" w:cs="Calibri"/>
          <w:i/>
          <w:iCs/>
          <w:color w:val="000000"/>
          <w:sz w:val="24"/>
          <w:szCs w:val="24"/>
          <w:lang w:val="en-US"/>
        </w:rPr>
        <w:fldChar w:fldCharType="end"/>
      </w:r>
      <w:r w:rsidRPr="003A3D37">
        <w:rPr>
          <w:rFonts w:ascii="Calibri" w:eastAsia="Calibri" w:hAnsi="Calibri" w:cs="Calibri"/>
          <w:i/>
          <w:iCs/>
          <w:color w:val="000000"/>
          <w:sz w:val="24"/>
          <w:szCs w:val="24"/>
          <w:lang w:val="en-US"/>
        </w:rPr>
        <w:t xml:space="preserve"> Ethical Frameworks in Climate Leadership</w:t>
      </w:r>
      <w:bookmarkEnd w:id="8"/>
    </w:p>
    <w:tbl>
      <w:tblPr>
        <w:tblStyle w:val="GridTable5Dark-Accent51"/>
        <w:tblW w:w="0" w:type="auto"/>
        <w:tblLook w:val="04A0" w:firstRow="1" w:lastRow="0" w:firstColumn="1" w:lastColumn="0" w:noHBand="0" w:noVBand="1"/>
      </w:tblPr>
      <w:tblGrid>
        <w:gridCol w:w="1597"/>
        <w:gridCol w:w="3577"/>
        <w:gridCol w:w="4176"/>
      </w:tblGrid>
      <w:tr w:rsidR="003A3D37" w:rsidRPr="003A3D37" w14:paraId="60CD1913" w14:textId="77777777" w:rsidTr="00373CA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BD2E0B1" w14:textId="77777777" w:rsidR="003A3D37" w:rsidRPr="003A3D37" w:rsidRDefault="003A3D37" w:rsidP="003A3D37">
            <w:pPr>
              <w:spacing w:line="360" w:lineRule="auto"/>
              <w:jc w:val="center"/>
              <w:rPr>
                <w:rFonts w:ascii="Calibri" w:eastAsia="Calibri" w:hAnsi="Calibri" w:cs="Calibri"/>
                <w:color w:val="000000"/>
                <w:sz w:val="24"/>
                <w:szCs w:val="24"/>
              </w:rPr>
            </w:pPr>
            <w:r w:rsidRPr="003A3D37">
              <w:rPr>
                <w:rFonts w:ascii="Calibri" w:eastAsia="Calibri" w:hAnsi="Calibri" w:cs="Calibri"/>
                <w:color w:val="000000"/>
                <w:sz w:val="24"/>
                <w:szCs w:val="24"/>
              </w:rPr>
              <w:t>Framework</w:t>
            </w:r>
          </w:p>
        </w:tc>
        <w:tc>
          <w:tcPr>
            <w:tcW w:w="0" w:type="auto"/>
            <w:hideMark/>
          </w:tcPr>
          <w:p w14:paraId="5402BD71" w14:textId="77777777" w:rsidR="003A3D37" w:rsidRPr="003A3D37" w:rsidRDefault="003A3D37" w:rsidP="003A3D37">
            <w:pPr>
              <w:spacing w:line="360" w:lineRule="auto"/>
              <w:jc w:val="center"/>
              <w:cnfStyle w:val="100000000000" w:firstRow="1" w:lastRow="0" w:firstColumn="0" w:lastColumn="0" w:oddVBand="0" w:evenVBand="0" w:oddHBand="0" w:evenHBand="0" w:firstRowFirstColumn="0" w:firstRowLastColumn="0" w:lastRowFirstColumn="0" w:lastRowLastColumn="0"/>
              <w:rPr>
                <w:rFonts w:ascii="Calibri" w:eastAsia="Calibri" w:hAnsi="Calibri" w:cs="Calibri"/>
                <w:color w:val="000000"/>
                <w:sz w:val="24"/>
                <w:szCs w:val="24"/>
              </w:rPr>
            </w:pPr>
            <w:r w:rsidRPr="003A3D37">
              <w:rPr>
                <w:rFonts w:ascii="Calibri" w:eastAsia="Calibri" w:hAnsi="Calibri" w:cs="Calibri"/>
                <w:color w:val="000000"/>
                <w:sz w:val="24"/>
                <w:szCs w:val="24"/>
              </w:rPr>
              <w:t>Core Principle</w:t>
            </w:r>
          </w:p>
        </w:tc>
        <w:tc>
          <w:tcPr>
            <w:tcW w:w="0" w:type="auto"/>
            <w:hideMark/>
          </w:tcPr>
          <w:p w14:paraId="082A7B69" w14:textId="77777777" w:rsidR="003A3D37" w:rsidRPr="003A3D37" w:rsidRDefault="003A3D37" w:rsidP="003A3D37">
            <w:pPr>
              <w:spacing w:line="360" w:lineRule="auto"/>
              <w:jc w:val="center"/>
              <w:cnfStyle w:val="100000000000" w:firstRow="1" w:lastRow="0" w:firstColumn="0" w:lastColumn="0" w:oddVBand="0" w:evenVBand="0" w:oddHBand="0" w:evenHBand="0" w:firstRowFirstColumn="0" w:firstRowLastColumn="0" w:lastRowFirstColumn="0" w:lastRowLastColumn="0"/>
              <w:rPr>
                <w:rFonts w:ascii="Calibri" w:eastAsia="Calibri" w:hAnsi="Calibri" w:cs="Calibri"/>
                <w:color w:val="000000"/>
                <w:sz w:val="24"/>
                <w:szCs w:val="24"/>
              </w:rPr>
            </w:pPr>
            <w:r w:rsidRPr="003A3D37">
              <w:rPr>
                <w:rFonts w:ascii="Calibri" w:eastAsia="Calibri" w:hAnsi="Calibri" w:cs="Calibri"/>
                <w:color w:val="000000"/>
                <w:sz w:val="24"/>
                <w:szCs w:val="24"/>
              </w:rPr>
              <w:t>Climate Leadership Implication</w:t>
            </w:r>
          </w:p>
        </w:tc>
      </w:tr>
      <w:tr w:rsidR="003A3D37" w:rsidRPr="003A3D37" w14:paraId="4FFE0633" w14:textId="77777777" w:rsidTr="00373C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747D501" w14:textId="77777777" w:rsidR="003A3D37" w:rsidRPr="003A3D37" w:rsidRDefault="003A3D37" w:rsidP="003A3D37">
            <w:pPr>
              <w:spacing w:line="360" w:lineRule="auto"/>
              <w:rPr>
                <w:rFonts w:ascii="Calibri" w:eastAsia="Calibri" w:hAnsi="Calibri" w:cs="Calibri"/>
                <w:color w:val="000000"/>
                <w:sz w:val="24"/>
                <w:szCs w:val="24"/>
              </w:rPr>
            </w:pPr>
            <w:r w:rsidRPr="003A3D37">
              <w:rPr>
                <w:rFonts w:ascii="Calibri" w:eastAsia="Calibri" w:hAnsi="Calibri" w:cs="Calibri"/>
                <w:color w:val="000000"/>
                <w:sz w:val="24"/>
                <w:szCs w:val="24"/>
              </w:rPr>
              <w:t>Utilitarianism</w:t>
            </w:r>
          </w:p>
        </w:tc>
        <w:tc>
          <w:tcPr>
            <w:tcW w:w="0" w:type="auto"/>
            <w:hideMark/>
          </w:tcPr>
          <w:p w14:paraId="59C35ECE" w14:textId="53BB99A5" w:rsidR="003A3D37" w:rsidRPr="003A3D37" w:rsidRDefault="001906E5" w:rsidP="003A3D37">
            <w:pPr>
              <w:spacing w:line="360" w:lineRule="auto"/>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 w:val="24"/>
                <w:szCs w:val="24"/>
              </w:rPr>
            </w:pPr>
            <w:r w:rsidRPr="003A3D37">
              <w:rPr>
                <w:rFonts w:ascii="Calibri" w:eastAsia="Calibri" w:hAnsi="Calibri" w:cs="Calibri"/>
                <w:color w:val="000000"/>
                <w:sz w:val="24"/>
                <w:szCs w:val="24"/>
              </w:rPr>
              <w:t>Maximize</w:t>
            </w:r>
            <w:r w:rsidR="003A3D37" w:rsidRPr="003A3D37">
              <w:rPr>
                <w:rFonts w:ascii="Calibri" w:eastAsia="Calibri" w:hAnsi="Calibri" w:cs="Calibri"/>
                <w:color w:val="000000"/>
                <w:sz w:val="24"/>
                <w:szCs w:val="24"/>
              </w:rPr>
              <w:t xml:space="preserve"> overall benefit</w:t>
            </w:r>
          </w:p>
        </w:tc>
        <w:tc>
          <w:tcPr>
            <w:tcW w:w="0" w:type="auto"/>
            <w:hideMark/>
          </w:tcPr>
          <w:p w14:paraId="3718DDB4" w14:textId="71EA6D75" w:rsidR="003A3D37" w:rsidRPr="003A3D37" w:rsidRDefault="001906E5" w:rsidP="003A3D37">
            <w:pPr>
              <w:spacing w:line="360" w:lineRule="auto"/>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 w:val="24"/>
                <w:szCs w:val="24"/>
              </w:rPr>
            </w:pPr>
            <w:r w:rsidRPr="003A3D37">
              <w:rPr>
                <w:rFonts w:ascii="Calibri" w:eastAsia="Calibri" w:hAnsi="Calibri" w:cs="Calibri"/>
                <w:color w:val="000000"/>
                <w:sz w:val="24"/>
                <w:szCs w:val="24"/>
              </w:rPr>
              <w:t>Prioritize</w:t>
            </w:r>
            <w:r w:rsidR="003A3D37" w:rsidRPr="003A3D37">
              <w:rPr>
                <w:rFonts w:ascii="Calibri" w:eastAsia="Calibri" w:hAnsi="Calibri" w:cs="Calibri"/>
                <w:color w:val="000000"/>
                <w:sz w:val="24"/>
                <w:szCs w:val="24"/>
              </w:rPr>
              <w:t xml:space="preserve"> scalable sustainability solutions for wide impact</w:t>
            </w:r>
          </w:p>
        </w:tc>
      </w:tr>
      <w:tr w:rsidR="003A3D37" w:rsidRPr="003A3D37" w14:paraId="3C4DC162" w14:textId="77777777" w:rsidTr="00373CA8">
        <w:tc>
          <w:tcPr>
            <w:cnfStyle w:val="001000000000" w:firstRow="0" w:lastRow="0" w:firstColumn="1" w:lastColumn="0" w:oddVBand="0" w:evenVBand="0" w:oddHBand="0" w:evenHBand="0" w:firstRowFirstColumn="0" w:firstRowLastColumn="0" w:lastRowFirstColumn="0" w:lastRowLastColumn="0"/>
            <w:tcW w:w="0" w:type="auto"/>
            <w:hideMark/>
          </w:tcPr>
          <w:p w14:paraId="5F40BB20" w14:textId="77777777" w:rsidR="003A3D37" w:rsidRPr="003A3D37" w:rsidRDefault="003A3D37" w:rsidP="003A3D37">
            <w:pPr>
              <w:spacing w:line="360" w:lineRule="auto"/>
              <w:rPr>
                <w:rFonts w:ascii="Calibri" w:eastAsia="Calibri" w:hAnsi="Calibri" w:cs="Calibri"/>
                <w:color w:val="000000"/>
                <w:sz w:val="24"/>
                <w:szCs w:val="24"/>
              </w:rPr>
            </w:pPr>
            <w:r w:rsidRPr="003A3D37">
              <w:rPr>
                <w:rFonts w:ascii="Calibri" w:eastAsia="Calibri" w:hAnsi="Calibri" w:cs="Calibri"/>
                <w:color w:val="000000"/>
                <w:sz w:val="24"/>
                <w:szCs w:val="24"/>
              </w:rPr>
              <w:t>Deontological</w:t>
            </w:r>
          </w:p>
        </w:tc>
        <w:tc>
          <w:tcPr>
            <w:tcW w:w="0" w:type="auto"/>
            <w:hideMark/>
          </w:tcPr>
          <w:p w14:paraId="5157AA58" w14:textId="77777777" w:rsidR="003A3D37" w:rsidRPr="003A3D37" w:rsidRDefault="003A3D37" w:rsidP="003A3D37">
            <w:pPr>
              <w:spacing w:line="360" w:lineRule="auto"/>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 w:val="24"/>
                <w:szCs w:val="24"/>
              </w:rPr>
            </w:pPr>
            <w:r w:rsidRPr="003A3D37">
              <w:rPr>
                <w:rFonts w:ascii="Calibri" w:eastAsia="Calibri" w:hAnsi="Calibri" w:cs="Calibri"/>
                <w:color w:val="000000"/>
                <w:sz w:val="24"/>
                <w:szCs w:val="24"/>
              </w:rPr>
              <w:t>Act on moral obligations regardless of outcome</w:t>
            </w:r>
          </w:p>
        </w:tc>
        <w:tc>
          <w:tcPr>
            <w:tcW w:w="0" w:type="auto"/>
            <w:hideMark/>
          </w:tcPr>
          <w:p w14:paraId="2B2EC524" w14:textId="77777777" w:rsidR="003A3D37" w:rsidRPr="003A3D37" w:rsidRDefault="003A3D37" w:rsidP="003A3D37">
            <w:pPr>
              <w:spacing w:line="360" w:lineRule="auto"/>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 w:val="24"/>
                <w:szCs w:val="24"/>
              </w:rPr>
            </w:pPr>
            <w:r w:rsidRPr="003A3D37">
              <w:rPr>
                <w:rFonts w:ascii="Calibri" w:eastAsia="Calibri" w:hAnsi="Calibri" w:cs="Calibri"/>
                <w:color w:val="000000"/>
                <w:sz w:val="24"/>
                <w:szCs w:val="24"/>
              </w:rPr>
              <w:t>Commit to emissions reduction even when costly</w:t>
            </w:r>
          </w:p>
        </w:tc>
      </w:tr>
      <w:tr w:rsidR="003A3D37" w:rsidRPr="003A3D37" w14:paraId="1F7F64F8" w14:textId="77777777" w:rsidTr="00373C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E009523" w14:textId="77777777" w:rsidR="003A3D37" w:rsidRPr="003A3D37" w:rsidRDefault="003A3D37" w:rsidP="003A3D37">
            <w:pPr>
              <w:spacing w:line="360" w:lineRule="auto"/>
              <w:rPr>
                <w:rFonts w:ascii="Calibri" w:eastAsia="Calibri" w:hAnsi="Calibri" w:cs="Calibri"/>
                <w:color w:val="000000"/>
                <w:sz w:val="24"/>
                <w:szCs w:val="24"/>
              </w:rPr>
            </w:pPr>
            <w:r w:rsidRPr="003A3D37">
              <w:rPr>
                <w:rFonts w:ascii="Calibri" w:eastAsia="Calibri" w:hAnsi="Calibri" w:cs="Calibri"/>
                <w:color w:val="000000"/>
                <w:sz w:val="24"/>
                <w:szCs w:val="24"/>
              </w:rPr>
              <w:t>SR</w:t>
            </w:r>
          </w:p>
        </w:tc>
        <w:tc>
          <w:tcPr>
            <w:tcW w:w="0" w:type="auto"/>
            <w:hideMark/>
          </w:tcPr>
          <w:p w14:paraId="47660C99" w14:textId="77777777" w:rsidR="003A3D37" w:rsidRPr="003A3D37" w:rsidRDefault="003A3D37" w:rsidP="003A3D37">
            <w:pPr>
              <w:spacing w:line="360" w:lineRule="auto"/>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 w:val="24"/>
                <w:szCs w:val="24"/>
              </w:rPr>
            </w:pPr>
            <w:r w:rsidRPr="003A3D37">
              <w:rPr>
                <w:rFonts w:ascii="Calibri" w:eastAsia="Calibri" w:hAnsi="Calibri" w:cs="Calibri"/>
                <w:color w:val="000000"/>
                <w:sz w:val="24"/>
                <w:szCs w:val="24"/>
              </w:rPr>
              <w:t>Responsibility to society and environment</w:t>
            </w:r>
          </w:p>
        </w:tc>
        <w:tc>
          <w:tcPr>
            <w:tcW w:w="0" w:type="auto"/>
            <w:hideMark/>
          </w:tcPr>
          <w:p w14:paraId="30FE1BDB" w14:textId="77777777" w:rsidR="003A3D37" w:rsidRPr="003A3D37" w:rsidRDefault="003A3D37" w:rsidP="003A3D37">
            <w:pPr>
              <w:spacing w:line="360" w:lineRule="auto"/>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 w:val="24"/>
                <w:szCs w:val="24"/>
              </w:rPr>
            </w:pPr>
            <w:r w:rsidRPr="003A3D37">
              <w:rPr>
                <w:rFonts w:ascii="Calibri" w:eastAsia="Calibri" w:hAnsi="Calibri" w:cs="Calibri"/>
                <w:color w:val="000000"/>
                <w:sz w:val="24"/>
                <w:szCs w:val="24"/>
              </w:rPr>
              <w:t>Embed climate goals within business mission and strategy</w:t>
            </w:r>
          </w:p>
        </w:tc>
      </w:tr>
    </w:tbl>
    <w:p w14:paraId="093D22C4" w14:textId="77777777" w:rsidR="001906E5" w:rsidRDefault="001906E5" w:rsidP="003A3D37">
      <w:pPr>
        <w:spacing w:after="0" w:line="360" w:lineRule="auto"/>
        <w:jc w:val="both"/>
        <w:rPr>
          <w:rFonts w:ascii="Calibri" w:eastAsia="Times New Roman" w:hAnsi="Calibri" w:cs="Calibri"/>
          <w:color w:val="000000"/>
          <w:sz w:val="24"/>
          <w:szCs w:val="24"/>
          <w:lang w:val="en-US"/>
        </w:rPr>
      </w:pPr>
    </w:p>
    <w:p w14:paraId="755151B6" w14:textId="4927362F" w:rsidR="003A3D37" w:rsidRDefault="003A3D37" w:rsidP="003A3D37">
      <w:pPr>
        <w:spacing w:after="0" w:line="360" w:lineRule="auto"/>
        <w:jc w:val="both"/>
        <w:rPr>
          <w:rFonts w:ascii="Calibri" w:eastAsia="Times New Roman" w:hAnsi="Calibri" w:cs="Calibri"/>
          <w:color w:val="000000"/>
          <w:sz w:val="24"/>
          <w:szCs w:val="24"/>
          <w:lang w:val="en-US"/>
        </w:rPr>
      </w:pPr>
      <w:r w:rsidRPr="003A3D37">
        <w:rPr>
          <w:rFonts w:ascii="Calibri" w:eastAsia="Times New Roman" w:hAnsi="Calibri" w:cs="Calibri"/>
          <w:color w:val="000000"/>
          <w:sz w:val="24"/>
          <w:szCs w:val="24"/>
          <w:lang w:val="en-US"/>
        </w:rPr>
        <w:t xml:space="preserve">Corporate values may be established at a board level, but the departmental heads of an </w:t>
      </w:r>
      <w:r w:rsidR="001906E5" w:rsidRPr="003A3D37">
        <w:rPr>
          <w:rFonts w:ascii="Calibri" w:eastAsia="Times New Roman" w:hAnsi="Calibri" w:cs="Calibri"/>
          <w:color w:val="000000"/>
          <w:sz w:val="24"/>
          <w:szCs w:val="24"/>
          <w:lang w:val="en-US"/>
        </w:rPr>
        <w:t>organization</w:t>
      </w:r>
      <w:r w:rsidRPr="003A3D37">
        <w:rPr>
          <w:rFonts w:ascii="Calibri" w:eastAsia="Times New Roman" w:hAnsi="Calibri" w:cs="Calibri"/>
          <w:color w:val="000000"/>
          <w:sz w:val="24"/>
          <w:szCs w:val="24"/>
          <w:lang w:val="en-US"/>
        </w:rPr>
        <w:t xml:space="preserve"> are major players in ensuring these values are turned into practice. Individual leaders like Archie Norman and Stuart Machin of M&amp;S have been personal advocates of sustainability, as the net-zero climate goals have been incorporated into the strategic agendas of this retailer. However, powerful leadership alone cannot do wonders in the absence of </w:t>
      </w:r>
      <w:r w:rsidR="001906E5" w:rsidRPr="003A3D37">
        <w:rPr>
          <w:rFonts w:ascii="Calibri" w:eastAsia="Times New Roman" w:hAnsi="Calibri" w:cs="Calibri"/>
          <w:color w:val="000000"/>
          <w:sz w:val="24"/>
          <w:szCs w:val="24"/>
          <w:lang w:val="en-US"/>
        </w:rPr>
        <w:t>facilitating</w:t>
      </w:r>
      <w:r w:rsidRPr="003A3D37">
        <w:rPr>
          <w:rFonts w:ascii="Calibri" w:eastAsia="Times New Roman" w:hAnsi="Calibri" w:cs="Calibri"/>
          <w:color w:val="000000"/>
          <w:sz w:val="24"/>
          <w:szCs w:val="24"/>
          <w:lang w:val="en-US"/>
        </w:rPr>
        <w:t xml:space="preserve"> </w:t>
      </w:r>
      <w:r w:rsidRPr="003A3D37">
        <w:rPr>
          <w:rFonts w:ascii="Calibri" w:eastAsia="Times New Roman" w:hAnsi="Calibri" w:cs="Calibri"/>
          <w:color w:val="000000"/>
          <w:sz w:val="24"/>
          <w:szCs w:val="24"/>
          <w:lang w:val="en-US"/>
        </w:rPr>
        <w:lastRenderedPageBreak/>
        <w:t xml:space="preserve">institutional culture. As Paavola and Cuthbertson (2022) posit, </w:t>
      </w:r>
      <w:r w:rsidR="001906E5" w:rsidRPr="003A3D37">
        <w:rPr>
          <w:rFonts w:ascii="Calibri" w:eastAsia="Times New Roman" w:hAnsi="Calibri" w:cs="Calibri"/>
          <w:color w:val="000000"/>
          <w:sz w:val="24"/>
          <w:szCs w:val="24"/>
          <w:lang w:val="en-US"/>
        </w:rPr>
        <w:t>organizational</w:t>
      </w:r>
      <w:r w:rsidRPr="003A3D37">
        <w:rPr>
          <w:rFonts w:ascii="Calibri" w:eastAsia="Times New Roman" w:hAnsi="Calibri" w:cs="Calibri"/>
          <w:color w:val="000000"/>
          <w:sz w:val="24"/>
          <w:szCs w:val="24"/>
          <w:lang w:val="en-US"/>
        </w:rPr>
        <w:t xml:space="preserve"> adaptability and performance are based on how strategic intent is aligned to operational </w:t>
      </w:r>
      <w:r w:rsidR="001906E5" w:rsidRPr="003A3D37">
        <w:rPr>
          <w:rFonts w:ascii="Calibri" w:eastAsia="Times New Roman" w:hAnsi="Calibri" w:cs="Calibri"/>
          <w:color w:val="000000"/>
          <w:sz w:val="24"/>
          <w:szCs w:val="24"/>
          <w:lang w:val="en-US"/>
        </w:rPr>
        <w:t>behaviors</w:t>
      </w:r>
      <w:r w:rsidRPr="003A3D37">
        <w:rPr>
          <w:rFonts w:ascii="Calibri" w:eastAsia="Times New Roman" w:hAnsi="Calibri" w:cs="Calibri"/>
          <w:color w:val="000000"/>
          <w:sz w:val="24"/>
          <w:szCs w:val="24"/>
          <w:lang w:val="en-US"/>
        </w:rPr>
        <w:t>. This orientation is important where ethical imperatives like Plan A have to be implemented in various departments and locations.</w:t>
      </w:r>
    </w:p>
    <w:p w14:paraId="11288559" w14:textId="77777777" w:rsidR="001906E5" w:rsidRPr="003A3D37" w:rsidRDefault="001906E5" w:rsidP="003A3D37">
      <w:pPr>
        <w:spacing w:after="0" w:line="360" w:lineRule="auto"/>
        <w:jc w:val="both"/>
        <w:rPr>
          <w:rFonts w:ascii="Calibri" w:eastAsia="Times New Roman" w:hAnsi="Calibri" w:cs="Calibri"/>
          <w:color w:val="000000"/>
          <w:sz w:val="24"/>
          <w:szCs w:val="24"/>
          <w:lang w:val="en-US"/>
        </w:rPr>
      </w:pPr>
    </w:p>
    <w:p w14:paraId="4BB8A83B" w14:textId="77777777" w:rsidR="003A3D37" w:rsidRPr="003A3D37" w:rsidRDefault="003A3D37" w:rsidP="003A3D37">
      <w:pPr>
        <w:keepNext/>
        <w:spacing w:after="0" w:line="360" w:lineRule="auto"/>
        <w:rPr>
          <w:rFonts w:ascii="Calibri" w:eastAsia="Calibri" w:hAnsi="Calibri" w:cs="Calibri"/>
          <w:i/>
          <w:iCs/>
          <w:color w:val="000000"/>
          <w:sz w:val="24"/>
          <w:szCs w:val="24"/>
          <w:lang w:val="en-US"/>
        </w:rPr>
      </w:pPr>
      <w:bookmarkStart w:id="9" w:name="_Toc203776802"/>
      <w:r w:rsidRPr="003A3D37">
        <w:rPr>
          <w:rFonts w:ascii="Calibri" w:eastAsia="Calibri" w:hAnsi="Calibri" w:cs="Calibri"/>
          <w:i/>
          <w:iCs/>
          <w:color w:val="000000"/>
          <w:sz w:val="24"/>
          <w:szCs w:val="24"/>
          <w:lang w:val="en-US"/>
        </w:rPr>
        <w:t xml:space="preserve">Table </w:t>
      </w:r>
      <w:r w:rsidRPr="003A3D37">
        <w:rPr>
          <w:rFonts w:ascii="Calibri" w:eastAsia="Calibri" w:hAnsi="Calibri" w:cs="Calibri"/>
          <w:i/>
          <w:iCs/>
          <w:color w:val="000000"/>
          <w:sz w:val="24"/>
          <w:szCs w:val="24"/>
          <w:lang w:val="en-US"/>
        </w:rPr>
        <w:fldChar w:fldCharType="begin"/>
      </w:r>
      <w:r w:rsidRPr="003A3D37">
        <w:rPr>
          <w:rFonts w:ascii="Calibri" w:eastAsia="Calibri" w:hAnsi="Calibri" w:cs="Calibri"/>
          <w:i/>
          <w:iCs/>
          <w:color w:val="000000"/>
          <w:sz w:val="24"/>
          <w:szCs w:val="24"/>
          <w:lang w:val="en-US"/>
        </w:rPr>
        <w:instrText xml:space="preserve"> SEQ Table \* ARABIC </w:instrText>
      </w:r>
      <w:r w:rsidRPr="003A3D37">
        <w:rPr>
          <w:rFonts w:ascii="Calibri" w:eastAsia="Calibri" w:hAnsi="Calibri" w:cs="Calibri"/>
          <w:i/>
          <w:iCs/>
          <w:color w:val="000000"/>
          <w:sz w:val="24"/>
          <w:szCs w:val="24"/>
          <w:lang w:val="en-US"/>
        </w:rPr>
        <w:fldChar w:fldCharType="separate"/>
      </w:r>
      <w:r w:rsidRPr="003A3D37">
        <w:rPr>
          <w:rFonts w:ascii="Calibri" w:eastAsia="Calibri" w:hAnsi="Calibri" w:cs="Calibri"/>
          <w:i/>
          <w:iCs/>
          <w:noProof/>
          <w:color w:val="000000"/>
          <w:sz w:val="24"/>
          <w:szCs w:val="24"/>
          <w:lang w:val="en-US"/>
        </w:rPr>
        <w:t>4</w:t>
      </w:r>
      <w:r w:rsidRPr="003A3D37">
        <w:rPr>
          <w:rFonts w:ascii="Calibri" w:eastAsia="Calibri" w:hAnsi="Calibri" w:cs="Calibri"/>
          <w:i/>
          <w:iCs/>
          <w:color w:val="000000"/>
          <w:sz w:val="24"/>
          <w:szCs w:val="24"/>
          <w:lang w:val="en-US"/>
        </w:rPr>
        <w:fldChar w:fldCharType="end"/>
      </w:r>
      <w:r w:rsidRPr="003A3D37">
        <w:rPr>
          <w:rFonts w:ascii="Calibri" w:eastAsia="Calibri" w:hAnsi="Calibri" w:cs="Calibri"/>
          <w:i/>
          <w:iCs/>
          <w:color w:val="000000"/>
          <w:sz w:val="24"/>
          <w:szCs w:val="24"/>
          <w:lang w:val="en-US"/>
        </w:rPr>
        <w:t xml:space="preserve"> Influence of Leadership on Climate Ethics</w:t>
      </w:r>
      <w:bookmarkEnd w:id="9"/>
    </w:p>
    <w:tbl>
      <w:tblPr>
        <w:tblStyle w:val="GridTable5Dark-Accent51"/>
        <w:tblW w:w="0" w:type="auto"/>
        <w:tblLook w:val="04A0" w:firstRow="1" w:lastRow="0" w:firstColumn="1" w:lastColumn="0" w:noHBand="0" w:noVBand="1"/>
      </w:tblPr>
      <w:tblGrid>
        <w:gridCol w:w="1927"/>
        <w:gridCol w:w="3885"/>
        <w:gridCol w:w="3538"/>
      </w:tblGrid>
      <w:tr w:rsidR="003A3D37" w:rsidRPr="003A3D37" w14:paraId="33D4803C" w14:textId="77777777" w:rsidTr="00373CA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61AB5AE" w14:textId="77777777" w:rsidR="003A3D37" w:rsidRPr="003A3D37" w:rsidRDefault="003A3D37" w:rsidP="003A3D37">
            <w:pPr>
              <w:spacing w:line="360" w:lineRule="auto"/>
              <w:jc w:val="center"/>
              <w:rPr>
                <w:rFonts w:ascii="Calibri" w:eastAsia="Calibri" w:hAnsi="Calibri" w:cs="Calibri"/>
                <w:color w:val="000000"/>
                <w:sz w:val="24"/>
                <w:szCs w:val="24"/>
              </w:rPr>
            </w:pPr>
            <w:r w:rsidRPr="003A3D37">
              <w:rPr>
                <w:rFonts w:ascii="Calibri" w:eastAsia="Calibri" w:hAnsi="Calibri" w:cs="Calibri"/>
                <w:color w:val="000000"/>
                <w:sz w:val="24"/>
                <w:szCs w:val="24"/>
              </w:rPr>
              <w:t>Leadership Level</w:t>
            </w:r>
          </w:p>
        </w:tc>
        <w:tc>
          <w:tcPr>
            <w:tcW w:w="0" w:type="auto"/>
            <w:hideMark/>
          </w:tcPr>
          <w:p w14:paraId="49B88A4F" w14:textId="77777777" w:rsidR="003A3D37" w:rsidRPr="003A3D37" w:rsidRDefault="003A3D37" w:rsidP="003A3D37">
            <w:pPr>
              <w:spacing w:line="360" w:lineRule="auto"/>
              <w:jc w:val="center"/>
              <w:cnfStyle w:val="100000000000" w:firstRow="1" w:lastRow="0" w:firstColumn="0" w:lastColumn="0" w:oddVBand="0" w:evenVBand="0" w:oddHBand="0" w:evenHBand="0" w:firstRowFirstColumn="0" w:firstRowLastColumn="0" w:lastRowFirstColumn="0" w:lastRowLastColumn="0"/>
              <w:rPr>
                <w:rFonts w:ascii="Calibri" w:eastAsia="Calibri" w:hAnsi="Calibri" w:cs="Calibri"/>
                <w:color w:val="000000"/>
                <w:sz w:val="24"/>
                <w:szCs w:val="24"/>
              </w:rPr>
            </w:pPr>
            <w:r w:rsidRPr="003A3D37">
              <w:rPr>
                <w:rFonts w:ascii="Calibri" w:eastAsia="Calibri" w:hAnsi="Calibri" w:cs="Calibri"/>
                <w:color w:val="000000"/>
                <w:sz w:val="24"/>
                <w:szCs w:val="24"/>
              </w:rPr>
              <w:t>Action Example</w:t>
            </w:r>
          </w:p>
        </w:tc>
        <w:tc>
          <w:tcPr>
            <w:tcW w:w="0" w:type="auto"/>
            <w:hideMark/>
          </w:tcPr>
          <w:p w14:paraId="479ED815" w14:textId="77777777" w:rsidR="003A3D37" w:rsidRPr="003A3D37" w:rsidRDefault="003A3D37" w:rsidP="003A3D37">
            <w:pPr>
              <w:spacing w:line="360" w:lineRule="auto"/>
              <w:jc w:val="center"/>
              <w:cnfStyle w:val="100000000000" w:firstRow="1" w:lastRow="0" w:firstColumn="0" w:lastColumn="0" w:oddVBand="0" w:evenVBand="0" w:oddHBand="0" w:evenHBand="0" w:firstRowFirstColumn="0" w:firstRowLastColumn="0" w:lastRowFirstColumn="0" w:lastRowLastColumn="0"/>
              <w:rPr>
                <w:rFonts w:ascii="Calibri" w:eastAsia="Calibri" w:hAnsi="Calibri" w:cs="Calibri"/>
                <w:color w:val="000000"/>
                <w:sz w:val="24"/>
                <w:szCs w:val="24"/>
              </w:rPr>
            </w:pPr>
            <w:r w:rsidRPr="003A3D37">
              <w:rPr>
                <w:rFonts w:ascii="Calibri" w:eastAsia="Calibri" w:hAnsi="Calibri" w:cs="Calibri"/>
                <w:color w:val="000000"/>
                <w:sz w:val="24"/>
                <w:szCs w:val="24"/>
              </w:rPr>
              <w:t>Impact on Ethical Culture</w:t>
            </w:r>
          </w:p>
        </w:tc>
      </w:tr>
      <w:tr w:rsidR="003A3D37" w:rsidRPr="003A3D37" w14:paraId="5F634D94" w14:textId="77777777" w:rsidTr="00373C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A485922" w14:textId="77777777" w:rsidR="003A3D37" w:rsidRPr="003A3D37" w:rsidRDefault="003A3D37" w:rsidP="003A3D37">
            <w:pPr>
              <w:spacing w:line="360" w:lineRule="auto"/>
              <w:rPr>
                <w:rFonts w:ascii="Calibri" w:eastAsia="Calibri" w:hAnsi="Calibri" w:cs="Calibri"/>
                <w:color w:val="000000"/>
                <w:sz w:val="24"/>
                <w:szCs w:val="24"/>
              </w:rPr>
            </w:pPr>
            <w:r w:rsidRPr="003A3D37">
              <w:rPr>
                <w:rFonts w:ascii="Calibri" w:eastAsia="Calibri" w:hAnsi="Calibri" w:cs="Calibri"/>
                <w:color w:val="000000"/>
                <w:sz w:val="24"/>
                <w:szCs w:val="24"/>
              </w:rPr>
              <w:t>Individual Leaders</w:t>
            </w:r>
          </w:p>
        </w:tc>
        <w:tc>
          <w:tcPr>
            <w:tcW w:w="0" w:type="auto"/>
            <w:hideMark/>
          </w:tcPr>
          <w:p w14:paraId="4490574D" w14:textId="77777777" w:rsidR="003A3D37" w:rsidRPr="003A3D37" w:rsidRDefault="003A3D37" w:rsidP="003A3D37">
            <w:pPr>
              <w:spacing w:line="360" w:lineRule="auto"/>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 w:val="24"/>
                <w:szCs w:val="24"/>
              </w:rPr>
            </w:pPr>
            <w:r w:rsidRPr="003A3D37">
              <w:rPr>
                <w:rFonts w:ascii="Calibri" w:eastAsia="Calibri" w:hAnsi="Calibri" w:cs="Calibri"/>
                <w:color w:val="000000"/>
                <w:sz w:val="24"/>
                <w:szCs w:val="24"/>
              </w:rPr>
              <w:t>Personal involvement in climate agenda</w:t>
            </w:r>
          </w:p>
        </w:tc>
        <w:tc>
          <w:tcPr>
            <w:tcW w:w="0" w:type="auto"/>
            <w:hideMark/>
          </w:tcPr>
          <w:p w14:paraId="7071F8D1" w14:textId="77777777" w:rsidR="003A3D37" w:rsidRPr="003A3D37" w:rsidRDefault="003A3D37" w:rsidP="003A3D37">
            <w:pPr>
              <w:spacing w:line="360" w:lineRule="auto"/>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 w:val="24"/>
                <w:szCs w:val="24"/>
              </w:rPr>
            </w:pPr>
            <w:r w:rsidRPr="003A3D37">
              <w:rPr>
                <w:rFonts w:ascii="Calibri" w:eastAsia="Calibri" w:hAnsi="Calibri" w:cs="Calibri"/>
                <w:color w:val="000000"/>
                <w:sz w:val="24"/>
                <w:szCs w:val="24"/>
              </w:rPr>
              <w:t>Sets tone at the top and inspires trust</w:t>
            </w:r>
          </w:p>
        </w:tc>
      </w:tr>
      <w:tr w:rsidR="003A3D37" w:rsidRPr="003A3D37" w14:paraId="160F1334" w14:textId="77777777" w:rsidTr="00373CA8">
        <w:tc>
          <w:tcPr>
            <w:cnfStyle w:val="001000000000" w:firstRow="0" w:lastRow="0" w:firstColumn="1" w:lastColumn="0" w:oddVBand="0" w:evenVBand="0" w:oddHBand="0" w:evenHBand="0" w:firstRowFirstColumn="0" w:firstRowLastColumn="0" w:lastRowFirstColumn="0" w:lastRowLastColumn="0"/>
            <w:tcW w:w="0" w:type="auto"/>
            <w:hideMark/>
          </w:tcPr>
          <w:p w14:paraId="7FA41714" w14:textId="77777777" w:rsidR="003A3D37" w:rsidRPr="003A3D37" w:rsidRDefault="003A3D37" w:rsidP="003A3D37">
            <w:pPr>
              <w:spacing w:line="360" w:lineRule="auto"/>
              <w:rPr>
                <w:rFonts w:ascii="Calibri" w:eastAsia="Calibri" w:hAnsi="Calibri" w:cs="Calibri"/>
                <w:color w:val="000000"/>
                <w:sz w:val="24"/>
                <w:szCs w:val="24"/>
              </w:rPr>
            </w:pPr>
            <w:r w:rsidRPr="003A3D37">
              <w:rPr>
                <w:rFonts w:ascii="Calibri" w:eastAsia="Calibri" w:hAnsi="Calibri" w:cs="Calibri"/>
                <w:color w:val="000000"/>
                <w:sz w:val="24"/>
                <w:szCs w:val="24"/>
              </w:rPr>
              <w:t>Institutional Systems</w:t>
            </w:r>
          </w:p>
        </w:tc>
        <w:tc>
          <w:tcPr>
            <w:tcW w:w="0" w:type="auto"/>
            <w:hideMark/>
          </w:tcPr>
          <w:p w14:paraId="5516652F" w14:textId="77777777" w:rsidR="003A3D37" w:rsidRPr="003A3D37" w:rsidRDefault="003A3D37" w:rsidP="003A3D37">
            <w:pPr>
              <w:spacing w:line="360" w:lineRule="auto"/>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 w:val="24"/>
                <w:szCs w:val="24"/>
              </w:rPr>
            </w:pPr>
            <w:r w:rsidRPr="003A3D37">
              <w:rPr>
                <w:rFonts w:ascii="Calibri" w:eastAsia="Calibri" w:hAnsi="Calibri" w:cs="Calibri"/>
                <w:color w:val="000000"/>
                <w:sz w:val="24"/>
                <w:szCs w:val="24"/>
              </w:rPr>
              <w:t>Integration of ESG into KPIs and governance</w:t>
            </w:r>
          </w:p>
        </w:tc>
        <w:tc>
          <w:tcPr>
            <w:tcW w:w="0" w:type="auto"/>
            <w:hideMark/>
          </w:tcPr>
          <w:p w14:paraId="57348CEC" w14:textId="7009AAF3" w:rsidR="003A3D37" w:rsidRPr="003A3D37" w:rsidRDefault="003A3D37" w:rsidP="003A3D37">
            <w:pPr>
              <w:spacing w:line="360" w:lineRule="auto"/>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 w:val="24"/>
                <w:szCs w:val="24"/>
              </w:rPr>
            </w:pPr>
            <w:r w:rsidRPr="003A3D37">
              <w:rPr>
                <w:rFonts w:ascii="Calibri" w:eastAsia="Calibri" w:hAnsi="Calibri" w:cs="Calibri"/>
                <w:color w:val="000000"/>
                <w:sz w:val="24"/>
                <w:szCs w:val="24"/>
              </w:rPr>
              <w:t xml:space="preserve">Reinforces ethical </w:t>
            </w:r>
            <w:r w:rsidR="001906E5" w:rsidRPr="003A3D37">
              <w:rPr>
                <w:rFonts w:ascii="Calibri" w:eastAsia="Calibri" w:hAnsi="Calibri" w:cs="Calibri"/>
                <w:color w:val="000000"/>
                <w:sz w:val="24"/>
                <w:szCs w:val="24"/>
              </w:rPr>
              <w:t>behavior</w:t>
            </w:r>
            <w:r w:rsidRPr="003A3D37">
              <w:rPr>
                <w:rFonts w:ascii="Calibri" w:eastAsia="Calibri" w:hAnsi="Calibri" w:cs="Calibri"/>
                <w:color w:val="000000"/>
                <w:sz w:val="24"/>
                <w:szCs w:val="24"/>
              </w:rPr>
              <w:t xml:space="preserve"> across all business units</w:t>
            </w:r>
          </w:p>
        </w:tc>
      </w:tr>
      <w:tr w:rsidR="003A3D37" w:rsidRPr="003A3D37" w14:paraId="163F39DE" w14:textId="77777777" w:rsidTr="00373C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B6060B8" w14:textId="77777777" w:rsidR="003A3D37" w:rsidRPr="003A3D37" w:rsidRDefault="003A3D37" w:rsidP="003A3D37">
            <w:pPr>
              <w:spacing w:line="360" w:lineRule="auto"/>
              <w:rPr>
                <w:rFonts w:ascii="Calibri" w:eastAsia="Calibri" w:hAnsi="Calibri" w:cs="Calibri"/>
                <w:color w:val="000000"/>
                <w:sz w:val="24"/>
                <w:szCs w:val="24"/>
              </w:rPr>
            </w:pPr>
            <w:r w:rsidRPr="003A3D37">
              <w:rPr>
                <w:rFonts w:ascii="Calibri" w:eastAsia="Calibri" w:hAnsi="Calibri" w:cs="Calibri"/>
                <w:color w:val="000000"/>
                <w:sz w:val="24"/>
                <w:szCs w:val="24"/>
              </w:rPr>
              <w:t>Stakeholder Dialogue</w:t>
            </w:r>
          </w:p>
        </w:tc>
        <w:tc>
          <w:tcPr>
            <w:tcW w:w="0" w:type="auto"/>
            <w:hideMark/>
          </w:tcPr>
          <w:p w14:paraId="1B6B60D7" w14:textId="77777777" w:rsidR="003A3D37" w:rsidRPr="003A3D37" w:rsidRDefault="003A3D37" w:rsidP="003A3D37">
            <w:pPr>
              <w:spacing w:line="360" w:lineRule="auto"/>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 w:val="24"/>
                <w:szCs w:val="24"/>
              </w:rPr>
            </w:pPr>
            <w:r w:rsidRPr="003A3D37">
              <w:rPr>
                <w:rFonts w:ascii="Calibri" w:eastAsia="Calibri" w:hAnsi="Calibri" w:cs="Calibri"/>
                <w:color w:val="000000"/>
                <w:sz w:val="24"/>
                <w:szCs w:val="24"/>
              </w:rPr>
              <w:t>Regular consultations with suppliers, NGOs, and regulators</w:t>
            </w:r>
          </w:p>
        </w:tc>
        <w:tc>
          <w:tcPr>
            <w:tcW w:w="0" w:type="auto"/>
            <w:hideMark/>
          </w:tcPr>
          <w:p w14:paraId="016EE476" w14:textId="411E057C" w:rsidR="003A3D37" w:rsidRPr="003A3D37" w:rsidRDefault="001906E5" w:rsidP="003A3D37">
            <w:pPr>
              <w:spacing w:line="360" w:lineRule="auto"/>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 w:val="24"/>
                <w:szCs w:val="24"/>
              </w:rPr>
            </w:pPr>
            <w:r w:rsidRPr="003A3D37">
              <w:rPr>
                <w:rFonts w:ascii="Calibri" w:eastAsia="Calibri" w:hAnsi="Calibri" w:cs="Calibri"/>
                <w:color w:val="000000"/>
                <w:sz w:val="24"/>
                <w:szCs w:val="24"/>
              </w:rPr>
              <w:t>Promote</w:t>
            </w:r>
            <w:r w:rsidR="003A3D37" w:rsidRPr="003A3D37">
              <w:rPr>
                <w:rFonts w:ascii="Calibri" w:eastAsia="Calibri" w:hAnsi="Calibri" w:cs="Calibri"/>
                <w:color w:val="000000"/>
                <w:sz w:val="24"/>
                <w:szCs w:val="24"/>
              </w:rPr>
              <w:t xml:space="preserve"> transparency and accountability</w:t>
            </w:r>
          </w:p>
        </w:tc>
      </w:tr>
    </w:tbl>
    <w:p w14:paraId="2367ADB4" w14:textId="77777777" w:rsidR="001906E5" w:rsidRDefault="001906E5" w:rsidP="003A3D37">
      <w:pPr>
        <w:spacing w:after="0" w:line="360" w:lineRule="auto"/>
        <w:jc w:val="both"/>
        <w:rPr>
          <w:rFonts w:ascii="Calibri" w:eastAsia="Times New Roman" w:hAnsi="Calibri" w:cs="Calibri"/>
          <w:color w:val="000000"/>
          <w:sz w:val="24"/>
          <w:szCs w:val="24"/>
          <w:lang w:val="en-US"/>
        </w:rPr>
      </w:pPr>
    </w:p>
    <w:p w14:paraId="129BB991" w14:textId="71A94008" w:rsidR="003A3D37" w:rsidRDefault="003A3D37" w:rsidP="003A3D37">
      <w:pPr>
        <w:spacing w:after="0" w:line="360" w:lineRule="auto"/>
        <w:jc w:val="both"/>
        <w:rPr>
          <w:rFonts w:ascii="Calibri" w:eastAsia="Times New Roman" w:hAnsi="Calibri" w:cs="Calibri"/>
          <w:color w:val="000000"/>
          <w:sz w:val="24"/>
          <w:szCs w:val="24"/>
          <w:lang w:val="en-US"/>
        </w:rPr>
      </w:pPr>
      <w:r w:rsidRPr="003A3D37">
        <w:rPr>
          <w:rFonts w:ascii="Calibri" w:eastAsia="Times New Roman" w:hAnsi="Calibri" w:cs="Calibri"/>
          <w:color w:val="000000"/>
          <w:sz w:val="24"/>
          <w:szCs w:val="24"/>
          <w:lang w:val="en-US"/>
        </w:rPr>
        <w:t xml:space="preserve">Uddin et al. (2023) contended that the sustainability of the supply chain is not only based on executive orders but also on </w:t>
      </w:r>
      <w:r w:rsidR="001906E5" w:rsidRPr="003A3D37">
        <w:rPr>
          <w:rFonts w:ascii="Calibri" w:eastAsia="Times New Roman" w:hAnsi="Calibri" w:cs="Calibri"/>
          <w:color w:val="000000"/>
          <w:sz w:val="24"/>
          <w:szCs w:val="24"/>
          <w:lang w:val="en-US"/>
        </w:rPr>
        <w:t>organizational</w:t>
      </w:r>
      <w:r w:rsidRPr="003A3D37">
        <w:rPr>
          <w:rFonts w:ascii="Calibri" w:eastAsia="Times New Roman" w:hAnsi="Calibri" w:cs="Calibri"/>
          <w:color w:val="000000"/>
          <w:sz w:val="24"/>
          <w:szCs w:val="24"/>
          <w:lang w:val="en-US"/>
        </w:rPr>
        <w:t xml:space="preserve"> culture within the mid-level management. Gillai et al. (2024) further state that global firms need to </w:t>
      </w:r>
      <w:r w:rsidR="001906E5" w:rsidRPr="003A3D37">
        <w:rPr>
          <w:rFonts w:ascii="Calibri" w:eastAsia="Times New Roman" w:hAnsi="Calibri" w:cs="Calibri"/>
          <w:color w:val="000000"/>
          <w:sz w:val="24"/>
          <w:szCs w:val="24"/>
          <w:lang w:val="en-US"/>
        </w:rPr>
        <w:t>institutionalize</w:t>
      </w:r>
      <w:r w:rsidRPr="003A3D37">
        <w:rPr>
          <w:rFonts w:ascii="Calibri" w:eastAsia="Times New Roman" w:hAnsi="Calibri" w:cs="Calibri"/>
          <w:color w:val="000000"/>
          <w:sz w:val="24"/>
          <w:szCs w:val="24"/>
          <w:lang w:val="en-US"/>
        </w:rPr>
        <w:t xml:space="preserve"> the ethics to guarantee its long-term compliance and environmental proficiency. Leadership culture is more and more associated with stakeholder-based reporting and climate-related disclosure at M&amp;S (Moussa et al., 2022).</w:t>
      </w:r>
    </w:p>
    <w:p w14:paraId="4BAF41C8" w14:textId="77777777" w:rsidR="001906E5" w:rsidRPr="003A3D37" w:rsidRDefault="001906E5" w:rsidP="003A3D37">
      <w:pPr>
        <w:spacing w:after="0" w:line="360" w:lineRule="auto"/>
        <w:jc w:val="both"/>
        <w:rPr>
          <w:rFonts w:ascii="Calibri" w:eastAsia="Times New Roman" w:hAnsi="Calibri" w:cs="Calibri"/>
          <w:color w:val="000000"/>
          <w:sz w:val="24"/>
          <w:szCs w:val="24"/>
          <w:lang w:val="en-US"/>
        </w:rPr>
      </w:pPr>
    </w:p>
    <w:p w14:paraId="7B2AAC54" w14:textId="668A9035" w:rsidR="003A3D37" w:rsidRPr="003A3D37" w:rsidRDefault="003A3D37" w:rsidP="001906E5">
      <w:pPr>
        <w:pStyle w:val="Heading2"/>
        <w:jc w:val="center"/>
        <w:rPr>
          <w:rFonts w:eastAsia="Times New Roman"/>
          <w:lang w:val="en-US"/>
        </w:rPr>
      </w:pPr>
      <w:bookmarkStart w:id="10" w:name="_Toc203991946"/>
      <w:r w:rsidRPr="003A3D37">
        <w:rPr>
          <w:rFonts w:eastAsia="Times New Roman"/>
          <w:lang w:val="en-US"/>
        </w:rPr>
        <w:t>2.</w:t>
      </w:r>
      <w:r w:rsidR="001906E5">
        <w:rPr>
          <w:rFonts w:eastAsia="Times New Roman"/>
          <w:lang w:val="en-US"/>
        </w:rPr>
        <w:t>4</w:t>
      </w:r>
      <w:r w:rsidRPr="003A3D37">
        <w:rPr>
          <w:rFonts w:eastAsia="Times New Roman"/>
          <w:lang w:val="en-US"/>
        </w:rPr>
        <w:t xml:space="preserve"> Stakeholder Relationships and Climate Accountability</w:t>
      </w:r>
      <w:bookmarkEnd w:id="10"/>
    </w:p>
    <w:p w14:paraId="2F220100" w14:textId="203B0441" w:rsidR="003A3D37" w:rsidRDefault="003A3D37" w:rsidP="003A3D37">
      <w:pPr>
        <w:spacing w:after="0" w:line="360" w:lineRule="auto"/>
        <w:jc w:val="both"/>
        <w:rPr>
          <w:rFonts w:ascii="Calibri" w:eastAsia="Times New Roman" w:hAnsi="Calibri" w:cs="Calibri"/>
          <w:color w:val="000000"/>
          <w:sz w:val="24"/>
          <w:szCs w:val="24"/>
          <w:lang w:val="en-US"/>
        </w:rPr>
      </w:pPr>
      <w:r w:rsidRPr="003A3D37">
        <w:rPr>
          <w:rFonts w:ascii="Calibri" w:eastAsia="Times New Roman" w:hAnsi="Calibri" w:cs="Calibri"/>
          <w:color w:val="000000"/>
          <w:sz w:val="24"/>
          <w:szCs w:val="24"/>
          <w:lang w:val="en-US"/>
        </w:rPr>
        <w:t xml:space="preserve">Engagement of internal stakeholders is essential to engrave the values of sustainability within an organization (Patrucco et al. 2025). This cultural convergence is propagated at Marks &amp; Spencer (M&amp;S) by leadership communication, employee education, and incorporation of climate-related core performance measures (Razzak, 2023). These mechanisms replace the top-down sustainability requirements with </w:t>
      </w:r>
      <w:r w:rsidR="001906E5" w:rsidRPr="003A3D37">
        <w:rPr>
          <w:rFonts w:ascii="Calibri" w:eastAsia="Times New Roman" w:hAnsi="Calibri" w:cs="Calibri"/>
          <w:color w:val="000000"/>
          <w:sz w:val="24"/>
          <w:szCs w:val="24"/>
          <w:lang w:val="en-US"/>
        </w:rPr>
        <w:t>invitations</w:t>
      </w:r>
      <w:r w:rsidRPr="003A3D37">
        <w:rPr>
          <w:rFonts w:ascii="Calibri" w:eastAsia="Times New Roman" w:hAnsi="Calibri" w:cs="Calibri"/>
          <w:color w:val="000000"/>
          <w:sz w:val="24"/>
          <w:szCs w:val="24"/>
          <w:lang w:val="en-US"/>
        </w:rPr>
        <w:t xml:space="preserve"> to participate in the management of </w:t>
      </w:r>
      <w:r w:rsidR="001906E5" w:rsidRPr="003A3D37">
        <w:rPr>
          <w:rFonts w:ascii="Calibri" w:eastAsia="Times New Roman" w:hAnsi="Calibri" w:cs="Calibri"/>
          <w:color w:val="000000"/>
          <w:sz w:val="24"/>
          <w:szCs w:val="24"/>
          <w:lang w:val="en-US"/>
        </w:rPr>
        <w:t>environmental</w:t>
      </w:r>
      <w:r w:rsidRPr="003A3D37">
        <w:rPr>
          <w:rFonts w:ascii="Calibri" w:eastAsia="Times New Roman" w:hAnsi="Calibri" w:cs="Calibri"/>
          <w:color w:val="000000"/>
          <w:sz w:val="24"/>
          <w:szCs w:val="24"/>
          <w:lang w:val="en-US"/>
        </w:rPr>
        <w:t xml:space="preserve"> performance when employees are directly involved in recycling initiatives, supply chain audits, and carbon tracking systems. This kind of participation not only helps </w:t>
      </w:r>
      <w:r w:rsidR="001906E5" w:rsidRPr="003A3D37">
        <w:rPr>
          <w:rFonts w:ascii="Calibri" w:eastAsia="Times New Roman" w:hAnsi="Calibri" w:cs="Calibri"/>
          <w:color w:val="000000"/>
          <w:sz w:val="24"/>
          <w:szCs w:val="24"/>
          <w:lang w:val="en-US"/>
        </w:rPr>
        <w:t>with</w:t>
      </w:r>
      <w:r w:rsidRPr="003A3D37">
        <w:rPr>
          <w:rFonts w:ascii="Calibri" w:eastAsia="Times New Roman" w:hAnsi="Calibri" w:cs="Calibri"/>
          <w:color w:val="000000"/>
          <w:sz w:val="24"/>
          <w:szCs w:val="24"/>
          <w:lang w:val="en-US"/>
        </w:rPr>
        <w:t xml:space="preserve"> the alignment of </w:t>
      </w:r>
      <w:r w:rsidR="001906E5" w:rsidRPr="003A3D37">
        <w:rPr>
          <w:rFonts w:ascii="Calibri" w:eastAsia="Times New Roman" w:hAnsi="Calibri" w:cs="Calibri"/>
          <w:color w:val="000000"/>
          <w:sz w:val="24"/>
          <w:szCs w:val="24"/>
          <w:lang w:val="en-US"/>
        </w:rPr>
        <w:lastRenderedPageBreak/>
        <w:t>behavior</w:t>
      </w:r>
      <w:r w:rsidRPr="003A3D37">
        <w:rPr>
          <w:rFonts w:ascii="Calibri" w:eastAsia="Times New Roman" w:hAnsi="Calibri" w:cs="Calibri"/>
          <w:color w:val="000000"/>
          <w:sz w:val="24"/>
          <w:szCs w:val="24"/>
          <w:lang w:val="en-US"/>
        </w:rPr>
        <w:t xml:space="preserve"> but also in building resilience and competitive advantages in </w:t>
      </w:r>
      <w:r w:rsidR="001906E5" w:rsidRPr="003A3D37">
        <w:rPr>
          <w:rFonts w:ascii="Calibri" w:eastAsia="Times New Roman" w:hAnsi="Calibri" w:cs="Calibri"/>
          <w:color w:val="000000"/>
          <w:sz w:val="24"/>
          <w:szCs w:val="24"/>
          <w:lang w:val="en-US"/>
        </w:rPr>
        <w:t>organizations</w:t>
      </w:r>
      <w:r w:rsidRPr="003A3D37">
        <w:rPr>
          <w:rFonts w:ascii="Calibri" w:eastAsia="Times New Roman" w:hAnsi="Calibri" w:cs="Calibri"/>
          <w:color w:val="000000"/>
          <w:sz w:val="24"/>
          <w:szCs w:val="24"/>
          <w:lang w:val="en-US"/>
        </w:rPr>
        <w:t xml:space="preserve"> using leverage of internal capabilities effectively.</w:t>
      </w:r>
    </w:p>
    <w:p w14:paraId="25D6D78B" w14:textId="77777777" w:rsidR="001906E5" w:rsidRPr="003A3D37" w:rsidRDefault="001906E5" w:rsidP="003A3D37">
      <w:pPr>
        <w:spacing w:after="0" w:line="360" w:lineRule="auto"/>
        <w:jc w:val="both"/>
        <w:rPr>
          <w:rFonts w:ascii="Calibri" w:eastAsia="Times New Roman" w:hAnsi="Calibri" w:cs="Calibri"/>
          <w:color w:val="000000"/>
          <w:sz w:val="24"/>
          <w:szCs w:val="24"/>
          <w:lang w:val="en-US"/>
        </w:rPr>
      </w:pPr>
    </w:p>
    <w:p w14:paraId="468D1D37" w14:textId="77777777" w:rsidR="003A3D37" w:rsidRPr="003A3D37" w:rsidRDefault="003A3D37" w:rsidP="003A3D37">
      <w:pPr>
        <w:keepNext/>
        <w:spacing w:after="0" w:line="360" w:lineRule="auto"/>
        <w:rPr>
          <w:rFonts w:ascii="Calibri" w:eastAsia="Calibri" w:hAnsi="Calibri" w:cs="Calibri"/>
          <w:i/>
          <w:iCs/>
          <w:color w:val="000000"/>
          <w:sz w:val="24"/>
          <w:szCs w:val="24"/>
          <w:lang w:val="en-US"/>
        </w:rPr>
      </w:pPr>
      <w:bookmarkStart w:id="11" w:name="_Toc203776803"/>
      <w:r w:rsidRPr="003A3D37">
        <w:rPr>
          <w:rFonts w:ascii="Calibri" w:eastAsia="Calibri" w:hAnsi="Calibri" w:cs="Calibri"/>
          <w:i/>
          <w:iCs/>
          <w:color w:val="000000"/>
          <w:sz w:val="24"/>
          <w:szCs w:val="24"/>
          <w:lang w:val="en-US"/>
        </w:rPr>
        <w:t xml:space="preserve">Table </w:t>
      </w:r>
      <w:r w:rsidRPr="003A3D37">
        <w:rPr>
          <w:rFonts w:ascii="Calibri" w:eastAsia="Calibri" w:hAnsi="Calibri" w:cs="Calibri"/>
          <w:i/>
          <w:iCs/>
          <w:color w:val="000000"/>
          <w:sz w:val="24"/>
          <w:szCs w:val="24"/>
          <w:lang w:val="en-US"/>
        </w:rPr>
        <w:fldChar w:fldCharType="begin"/>
      </w:r>
      <w:r w:rsidRPr="003A3D37">
        <w:rPr>
          <w:rFonts w:ascii="Calibri" w:eastAsia="Calibri" w:hAnsi="Calibri" w:cs="Calibri"/>
          <w:i/>
          <w:iCs/>
          <w:color w:val="000000"/>
          <w:sz w:val="24"/>
          <w:szCs w:val="24"/>
          <w:lang w:val="en-US"/>
        </w:rPr>
        <w:instrText xml:space="preserve"> SEQ Table \* ARABIC </w:instrText>
      </w:r>
      <w:r w:rsidRPr="003A3D37">
        <w:rPr>
          <w:rFonts w:ascii="Calibri" w:eastAsia="Calibri" w:hAnsi="Calibri" w:cs="Calibri"/>
          <w:i/>
          <w:iCs/>
          <w:color w:val="000000"/>
          <w:sz w:val="24"/>
          <w:szCs w:val="24"/>
          <w:lang w:val="en-US"/>
        </w:rPr>
        <w:fldChar w:fldCharType="separate"/>
      </w:r>
      <w:r w:rsidRPr="003A3D37">
        <w:rPr>
          <w:rFonts w:ascii="Calibri" w:eastAsia="Calibri" w:hAnsi="Calibri" w:cs="Calibri"/>
          <w:i/>
          <w:iCs/>
          <w:noProof/>
          <w:color w:val="000000"/>
          <w:sz w:val="24"/>
          <w:szCs w:val="24"/>
          <w:lang w:val="en-US"/>
        </w:rPr>
        <w:t>5</w:t>
      </w:r>
      <w:r w:rsidRPr="003A3D37">
        <w:rPr>
          <w:rFonts w:ascii="Calibri" w:eastAsia="Calibri" w:hAnsi="Calibri" w:cs="Calibri"/>
          <w:i/>
          <w:iCs/>
          <w:color w:val="000000"/>
          <w:sz w:val="24"/>
          <w:szCs w:val="24"/>
          <w:lang w:val="en-US"/>
        </w:rPr>
        <w:fldChar w:fldCharType="end"/>
      </w:r>
      <w:r w:rsidRPr="003A3D37">
        <w:rPr>
          <w:rFonts w:ascii="Calibri" w:eastAsia="Calibri" w:hAnsi="Calibri" w:cs="Calibri"/>
          <w:i/>
          <w:iCs/>
          <w:color w:val="000000"/>
          <w:sz w:val="24"/>
          <w:szCs w:val="24"/>
          <w:lang w:val="en-US"/>
        </w:rPr>
        <w:t xml:space="preserve"> Internal vs External Stakeholder Influence on Climate Action</w:t>
      </w:r>
      <w:bookmarkEnd w:id="11"/>
    </w:p>
    <w:tbl>
      <w:tblPr>
        <w:tblStyle w:val="GridTable4-Accent51"/>
        <w:tblW w:w="9399" w:type="dxa"/>
        <w:tblLook w:val="04A0" w:firstRow="1" w:lastRow="0" w:firstColumn="1" w:lastColumn="0" w:noHBand="0" w:noVBand="1"/>
      </w:tblPr>
      <w:tblGrid>
        <w:gridCol w:w="2670"/>
        <w:gridCol w:w="6729"/>
      </w:tblGrid>
      <w:tr w:rsidR="003A3D37" w:rsidRPr="003A3D37" w14:paraId="69092073" w14:textId="77777777" w:rsidTr="00373CA8">
        <w:trPr>
          <w:cnfStyle w:val="100000000000" w:firstRow="1" w:lastRow="0" w:firstColumn="0" w:lastColumn="0" w:oddVBand="0" w:evenVBand="0" w:oddHBand="0" w:evenHBand="0" w:firstRowFirstColumn="0" w:firstRowLastColumn="0" w:lastRowFirstColumn="0" w:lastRowLastColumn="0"/>
          <w:trHeight w:val="274"/>
        </w:trPr>
        <w:tc>
          <w:tcPr>
            <w:cnfStyle w:val="001000000000" w:firstRow="0" w:lastRow="0" w:firstColumn="1" w:lastColumn="0" w:oddVBand="0" w:evenVBand="0" w:oddHBand="0" w:evenHBand="0" w:firstRowFirstColumn="0" w:firstRowLastColumn="0" w:lastRowFirstColumn="0" w:lastRowLastColumn="0"/>
            <w:tcW w:w="0" w:type="auto"/>
            <w:hideMark/>
          </w:tcPr>
          <w:p w14:paraId="2EA69402" w14:textId="77777777" w:rsidR="003A3D37" w:rsidRPr="003A3D37" w:rsidRDefault="003A3D37" w:rsidP="003A3D37">
            <w:pPr>
              <w:spacing w:line="360" w:lineRule="auto"/>
              <w:jc w:val="center"/>
              <w:rPr>
                <w:rFonts w:ascii="Calibri" w:eastAsia="Times New Roman" w:hAnsi="Calibri" w:cs="Calibri"/>
                <w:color w:val="000000"/>
                <w:sz w:val="24"/>
                <w:szCs w:val="24"/>
              </w:rPr>
            </w:pPr>
            <w:r w:rsidRPr="003A3D37">
              <w:rPr>
                <w:rFonts w:ascii="Calibri" w:eastAsia="Times New Roman" w:hAnsi="Calibri" w:cs="Calibri"/>
                <w:color w:val="000000"/>
                <w:sz w:val="24"/>
                <w:szCs w:val="24"/>
              </w:rPr>
              <w:t>Stakeholder Group</w:t>
            </w:r>
          </w:p>
        </w:tc>
        <w:tc>
          <w:tcPr>
            <w:tcW w:w="0" w:type="auto"/>
            <w:hideMark/>
          </w:tcPr>
          <w:p w14:paraId="4788E013" w14:textId="77777777" w:rsidR="003A3D37" w:rsidRPr="003A3D37" w:rsidRDefault="003A3D37" w:rsidP="003A3D37">
            <w:pPr>
              <w:spacing w:line="360" w:lineRule="auto"/>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sz w:val="24"/>
                <w:szCs w:val="24"/>
              </w:rPr>
            </w:pPr>
            <w:r w:rsidRPr="003A3D37">
              <w:rPr>
                <w:rFonts w:ascii="Calibri" w:eastAsia="Times New Roman" w:hAnsi="Calibri" w:cs="Calibri"/>
                <w:color w:val="000000"/>
                <w:sz w:val="24"/>
                <w:szCs w:val="24"/>
              </w:rPr>
              <w:t>Climate Influence</w:t>
            </w:r>
          </w:p>
        </w:tc>
      </w:tr>
      <w:tr w:rsidR="003A3D37" w:rsidRPr="003A3D37" w14:paraId="30265E6B" w14:textId="77777777" w:rsidTr="00373CA8">
        <w:trPr>
          <w:cnfStyle w:val="000000100000" w:firstRow="0" w:lastRow="0" w:firstColumn="0" w:lastColumn="0" w:oddVBand="0" w:evenVBand="0" w:oddHBand="1" w:evenHBand="0" w:firstRowFirstColumn="0" w:firstRowLastColumn="0" w:lastRowFirstColumn="0" w:lastRowLastColumn="0"/>
          <w:trHeight w:val="274"/>
        </w:trPr>
        <w:tc>
          <w:tcPr>
            <w:cnfStyle w:val="001000000000" w:firstRow="0" w:lastRow="0" w:firstColumn="1" w:lastColumn="0" w:oddVBand="0" w:evenVBand="0" w:oddHBand="0" w:evenHBand="0" w:firstRowFirstColumn="0" w:firstRowLastColumn="0" w:lastRowFirstColumn="0" w:lastRowLastColumn="0"/>
            <w:tcW w:w="0" w:type="auto"/>
            <w:hideMark/>
          </w:tcPr>
          <w:p w14:paraId="1E2EDD08" w14:textId="77777777" w:rsidR="003A3D37" w:rsidRPr="003A3D37" w:rsidRDefault="003A3D37" w:rsidP="003A3D37">
            <w:pPr>
              <w:spacing w:line="360" w:lineRule="auto"/>
              <w:rPr>
                <w:rFonts w:ascii="Calibri" w:eastAsia="Times New Roman" w:hAnsi="Calibri" w:cs="Calibri"/>
                <w:color w:val="000000"/>
                <w:sz w:val="24"/>
                <w:szCs w:val="24"/>
              </w:rPr>
            </w:pPr>
            <w:r w:rsidRPr="003A3D37">
              <w:rPr>
                <w:rFonts w:ascii="Calibri" w:eastAsia="Times New Roman" w:hAnsi="Calibri" w:cs="Calibri"/>
                <w:color w:val="000000"/>
                <w:sz w:val="24"/>
                <w:szCs w:val="24"/>
              </w:rPr>
              <w:t>Employees</w:t>
            </w:r>
          </w:p>
        </w:tc>
        <w:tc>
          <w:tcPr>
            <w:tcW w:w="0" w:type="auto"/>
            <w:hideMark/>
          </w:tcPr>
          <w:p w14:paraId="06E23C0C" w14:textId="48E885F7" w:rsidR="003A3D37" w:rsidRPr="003A3D37" w:rsidRDefault="003A3D37" w:rsidP="003A3D37">
            <w:pPr>
              <w:spacing w:line="360"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4"/>
                <w:szCs w:val="24"/>
              </w:rPr>
            </w:pPr>
            <w:r w:rsidRPr="003A3D37">
              <w:rPr>
                <w:rFonts w:ascii="Calibri" w:eastAsia="Times New Roman" w:hAnsi="Calibri" w:cs="Calibri"/>
                <w:color w:val="000000"/>
                <w:sz w:val="24"/>
                <w:szCs w:val="24"/>
              </w:rPr>
              <w:t xml:space="preserve">Drive implementation through operational </w:t>
            </w:r>
            <w:r w:rsidR="001906E5" w:rsidRPr="003A3D37">
              <w:rPr>
                <w:rFonts w:ascii="Calibri" w:eastAsia="Times New Roman" w:hAnsi="Calibri" w:cs="Calibri"/>
                <w:color w:val="000000"/>
                <w:sz w:val="24"/>
                <w:szCs w:val="24"/>
              </w:rPr>
              <w:t>behavior</w:t>
            </w:r>
          </w:p>
        </w:tc>
      </w:tr>
      <w:tr w:rsidR="003A3D37" w:rsidRPr="003A3D37" w14:paraId="6D7B9910" w14:textId="77777777" w:rsidTr="00373CA8">
        <w:trPr>
          <w:trHeight w:val="274"/>
        </w:trPr>
        <w:tc>
          <w:tcPr>
            <w:cnfStyle w:val="001000000000" w:firstRow="0" w:lastRow="0" w:firstColumn="1" w:lastColumn="0" w:oddVBand="0" w:evenVBand="0" w:oddHBand="0" w:evenHBand="0" w:firstRowFirstColumn="0" w:firstRowLastColumn="0" w:lastRowFirstColumn="0" w:lastRowLastColumn="0"/>
            <w:tcW w:w="0" w:type="auto"/>
            <w:hideMark/>
          </w:tcPr>
          <w:p w14:paraId="4B010257" w14:textId="77777777" w:rsidR="003A3D37" w:rsidRPr="003A3D37" w:rsidRDefault="003A3D37" w:rsidP="003A3D37">
            <w:pPr>
              <w:spacing w:line="360" w:lineRule="auto"/>
              <w:rPr>
                <w:rFonts w:ascii="Calibri" w:eastAsia="Times New Roman" w:hAnsi="Calibri" w:cs="Calibri"/>
                <w:color w:val="000000"/>
                <w:sz w:val="24"/>
                <w:szCs w:val="24"/>
              </w:rPr>
            </w:pPr>
            <w:r w:rsidRPr="003A3D37">
              <w:rPr>
                <w:rFonts w:ascii="Calibri" w:eastAsia="Times New Roman" w:hAnsi="Calibri" w:cs="Calibri"/>
                <w:color w:val="000000"/>
                <w:sz w:val="24"/>
                <w:szCs w:val="24"/>
              </w:rPr>
              <w:t>Management</w:t>
            </w:r>
          </w:p>
        </w:tc>
        <w:tc>
          <w:tcPr>
            <w:tcW w:w="0" w:type="auto"/>
            <w:hideMark/>
          </w:tcPr>
          <w:p w14:paraId="00C3AAC9" w14:textId="77777777" w:rsidR="003A3D37" w:rsidRPr="003A3D37" w:rsidRDefault="003A3D37" w:rsidP="003A3D37">
            <w:pPr>
              <w:spacing w:line="360"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4"/>
                <w:szCs w:val="24"/>
              </w:rPr>
            </w:pPr>
            <w:r w:rsidRPr="003A3D37">
              <w:rPr>
                <w:rFonts w:ascii="Calibri" w:eastAsia="Times New Roman" w:hAnsi="Calibri" w:cs="Calibri"/>
                <w:color w:val="000000"/>
                <w:sz w:val="24"/>
                <w:szCs w:val="24"/>
              </w:rPr>
              <w:t>Shapes strategy and reporting frameworks</w:t>
            </w:r>
          </w:p>
        </w:tc>
      </w:tr>
      <w:tr w:rsidR="003A3D37" w:rsidRPr="003A3D37" w14:paraId="29340268" w14:textId="77777777" w:rsidTr="00373CA8">
        <w:trPr>
          <w:cnfStyle w:val="000000100000" w:firstRow="0" w:lastRow="0" w:firstColumn="0" w:lastColumn="0" w:oddVBand="0" w:evenVBand="0" w:oddHBand="1" w:evenHBand="0" w:firstRowFirstColumn="0" w:firstRowLastColumn="0" w:lastRowFirstColumn="0" w:lastRowLastColumn="0"/>
          <w:trHeight w:val="274"/>
        </w:trPr>
        <w:tc>
          <w:tcPr>
            <w:cnfStyle w:val="001000000000" w:firstRow="0" w:lastRow="0" w:firstColumn="1" w:lastColumn="0" w:oddVBand="0" w:evenVBand="0" w:oddHBand="0" w:evenHBand="0" w:firstRowFirstColumn="0" w:firstRowLastColumn="0" w:lastRowFirstColumn="0" w:lastRowLastColumn="0"/>
            <w:tcW w:w="0" w:type="auto"/>
            <w:hideMark/>
          </w:tcPr>
          <w:p w14:paraId="39ABF5EC" w14:textId="77777777" w:rsidR="003A3D37" w:rsidRPr="003A3D37" w:rsidRDefault="003A3D37" w:rsidP="003A3D37">
            <w:pPr>
              <w:spacing w:line="360" w:lineRule="auto"/>
              <w:rPr>
                <w:rFonts w:ascii="Calibri" w:eastAsia="Times New Roman" w:hAnsi="Calibri" w:cs="Calibri"/>
                <w:color w:val="000000"/>
                <w:sz w:val="24"/>
                <w:szCs w:val="24"/>
              </w:rPr>
            </w:pPr>
            <w:r w:rsidRPr="003A3D37">
              <w:rPr>
                <w:rFonts w:ascii="Calibri" w:eastAsia="Times New Roman" w:hAnsi="Calibri" w:cs="Calibri"/>
                <w:color w:val="000000"/>
                <w:sz w:val="24"/>
                <w:szCs w:val="24"/>
              </w:rPr>
              <w:t>Customers</w:t>
            </w:r>
          </w:p>
        </w:tc>
        <w:tc>
          <w:tcPr>
            <w:tcW w:w="0" w:type="auto"/>
            <w:hideMark/>
          </w:tcPr>
          <w:p w14:paraId="15062E89" w14:textId="77777777" w:rsidR="003A3D37" w:rsidRPr="003A3D37" w:rsidRDefault="003A3D37" w:rsidP="003A3D37">
            <w:pPr>
              <w:spacing w:line="360"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4"/>
                <w:szCs w:val="24"/>
              </w:rPr>
            </w:pPr>
            <w:r w:rsidRPr="003A3D37">
              <w:rPr>
                <w:rFonts w:ascii="Calibri" w:eastAsia="Times New Roman" w:hAnsi="Calibri" w:cs="Calibri"/>
                <w:color w:val="000000"/>
                <w:sz w:val="24"/>
                <w:szCs w:val="24"/>
              </w:rPr>
              <w:t>Influence product innovation and packaging choices</w:t>
            </w:r>
          </w:p>
        </w:tc>
      </w:tr>
      <w:tr w:rsidR="003A3D37" w:rsidRPr="003A3D37" w14:paraId="76DAE843" w14:textId="77777777" w:rsidTr="00373CA8">
        <w:trPr>
          <w:trHeight w:val="274"/>
        </w:trPr>
        <w:tc>
          <w:tcPr>
            <w:cnfStyle w:val="001000000000" w:firstRow="0" w:lastRow="0" w:firstColumn="1" w:lastColumn="0" w:oddVBand="0" w:evenVBand="0" w:oddHBand="0" w:evenHBand="0" w:firstRowFirstColumn="0" w:firstRowLastColumn="0" w:lastRowFirstColumn="0" w:lastRowLastColumn="0"/>
            <w:tcW w:w="0" w:type="auto"/>
            <w:hideMark/>
          </w:tcPr>
          <w:p w14:paraId="4B4D11F1" w14:textId="77777777" w:rsidR="003A3D37" w:rsidRPr="003A3D37" w:rsidRDefault="003A3D37" w:rsidP="003A3D37">
            <w:pPr>
              <w:spacing w:line="360" w:lineRule="auto"/>
              <w:rPr>
                <w:rFonts w:ascii="Calibri" w:eastAsia="Times New Roman" w:hAnsi="Calibri" w:cs="Calibri"/>
                <w:color w:val="000000"/>
                <w:sz w:val="24"/>
                <w:szCs w:val="24"/>
              </w:rPr>
            </w:pPr>
            <w:r w:rsidRPr="003A3D37">
              <w:rPr>
                <w:rFonts w:ascii="Calibri" w:eastAsia="Times New Roman" w:hAnsi="Calibri" w:cs="Calibri"/>
                <w:color w:val="000000"/>
                <w:sz w:val="24"/>
                <w:szCs w:val="24"/>
              </w:rPr>
              <w:t>Investors</w:t>
            </w:r>
          </w:p>
        </w:tc>
        <w:tc>
          <w:tcPr>
            <w:tcW w:w="0" w:type="auto"/>
            <w:hideMark/>
          </w:tcPr>
          <w:p w14:paraId="66B6334C" w14:textId="77777777" w:rsidR="003A3D37" w:rsidRPr="003A3D37" w:rsidRDefault="003A3D37" w:rsidP="003A3D37">
            <w:pPr>
              <w:spacing w:line="360"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4"/>
                <w:szCs w:val="24"/>
              </w:rPr>
            </w:pPr>
            <w:r w:rsidRPr="003A3D37">
              <w:rPr>
                <w:rFonts w:ascii="Calibri" w:eastAsia="Times New Roman" w:hAnsi="Calibri" w:cs="Calibri"/>
                <w:color w:val="000000"/>
                <w:sz w:val="24"/>
                <w:szCs w:val="24"/>
              </w:rPr>
              <w:t>Drive ESG integration and risk disclosure</w:t>
            </w:r>
          </w:p>
        </w:tc>
      </w:tr>
      <w:tr w:rsidR="003A3D37" w:rsidRPr="003A3D37" w14:paraId="0933AAC6" w14:textId="77777777" w:rsidTr="00373CA8">
        <w:trPr>
          <w:cnfStyle w:val="000000100000" w:firstRow="0" w:lastRow="0" w:firstColumn="0" w:lastColumn="0" w:oddVBand="0" w:evenVBand="0" w:oddHBand="1" w:evenHBand="0" w:firstRowFirstColumn="0" w:firstRowLastColumn="0" w:lastRowFirstColumn="0" w:lastRowLastColumn="0"/>
          <w:trHeight w:val="274"/>
        </w:trPr>
        <w:tc>
          <w:tcPr>
            <w:cnfStyle w:val="001000000000" w:firstRow="0" w:lastRow="0" w:firstColumn="1" w:lastColumn="0" w:oddVBand="0" w:evenVBand="0" w:oddHBand="0" w:evenHBand="0" w:firstRowFirstColumn="0" w:firstRowLastColumn="0" w:lastRowFirstColumn="0" w:lastRowLastColumn="0"/>
            <w:tcW w:w="0" w:type="auto"/>
            <w:hideMark/>
          </w:tcPr>
          <w:p w14:paraId="470D43A2" w14:textId="77777777" w:rsidR="003A3D37" w:rsidRPr="003A3D37" w:rsidRDefault="003A3D37" w:rsidP="003A3D37">
            <w:pPr>
              <w:spacing w:line="360" w:lineRule="auto"/>
              <w:rPr>
                <w:rFonts w:ascii="Calibri" w:eastAsia="Times New Roman" w:hAnsi="Calibri" w:cs="Calibri"/>
                <w:color w:val="000000"/>
                <w:sz w:val="24"/>
                <w:szCs w:val="24"/>
              </w:rPr>
            </w:pPr>
            <w:r w:rsidRPr="003A3D37">
              <w:rPr>
                <w:rFonts w:ascii="Calibri" w:eastAsia="Times New Roman" w:hAnsi="Calibri" w:cs="Calibri"/>
                <w:color w:val="000000"/>
                <w:sz w:val="24"/>
                <w:szCs w:val="24"/>
              </w:rPr>
              <w:t>Suppliers</w:t>
            </w:r>
          </w:p>
        </w:tc>
        <w:tc>
          <w:tcPr>
            <w:tcW w:w="0" w:type="auto"/>
            <w:hideMark/>
          </w:tcPr>
          <w:p w14:paraId="62E869E7" w14:textId="77777777" w:rsidR="003A3D37" w:rsidRPr="003A3D37" w:rsidRDefault="003A3D37" w:rsidP="003A3D37">
            <w:pPr>
              <w:spacing w:line="360"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4"/>
                <w:szCs w:val="24"/>
              </w:rPr>
            </w:pPr>
            <w:r w:rsidRPr="003A3D37">
              <w:rPr>
                <w:rFonts w:ascii="Calibri" w:eastAsia="Times New Roman" w:hAnsi="Calibri" w:cs="Calibri"/>
                <w:color w:val="000000"/>
                <w:sz w:val="24"/>
                <w:szCs w:val="24"/>
              </w:rPr>
              <w:t>Impact Scope 3 emissions through compliance</w:t>
            </w:r>
          </w:p>
        </w:tc>
      </w:tr>
      <w:tr w:rsidR="003A3D37" w:rsidRPr="003A3D37" w14:paraId="0B4B714F" w14:textId="77777777" w:rsidTr="00373CA8">
        <w:trPr>
          <w:trHeight w:val="274"/>
        </w:trPr>
        <w:tc>
          <w:tcPr>
            <w:cnfStyle w:val="001000000000" w:firstRow="0" w:lastRow="0" w:firstColumn="1" w:lastColumn="0" w:oddVBand="0" w:evenVBand="0" w:oddHBand="0" w:evenHBand="0" w:firstRowFirstColumn="0" w:firstRowLastColumn="0" w:lastRowFirstColumn="0" w:lastRowLastColumn="0"/>
            <w:tcW w:w="0" w:type="auto"/>
            <w:hideMark/>
          </w:tcPr>
          <w:p w14:paraId="1E2B17F8" w14:textId="77777777" w:rsidR="003A3D37" w:rsidRPr="003A3D37" w:rsidRDefault="003A3D37" w:rsidP="003A3D37">
            <w:pPr>
              <w:spacing w:line="360" w:lineRule="auto"/>
              <w:rPr>
                <w:rFonts w:ascii="Calibri" w:eastAsia="Times New Roman" w:hAnsi="Calibri" w:cs="Calibri"/>
                <w:color w:val="000000"/>
                <w:sz w:val="24"/>
                <w:szCs w:val="24"/>
              </w:rPr>
            </w:pPr>
            <w:r w:rsidRPr="003A3D37">
              <w:rPr>
                <w:rFonts w:ascii="Calibri" w:eastAsia="Times New Roman" w:hAnsi="Calibri" w:cs="Calibri"/>
                <w:color w:val="000000"/>
                <w:sz w:val="24"/>
                <w:szCs w:val="24"/>
              </w:rPr>
              <w:t>Regulators</w:t>
            </w:r>
          </w:p>
        </w:tc>
        <w:tc>
          <w:tcPr>
            <w:tcW w:w="0" w:type="auto"/>
            <w:hideMark/>
          </w:tcPr>
          <w:p w14:paraId="764334BF" w14:textId="77777777" w:rsidR="003A3D37" w:rsidRPr="003A3D37" w:rsidRDefault="003A3D37" w:rsidP="003A3D37">
            <w:pPr>
              <w:spacing w:line="360"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4"/>
                <w:szCs w:val="24"/>
              </w:rPr>
            </w:pPr>
            <w:r w:rsidRPr="003A3D37">
              <w:rPr>
                <w:rFonts w:ascii="Calibri" w:eastAsia="Times New Roman" w:hAnsi="Calibri" w:cs="Calibri"/>
                <w:color w:val="000000"/>
                <w:sz w:val="24"/>
                <w:szCs w:val="24"/>
              </w:rPr>
              <w:t>Set mandatory climate reporting and waste targets</w:t>
            </w:r>
          </w:p>
        </w:tc>
      </w:tr>
    </w:tbl>
    <w:p w14:paraId="2EAE1B48" w14:textId="77777777" w:rsidR="001906E5" w:rsidRDefault="001906E5" w:rsidP="003A3D37">
      <w:pPr>
        <w:spacing w:after="0" w:line="360" w:lineRule="auto"/>
        <w:jc w:val="both"/>
        <w:rPr>
          <w:rFonts w:ascii="Calibri" w:eastAsia="Times New Roman" w:hAnsi="Calibri" w:cs="Calibri"/>
          <w:color w:val="000000"/>
          <w:sz w:val="24"/>
          <w:szCs w:val="24"/>
          <w:lang w:val="en-US"/>
        </w:rPr>
      </w:pPr>
    </w:p>
    <w:p w14:paraId="19F17642" w14:textId="5F527274" w:rsidR="001906E5" w:rsidRPr="003A3D37" w:rsidRDefault="003A3D37" w:rsidP="003A3D37">
      <w:pPr>
        <w:spacing w:after="0" w:line="360" w:lineRule="auto"/>
        <w:jc w:val="both"/>
        <w:rPr>
          <w:rFonts w:ascii="Calibri" w:eastAsia="Times New Roman" w:hAnsi="Calibri" w:cs="Calibri"/>
          <w:color w:val="000000"/>
          <w:sz w:val="24"/>
          <w:szCs w:val="24"/>
          <w:lang w:val="en-US"/>
        </w:rPr>
      </w:pPr>
      <w:r w:rsidRPr="003A3D37">
        <w:rPr>
          <w:rFonts w:ascii="Calibri" w:eastAsia="Times New Roman" w:hAnsi="Calibri" w:cs="Calibri"/>
          <w:color w:val="000000"/>
          <w:sz w:val="24"/>
          <w:szCs w:val="24"/>
          <w:lang w:val="en-US"/>
        </w:rPr>
        <w:t xml:space="preserve">M&amp;S externally has a complicated landscape of relationships with its stakeholders, whose expectations can have a large impact on its climate policy (Razzak, 2023). Consumers are also demanding greener products and fresh supply chains, and investors are pressing WonderMasks with ESG investment principles, which demand transparency and a clear risk-mitigation strategy. Acts of regulation like that of UK and EU actors through regulatory bodies have introduced panel standards of accountability like Extended Producer Responsibility (EPR), through which conformance becomes solidified. This external dynamic is reflected in the works by Patrucco et al. (2025) and Thien and Hung (2023) who put a heavy stake on the aspect of institutional innovation, which enhances a better sense of accountability with environmental matters for the people and corporate entities. </w:t>
      </w:r>
    </w:p>
    <w:p w14:paraId="79D44BFA" w14:textId="77777777" w:rsidR="003A3D37" w:rsidRPr="003A3D37" w:rsidRDefault="003A3D37" w:rsidP="003A3D37">
      <w:pPr>
        <w:keepNext/>
        <w:spacing w:after="0" w:line="360" w:lineRule="auto"/>
        <w:rPr>
          <w:rFonts w:ascii="Calibri" w:eastAsia="Calibri" w:hAnsi="Calibri" w:cs="Calibri"/>
          <w:i/>
          <w:iCs/>
          <w:color w:val="000000"/>
          <w:sz w:val="24"/>
          <w:szCs w:val="24"/>
          <w:lang w:val="en-US"/>
        </w:rPr>
      </w:pPr>
      <w:bookmarkStart w:id="12" w:name="_Toc203776804"/>
      <w:r w:rsidRPr="003A3D37">
        <w:rPr>
          <w:rFonts w:ascii="Calibri" w:eastAsia="Calibri" w:hAnsi="Calibri" w:cs="Calibri"/>
          <w:i/>
          <w:iCs/>
          <w:color w:val="000000"/>
          <w:sz w:val="24"/>
          <w:szCs w:val="24"/>
          <w:lang w:val="en-US"/>
        </w:rPr>
        <w:t xml:space="preserve">Table </w:t>
      </w:r>
      <w:r w:rsidRPr="003A3D37">
        <w:rPr>
          <w:rFonts w:ascii="Calibri" w:eastAsia="Calibri" w:hAnsi="Calibri" w:cs="Calibri"/>
          <w:i/>
          <w:iCs/>
          <w:color w:val="000000"/>
          <w:sz w:val="24"/>
          <w:szCs w:val="24"/>
          <w:lang w:val="en-US"/>
        </w:rPr>
        <w:fldChar w:fldCharType="begin"/>
      </w:r>
      <w:r w:rsidRPr="003A3D37">
        <w:rPr>
          <w:rFonts w:ascii="Calibri" w:eastAsia="Calibri" w:hAnsi="Calibri" w:cs="Calibri"/>
          <w:i/>
          <w:iCs/>
          <w:color w:val="000000"/>
          <w:sz w:val="24"/>
          <w:szCs w:val="24"/>
          <w:lang w:val="en-US"/>
        </w:rPr>
        <w:instrText xml:space="preserve"> SEQ Table \* ARABIC </w:instrText>
      </w:r>
      <w:r w:rsidRPr="003A3D37">
        <w:rPr>
          <w:rFonts w:ascii="Calibri" w:eastAsia="Calibri" w:hAnsi="Calibri" w:cs="Calibri"/>
          <w:i/>
          <w:iCs/>
          <w:color w:val="000000"/>
          <w:sz w:val="24"/>
          <w:szCs w:val="24"/>
          <w:lang w:val="en-US"/>
        </w:rPr>
        <w:fldChar w:fldCharType="separate"/>
      </w:r>
      <w:r w:rsidRPr="003A3D37">
        <w:rPr>
          <w:rFonts w:ascii="Calibri" w:eastAsia="Calibri" w:hAnsi="Calibri" w:cs="Calibri"/>
          <w:i/>
          <w:iCs/>
          <w:noProof/>
          <w:color w:val="000000"/>
          <w:sz w:val="24"/>
          <w:szCs w:val="24"/>
          <w:lang w:val="en-US"/>
        </w:rPr>
        <w:t>6</w:t>
      </w:r>
      <w:r w:rsidRPr="003A3D37">
        <w:rPr>
          <w:rFonts w:ascii="Calibri" w:eastAsia="Calibri" w:hAnsi="Calibri" w:cs="Calibri"/>
          <w:i/>
          <w:iCs/>
          <w:color w:val="000000"/>
          <w:sz w:val="24"/>
          <w:szCs w:val="24"/>
          <w:lang w:val="en-US"/>
        </w:rPr>
        <w:fldChar w:fldCharType="end"/>
      </w:r>
      <w:r w:rsidRPr="003A3D37">
        <w:rPr>
          <w:rFonts w:ascii="Calibri" w:eastAsia="Calibri" w:hAnsi="Calibri" w:cs="Calibri"/>
          <w:i/>
          <w:iCs/>
          <w:color w:val="000000"/>
          <w:sz w:val="24"/>
          <w:szCs w:val="24"/>
          <w:lang w:val="en-US"/>
        </w:rPr>
        <w:t xml:space="preserve"> Mendelow Power-Interest Matrix for M&amp;S Climate Strategy</w:t>
      </w:r>
      <w:bookmarkEnd w:id="12"/>
      <w:r w:rsidRPr="003A3D37">
        <w:rPr>
          <w:rFonts w:ascii="Calibri" w:eastAsia="Calibri" w:hAnsi="Calibri" w:cs="Calibri"/>
          <w:i/>
          <w:iCs/>
          <w:color w:val="000000"/>
          <w:sz w:val="24"/>
          <w:szCs w:val="24"/>
          <w:lang w:val="en-US"/>
        </w:rPr>
        <w:t xml:space="preserve"> </w:t>
      </w:r>
    </w:p>
    <w:tbl>
      <w:tblPr>
        <w:tblStyle w:val="GridTable5Dark-Accent51"/>
        <w:tblW w:w="9267" w:type="dxa"/>
        <w:tblLook w:val="04A0" w:firstRow="1" w:lastRow="0" w:firstColumn="1" w:lastColumn="0" w:noHBand="0" w:noVBand="1"/>
      </w:tblPr>
      <w:tblGrid>
        <w:gridCol w:w="1897"/>
        <w:gridCol w:w="1391"/>
        <w:gridCol w:w="1391"/>
        <w:gridCol w:w="4588"/>
      </w:tblGrid>
      <w:tr w:rsidR="003A3D37" w:rsidRPr="003A3D37" w14:paraId="02ADD0EB" w14:textId="77777777" w:rsidTr="00373CA8">
        <w:trPr>
          <w:cnfStyle w:val="100000000000" w:firstRow="1" w:lastRow="0" w:firstColumn="0" w:lastColumn="0" w:oddVBand="0" w:evenVBand="0" w:oddHBand="0" w:evenHBand="0" w:firstRowFirstColumn="0" w:firstRowLastColumn="0" w:lastRowFirstColumn="0" w:lastRowLastColumn="0"/>
          <w:trHeight w:val="286"/>
        </w:trPr>
        <w:tc>
          <w:tcPr>
            <w:cnfStyle w:val="001000000000" w:firstRow="0" w:lastRow="0" w:firstColumn="1" w:lastColumn="0" w:oddVBand="0" w:evenVBand="0" w:oddHBand="0" w:evenHBand="0" w:firstRowFirstColumn="0" w:firstRowLastColumn="0" w:lastRowFirstColumn="0" w:lastRowLastColumn="0"/>
            <w:tcW w:w="0" w:type="auto"/>
            <w:hideMark/>
          </w:tcPr>
          <w:p w14:paraId="6073BDF7" w14:textId="77777777" w:rsidR="003A3D37" w:rsidRPr="003A3D37" w:rsidRDefault="003A3D37" w:rsidP="003A3D37">
            <w:pPr>
              <w:spacing w:line="360" w:lineRule="auto"/>
              <w:jc w:val="center"/>
              <w:rPr>
                <w:rFonts w:ascii="Calibri" w:eastAsia="Times New Roman" w:hAnsi="Calibri" w:cs="Calibri"/>
                <w:color w:val="000000"/>
                <w:sz w:val="24"/>
                <w:szCs w:val="24"/>
              </w:rPr>
            </w:pPr>
            <w:r w:rsidRPr="003A3D37">
              <w:rPr>
                <w:rFonts w:ascii="Calibri" w:eastAsia="Times New Roman" w:hAnsi="Calibri" w:cs="Calibri"/>
                <w:color w:val="000000"/>
                <w:sz w:val="24"/>
                <w:szCs w:val="24"/>
              </w:rPr>
              <w:t>Stakeholder</w:t>
            </w:r>
          </w:p>
        </w:tc>
        <w:tc>
          <w:tcPr>
            <w:tcW w:w="0" w:type="auto"/>
            <w:hideMark/>
          </w:tcPr>
          <w:p w14:paraId="534B8838" w14:textId="77777777" w:rsidR="003A3D37" w:rsidRPr="003A3D37" w:rsidRDefault="003A3D37" w:rsidP="003A3D37">
            <w:pPr>
              <w:spacing w:line="360" w:lineRule="auto"/>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sz w:val="24"/>
                <w:szCs w:val="24"/>
              </w:rPr>
            </w:pPr>
            <w:r w:rsidRPr="003A3D37">
              <w:rPr>
                <w:rFonts w:ascii="Calibri" w:eastAsia="Times New Roman" w:hAnsi="Calibri" w:cs="Calibri"/>
                <w:color w:val="000000"/>
                <w:sz w:val="24"/>
                <w:szCs w:val="24"/>
              </w:rPr>
              <w:t>Power</w:t>
            </w:r>
          </w:p>
        </w:tc>
        <w:tc>
          <w:tcPr>
            <w:tcW w:w="0" w:type="auto"/>
            <w:hideMark/>
          </w:tcPr>
          <w:p w14:paraId="13B59DDE" w14:textId="77777777" w:rsidR="003A3D37" w:rsidRPr="003A3D37" w:rsidRDefault="003A3D37" w:rsidP="003A3D37">
            <w:pPr>
              <w:spacing w:line="360" w:lineRule="auto"/>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sz w:val="24"/>
                <w:szCs w:val="24"/>
              </w:rPr>
            </w:pPr>
            <w:r w:rsidRPr="003A3D37">
              <w:rPr>
                <w:rFonts w:ascii="Calibri" w:eastAsia="Times New Roman" w:hAnsi="Calibri" w:cs="Calibri"/>
                <w:color w:val="000000"/>
                <w:sz w:val="24"/>
                <w:szCs w:val="24"/>
              </w:rPr>
              <w:t>Interest</w:t>
            </w:r>
          </w:p>
        </w:tc>
        <w:tc>
          <w:tcPr>
            <w:tcW w:w="0" w:type="auto"/>
            <w:hideMark/>
          </w:tcPr>
          <w:p w14:paraId="3976191A" w14:textId="77777777" w:rsidR="003A3D37" w:rsidRPr="003A3D37" w:rsidRDefault="003A3D37" w:rsidP="003A3D37">
            <w:pPr>
              <w:spacing w:line="360" w:lineRule="auto"/>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sz w:val="24"/>
                <w:szCs w:val="24"/>
              </w:rPr>
            </w:pPr>
            <w:r w:rsidRPr="003A3D37">
              <w:rPr>
                <w:rFonts w:ascii="Calibri" w:eastAsia="Times New Roman" w:hAnsi="Calibri" w:cs="Calibri"/>
                <w:color w:val="000000"/>
                <w:sz w:val="24"/>
                <w:szCs w:val="24"/>
              </w:rPr>
              <w:t>Positioning Strategy</w:t>
            </w:r>
          </w:p>
        </w:tc>
      </w:tr>
      <w:tr w:rsidR="003A3D37" w:rsidRPr="003A3D37" w14:paraId="5744523B" w14:textId="77777777" w:rsidTr="00373CA8">
        <w:trPr>
          <w:cnfStyle w:val="000000100000" w:firstRow="0" w:lastRow="0" w:firstColumn="0" w:lastColumn="0" w:oddVBand="0" w:evenVBand="0" w:oddHBand="1" w:evenHBand="0" w:firstRowFirstColumn="0" w:firstRowLastColumn="0" w:lastRowFirstColumn="0" w:lastRowLastColumn="0"/>
          <w:trHeight w:val="286"/>
        </w:trPr>
        <w:tc>
          <w:tcPr>
            <w:cnfStyle w:val="001000000000" w:firstRow="0" w:lastRow="0" w:firstColumn="1" w:lastColumn="0" w:oddVBand="0" w:evenVBand="0" w:oddHBand="0" w:evenHBand="0" w:firstRowFirstColumn="0" w:firstRowLastColumn="0" w:lastRowFirstColumn="0" w:lastRowLastColumn="0"/>
            <w:tcW w:w="0" w:type="auto"/>
            <w:hideMark/>
          </w:tcPr>
          <w:p w14:paraId="61346C02" w14:textId="77777777" w:rsidR="003A3D37" w:rsidRPr="003A3D37" w:rsidRDefault="003A3D37" w:rsidP="003A3D37">
            <w:pPr>
              <w:spacing w:line="360" w:lineRule="auto"/>
              <w:rPr>
                <w:rFonts w:ascii="Calibri" w:eastAsia="Times New Roman" w:hAnsi="Calibri" w:cs="Calibri"/>
                <w:color w:val="000000"/>
                <w:sz w:val="24"/>
                <w:szCs w:val="24"/>
              </w:rPr>
            </w:pPr>
            <w:r w:rsidRPr="003A3D37">
              <w:rPr>
                <w:rFonts w:ascii="Calibri" w:eastAsia="Times New Roman" w:hAnsi="Calibri" w:cs="Calibri"/>
                <w:color w:val="000000"/>
                <w:sz w:val="24"/>
                <w:szCs w:val="24"/>
              </w:rPr>
              <w:t>Investors</w:t>
            </w:r>
          </w:p>
        </w:tc>
        <w:tc>
          <w:tcPr>
            <w:tcW w:w="0" w:type="auto"/>
            <w:hideMark/>
          </w:tcPr>
          <w:p w14:paraId="3320821D" w14:textId="77777777" w:rsidR="003A3D37" w:rsidRPr="003A3D37" w:rsidRDefault="003A3D37" w:rsidP="003A3D37">
            <w:pPr>
              <w:spacing w:line="360"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4"/>
                <w:szCs w:val="24"/>
              </w:rPr>
            </w:pPr>
            <w:r w:rsidRPr="003A3D37">
              <w:rPr>
                <w:rFonts w:ascii="Calibri" w:eastAsia="Times New Roman" w:hAnsi="Calibri" w:cs="Calibri"/>
                <w:color w:val="000000"/>
                <w:sz w:val="24"/>
                <w:szCs w:val="24"/>
              </w:rPr>
              <w:t>High</w:t>
            </w:r>
          </w:p>
        </w:tc>
        <w:tc>
          <w:tcPr>
            <w:tcW w:w="0" w:type="auto"/>
            <w:hideMark/>
          </w:tcPr>
          <w:p w14:paraId="012C66E9" w14:textId="77777777" w:rsidR="003A3D37" w:rsidRPr="003A3D37" w:rsidRDefault="003A3D37" w:rsidP="003A3D37">
            <w:pPr>
              <w:spacing w:line="360"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4"/>
                <w:szCs w:val="24"/>
              </w:rPr>
            </w:pPr>
            <w:r w:rsidRPr="003A3D37">
              <w:rPr>
                <w:rFonts w:ascii="Calibri" w:eastAsia="Times New Roman" w:hAnsi="Calibri" w:cs="Calibri"/>
                <w:color w:val="000000"/>
                <w:sz w:val="24"/>
                <w:szCs w:val="24"/>
              </w:rPr>
              <w:t>High</w:t>
            </w:r>
          </w:p>
        </w:tc>
        <w:tc>
          <w:tcPr>
            <w:tcW w:w="0" w:type="auto"/>
            <w:hideMark/>
          </w:tcPr>
          <w:p w14:paraId="1F7499FD" w14:textId="77777777" w:rsidR="003A3D37" w:rsidRPr="003A3D37" w:rsidRDefault="003A3D37" w:rsidP="003A3D37">
            <w:pPr>
              <w:spacing w:line="360"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4"/>
                <w:szCs w:val="24"/>
              </w:rPr>
            </w:pPr>
            <w:r w:rsidRPr="003A3D37">
              <w:rPr>
                <w:rFonts w:ascii="Calibri" w:eastAsia="Times New Roman" w:hAnsi="Calibri" w:cs="Calibri"/>
                <w:color w:val="000000"/>
                <w:sz w:val="24"/>
                <w:szCs w:val="24"/>
              </w:rPr>
              <w:t>Manage closely</w:t>
            </w:r>
          </w:p>
        </w:tc>
      </w:tr>
      <w:tr w:rsidR="003A3D37" w:rsidRPr="003A3D37" w14:paraId="683280EA" w14:textId="77777777" w:rsidTr="00373CA8">
        <w:trPr>
          <w:trHeight w:val="286"/>
        </w:trPr>
        <w:tc>
          <w:tcPr>
            <w:cnfStyle w:val="001000000000" w:firstRow="0" w:lastRow="0" w:firstColumn="1" w:lastColumn="0" w:oddVBand="0" w:evenVBand="0" w:oddHBand="0" w:evenHBand="0" w:firstRowFirstColumn="0" w:firstRowLastColumn="0" w:lastRowFirstColumn="0" w:lastRowLastColumn="0"/>
            <w:tcW w:w="0" w:type="auto"/>
            <w:hideMark/>
          </w:tcPr>
          <w:p w14:paraId="7313862C" w14:textId="77777777" w:rsidR="003A3D37" w:rsidRPr="003A3D37" w:rsidRDefault="003A3D37" w:rsidP="003A3D37">
            <w:pPr>
              <w:spacing w:line="360" w:lineRule="auto"/>
              <w:rPr>
                <w:rFonts w:ascii="Calibri" w:eastAsia="Times New Roman" w:hAnsi="Calibri" w:cs="Calibri"/>
                <w:color w:val="000000"/>
                <w:sz w:val="24"/>
                <w:szCs w:val="24"/>
              </w:rPr>
            </w:pPr>
            <w:r w:rsidRPr="003A3D37">
              <w:rPr>
                <w:rFonts w:ascii="Calibri" w:eastAsia="Times New Roman" w:hAnsi="Calibri" w:cs="Calibri"/>
                <w:color w:val="000000"/>
                <w:sz w:val="24"/>
                <w:szCs w:val="24"/>
              </w:rPr>
              <w:t>Regulators</w:t>
            </w:r>
          </w:p>
        </w:tc>
        <w:tc>
          <w:tcPr>
            <w:tcW w:w="0" w:type="auto"/>
            <w:hideMark/>
          </w:tcPr>
          <w:p w14:paraId="4F0F3B52" w14:textId="77777777" w:rsidR="003A3D37" w:rsidRPr="003A3D37" w:rsidRDefault="003A3D37" w:rsidP="003A3D37">
            <w:pPr>
              <w:spacing w:line="360"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4"/>
                <w:szCs w:val="24"/>
              </w:rPr>
            </w:pPr>
            <w:r w:rsidRPr="003A3D37">
              <w:rPr>
                <w:rFonts w:ascii="Calibri" w:eastAsia="Times New Roman" w:hAnsi="Calibri" w:cs="Calibri"/>
                <w:color w:val="000000"/>
                <w:sz w:val="24"/>
                <w:szCs w:val="24"/>
              </w:rPr>
              <w:t>High</w:t>
            </w:r>
          </w:p>
        </w:tc>
        <w:tc>
          <w:tcPr>
            <w:tcW w:w="0" w:type="auto"/>
            <w:hideMark/>
          </w:tcPr>
          <w:p w14:paraId="1663A404" w14:textId="77777777" w:rsidR="003A3D37" w:rsidRPr="003A3D37" w:rsidRDefault="003A3D37" w:rsidP="003A3D37">
            <w:pPr>
              <w:spacing w:line="360"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4"/>
                <w:szCs w:val="24"/>
              </w:rPr>
            </w:pPr>
            <w:r w:rsidRPr="003A3D37">
              <w:rPr>
                <w:rFonts w:ascii="Calibri" w:eastAsia="Times New Roman" w:hAnsi="Calibri" w:cs="Calibri"/>
                <w:color w:val="000000"/>
                <w:sz w:val="24"/>
                <w:szCs w:val="24"/>
              </w:rPr>
              <w:t>Medium</w:t>
            </w:r>
          </w:p>
        </w:tc>
        <w:tc>
          <w:tcPr>
            <w:tcW w:w="0" w:type="auto"/>
            <w:hideMark/>
          </w:tcPr>
          <w:p w14:paraId="0797DE29" w14:textId="77777777" w:rsidR="003A3D37" w:rsidRPr="003A3D37" w:rsidRDefault="003A3D37" w:rsidP="003A3D37">
            <w:pPr>
              <w:spacing w:line="360"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4"/>
                <w:szCs w:val="24"/>
              </w:rPr>
            </w:pPr>
            <w:r w:rsidRPr="003A3D37">
              <w:rPr>
                <w:rFonts w:ascii="Calibri" w:eastAsia="Times New Roman" w:hAnsi="Calibri" w:cs="Calibri"/>
                <w:color w:val="000000"/>
                <w:sz w:val="24"/>
                <w:szCs w:val="24"/>
              </w:rPr>
              <w:t>Keep satisfied</w:t>
            </w:r>
          </w:p>
        </w:tc>
      </w:tr>
      <w:tr w:rsidR="003A3D37" w:rsidRPr="003A3D37" w14:paraId="785603A9" w14:textId="77777777" w:rsidTr="00373CA8">
        <w:trPr>
          <w:cnfStyle w:val="000000100000" w:firstRow="0" w:lastRow="0" w:firstColumn="0" w:lastColumn="0" w:oddVBand="0" w:evenVBand="0" w:oddHBand="1" w:evenHBand="0" w:firstRowFirstColumn="0" w:firstRowLastColumn="0" w:lastRowFirstColumn="0" w:lastRowLastColumn="0"/>
          <w:trHeight w:val="286"/>
        </w:trPr>
        <w:tc>
          <w:tcPr>
            <w:cnfStyle w:val="001000000000" w:firstRow="0" w:lastRow="0" w:firstColumn="1" w:lastColumn="0" w:oddVBand="0" w:evenVBand="0" w:oddHBand="0" w:evenHBand="0" w:firstRowFirstColumn="0" w:firstRowLastColumn="0" w:lastRowFirstColumn="0" w:lastRowLastColumn="0"/>
            <w:tcW w:w="0" w:type="auto"/>
            <w:hideMark/>
          </w:tcPr>
          <w:p w14:paraId="74888FC9" w14:textId="77777777" w:rsidR="003A3D37" w:rsidRPr="003A3D37" w:rsidRDefault="003A3D37" w:rsidP="003A3D37">
            <w:pPr>
              <w:spacing w:line="360" w:lineRule="auto"/>
              <w:rPr>
                <w:rFonts w:ascii="Calibri" w:eastAsia="Times New Roman" w:hAnsi="Calibri" w:cs="Calibri"/>
                <w:color w:val="000000"/>
                <w:sz w:val="24"/>
                <w:szCs w:val="24"/>
              </w:rPr>
            </w:pPr>
            <w:r w:rsidRPr="003A3D37">
              <w:rPr>
                <w:rFonts w:ascii="Calibri" w:eastAsia="Times New Roman" w:hAnsi="Calibri" w:cs="Calibri"/>
                <w:color w:val="000000"/>
                <w:sz w:val="24"/>
                <w:szCs w:val="24"/>
              </w:rPr>
              <w:t>Employees</w:t>
            </w:r>
          </w:p>
        </w:tc>
        <w:tc>
          <w:tcPr>
            <w:tcW w:w="0" w:type="auto"/>
            <w:hideMark/>
          </w:tcPr>
          <w:p w14:paraId="3600F8BF" w14:textId="77777777" w:rsidR="003A3D37" w:rsidRPr="003A3D37" w:rsidRDefault="003A3D37" w:rsidP="003A3D37">
            <w:pPr>
              <w:spacing w:line="360"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4"/>
                <w:szCs w:val="24"/>
              </w:rPr>
            </w:pPr>
            <w:r w:rsidRPr="003A3D37">
              <w:rPr>
                <w:rFonts w:ascii="Calibri" w:eastAsia="Times New Roman" w:hAnsi="Calibri" w:cs="Calibri"/>
                <w:color w:val="000000"/>
                <w:sz w:val="24"/>
                <w:szCs w:val="24"/>
              </w:rPr>
              <w:t>Medium</w:t>
            </w:r>
          </w:p>
        </w:tc>
        <w:tc>
          <w:tcPr>
            <w:tcW w:w="0" w:type="auto"/>
            <w:hideMark/>
          </w:tcPr>
          <w:p w14:paraId="5E53926C" w14:textId="77777777" w:rsidR="003A3D37" w:rsidRPr="003A3D37" w:rsidRDefault="003A3D37" w:rsidP="003A3D37">
            <w:pPr>
              <w:spacing w:line="360"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4"/>
                <w:szCs w:val="24"/>
              </w:rPr>
            </w:pPr>
            <w:r w:rsidRPr="003A3D37">
              <w:rPr>
                <w:rFonts w:ascii="Calibri" w:eastAsia="Times New Roman" w:hAnsi="Calibri" w:cs="Calibri"/>
                <w:color w:val="000000"/>
                <w:sz w:val="24"/>
                <w:szCs w:val="24"/>
              </w:rPr>
              <w:t>High</w:t>
            </w:r>
          </w:p>
        </w:tc>
        <w:tc>
          <w:tcPr>
            <w:tcW w:w="0" w:type="auto"/>
            <w:hideMark/>
          </w:tcPr>
          <w:p w14:paraId="47252DAC" w14:textId="77777777" w:rsidR="003A3D37" w:rsidRPr="003A3D37" w:rsidRDefault="003A3D37" w:rsidP="003A3D37">
            <w:pPr>
              <w:spacing w:line="360"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4"/>
                <w:szCs w:val="24"/>
              </w:rPr>
            </w:pPr>
            <w:r w:rsidRPr="003A3D37">
              <w:rPr>
                <w:rFonts w:ascii="Calibri" w:eastAsia="Times New Roman" w:hAnsi="Calibri" w:cs="Calibri"/>
                <w:color w:val="000000"/>
                <w:sz w:val="24"/>
                <w:szCs w:val="24"/>
              </w:rPr>
              <w:t>Keep informed</w:t>
            </w:r>
          </w:p>
        </w:tc>
      </w:tr>
      <w:tr w:rsidR="003A3D37" w:rsidRPr="003A3D37" w14:paraId="7896CBEE" w14:textId="77777777" w:rsidTr="00373CA8">
        <w:trPr>
          <w:trHeight w:val="286"/>
        </w:trPr>
        <w:tc>
          <w:tcPr>
            <w:cnfStyle w:val="001000000000" w:firstRow="0" w:lastRow="0" w:firstColumn="1" w:lastColumn="0" w:oddVBand="0" w:evenVBand="0" w:oddHBand="0" w:evenHBand="0" w:firstRowFirstColumn="0" w:firstRowLastColumn="0" w:lastRowFirstColumn="0" w:lastRowLastColumn="0"/>
            <w:tcW w:w="0" w:type="auto"/>
            <w:hideMark/>
          </w:tcPr>
          <w:p w14:paraId="16D764FB" w14:textId="77777777" w:rsidR="003A3D37" w:rsidRPr="003A3D37" w:rsidRDefault="003A3D37" w:rsidP="003A3D37">
            <w:pPr>
              <w:spacing w:line="360" w:lineRule="auto"/>
              <w:rPr>
                <w:rFonts w:ascii="Calibri" w:eastAsia="Times New Roman" w:hAnsi="Calibri" w:cs="Calibri"/>
                <w:color w:val="000000"/>
                <w:sz w:val="24"/>
                <w:szCs w:val="24"/>
              </w:rPr>
            </w:pPr>
            <w:r w:rsidRPr="003A3D37">
              <w:rPr>
                <w:rFonts w:ascii="Calibri" w:eastAsia="Times New Roman" w:hAnsi="Calibri" w:cs="Calibri"/>
                <w:color w:val="000000"/>
                <w:sz w:val="24"/>
                <w:szCs w:val="24"/>
              </w:rPr>
              <w:t>Customers</w:t>
            </w:r>
          </w:p>
        </w:tc>
        <w:tc>
          <w:tcPr>
            <w:tcW w:w="0" w:type="auto"/>
            <w:hideMark/>
          </w:tcPr>
          <w:p w14:paraId="6049AAF4" w14:textId="77777777" w:rsidR="003A3D37" w:rsidRPr="003A3D37" w:rsidRDefault="003A3D37" w:rsidP="003A3D37">
            <w:pPr>
              <w:spacing w:line="360"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4"/>
                <w:szCs w:val="24"/>
              </w:rPr>
            </w:pPr>
            <w:r w:rsidRPr="003A3D37">
              <w:rPr>
                <w:rFonts w:ascii="Calibri" w:eastAsia="Times New Roman" w:hAnsi="Calibri" w:cs="Calibri"/>
                <w:color w:val="000000"/>
                <w:sz w:val="24"/>
                <w:szCs w:val="24"/>
              </w:rPr>
              <w:t>Medium</w:t>
            </w:r>
          </w:p>
        </w:tc>
        <w:tc>
          <w:tcPr>
            <w:tcW w:w="0" w:type="auto"/>
            <w:hideMark/>
          </w:tcPr>
          <w:p w14:paraId="05302E35" w14:textId="77777777" w:rsidR="003A3D37" w:rsidRPr="003A3D37" w:rsidRDefault="003A3D37" w:rsidP="003A3D37">
            <w:pPr>
              <w:spacing w:line="360"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4"/>
                <w:szCs w:val="24"/>
              </w:rPr>
            </w:pPr>
            <w:r w:rsidRPr="003A3D37">
              <w:rPr>
                <w:rFonts w:ascii="Calibri" w:eastAsia="Times New Roman" w:hAnsi="Calibri" w:cs="Calibri"/>
                <w:color w:val="000000"/>
                <w:sz w:val="24"/>
                <w:szCs w:val="24"/>
              </w:rPr>
              <w:t>High</w:t>
            </w:r>
          </w:p>
        </w:tc>
        <w:tc>
          <w:tcPr>
            <w:tcW w:w="0" w:type="auto"/>
            <w:hideMark/>
          </w:tcPr>
          <w:p w14:paraId="24695962" w14:textId="77777777" w:rsidR="003A3D37" w:rsidRPr="003A3D37" w:rsidRDefault="003A3D37" w:rsidP="003A3D37">
            <w:pPr>
              <w:spacing w:line="360"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4"/>
                <w:szCs w:val="24"/>
              </w:rPr>
            </w:pPr>
            <w:r w:rsidRPr="003A3D37">
              <w:rPr>
                <w:rFonts w:ascii="Calibri" w:eastAsia="Times New Roman" w:hAnsi="Calibri" w:cs="Calibri"/>
                <w:color w:val="000000"/>
                <w:sz w:val="24"/>
                <w:szCs w:val="24"/>
              </w:rPr>
              <w:t>Engage and consult regularly</w:t>
            </w:r>
          </w:p>
        </w:tc>
      </w:tr>
      <w:tr w:rsidR="003A3D37" w:rsidRPr="003A3D37" w14:paraId="56D2A1EE" w14:textId="77777777" w:rsidTr="00373CA8">
        <w:trPr>
          <w:cnfStyle w:val="000000100000" w:firstRow="0" w:lastRow="0" w:firstColumn="0" w:lastColumn="0" w:oddVBand="0" w:evenVBand="0" w:oddHBand="1" w:evenHBand="0" w:firstRowFirstColumn="0" w:firstRowLastColumn="0" w:lastRowFirstColumn="0" w:lastRowLastColumn="0"/>
          <w:trHeight w:val="286"/>
        </w:trPr>
        <w:tc>
          <w:tcPr>
            <w:cnfStyle w:val="001000000000" w:firstRow="0" w:lastRow="0" w:firstColumn="1" w:lastColumn="0" w:oddVBand="0" w:evenVBand="0" w:oddHBand="0" w:evenHBand="0" w:firstRowFirstColumn="0" w:firstRowLastColumn="0" w:lastRowFirstColumn="0" w:lastRowLastColumn="0"/>
            <w:tcW w:w="0" w:type="auto"/>
            <w:hideMark/>
          </w:tcPr>
          <w:p w14:paraId="4C1A66AA" w14:textId="77777777" w:rsidR="003A3D37" w:rsidRPr="003A3D37" w:rsidRDefault="003A3D37" w:rsidP="003A3D37">
            <w:pPr>
              <w:spacing w:line="360" w:lineRule="auto"/>
              <w:rPr>
                <w:rFonts w:ascii="Calibri" w:eastAsia="Times New Roman" w:hAnsi="Calibri" w:cs="Calibri"/>
                <w:color w:val="000000"/>
                <w:sz w:val="24"/>
                <w:szCs w:val="24"/>
              </w:rPr>
            </w:pPr>
            <w:r w:rsidRPr="003A3D37">
              <w:rPr>
                <w:rFonts w:ascii="Calibri" w:eastAsia="Times New Roman" w:hAnsi="Calibri" w:cs="Calibri"/>
                <w:color w:val="000000"/>
                <w:sz w:val="24"/>
                <w:szCs w:val="24"/>
              </w:rPr>
              <w:t>Suppliers</w:t>
            </w:r>
          </w:p>
        </w:tc>
        <w:tc>
          <w:tcPr>
            <w:tcW w:w="0" w:type="auto"/>
            <w:hideMark/>
          </w:tcPr>
          <w:p w14:paraId="2BE175AE" w14:textId="77777777" w:rsidR="003A3D37" w:rsidRPr="003A3D37" w:rsidRDefault="003A3D37" w:rsidP="003A3D37">
            <w:pPr>
              <w:spacing w:line="360"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4"/>
                <w:szCs w:val="24"/>
              </w:rPr>
            </w:pPr>
            <w:r w:rsidRPr="003A3D37">
              <w:rPr>
                <w:rFonts w:ascii="Calibri" w:eastAsia="Times New Roman" w:hAnsi="Calibri" w:cs="Calibri"/>
                <w:color w:val="000000"/>
                <w:sz w:val="24"/>
                <w:szCs w:val="24"/>
              </w:rPr>
              <w:t>Low</w:t>
            </w:r>
          </w:p>
        </w:tc>
        <w:tc>
          <w:tcPr>
            <w:tcW w:w="0" w:type="auto"/>
            <w:hideMark/>
          </w:tcPr>
          <w:p w14:paraId="036C5999" w14:textId="77777777" w:rsidR="003A3D37" w:rsidRPr="003A3D37" w:rsidRDefault="003A3D37" w:rsidP="003A3D37">
            <w:pPr>
              <w:spacing w:line="360"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4"/>
                <w:szCs w:val="24"/>
              </w:rPr>
            </w:pPr>
            <w:r w:rsidRPr="003A3D37">
              <w:rPr>
                <w:rFonts w:ascii="Calibri" w:eastAsia="Times New Roman" w:hAnsi="Calibri" w:cs="Calibri"/>
                <w:color w:val="000000"/>
                <w:sz w:val="24"/>
                <w:szCs w:val="24"/>
              </w:rPr>
              <w:t>Medium</w:t>
            </w:r>
          </w:p>
        </w:tc>
        <w:tc>
          <w:tcPr>
            <w:tcW w:w="0" w:type="auto"/>
            <w:hideMark/>
          </w:tcPr>
          <w:p w14:paraId="6EB5FDB3" w14:textId="77777777" w:rsidR="003A3D37" w:rsidRPr="003A3D37" w:rsidRDefault="003A3D37" w:rsidP="003A3D37">
            <w:pPr>
              <w:spacing w:line="360"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4"/>
                <w:szCs w:val="24"/>
              </w:rPr>
            </w:pPr>
            <w:r w:rsidRPr="003A3D37">
              <w:rPr>
                <w:rFonts w:ascii="Calibri" w:eastAsia="Times New Roman" w:hAnsi="Calibri" w:cs="Calibri"/>
                <w:color w:val="000000"/>
                <w:sz w:val="24"/>
                <w:szCs w:val="24"/>
              </w:rPr>
              <w:t>Monitor and support compliance</w:t>
            </w:r>
          </w:p>
        </w:tc>
      </w:tr>
    </w:tbl>
    <w:p w14:paraId="699B027F" w14:textId="77777777" w:rsidR="003A3D37" w:rsidRDefault="003A3D37" w:rsidP="003A3D37">
      <w:pPr>
        <w:spacing w:after="0" w:line="360" w:lineRule="auto"/>
        <w:jc w:val="both"/>
        <w:rPr>
          <w:rFonts w:ascii="Calibri" w:eastAsia="Times New Roman" w:hAnsi="Calibri" w:cs="Calibri"/>
          <w:color w:val="000000"/>
          <w:sz w:val="24"/>
          <w:szCs w:val="24"/>
          <w:lang w:val="en-US"/>
        </w:rPr>
      </w:pPr>
      <w:r w:rsidRPr="003A3D37">
        <w:rPr>
          <w:rFonts w:ascii="Calibri" w:eastAsia="Times New Roman" w:hAnsi="Calibri" w:cs="Calibri"/>
          <w:color w:val="000000"/>
          <w:sz w:val="24"/>
          <w:szCs w:val="24"/>
          <w:lang w:val="en-US"/>
        </w:rPr>
        <w:lastRenderedPageBreak/>
        <w:t>M&amp;S has turned to the use of transparent reporting, regular consultations, and disclosures in line with SDG as part of the methods of ensuring these stakeholder expectations are met. Its communication plan consists of such initiatives as printing emissions reporting, waste audits, and supply chain reports as well as boosting credibility and sending a signal about being ready to follow the regulations. Such a practice will capture the significance of dynamic capabilities, as defined by Dejardin et al. (2023), in terms of external change responsiveness and in enhancing the ethical maturity of corporate governance.</w:t>
      </w:r>
    </w:p>
    <w:p w14:paraId="38D4DD54" w14:textId="77777777" w:rsidR="001906E5" w:rsidRPr="003A3D37" w:rsidRDefault="001906E5" w:rsidP="003A3D37">
      <w:pPr>
        <w:spacing w:after="0" w:line="360" w:lineRule="auto"/>
        <w:jc w:val="both"/>
        <w:rPr>
          <w:rFonts w:ascii="Calibri" w:eastAsia="Times New Roman" w:hAnsi="Calibri" w:cs="Calibri"/>
          <w:color w:val="000000"/>
          <w:sz w:val="24"/>
          <w:szCs w:val="24"/>
          <w:lang w:val="en-US"/>
        </w:rPr>
      </w:pPr>
    </w:p>
    <w:p w14:paraId="7ABBB692" w14:textId="4F36DD5F" w:rsidR="003A3D37" w:rsidRPr="003A3D37" w:rsidRDefault="001906E5" w:rsidP="003A3D37">
      <w:pPr>
        <w:keepNext/>
        <w:spacing w:after="0" w:line="360" w:lineRule="auto"/>
        <w:rPr>
          <w:rFonts w:ascii="Calibri" w:eastAsia="Calibri" w:hAnsi="Calibri" w:cs="Calibri"/>
          <w:i/>
          <w:iCs/>
          <w:color w:val="000000"/>
          <w:sz w:val="24"/>
          <w:szCs w:val="24"/>
          <w:lang w:val="en-US"/>
        </w:rPr>
      </w:pPr>
      <w:r>
        <w:rPr>
          <w:rFonts w:ascii="Calibri" w:eastAsia="Calibri" w:hAnsi="Calibri" w:cs="Calibri"/>
          <w:i/>
          <w:iCs/>
          <w:color w:val="000000"/>
          <w:sz w:val="24"/>
          <w:szCs w:val="24"/>
          <w:lang w:val="en-US"/>
        </w:rPr>
        <w:t xml:space="preserve">Table </w:t>
      </w:r>
      <w:r w:rsidR="003A3D37" w:rsidRPr="003A3D37">
        <w:rPr>
          <w:rFonts w:ascii="Calibri" w:eastAsia="Calibri" w:hAnsi="Calibri" w:cs="Calibri"/>
          <w:i/>
          <w:iCs/>
          <w:color w:val="000000"/>
          <w:sz w:val="24"/>
          <w:szCs w:val="24"/>
          <w:lang w:val="en-US"/>
        </w:rPr>
        <w:fldChar w:fldCharType="begin"/>
      </w:r>
      <w:r w:rsidR="003A3D37" w:rsidRPr="003A3D37">
        <w:rPr>
          <w:rFonts w:ascii="Calibri" w:eastAsia="Calibri" w:hAnsi="Calibri" w:cs="Calibri"/>
          <w:i/>
          <w:iCs/>
          <w:color w:val="000000"/>
          <w:sz w:val="24"/>
          <w:szCs w:val="24"/>
          <w:lang w:val="en-US"/>
        </w:rPr>
        <w:instrText xml:space="preserve"> SEQ Table \* ARABIC </w:instrText>
      </w:r>
      <w:r w:rsidR="003A3D37" w:rsidRPr="003A3D37">
        <w:rPr>
          <w:rFonts w:ascii="Calibri" w:eastAsia="Calibri" w:hAnsi="Calibri" w:cs="Calibri"/>
          <w:i/>
          <w:iCs/>
          <w:color w:val="000000"/>
          <w:sz w:val="24"/>
          <w:szCs w:val="24"/>
          <w:lang w:val="en-US"/>
        </w:rPr>
        <w:fldChar w:fldCharType="separate"/>
      </w:r>
      <w:bookmarkStart w:id="13" w:name="_Toc203776805"/>
      <w:r w:rsidR="003A3D37" w:rsidRPr="003A3D37">
        <w:rPr>
          <w:rFonts w:ascii="Calibri" w:eastAsia="Calibri" w:hAnsi="Calibri" w:cs="Calibri"/>
          <w:i/>
          <w:iCs/>
          <w:noProof/>
          <w:color w:val="000000"/>
          <w:sz w:val="24"/>
          <w:szCs w:val="24"/>
          <w:lang w:val="en-US"/>
        </w:rPr>
        <w:t>7</w:t>
      </w:r>
      <w:r w:rsidR="003A3D37" w:rsidRPr="003A3D37">
        <w:rPr>
          <w:rFonts w:ascii="Calibri" w:eastAsia="Calibri" w:hAnsi="Calibri" w:cs="Calibri"/>
          <w:i/>
          <w:iCs/>
          <w:color w:val="000000"/>
          <w:sz w:val="24"/>
          <w:szCs w:val="24"/>
          <w:lang w:val="en-US"/>
        </w:rPr>
        <w:fldChar w:fldCharType="end"/>
      </w:r>
      <w:r w:rsidR="003A3D37" w:rsidRPr="003A3D37">
        <w:rPr>
          <w:rFonts w:ascii="Calibri" w:eastAsia="Calibri" w:hAnsi="Calibri" w:cs="Calibri"/>
          <w:i/>
          <w:iCs/>
          <w:color w:val="000000"/>
          <w:sz w:val="24"/>
          <w:szCs w:val="24"/>
          <w:lang w:val="en-US"/>
        </w:rPr>
        <w:t xml:space="preserve"> Key Business Benefits of Climate Leadership at M&amp;</w:t>
      </w:r>
      <w:bookmarkEnd w:id="13"/>
    </w:p>
    <w:tbl>
      <w:tblPr>
        <w:tblStyle w:val="GridTable5Dark-Accent51"/>
        <w:tblW w:w="0" w:type="auto"/>
        <w:tblLook w:val="04A0" w:firstRow="1" w:lastRow="0" w:firstColumn="1" w:lastColumn="0" w:noHBand="0" w:noVBand="1"/>
      </w:tblPr>
      <w:tblGrid>
        <w:gridCol w:w="2517"/>
        <w:gridCol w:w="6833"/>
      </w:tblGrid>
      <w:tr w:rsidR="003A3D37" w:rsidRPr="003A3D37" w14:paraId="2796AF56" w14:textId="77777777" w:rsidTr="00373CA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E580996" w14:textId="77777777" w:rsidR="003A3D37" w:rsidRPr="003A3D37" w:rsidRDefault="003A3D37" w:rsidP="003A3D37">
            <w:pPr>
              <w:spacing w:line="360" w:lineRule="auto"/>
              <w:jc w:val="center"/>
              <w:rPr>
                <w:rFonts w:ascii="Calibri" w:eastAsia="Times New Roman" w:hAnsi="Calibri" w:cs="Calibri"/>
                <w:color w:val="000000"/>
                <w:sz w:val="24"/>
                <w:szCs w:val="24"/>
              </w:rPr>
            </w:pPr>
            <w:r w:rsidRPr="003A3D37">
              <w:rPr>
                <w:rFonts w:ascii="Calibri" w:eastAsia="Times New Roman" w:hAnsi="Calibri" w:cs="Calibri"/>
                <w:color w:val="000000"/>
                <w:sz w:val="24"/>
                <w:szCs w:val="24"/>
              </w:rPr>
              <w:t>Benefit Area</w:t>
            </w:r>
          </w:p>
        </w:tc>
        <w:tc>
          <w:tcPr>
            <w:tcW w:w="0" w:type="auto"/>
            <w:hideMark/>
          </w:tcPr>
          <w:p w14:paraId="62746D6C" w14:textId="77777777" w:rsidR="003A3D37" w:rsidRPr="003A3D37" w:rsidRDefault="003A3D37" w:rsidP="003A3D37">
            <w:pPr>
              <w:spacing w:line="360" w:lineRule="auto"/>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sz w:val="24"/>
                <w:szCs w:val="24"/>
              </w:rPr>
            </w:pPr>
            <w:r w:rsidRPr="003A3D37">
              <w:rPr>
                <w:rFonts w:ascii="Calibri" w:eastAsia="Times New Roman" w:hAnsi="Calibri" w:cs="Calibri"/>
                <w:color w:val="000000"/>
                <w:sz w:val="24"/>
                <w:szCs w:val="24"/>
              </w:rPr>
              <w:t>Strategic Outcome</w:t>
            </w:r>
          </w:p>
        </w:tc>
      </w:tr>
      <w:tr w:rsidR="003A3D37" w:rsidRPr="003A3D37" w14:paraId="0C29B1DD" w14:textId="77777777" w:rsidTr="00373C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AD14DAF" w14:textId="77777777" w:rsidR="003A3D37" w:rsidRPr="003A3D37" w:rsidRDefault="003A3D37" w:rsidP="003A3D37">
            <w:pPr>
              <w:spacing w:line="360" w:lineRule="auto"/>
              <w:rPr>
                <w:rFonts w:ascii="Calibri" w:eastAsia="Times New Roman" w:hAnsi="Calibri" w:cs="Calibri"/>
                <w:color w:val="000000"/>
                <w:sz w:val="24"/>
                <w:szCs w:val="24"/>
              </w:rPr>
            </w:pPr>
            <w:r w:rsidRPr="003A3D37">
              <w:rPr>
                <w:rFonts w:ascii="Calibri" w:eastAsia="Times New Roman" w:hAnsi="Calibri" w:cs="Calibri"/>
                <w:color w:val="000000"/>
                <w:sz w:val="24"/>
                <w:szCs w:val="24"/>
              </w:rPr>
              <w:t>Brand Differentiation</w:t>
            </w:r>
          </w:p>
        </w:tc>
        <w:tc>
          <w:tcPr>
            <w:tcW w:w="0" w:type="auto"/>
            <w:hideMark/>
          </w:tcPr>
          <w:p w14:paraId="2A9E0B71" w14:textId="77777777" w:rsidR="003A3D37" w:rsidRPr="003A3D37" w:rsidRDefault="003A3D37" w:rsidP="003A3D37">
            <w:pPr>
              <w:spacing w:line="360"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4"/>
                <w:szCs w:val="24"/>
              </w:rPr>
            </w:pPr>
            <w:r w:rsidRPr="003A3D37">
              <w:rPr>
                <w:rFonts w:ascii="Calibri" w:eastAsia="Times New Roman" w:hAnsi="Calibri" w:cs="Calibri"/>
                <w:color w:val="000000"/>
                <w:sz w:val="24"/>
                <w:szCs w:val="24"/>
              </w:rPr>
              <w:t>Builds trust and loyalty, especially among Gen Z consumers</w:t>
            </w:r>
          </w:p>
        </w:tc>
      </w:tr>
      <w:tr w:rsidR="003A3D37" w:rsidRPr="003A3D37" w14:paraId="5E702770" w14:textId="77777777" w:rsidTr="00373CA8">
        <w:tc>
          <w:tcPr>
            <w:cnfStyle w:val="001000000000" w:firstRow="0" w:lastRow="0" w:firstColumn="1" w:lastColumn="0" w:oddVBand="0" w:evenVBand="0" w:oddHBand="0" w:evenHBand="0" w:firstRowFirstColumn="0" w:firstRowLastColumn="0" w:lastRowFirstColumn="0" w:lastRowLastColumn="0"/>
            <w:tcW w:w="0" w:type="auto"/>
            <w:hideMark/>
          </w:tcPr>
          <w:p w14:paraId="36992D86" w14:textId="77777777" w:rsidR="003A3D37" w:rsidRPr="003A3D37" w:rsidRDefault="003A3D37" w:rsidP="003A3D37">
            <w:pPr>
              <w:spacing w:line="360" w:lineRule="auto"/>
              <w:rPr>
                <w:rFonts w:ascii="Calibri" w:eastAsia="Times New Roman" w:hAnsi="Calibri" w:cs="Calibri"/>
                <w:color w:val="000000"/>
                <w:sz w:val="24"/>
                <w:szCs w:val="24"/>
              </w:rPr>
            </w:pPr>
            <w:r w:rsidRPr="003A3D37">
              <w:rPr>
                <w:rFonts w:ascii="Calibri" w:eastAsia="Times New Roman" w:hAnsi="Calibri" w:cs="Calibri"/>
                <w:color w:val="000000"/>
                <w:sz w:val="24"/>
                <w:szCs w:val="24"/>
              </w:rPr>
              <w:t>Risk Mitigation</w:t>
            </w:r>
          </w:p>
        </w:tc>
        <w:tc>
          <w:tcPr>
            <w:tcW w:w="0" w:type="auto"/>
            <w:hideMark/>
          </w:tcPr>
          <w:p w14:paraId="2D743709" w14:textId="77777777" w:rsidR="003A3D37" w:rsidRPr="003A3D37" w:rsidRDefault="003A3D37" w:rsidP="003A3D37">
            <w:pPr>
              <w:spacing w:line="360"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4"/>
                <w:szCs w:val="24"/>
              </w:rPr>
            </w:pPr>
            <w:r w:rsidRPr="003A3D37">
              <w:rPr>
                <w:rFonts w:ascii="Calibri" w:eastAsia="Times New Roman" w:hAnsi="Calibri" w:cs="Calibri"/>
                <w:color w:val="000000"/>
                <w:sz w:val="24"/>
                <w:szCs w:val="24"/>
              </w:rPr>
              <w:t>Enhances resilience to supply chain shocks and regulatory pressures</w:t>
            </w:r>
          </w:p>
        </w:tc>
      </w:tr>
      <w:tr w:rsidR="003A3D37" w:rsidRPr="003A3D37" w14:paraId="7DF02019" w14:textId="77777777" w:rsidTr="00373C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FA5E55B" w14:textId="77777777" w:rsidR="003A3D37" w:rsidRPr="003A3D37" w:rsidRDefault="003A3D37" w:rsidP="003A3D37">
            <w:pPr>
              <w:spacing w:line="360" w:lineRule="auto"/>
              <w:rPr>
                <w:rFonts w:ascii="Calibri" w:eastAsia="Times New Roman" w:hAnsi="Calibri" w:cs="Calibri"/>
                <w:color w:val="000000"/>
                <w:sz w:val="24"/>
                <w:szCs w:val="24"/>
              </w:rPr>
            </w:pPr>
            <w:r w:rsidRPr="003A3D37">
              <w:rPr>
                <w:rFonts w:ascii="Calibri" w:eastAsia="Times New Roman" w:hAnsi="Calibri" w:cs="Calibri"/>
                <w:color w:val="000000"/>
                <w:sz w:val="24"/>
                <w:szCs w:val="24"/>
              </w:rPr>
              <w:t>Green Financing Access</w:t>
            </w:r>
          </w:p>
        </w:tc>
        <w:tc>
          <w:tcPr>
            <w:tcW w:w="0" w:type="auto"/>
            <w:hideMark/>
          </w:tcPr>
          <w:p w14:paraId="6A5C9C96" w14:textId="77777777" w:rsidR="003A3D37" w:rsidRPr="003A3D37" w:rsidRDefault="003A3D37" w:rsidP="003A3D37">
            <w:pPr>
              <w:spacing w:line="360"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4"/>
                <w:szCs w:val="24"/>
              </w:rPr>
            </w:pPr>
            <w:r w:rsidRPr="003A3D37">
              <w:rPr>
                <w:rFonts w:ascii="Calibri" w:eastAsia="Times New Roman" w:hAnsi="Calibri" w:cs="Calibri"/>
                <w:color w:val="000000"/>
                <w:sz w:val="24"/>
                <w:szCs w:val="24"/>
              </w:rPr>
              <w:t>Attracts ESG investors and sustainability-linked funding opportunities</w:t>
            </w:r>
          </w:p>
        </w:tc>
      </w:tr>
    </w:tbl>
    <w:p w14:paraId="0EDC5818" w14:textId="77777777" w:rsidR="001906E5" w:rsidRDefault="001906E5" w:rsidP="003A3D37">
      <w:pPr>
        <w:spacing w:after="0" w:line="360" w:lineRule="auto"/>
        <w:jc w:val="both"/>
        <w:rPr>
          <w:rFonts w:ascii="Calibri" w:eastAsia="Times New Roman" w:hAnsi="Calibri" w:cs="Calibri"/>
          <w:color w:val="000000"/>
          <w:sz w:val="24"/>
          <w:szCs w:val="24"/>
          <w:lang w:val="en-US"/>
        </w:rPr>
      </w:pPr>
    </w:p>
    <w:p w14:paraId="000C57B9" w14:textId="1632D740" w:rsidR="003A3D37" w:rsidRPr="003A3D37" w:rsidRDefault="003A3D37" w:rsidP="003A3D37">
      <w:pPr>
        <w:spacing w:after="0" w:line="360" w:lineRule="auto"/>
        <w:jc w:val="both"/>
        <w:rPr>
          <w:rFonts w:ascii="Calibri" w:eastAsia="Times New Roman" w:hAnsi="Calibri" w:cs="Calibri"/>
          <w:color w:val="000000"/>
          <w:sz w:val="24"/>
          <w:szCs w:val="24"/>
          <w:lang w:val="en-US"/>
        </w:rPr>
      </w:pPr>
      <w:r w:rsidRPr="003A3D37">
        <w:rPr>
          <w:rFonts w:ascii="Calibri" w:eastAsia="Times New Roman" w:hAnsi="Calibri" w:cs="Calibri"/>
          <w:color w:val="000000"/>
          <w:sz w:val="24"/>
          <w:szCs w:val="24"/>
          <w:lang w:val="en-US"/>
        </w:rPr>
        <w:t xml:space="preserve">As per table 7, Marks &amp; Spencer’s climate leadership provides multifaceted business advantages. Proactive sustainability enhances brand credibility, particularly with Gen Z audiences who </w:t>
      </w:r>
      <w:r w:rsidR="001906E5" w:rsidRPr="003A3D37">
        <w:rPr>
          <w:rFonts w:ascii="Calibri" w:eastAsia="Times New Roman" w:hAnsi="Calibri" w:cs="Calibri"/>
          <w:color w:val="000000"/>
          <w:sz w:val="24"/>
          <w:szCs w:val="24"/>
          <w:lang w:val="en-US"/>
        </w:rPr>
        <w:t>prioritize</w:t>
      </w:r>
      <w:r w:rsidRPr="003A3D37">
        <w:rPr>
          <w:rFonts w:ascii="Calibri" w:eastAsia="Times New Roman" w:hAnsi="Calibri" w:cs="Calibri"/>
          <w:color w:val="000000"/>
          <w:sz w:val="24"/>
          <w:szCs w:val="24"/>
          <w:lang w:val="en-US"/>
        </w:rPr>
        <w:t xml:space="preserve"> ethical consumption. It also strengthens supply chain agility and ensures preparedness for evolving environmental regulations, reducing operational risk (Yawson and Yamoah, 2022). Furthermore, it opens access to green capital, with investors </w:t>
      </w:r>
      <w:r w:rsidR="001906E5" w:rsidRPr="003A3D37">
        <w:rPr>
          <w:rFonts w:ascii="Calibri" w:eastAsia="Times New Roman" w:hAnsi="Calibri" w:cs="Calibri"/>
          <w:color w:val="000000"/>
          <w:sz w:val="24"/>
          <w:szCs w:val="24"/>
          <w:lang w:val="en-US"/>
        </w:rPr>
        <w:t>favoring</w:t>
      </w:r>
      <w:r w:rsidRPr="003A3D37">
        <w:rPr>
          <w:rFonts w:ascii="Calibri" w:eastAsia="Times New Roman" w:hAnsi="Calibri" w:cs="Calibri"/>
          <w:color w:val="000000"/>
          <w:sz w:val="24"/>
          <w:szCs w:val="24"/>
          <w:lang w:val="en-US"/>
        </w:rPr>
        <w:t xml:space="preserve"> ESG-aligned firms. These dynamic capabilities, including strategic adaptation and stakeholder alignment, position M&amp;S to remain resilient and competitive (Dejardin et al., 2023; Minz et al., 2024).</w:t>
      </w:r>
    </w:p>
    <w:p w14:paraId="748DF266" w14:textId="77777777" w:rsidR="003A3D37" w:rsidRPr="003A3D37" w:rsidRDefault="003A3D37" w:rsidP="001906E5">
      <w:pPr>
        <w:pStyle w:val="Heading1"/>
        <w:jc w:val="center"/>
        <w:rPr>
          <w:rFonts w:eastAsia="Times New Roman"/>
          <w:lang w:val="en-US"/>
        </w:rPr>
      </w:pPr>
      <w:bookmarkStart w:id="14" w:name="_Toc203991947"/>
      <w:r w:rsidRPr="003A3D37">
        <w:rPr>
          <w:rFonts w:eastAsia="Times New Roman"/>
          <w:lang w:val="en-US"/>
        </w:rPr>
        <w:t>3.0 Conclusion</w:t>
      </w:r>
      <w:bookmarkEnd w:id="14"/>
    </w:p>
    <w:p w14:paraId="04993AFB" w14:textId="7D77EFB6" w:rsidR="003A3D37" w:rsidRPr="003A3D37" w:rsidRDefault="003A3D37" w:rsidP="003A3D37">
      <w:pPr>
        <w:spacing w:after="0" w:line="360" w:lineRule="auto"/>
        <w:jc w:val="both"/>
        <w:rPr>
          <w:rFonts w:ascii="Calibri" w:eastAsia="Calibri" w:hAnsi="Calibri" w:cs="Calibri"/>
          <w:color w:val="000000"/>
          <w:sz w:val="24"/>
          <w:szCs w:val="24"/>
          <w:lang w:val="en-US"/>
        </w:rPr>
      </w:pPr>
      <w:r w:rsidRPr="003A3D37">
        <w:rPr>
          <w:rFonts w:ascii="Calibri" w:eastAsia="Calibri" w:hAnsi="Calibri" w:cs="Calibri"/>
          <w:color w:val="000000"/>
          <w:sz w:val="24"/>
          <w:szCs w:val="24"/>
          <w:lang w:val="en-US"/>
        </w:rPr>
        <w:t xml:space="preserve">The findings </w:t>
      </w:r>
      <w:r w:rsidR="001906E5" w:rsidRPr="003A3D37">
        <w:rPr>
          <w:rFonts w:ascii="Calibri" w:eastAsia="Calibri" w:hAnsi="Calibri" w:cs="Calibri"/>
          <w:color w:val="000000"/>
          <w:sz w:val="24"/>
          <w:szCs w:val="24"/>
          <w:lang w:val="en-US"/>
        </w:rPr>
        <w:t>reflect</w:t>
      </w:r>
      <w:r w:rsidRPr="003A3D37">
        <w:rPr>
          <w:rFonts w:ascii="Calibri" w:eastAsia="Calibri" w:hAnsi="Calibri" w:cs="Calibri"/>
          <w:color w:val="000000"/>
          <w:sz w:val="24"/>
          <w:szCs w:val="24"/>
          <w:lang w:val="en-US"/>
        </w:rPr>
        <w:t xml:space="preserve"> that multinational companies like Marks &amp; Spencer should take climate responsibility not only as an ethical requirement but also as a business necessity. Even though issues of greenwashing, regulatory fragmentation and profitability pressures still exist, M&amp;S shows that profitability can be </w:t>
      </w:r>
      <w:r w:rsidR="001906E5" w:rsidRPr="003A3D37">
        <w:rPr>
          <w:rFonts w:ascii="Calibri" w:eastAsia="Calibri" w:hAnsi="Calibri" w:cs="Calibri"/>
          <w:color w:val="000000"/>
          <w:sz w:val="24"/>
          <w:szCs w:val="24"/>
          <w:lang w:val="en-US"/>
        </w:rPr>
        <w:t>harmonized</w:t>
      </w:r>
      <w:r w:rsidRPr="003A3D37">
        <w:rPr>
          <w:rFonts w:ascii="Calibri" w:eastAsia="Calibri" w:hAnsi="Calibri" w:cs="Calibri"/>
          <w:color w:val="000000"/>
          <w:sz w:val="24"/>
          <w:szCs w:val="24"/>
          <w:lang w:val="en-US"/>
        </w:rPr>
        <w:t xml:space="preserve"> with sustainability as the company maintains ethos </w:t>
      </w:r>
      <w:r w:rsidRPr="003A3D37">
        <w:rPr>
          <w:rFonts w:ascii="Calibri" w:eastAsia="Calibri" w:hAnsi="Calibri" w:cs="Calibri"/>
          <w:color w:val="000000"/>
          <w:sz w:val="24"/>
          <w:szCs w:val="24"/>
          <w:lang w:val="en-US"/>
        </w:rPr>
        <w:lastRenderedPageBreak/>
        <w:t xml:space="preserve">leadership, engages stakeholders and innovates. The response of the company to its environmental objectives, integrating them into </w:t>
      </w:r>
      <w:r w:rsidR="00D53390" w:rsidRPr="003A3D37">
        <w:rPr>
          <w:rFonts w:ascii="Calibri" w:eastAsia="Calibri" w:hAnsi="Calibri" w:cs="Calibri"/>
          <w:color w:val="000000"/>
          <w:sz w:val="24"/>
          <w:szCs w:val="24"/>
          <w:lang w:val="en-US"/>
        </w:rPr>
        <w:t>governance</w:t>
      </w:r>
      <w:r w:rsidRPr="003A3D37">
        <w:rPr>
          <w:rFonts w:ascii="Calibri" w:eastAsia="Calibri" w:hAnsi="Calibri" w:cs="Calibri"/>
          <w:color w:val="000000"/>
          <w:sz w:val="24"/>
          <w:szCs w:val="24"/>
          <w:lang w:val="en-US"/>
        </w:rPr>
        <w:t xml:space="preserve"> and operations, signals the coming-of-age stance regarding its global responsibility. Leadership needs to be visionary, responsible, and long-term-orientated, considering the wellbeing of the society and the planet to facilitate climate actions by MNEs to make a sustainable change.</w:t>
      </w:r>
    </w:p>
    <w:p w14:paraId="05785D1E" w14:textId="77777777" w:rsidR="003A3D37" w:rsidRPr="003A3D37" w:rsidRDefault="003A3D37" w:rsidP="003A3D37">
      <w:pPr>
        <w:spacing w:after="0" w:line="360" w:lineRule="auto"/>
        <w:rPr>
          <w:rFonts w:ascii="Calibri" w:eastAsia="Calibri" w:hAnsi="Calibri" w:cs="Calibri"/>
          <w:color w:val="000000"/>
          <w:sz w:val="24"/>
          <w:szCs w:val="24"/>
          <w:lang w:val="en-US"/>
        </w:rPr>
      </w:pPr>
      <w:r w:rsidRPr="003A3D37">
        <w:rPr>
          <w:rFonts w:ascii="Calibri" w:eastAsia="Calibri" w:hAnsi="Calibri" w:cs="Calibri"/>
          <w:color w:val="000000"/>
          <w:sz w:val="24"/>
          <w:szCs w:val="24"/>
          <w:lang w:val="en-US"/>
        </w:rPr>
        <w:br w:type="page"/>
      </w:r>
    </w:p>
    <w:p w14:paraId="759908A2" w14:textId="77777777" w:rsidR="003A3D37" w:rsidRPr="003A3D37" w:rsidRDefault="003A3D37" w:rsidP="003A3D37">
      <w:pPr>
        <w:keepNext/>
        <w:keepLines/>
        <w:spacing w:after="0" w:line="360" w:lineRule="auto"/>
        <w:outlineLvl w:val="0"/>
        <w:rPr>
          <w:rFonts w:ascii="Calibri" w:eastAsia="DengXian Light" w:hAnsi="Calibri" w:cs="Calibri"/>
          <w:b/>
          <w:bCs/>
          <w:color w:val="000000"/>
          <w:sz w:val="24"/>
          <w:szCs w:val="24"/>
          <w:lang w:val="en-US"/>
        </w:rPr>
      </w:pPr>
    </w:p>
    <w:p w14:paraId="0AED2CA9" w14:textId="77777777" w:rsidR="003A3D37" w:rsidRPr="003A3D37" w:rsidRDefault="003A3D37" w:rsidP="00D53390">
      <w:pPr>
        <w:pStyle w:val="Heading1"/>
        <w:jc w:val="center"/>
        <w:rPr>
          <w:rFonts w:eastAsia="DengXian Light"/>
          <w:lang w:val="en-US"/>
        </w:rPr>
      </w:pPr>
      <w:bookmarkStart w:id="15" w:name="_Toc203991948"/>
      <w:r w:rsidRPr="003A3D37">
        <w:rPr>
          <w:rFonts w:eastAsia="DengXian Light"/>
          <w:lang w:val="en-US"/>
        </w:rPr>
        <w:t>4.0 References</w:t>
      </w:r>
      <w:bookmarkEnd w:id="15"/>
    </w:p>
    <w:p w14:paraId="47D701F9" w14:textId="77777777" w:rsidR="003A3D37" w:rsidRPr="003A3D37" w:rsidRDefault="003A3D37" w:rsidP="00D53390">
      <w:pPr>
        <w:spacing w:after="0" w:line="360" w:lineRule="auto"/>
        <w:jc w:val="both"/>
        <w:rPr>
          <w:rFonts w:ascii="Calibri" w:eastAsia="Calibri" w:hAnsi="Calibri" w:cs="Calibri"/>
          <w:color w:val="000000"/>
          <w:sz w:val="24"/>
          <w:szCs w:val="24"/>
          <w:lang w:val="en-US"/>
        </w:rPr>
      </w:pPr>
      <w:r w:rsidRPr="003A3D37">
        <w:rPr>
          <w:rFonts w:ascii="Calibri" w:eastAsia="Calibri" w:hAnsi="Calibri" w:cs="Calibri"/>
          <w:color w:val="000000"/>
          <w:sz w:val="24"/>
          <w:szCs w:val="24"/>
          <w:lang w:val="en-US"/>
        </w:rPr>
        <w:t>Abrahams, N.R. and Morgan. (2017), Managing Cultural Differences: Global Leadership for the 21st Century, UK: Routledge</w:t>
      </w:r>
    </w:p>
    <w:p w14:paraId="1E73783D" w14:textId="77777777" w:rsidR="003A3D37" w:rsidRPr="003A3D37" w:rsidRDefault="003A3D37" w:rsidP="00D53390">
      <w:pPr>
        <w:spacing w:after="0" w:line="360" w:lineRule="auto"/>
        <w:jc w:val="both"/>
        <w:rPr>
          <w:rFonts w:ascii="Calibri" w:eastAsia="Calibri" w:hAnsi="Calibri" w:cs="Calibri"/>
          <w:color w:val="000000"/>
          <w:sz w:val="24"/>
          <w:szCs w:val="24"/>
          <w:shd w:val="clear" w:color="auto" w:fill="FFFFFF"/>
          <w:lang w:val="en-US"/>
        </w:rPr>
      </w:pPr>
      <w:r w:rsidRPr="003A3D37">
        <w:rPr>
          <w:rFonts w:ascii="Calibri" w:eastAsia="Calibri" w:hAnsi="Calibri" w:cs="Calibri"/>
          <w:color w:val="000000"/>
          <w:sz w:val="24"/>
          <w:szCs w:val="24"/>
          <w:shd w:val="clear" w:color="auto" w:fill="FFFFFF"/>
          <w:lang w:val="en-US"/>
        </w:rPr>
        <w:t>Bose, S., Burns, N., Minnick, K., &amp; Shams, S. (2023). Climate‐linked compensation, societal values, and climate change impact: International evidence. </w:t>
      </w:r>
      <w:r w:rsidRPr="003A3D37">
        <w:rPr>
          <w:rFonts w:ascii="Calibri" w:eastAsia="Calibri" w:hAnsi="Calibri" w:cs="Calibri"/>
          <w:i/>
          <w:iCs/>
          <w:color w:val="000000"/>
          <w:sz w:val="24"/>
          <w:szCs w:val="24"/>
          <w:shd w:val="clear" w:color="auto" w:fill="FFFFFF"/>
          <w:lang w:val="en-US"/>
        </w:rPr>
        <w:t>Corporate Governance: An International Review</w:t>
      </w:r>
      <w:r w:rsidRPr="003A3D37">
        <w:rPr>
          <w:rFonts w:ascii="Calibri" w:eastAsia="Calibri" w:hAnsi="Calibri" w:cs="Calibri"/>
          <w:color w:val="000000"/>
          <w:sz w:val="24"/>
          <w:szCs w:val="24"/>
          <w:shd w:val="clear" w:color="auto" w:fill="FFFFFF"/>
          <w:lang w:val="en-US"/>
        </w:rPr>
        <w:t>, </w:t>
      </w:r>
      <w:r w:rsidRPr="003A3D37">
        <w:rPr>
          <w:rFonts w:ascii="Calibri" w:eastAsia="Calibri" w:hAnsi="Calibri" w:cs="Calibri"/>
          <w:i/>
          <w:iCs/>
          <w:color w:val="000000"/>
          <w:sz w:val="24"/>
          <w:szCs w:val="24"/>
          <w:shd w:val="clear" w:color="auto" w:fill="FFFFFF"/>
          <w:lang w:val="en-US"/>
        </w:rPr>
        <w:t>31</w:t>
      </w:r>
      <w:r w:rsidRPr="003A3D37">
        <w:rPr>
          <w:rFonts w:ascii="Calibri" w:eastAsia="Calibri" w:hAnsi="Calibri" w:cs="Calibri"/>
          <w:color w:val="000000"/>
          <w:sz w:val="24"/>
          <w:szCs w:val="24"/>
          <w:shd w:val="clear" w:color="auto" w:fill="FFFFFF"/>
          <w:lang w:val="en-US"/>
        </w:rPr>
        <w:t>(5), 759-785.</w:t>
      </w:r>
      <w:r w:rsidRPr="003A3D37">
        <w:rPr>
          <w:rFonts w:ascii="Calibri" w:eastAsia="Calibri" w:hAnsi="Calibri" w:cs="Calibri"/>
          <w:color w:val="000000"/>
          <w:sz w:val="24"/>
          <w:szCs w:val="24"/>
          <w:lang w:val="en-US"/>
        </w:rPr>
        <w:t xml:space="preserve"> </w:t>
      </w:r>
      <w:hyperlink r:id="rId7" w:history="1">
        <w:r w:rsidRPr="003A3D37">
          <w:rPr>
            <w:rFonts w:ascii="Calibri" w:eastAsia="Calibri" w:hAnsi="Calibri" w:cs="Calibri"/>
            <w:color w:val="000000"/>
            <w:sz w:val="24"/>
            <w:szCs w:val="24"/>
            <w:u w:val="single"/>
            <w:shd w:val="clear" w:color="auto" w:fill="FFFFFF"/>
            <w:lang w:val="en-US"/>
          </w:rPr>
          <w:t>https://onlinelibrary.wiley.com/doi/abs/10.1111/corg.12504</w:t>
        </w:r>
      </w:hyperlink>
      <w:r w:rsidRPr="003A3D37">
        <w:rPr>
          <w:rFonts w:ascii="Calibri" w:eastAsia="Calibri" w:hAnsi="Calibri" w:cs="Calibri"/>
          <w:color w:val="000000"/>
          <w:sz w:val="24"/>
          <w:szCs w:val="24"/>
          <w:shd w:val="clear" w:color="auto" w:fill="FFFFFF"/>
          <w:lang w:val="en-US"/>
        </w:rPr>
        <w:t xml:space="preserve"> </w:t>
      </w:r>
    </w:p>
    <w:p w14:paraId="4ED87A46" w14:textId="77777777" w:rsidR="003A3D37" w:rsidRPr="003A3D37" w:rsidRDefault="003A3D37" w:rsidP="00D53390">
      <w:pPr>
        <w:spacing w:after="0" w:line="360" w:lineRule="auto"/>
        <w:jc w:val="both"/>
        <w:rPr>
          <w:rFonts w:ascii="Calibri" w:eastAsia="Calibri" w:hAnsi="Calibri" w:cs="Calibri"/>
          <w:color w:val="000000"/>
          <w:sz w:val="24"/>
          <w:szCs w:val="24"/>
          <w:shd w:val="clear" w:color="auto" w:fill="FFFFFF"/>
          <w:lang w:val="en-US"/>
        </w:rPr>
      </w:pPr>
      <w:r w:rsidRPr="003A3D37">
        <w:rPr>
          <w:rFonts w:ascii="Calibri" w:eastAsia="Calibri" w:hAnsi="Calibri" w:cs="Calibri"/>
          <w:color w:val="000000"/>
          <w:sz w:val="24"/>
          <w:szCs w:val="24"/>
          <w:shd w:val="clear" w:color="auto" w:fill="FFFFFF"/>
          <w:lang w:val="en-US"/>
        </w:rPr>
        <w:t>Charles, I. I., &amp; Uford, I. C. (2023). Comparative analysis and evaluation of business and financial performance of Amazon. Com: A three-year period critical review of exceptional success. </w:t>
      </w:r>
      <w:r w:rsidRPr="003A3D37">
        <w:rPr>
          <w:rFonts w:ascii="Calibri" w:eastAsia="Calibri" w:hAnsi="Calibri" w:cs="Calibri"/>
          <w:i/>
          <w:iCs/>
          <w:color w:val="000000"/>
          <w:sz w:val="24"/>
          <w:szCs w:val="24"/>
          <w:shd w:val="clear" w:color="auto" w:fill="FFFFFF"/>
          <w:lang w:val="en-US"/>
        </w:rPr>
        <w:t>European Journal of Business, Economics and Accountancy</w:t>
      </w:r>
      <w:r w:rsidRPr="003A3D37">
        <w:rPr>
          <w:rFonts w:ascii="Calibri" w:eastAsia="Calibri" w:hAnsi="Calibri" w:cs="Calibri"/>
          <w:color w:val="000000"/>
          <w:sz w:val="24"/>
          <w:szCs w:val="24"/>
          <w:shd w:val="clear" w:color="auto" w:fill="FFFFFF"/>
          <w:lang w:val="en-US"/>
        </w:rPr>
        <w:t>, </w:t>
      </w:r>
      <w:r w:rsidRPr="003A3D37">
        <w:rPr>
          <w:rFonts w:ascii="Calibri" w:eastAsia="Calibri" w:hAnsi="Calibri" w:cs="Calibri"/>
          <w:i/>
          <w:iCs/>
          <w:color w:val="000000"/>
          <w:sz w:val="24"/>
          <w:szCs w:val="24"/>
          <w:shd w:val="clear" w:color="auto" w:fill="FFFFFF"/>
          <w:lang w:val="en-US"/>
        </w:rPr>
        <w:t>11</w:t>
      </w:r>
      <w:r w:rsidRPr="003A3D37">
        <w:rPr>
          <w:rFonts w:ascii="Calibri" w:eastAsia="Calibri" w:hAnsi="Calibri" w:cs="Calibri"/>
          <w:color w:val="000000"/>
          <w:sz w:val="24"/>
          <w:szCs w:val="24"/>
          <w:shd w:val="clear" w:color="auto" w:fill="FFFFFF"/>
          <w:lang w:val="en-US"/>
        </w:rPr>
        <w:t>(2), 69-92.</w:t>
      </w:r>
      <w:r w:rsidRPr="003A3D37">
        <w:rPr>
          <w:rFonts w:ascii="Calibri" w:eastAsia="Calibri" w:hAnsi="Calibri" w:cs="Calibri"/>
          <w:color w:val="000000"/>
          <w:sz w:val="24"/>
          <w:szCs w:val="24"/>
          <w:lang w:val="en-US"/>
        </w:rPr>
        <w:t xml:space="preserve"> </w:t>
      </w:r>
      <w:hyperlink r:id="rId8" w:history="1">
        <w:r w:rsidRPr="003A3D37">
          <w:rPr>
            <w:rFonts w:ascii="Calibri" w:eastAsia="Calibri" w:hAnsi="Calibri" w:cs="Calibri"/>
            <w:color w:val="000000"/>
            <w:sz w:val="24"/>
            <w:szCs w:val="24"/>
            <w:u w:val="single"/>
            <w:shd w:val="clear" w:color="auto" w:fill="FFFFFF"/>
            <w:lang w:val="en-US"/>
          </w:rPr>
          <w:t>https://www.idpublications.org/wp-content/uploads/2023/07/Full-Paper-COMPARATIVE-ANALYSIS-AND-EVALUATION-OF-BUSINESS-AND-FINANCIAL-PERFORMANCE-OF-AMAZON.com_.pdf</w:t>
        </w:r>
      </w:hyperlink>
      <w:r w:rsidRPr="003A3D37">
        <w:rPr>
          <w:rFonts w:ascii="Calibri" w:eastAsia="Calibri" w:hAnsi="Calibri" w:cs="Calibri"/>
          <w:color w:val="000000"/>
          <w:sz w:val="24"/>
          <w:szCs w:val="24"/>
          <w:shd w:val="clear" w:color="auto" w:fill="FFFFFF"/>
          <w:lang w:val="en-US"/>
        </w:rPr>
        <w:t xml:space="preserve"> </w:t>
      </w:r>
    </w:p>
    <w:p w14:paraId="61D7BF85" w14:textId="77777777" w:rsidR="003A3D37" w:rsidRPr="003A3D37" w:rsidRDefault="003A3D37" w:rsidP="00D53390">
      <w:pPr>
        <w:spacing w:after="0" w:line="360" w:lineRule="auto"/>
        <w:jc w:val="both"/>
        <w:rPr>
          <w:rFonts w:ascii="Calibri" w:eastAsia="Calibri" w:hAnsi="Calibri" w:cs="Calibri"/>
          <w:color w:val="000000"/>
          <w:sz w:val="24"/>
          <w:szCs w:val="24"/>
          <w:shd w:val="clear" w:color="auto" w:fill="FFFFFF"/>
          <w:lang w:val="en-US"/>
        </w:rPr>
      </w:pPr>
      <w:r w:rsidRPr="003A3D37">
        <w:rPr>
          <w:rFonts w:ascii="Calibri" w:eastAsia="Calibri" w:hAnsi="Calibri" w:cs="Calibri"/>
          <w:color w:val="000000"/>
          <w:sz w:val="24"/>
          <w:szCs w:val="24"/>
          <w:shd w:val="clear" w:color="auto" w:fill="FFFFFF"/>
          <w:lang w:val="it-IT"/>
        </w:rPr>
        <w:t xml:space="preserve">Dejardin, M., Raposo, M. L., Ferreira, J. J., Fernandes, C. I., Veiga, P. M., &amp; Farinha, L. (2023). </w:t>
      </w:r>
      <w:r w:rsidRPr="003A3D37">
        <w:rPr>
          <w:rFonts w:ascii="Calibri" w:eastAsia="Calibri" w:hAnsi="Calibri" w:cs="Calibri"/>
          <w:color w:val="000000"/>
          <w:sz w:val="24"/>
          <w:szCs w:val="24"/>
          <w:shd w:val="clear" w:color="auto" w:fill="FFFFFF"/>
          <w:lang w:val="en-US"/>
        </w:rPr>
        <w:t>The impact of dynamic capabilities on SME performance during COVID-19. </w:t>
      </w:r>
      <w:r w:rsidRPr="003A3D37">
        <w:rPr>
          <w:rFonts w:ascii="Calibri" w:eastAsia="Calibri" w:hAnsi="Calibri" w:cs="Calibri"/>
          <w:i/>
          <w:iCs/>
          <w:color w:val="000000"/>
          <w:sz w:val="24"/>
          <w:szCs w:val="24"/>
          <w:shd w:val="clear" w:color="auto" w:fill="FFFFFF"/>
          <w:lang w:val="en-US"/>
        </w:rPr>
        <w:t>Review of Managerial Science</w:t>
      </w:r>
      <w:r w:rsidRPr="003A3D37">
        <w:rPr>
          <w:rFonts w:ascii="Calibri" w:eastAsia="Calibri" w:hAnsi="Calibri" w:cs="Calibri"/>
          <w:color w:val="000000"/>
          <w:sz w:val="24"/>
          <w:szCs w:val="24"/>
          <w:shd w:val="clear" w:color="auto" w:fill="FFFFFF"/>
          <w:lang w:val="en-US"/>
        </w:rPr>
        <w:t>, </w:t>
      </w:r>
      <w:r w:rsidRPr="003A3D37">
        <w:rPr>
          <w:rFonts w:ascii="Calibri" w:eastAsia="Calibri" w:hAnsi="Calibri" w:cs="Calibri"/>
          <w:i/>
          <w:iCs/>
          <w:color w:val="000000"/>
          <w:sz w:val="24"/>
          <w:szCs w:val="24"/>
          <w:shd w:val="clear" w:color="auto" w:fill="FFFFFF"/>
          <w:lang w:val="en-US"/>
        </w:rPr>
        <w:t>17</w:t>
      </w:r>
      <w:r w:rsidRPr="003A3D37">
        <w:rPr>
          <w:rFonts w:ascii="Calibri" w:eastAsia="Calibri" w:hAnsi="Calibri" w:cs="Calibri"/>
          <w:color w:val="000000"/>
          <w:sz w:val="24"/>
          <w:szCs w:val="24"/>
          <w:shd w:val="clear" w:color="auto" w:fill="FFFFFF"/>
          <w:lang w:val="en-US"/>
        </w:rPr>
        <w:t>(5), 1703-1729.</w:t>
      </w:r>
      <w:r w:rsidRPr="003A3D37">
        <w:rPr>
          <w:rFonts w:ascii="Calibri" w:eastAsia="Calibri" w:hAnsi="Calibri" w:cs="Calibri"/>
          <w:color w:val="000000"/>
          <w:sz w:val="24"/>
          <w:szCs w:val="24"/>
          <w:lang w:val="en-US"/>
        </w:rPr>
        <w:t xml:space="preserve"> </w:t>
      </w:r>
      <w:hyperlink r:id="rId9" w:history="1">
        <w:r w:rsidRPr="003A3D37">
          <w:rPr>
            <w:rFonts w:ascii="Calibri" w:eastAsia="Calibri" w:hAnsi="Calibri" w:cs="Calibri"/>
            <w:color w:val="000000"/>
            <w:sz w:val="24"/>
            <w:szCs w:val="24"/>
            <w:u w:val="single"/>
            <w:shd w:val="clear" w:color="auto" w:fill="FFFFFF"/>
            <w:lang w:val="en-US"/>
          </w:rPr>
          <w:t>https://link.springer.com/article/10.1007/s11846-022-00569-x</w:t>
        </w:r>
      </w:hyperlink>
    </w:p>
    <w:p w14:paraId="2CDB4754" w14:textId="77777777" w:rsidR="003A3D37" w:rsidRPr="003A3D37" w:rsidRDefault="003A3D37" w:rsidP="00D53390">
      <w:pPr>
        <w:spacing w:after="0" w:line="360" w:lineRule="auto"/>
        <w:jc w:val="both"/>
        <w:rPr>
          <w:rFonts w:ascii="Calibri" w:eastAsia="Calibri" w:hAnsi="Calibri" w:cs="Calibri"/>
          <w:color w:val="000000"/>
          <w:sz w:val="24"/>
          <w:szCs w:val="24"/>
          <w:shd w:val="clear" w:color="auto" w:fill="FFFFFF"/>
          <w:lang w:val="en-US"/>
        </w:rPr>
      </w:pPr>
      <w:r w:rsidRPr="003A3D37">
        <w:rPr>
          <w:rFonts w:ascii="Calibri" w:eastAsia="Calibri" w:hAnsi="Calibri" w:cs="Calibri"/>
          <w:color w:val="000000"/>
          <w:sz w:val="24"/>
          <w:szCs w:val="24"/>
          <w:shd w:val="clear" w:color="auto" w:fill="FFFFFF"/>
          <w:lang w:val="en-US"/>
        </w:rPr>
        <w:t>Gillai, B., Lee, H. L., &amp; Rammohan, S. V. (2024). Improving social and environmental performance in global supply chains. In </w:t>
      </w:r>
      <w:r w:rsidRPr="003A3D37">
        <w:rPr>
          <w:rFonts w:ascii="Calibri" w:eastAsia="Calibri" w:hAnsi="Calibri" w:cs="Calibri"/>
          <w:i/>
          <w:iCs/>
          <w:color w:val="000000"/>
          <w:sz w:val="24"/>
          <w:szCs w:val="24"/>
          <w:shd w:val="clear" w:color="auto" w:fill="FFFFFF"/>
          <w:lang w:val="en-US"/>
        </w:rPr>
        <w:t>Sustainable supply chains: a research-based textbook on operations and strategy</w:t>
      </w:r>
      <w:r w:rsidRPr="003A3D37">
        <w:rPr>
          <w:rFonts w:ascii="Calibri" w:eastAsia="Calibri" w:hAnsi="Calibri" w:cs="Calibri"/>
          <w:color w:val="000000"/>
          <w:sz w:val="24"/>
          <w:szCs w:val="24"/>
          <w:shd w:val="clear" w:color="auto" w:fill="FFFFFF"/>
          <w:lang w:val="en-US"/>
        </w:rPr>
        <w:t> (pp. 481-503). Cham: Springer International Publishing.</w:t>
      </w:r>
      <w:r w:rsidRPr="003A3D37">
        <w:rPr>
          <w:rFonts w:ascii="Calibri" w:eastAsia="Calibri" w:hAnsi="Calibri" w:cs="Calibri"/>
          <w:color w:val="000000"/>
          <w:sz w:val="24"/>
          <w:szCs w:val="24"/>
          <w:lang w:val="en-US"/>
        </w:rPr>
        <w:t xml:space="preserve"> </w:t>
      </w:r>
      <w:hyperlink r:id="rId10" w:history="1">
        <w:r w:rsidRPr="003A3D37">
          <w:rPr>
            <w:rFonts w:ascii="Calibri" w:eastAsia="Calibri" w:hAnsi="Calibri" w:cs="Calibri"/>
            <w:color w:val="000000"/>
            <w:sz w:val="24"/>
            <w:szCs w:val="24"/>
            <w:u w:val="single"/>
            <w:shd w:val="clear" w:color="auto" w:fill="FFFFFF"/>
            <w:lang w:val="en-US"/>
          </w:rPr>
          <w:t>https://link.springer.com/chapter/10.1007/978-3-031-45565-0_20</w:t>
        </w:r>
      </w:hyperlink>
      <w:r w:rsidRPr="003A3D37">
        <w:rPr>
          <w:rFonts w:ascii="Calibri" w:eastAsia="Calibri" w:hAnsi="Calibri" w:cs="Calibri"/>
          <w:color w:val="000000"/>
          <w:sz w:val="24"/>
          <w:szCs w:val="24"/>
          <w:shd w:val="clear" w:color="auto" w:fill="FFFFFF"/>
          <w:lang w:val="en-US"/>
        </w:rPr>
        <w:t xml:space="preserve"> </w:t>
      </w:r>
    </w:p>
    <w:p w14:paraId="734C3E93" w14:textId="77777777" w:rsidR="003A3D37" w:rsidRPr="003A3D37" w:rsidRDefault="003A3D37" w:rsidP="00D53390">
      <w:pPr>
        <w:spacing w:after="0" w:line="360" w:lineRule="auto"/>
        <w:jc w:val="both"/>
        <w:rPr>
          <w:rFonts w:ascii="Calibri" w:eastAsia="Calibri" w:hAnsi="Calibri" w:cs="Calibri"/>
          <w:color w:val="000000"/>
          <w:sz w:val="24"/>
          <w:szCs w:val="24"/>
          <w:shd w:val="clear" w:color="auto" w:fill="FFFFFF"/>
          <w:lang w:val="en-US"/>
        </w:rPr>
      </w:pPr>
      <w:r w:rsidRPr="003A3D37">
        <w:rPr>
          <w:rFonts w:ascii="Calibri" w:eastAsia="Calibri" w:hAnsi="Calibri" w:cs="Calibri"/>
          <w:color w:val="000000"/>
          <w:sz w:val="24"/>
          <w:szCs w:val="24"/>
          <w:shd w:val="clear" w:color="auto" w:fill="FFFFFF"/>
          <w:lang w:val="en-US"/>
        </w:rPr>
        <w:t>Gunduz, Y. (2025, July). Creating and Capturing Value Through Brand Acquisition and Strategy: The Historical Cases of Debenhams and House of Fraser. In </w:t>
      </w:r>
      <w:r w:rsidRPr="003A3D37">
        <w:rPr>
          <w:rFonts w:ascii="Calibri" w:eastAsia="Calibri" w:hAnsi="Calibri" w:cs="Calibri"/>
          <w:i/>
          <w:iCs/>
          <w:color w:val="000000"/>
          <w:sz w:val="24"/>
          <w:szCs w:val="24"/>
          <w:shd w:val="clear" w:color="auto" w:fill="FFFFFF"/>
          <w:lang w:val="en-US"/>
        </w:rPr>
        <w:t>Proceedings of the Conference on Historical Analysis and Research in Marketing</w:t>
      </w:r>
      <w:r w:rsidRPr="003A3D37">
        <w:rPr>
          <w:rFonts w:ascii="Calibri" w:eastAsia="Calibri" w:hAnsi="Calibri" w:cs="Calibri"/>
          <w:color w:val="000000"/>
          <w:sz w:val="24"/>
          <w:szCs w:val="24"/>
          <w:shd w:val="clear" w:color="auto" w:fill="FFFFFF"/>
          <w:lang w:val="en-US"/>
        </w:rPr>
        <w:t> (Vol. 22, No. 1).</w:t>
      </w:r>
      <w:r w:rsidRPr="003A3D37">
        <w:rPr>
          <w:rFonts w:ascii="Calibri" w:eastAsia="Calibri" w:hAnsi="Calibri" w:cs="Calibri"/>
          <w:color w:val="000000"/>
          <w:sz w:val="24"/>
          <w:szCs w:val="24"/>
          <w:lang w:val="en-US"/>
        </w:rPr>
        <w:t xml:space="preserve"> </w:t>
      </w:r>
      <w:hyperlink r:id="rId11" w:history="1">
        <w:r w:rsidRPr="003A3D37">
          <w:rPr>
            <w:rFonts w:ascii="Calibri" w:eastAsia="Calibri" w:hAnsi="Calibri" w:cs="Calibri"/>
            <w:color w:val="000000"/>
            <w:sz w:val="24"/>
            <w:szCs w:val="24"/>
            <w:u w:val="single"/>
            <w:shd w:val="clear" w:color="auto" w:fill="FFFFFF"/>
            <w:lang w:val="en-US"/>
          </w:rPr>
          <w:t>https://ojs.library.carleton.ca/index.php/pcharm/article/view/5449/3861</w:t>
        </w:r>
      </w:hyperlink>
      <w:r w:rsidRPr="003A3D37">
        <w:rPr>
          <w:rFonts w:ascii="Calibri" w:eastAsia="Calibri" w:hAnsi="Calibri" w:cs="Calibri"/>
          <w:color w:val="000000"/>
          <w:sz w:val="24"/>
          <w:szCs w:val="24"/>
          <w:shd w:val="clear" w:color="auto" w:fill="FFFFFF"/>
          <w:lang w:val="en-US"/>
        </w:rPr>
        <w:t xml:space="preserve"> </w:t>
      </w:r>
    </w:p>
    <w:p w14:paraId="4F097E2B" w14:textId="77777777" w:rsidR="003A3D37" w:rsidRPr="003A3D37" w:rsidRDefault="003A3D37" w:rsidP="00D53390">
      <w:pPr>
        <w:spacing w:after="0" w:line="360" w:lineRule="auto"/>
        <w:jc w:val="both"/>
        <w:rPr>
          <w:rFonts w:ascii="Calibri" w:eastAsia="Calibri" w:hAnsi="Calibri" w:cs="Calibri"/>
          <w:color w:val="000000"/>
          <w:sz w:val="24"/>
          <w:szCs w:val="24"/>
          <w:lang w:val="en-US"/>
        </w:rPr>
      </w:pPr>
      <w:r w:rsidRPr="003A3D37">
        <w:rPr>
          <w:rFonts w:ascii="Calibri" w:eastAsia="Calibri" w:hAnsi="Calibri" w:cs="Calibri"/>
          <w:color w:val="000000"/>
          <w:sz w:val="24"/>
          <w:szCs w:val="24"/>
          <w:lang w:val="en-US"/>
        </w:rPr>
        <w:t xml:space="preserve">IBISWorld, 2025, ‘Department Stores in the UK – Market Research Report’, </w:t>
      </w:r>
      <w:r w:rsidRPr="003A3D37">
        <w:rPr>
          <w:rFonts w:ascii="Calibri" w:eastAsia="Calibri" w:hAnsi="Calibri" w:cs="Calibri"/>
          <w:i/>
          <w:iCs/>
          <w:color w:val="000000"/>
          <w:sz w:val="24"/>
          <w:szCs w:val="24"/>
          <w:lang w:val="en-US"/>
        </w:rPr>
        <w:t>IBISWorld</w:t>
      </w:r>
      <w:r w:rsidRPr="003A3D37">
        <w:rPr>
          <w:rFonts w:ascii="Calibri" w:eastAsia="Calibri" w:hAnsi="Calibri" w:cs="Calibri"/>
          <w:color w:val="000000"/>
          <w:sz w:val="24"/>
          <w:szCs w:val="24"/>
          <w:lang w:val="en-US"/>
        </w:rPr>
        <w:t>. Available at: https://www.ibisworld.com/united-kingdom/industry/department-stores/2920/ (Accessed: 17 July 2025).</w:t>
      </w:r>
    </w:p>
    <w:p w14:paraId="3A3A1FB2" w14:textId="77777777" w:rsidR="003A3D37" w:rsidRPr="003A3D37" w:rsidRDefault="003A3D37" w:rsidP="00D53390">
      <w:pPr>
        <w:spacing w:after="0" w:line="360" w:lineRule="auto"/>
        <w:jc w:val="both"/>
        <w:rPr>
          <w:rFonts w:ascii="Calibri" w:eastAsia="Calibri" w:hAnsi="Calibri" w:cs="Calibri"/>
          <w:color w:val="000000"/>
          <w:sz w:val="24"/>
          <w:szCs w:val="24"/>
          <w:lang w:val="en-US"/>
        </w:rPr>
      </w:pPr>
      <w:r w:rsidRPr="003A3D37">
        <w:rPr>
          <w:rFonts w:ascii="Calibri" w:eastAsia="Calibri" w:hAnsi="Calibri" w:cs="Calibri"/>
          <w:color w:val="000000"/>
          <w:sz w:val="24"/>
          <w:szCs w:val="24"/>
          <w:lang w:val="en-US"/>
        </w:rPr>
        <w:lastRenderedPageBreak/>
        <w:t xml:space="preserve">IBISWorld, 2025, ‘Department Stores in the UK – Market Size Statistics’, </w:t>
      </w:r>
      <w:r w:rsidRPr="003A3D37">
        <w:rPr>
          <w:rFonts w:ascii="Calibri" w:eastAsia="Calibri" w:hAnsi="Calibri" w:cs="Calibri"/>
          <w:i/>
          <w:iCs/>
          <w:color w:val="000000"/>
          <w:sz w:val="24"/>
          <w:szCs w:val="24"/>
          <w:lang w:val="en-US"/>
        </w:rPr>
        <w:t>IBISWorld</w:t>
      </w:r>
      <w:r w:rsidRPr="003A3D37">
        <w:rPr>
          <w:rFonts w:ascii="Calibri" w:eastAsia="Calibri" w:hAnsi="Calibri" w:cs="Calibri"/>
          <w:color w:val="000000"/>
          <w:sz w:val="24"/>
          <w:szCs w:val="24"/>
          <w:lang w:val="en-US"/>
        </w:rPr>
        <w:t>. Available at: https://www.ibisworld.com/united-kingdom/market-size/department-stores/2920/ (Accessed: 17 July 2025).</w:t>
      </w:r>
    </w:p>
    <w:p w14:paraId="62DED4F7" w14:textId="77777777" w:rsidR="003A3D37" w:rsidRPr="003A3D37" w:rsidRDefault="003A3D37" w:rsidP="00D53390">
      <w:pPr>
        <w:spacing w:after="0" w:line="360" w:lineRule="auto"/>
        <w:jc w:val="both"/>
        <w:rPr>
          <w:rFonts w:ascii="Calibri" w:eastAsia="Calibri" w:hAnsi="Calibri" w:cs="Calibri"/>
          <w:color w:val="000000"/>
          <w:sz w:val="24"/>
          <w:szCs w:val="24"/>
          <w:lang w:val="en-US"/>
        </w:rPr>
      </w:pPr>
      <w:r w:rsidRPr="003A3D37">
        <w:rPr>
          <w:rFonts w:ascii="Calibri" w:eastAsia="Calibri" w:hAnsi="Calibri" w:cs="Calibri"/>
          <w:color w:val="000000"/>
          <w:sz w:val="24"/>
          <w:szCs w:val="24"/>
          <w:lang w:val="en-US"/>
        </w:rPr>
        <w:t xml:space="preserve">Irish Examiner, 2024, ‘M&amp;S annual profit soars 58% as turnaround strategy delivers’, </w:t>
      </w:r>
      <w:r w:rsidRPr="003A3D37">
        <w:rPr>
          <w:rFonts w:ascii="Calibri" w:eastAsia="Calibri" w:hAnsi="Calibri" w:cs="Calibri"/>
          <w:i/>
          <w:iCs/>
          <w:color w:val="000000"/>
          <w:sz w:val="24"/>
          <w:szCs w:val="24"/>
          <w:lang w:val="en-US"/>
        </w:rPr>
        <w:t>Irish Examiner</w:t>
      </w:r>
      <w:r w:rsidRPr="003A3D37">
        <w:rPr>
          <w:rFonts w:ascii="Calibri" w:eastAsia="Calibri" w:hAnsi="Calibri" w:cs="Calibri"/>
          <w:color w:val="000000"/>
          <w:sz w:val="24"/>
          <w:szCs w:val="24"/>
          <w:lang w:val="en-US"/>
        </w:rPr>
        <w:t>, date same. Available at: https://www.irishexaminer.com/business/companies/arid-41400328.html (Accessed: 17 July 2025).</w:t>
      </w:r>
    </w:p>
    <w:p w14:paraId="199CF7C0" w14:textId="77777777" w:rsidR="003A3D37" w:rsidRPr="003A3D37" w:rsidRDefault="003A3D37" w:rsidP="00D53390">
      <w:pPr>
        <w:spacing w:after="0" w:line="360" w:lineRule="auto"/>
        <w:jc w:val="both"/>
        <w:rPr>
          <w:rFonts w:ascii="Calibri" w:eastAsia="Calibri" w:hAnsi="Calibri" w:cs="Calibri"/>
          <w:color w:val="000000"/>
          <w:sz w:val="24"/>
          <w:szCs w:val="24"/>
          <w:lang w:val="en-US"/>
        </w:rPr>
      </w:pPr>
      <w:r w:rsidRPr="003A3D37">
        <w:rPr>
          <w:rFonts w:ascii="Calibri" w:eastAsia="Calibri" w:hAnsi="Calibri" w:cs="Calibri"/>
          <w:color w:val="000000"/>
          <w:sz w:val="24"/>
          <w:szCs w:val="24"/>
          <w:lang w:val="en-US"/>
        </w:rPr>
        <w:t xml:space="preserve">Irish Times, 2024, ‘Marks &amp; Spencer profit soars as turnaround strategy delivers’, </w:t>
      </w:r>
      <w:r w:rsidRPr="003A3D37">
        <w:rPr>
          <w:rFonts w:ascii="Calibri" w:eastAsia="Calibri" w:hAnsi="Calibri" w:cs="Calibri"/>
          <w:i/>
          <w:iCs/>
          <w:color w:val="000000"/>
          <w:sz w:val="24"/>
          <w:szCs w:val="24"/>
          <w:lang w:val="en-US"/>
        </w:rPr>
        <w:t>Irish Times</w:t>
      </w:r>
      <w:r w:rsidRPr="003A3D37">
        <w:rPr>
          <w:rFonts w:ascii="Calibri" w:eastAsia="Calibri" w:hAnsi="Calibri" w:cs="Calibri"/>
          <w:color w:val="000000"/>
          <w:sz w:val="24"/>
          <w:szCs w:val="24"/>
          <w:lang w:val="en-US"/>
        </w:rPr>
        <w:t>, 22 May. Available at: https://www.irishtimes.com/business/2024/05/22/marks-spencer-profit-soars-as-turnaround-strategy-delivers/ (Accessed: 17 July 2025).</w:t>
      </w:r>
    </w:p>
    <w:p w14:paraId="35D9496E" w14:textId="77777777" w:rsidR="003A3D37" w:rsidRPr="003A3D37" w:rsidRDefault="003A3D37" w:rsidP="00D53390">
      <w:pPr>
        <w:spacing w:after="0" w:line="360" w:lineRule="auto"/>
        <w:jc w:val="both"/>
        <w:rPr>
          <w:rFonts w:ascii="Calibri" w:eastAsia="Calibri" w:hAnsi="Calibri" w:cs="Calibri"/>
          <w:color w:val="000000"/>
          <w:sz w:val="24"/>
          <w:szCs w:val="24"/>
          <w:lang w:val="en-US"/>
        </w:rPr>
      </w:pPr>
      <w:r w:rsidRPr="003A3D37">
        <w:rPr>
          <w:rFonts w:ascii="Calibri" w:eastAsia="Calibri" w:hAnsi="Calibri" w:cs="Calibri"/>
          <w:color w:val="000000"/>
          <w:sz w:val="24"/>
          <w:szCs w:val="24"/>
          <w:lang w:val="en-US"/>
        </w:rPr>
        <w:t>Liddle, D. (2021), Transformational Culture, UK: Kogan</w:t>
      </w:r>
    </w:p>
    <w:p w14:paraId="6BE2E224" w14:textId="77777777" w:rsidR="003A3D37" w:rsidRPr="003A3D37" w:rsidRDefault="003A3D37" w:rsidP="00D53390">
      <w:pPr>
        <w:spacing w:after="0" w:line="360" w:lineRule="auto"/>
        <w:jc w:val="both"/>
        <w:rPr>
          <w:rFonts w:ascii="Calibri" w:eastAsia="Calibri" w:hAnsi="Calibri" w:cs="Calibri"/>
          <w:color w:val="000000"/>
          <w:sz w:val="24"/>
          <w:szCs w:val="24"/>
          <w:lang w:val="en-US"/>
        </w:rPr>
      </w:pPr>
      <w:r w:rsidRPr="003A3D37">
        <w:rPr>
          <w:rFonts w:ascii="Calibri" w:eastAsia="Calibri" w:hAnsi="Calibri" w:cs="Calibri"/>
          <w:color w:val="000000"/>
          <w:sz w:val="24"/>
          <w:szCs w:val="24"/>
          <w:lang w:val="en-US"/>
        </w:rPr>
        <w:t xml:space="preserve">Marketscreener, 2024, ‘M&amp;S annual profit soars 58% as turnaround strategy delivers’, </w:t>
      </w:r>
      <w:r w:rsidRPr="003A3D37">
        <w:rPr>
          <w:rFonts w:ascii="Calibri" w:eastAsia="Calibri" w:hAnsi="Calibri" w:cs="Calibri"/>
          <w:i/>
          <w:iCs/>
          <w:color w:val="000000"/>
          <w:sz w:val="24"/>
          <w:szCs w:val="24"/>
          <w:lang w:val="en-US"/>
        </w:rPr>
        <w:t>Marketscreener</w:t>
      </w:r>
      <w:r w:rsidRPr="003A3D37">
        <w:rPr>
          <w:rFonts w:ascii="Calibri" w:eastAsia="Calibri" w:hAnsi="Calibri" w:cs="Calibri"/>
          <w:color w:val="000000"/>
          <w:sz w:val="24"/>
          <w:szCs w:val="24"/>
          <w:lang w:val="en-US"/>
        </w:rPr>
        <w:t>, 22 May. Available at: https://www.marketscreener.com/quote/stock/MARKS-SPENCER-GROUP-PLC-9590119/news/M-S-annual-profit-soars-58-as-turnaround-strategy-delivers-46789839/ (Accessed: 17 July 2025).</w:t>
      </w:r>
      <w:r w:rsidRPr="003A3D37">
        <w:rPr>
          <w:rFonts w:ascii="Calibri" w:eastAsia="Calibri" w:hAnsi="Calibri" w:cs="Calibri"/>
          <w:color w:val="000000"/>
          <w:sz w:val="24"/>
          <w:szCs w:val="24"/>
          <w:lang w:val="en-US"/>
        </w:rPr>
        <w:br/>
        <w:t xml:space="preserve">Onita, L., 2025, </w:t>
      </w:r>
      <w:r w:rsidRPr="003A3D37">
        <w:rPr>
          <w:rFonts w:ascii="Calibri" w:eastAsia="Calibri" w:hAnsi="Calibri" w:cs="Calibri"/>
          <w:i/>
          <w:iCs/>
          <w:color w:val="000000"/>
          <w:sz w:val="24"/>
          <w:szCs w:val="24"/>
          <w:lang w:val="en-US"/>
        </w:rPr>
        <w:t>FT on X: Retailers brace for new recycling scheme</w:t>
      </w:r>
      <w:r w:rsidRPr="003A3D37">
        <w:rPr>
          <w:rFonts w:ascii="Calibri" w:eastAsia="Calibri" w:hAnsi="Calibri" w:cs="Calibri"/>
          <w:color w:val="000000"/>
          <w:sz w:val="24"/>
          <w:szCs w:val="24"/>
          <w:lang w:val="en-US"/>
        </w:rPr>
        <w:t xml:space="preserve">, </w:t>
      </w:r>
      <w:r w:rsidRPr="003A3D37">
        <w:rPr>
          <w:rFonts w:ascii="Calibri" w:eastAsia="Calibri" w:hAnsi="Calibri" w:cs="Calibri"/>
          <w:i/>
          <w:iCs/>
          <w:color w:val="000000"/>
          <w:sz w:val="24"/>
          <w:szCs w:val="24"/>
          <w:lang w:val="en-US"/>
        </w:rPr>
        <w:t>X/FT4S</w:t>
      </w:r>
      <w:r w:rsidRPr="003A3D37">
        <w:rPr>
          <w:rFonts w:ascii="Calibri" w:eastAsia="Calibri" w:hAnsi="Calibri" w:cs="Calibri"/>
          <w:color w:val="000000"/>
          <w:sz w:val="24"/>
          <w:szCs w:val="24"/>
          <w:lang w:val="en-US"/>
        </w:rPr>
        <w:t>, 17 Jul. Available at: https://x.com/ft4s/status/1945877850806002104 (Accessed: 17 July 2025).</w:t>
      </w:r>
    </w:p>
    <w:p w14:paraId="7A0A6F78" w14:textId="77777777" w:rsidR="003A3D37" w:rsidRPr="003A3D37" w:rsidRDefault="003A3D37" w:rsidP="00D53390">
      <w:pPr>
        <w:spacing w:after="0" w:line="360" w:lineRule="auto"/>
        <w:jc w:val="both"/>
        <w:rPr>
          <w:rFonts w:ascii="Calibri" w:eastAsia="Calibri" w:hAnsi="Calibri" w:cs="Calibri"/>
          <w:color w:val="000000"/>
          <w:sz w:val="24"/>
          <w:szCs w:val="24"/>
          <w:lang w:val="en-US"/>
        </w:rPr>
      </w:pPr>
      <w:r w:rsidRPr="003A3D37">
        <w:rPr>
          <w:rFonts w:ascii="Calibri" w:eastAsia="Calibri" w:hAnsi="Calibri" w:cs="Calibri"/>
          <w:color w:val="000000"/>
          <w:sz w:val="24"/>
          <w:szCs w:val="24"/>
          <w:lang w:val="en-US"/>
        </w:rPr>
        <w:t xml:space="preserve">Marks &amp; Spencer Group Plc, 2021, </w:t>
      </w:r>
      <w:r w:rsidRPr="003A3D37">
        <w:rPr>
          <w:rFonts w:ascii="Calibri" w:eastAsia="Calibri" w:hAnsi="Calibri" w:cs="Calibri"/>
          <w:i/>
          <w:iCs/>
          <w:color w:val="000000"/>
          <w:sz w:val="24"/>
          <w:szCs w:val="24"/>
          <w:lang w:val="en-US"/>
        </w:rPr>
        <w:t>Annual Report 2021</w:t>
      </w:r>
      <w:r w:rsidRPr="003A3D37">
        <w:rPr>
          <w:rFonts w:ascii="Calibri" w:eastAsia="Calibri" w:hAnsi="Calibri" w:cs="Calibri"/>
          <w:color w:val="000000"/>
          <w:sz w:val="24"/>
          <w:szCs w:val="24"/>
          <w:lang w:val="en-US"/>
        </w:rPr>
        <w:t>, Marks &amp; Spencer Group Plc. Available at: https://corporate.marksandspencer.com/node/187 (Accessed: 17 July 2025).</w:t>
      </w:r>
    </w:p>
    <w:p w14:paraId="7D633A1D" w14:textId="77777777" w:rsidR="003A3D37" w:rsidRPr="003A3D37" w:rsidRDefault="003A3D37" w:rsidP="00D53390">
      <w:pPr>
        <w:spacing w:after="0" w:line="360" w:lineRule="auto"/>
        <w:jc w:val="both"/>
        <w:rPr>
          <w:rFonts w:ascii="Calibri" w:eastAsia="Calibri" w:hAnsi="Calibri" w:cs="Calibri"/>
          <w:color w:val="000000"/>
          <w:sz w:val="24"/>
          <w:szCs w:val="24"/>
          <w:lang w:val="en-US"/>
        </w:rPr>
      </w:pPr>
      <w:r w:rsidRPr="003A3D37">
        <w:rPr>
          <w:rFonts w:ascii="Calibri" w:eastAsia="Calibri" w:hAnsi="Calibri" w:cs="Calibri"/>
          <w:color w:val="000000"/>
          <w:sz w:val="24"/>
          <w:szCs w:val="24"/>
          <w:lang w:val="en-US"/>
        </w:rPr>
        <w:t xml:space="preserve">Marks &amp; Spencer Group Plc, 2021, </w:t>
      </w:r>
      <w:r w:rsidRPr="003A3D37">
        <w:rPr>
          <w:rFonts w:ascii="Calibri" w:eastAsia="Calibri" w:hAnsi="Calibri" w:cs="Calibri"/>
          <w:i/>
          <w:iCs/>
          <w:color w:val="000000"/>
          <w:sz w:val="24"/>
          <w:szCs w:val="24"/>
          <w:lang w:val="en-US"/>
        </w:rPr>
        <w:t>Plan A Report 2021</w:t>
      </w:r>
      <w:r w:rsidRPr="003A3D37">
        <w:rPr>
          <w:rFonts w:ascii="Calibri" w:eastAsia="Calibri" w:hAnsi="Calibri" w:cs="Calibri"/>
          <w:color w:val="000000"/>
          <w:sz w:val="24"/>
          <w:szCs w:val="24"/>
          <w:lang w:val="en-US"/>
        </w:rPr>
        <w:t>, Marks &amp; Spencer Group Plc. Available at: https://corporate.marksandspencer.com/sites/marksandspencer/files/Annual%20reports/plan-a-report-2021.pdf (Accessed: 17 July 2025).</w:t>
      </w:r>
    </w:p>
    <w:p w14:paraId="62B95D8C" w14:textId="77777777" w:rsidR="003A3D37" w:rsidRPr="003A3D37" w:rsidRDefault="003A3D37" w:rsidP="00D53390">
      <w:pPr>
        <w:spacing w:after="0" w:line="360" w:lineRule="auto"/>
        <w:jc w:val="both"/>
        <w:rPr>
          <w:rFonts w:ascii="Calibri" w:eastAsia="Calibri" w:hAnsi="Calibri" w:cs="Calibri"/>
          <w:color w:val="000000"/>
          <w:sz w:val="24"/>
          <w:szCs w:val="24"/>
          <w:lang w:val="en-US"/>
        </w:rPr>
      </w:pPr>
      <w:r w:rsidRPr="003A3D37">
        <w:rPr>
          <w:rFonts w:ascii="Calibri" w:eastAsia="Calibri" w:hAnsi="Calibri" w:cs="Calibri"/>
          <w:color w:val="000000"/>
          <w:sz w:val="24"/>
          <w:szCs w:val="24"/>
          <w:lang w:val="en-US"/>
        </w:rPr>
        <w:t xml:space="preserve">Marks &amp; Spencer Group Plc, 2023, </w:t>
      </w:r>
      <w:r w:rsidRPr="003A3D37">
        <w:rPr>
          <w:rFonts w:ascii="Calibri" w:eastAsia="Calibri" w:hAnsi="Calibri" w:cs="Calibri"/>
          <w:i/>
          <w:iCs/>
          <w:color w:val="000000"/>
          <w:sz w:val="24"/>
          <w:szCs w:val="24"/>
          <w:lang w:val="en-US"/>
        </w:rPr>
        <w:t>M</w:t>
      </w:r>
      <w:r w:rsidRPr="003A3D37">
        <w:rPr>
          <w:rFonts w:ascii="Calibri" w:eastAsia="Calibri" w:hAnsi="Calibri" w:cs="Calibri"/>
          <w:i/>
          <w:iCs/>
          <w:color w:val="000000"/>
          <w:sz w:val="24"/>
          <w:szCs w:val="24"/>
          <w:lang w:val="en-US"/>
        </w:rPr>
        <w:noBreakHyphen/>
        <w:t>and</w:t>
      </w:r>
      <w:r w:rsidRPr="003A3D37">
        <w:rPr>
          <w:rFonts w:ascii="Calibri" w:eastAsia="Calibri" w:hAnsi="Calibri" w:cs="Calibri"/>
          <w:i/>
          <w:iCs/>
          <w:color w:val="000000"/>
          <w:sz w:val="24"/>
          <w:szCs w:val="24"/>
          <w:lang w:val="en-US"/>
        </w:rPr>
        <w:noBreakHyphen/>
        <w:t>S 2023 Annual Report</w:t>
      </w:r>
      <w:r w:rsidRPr="003A3D37">
        <w:rPr>
          <w:rFonts w:ascii="Calibri" w:eastAsia="Calibri" w:hAnsi="Calibri" w:cs="Calibri"/>
          <w:color w:val="000000"/>
          <w:sz w:val="24"/>
          <w:szCs w:val="24"/>
          <w:lang w:val="en-US"/>
        </w:rPr>
        <w:t>, Marks &amp; Spencer Group Plc. Available at: https://corporate.marksandspencer.com/sites/marksandspencer/files/2023-06/M-and-S-2023-Annual-Report.pdf (Accessed: 17 July 2025).</w:t>
      </w:r>
    </w:p>
    <w:p w14:paraId="7C46BD2A" w14:textId="77777777" w:rsidR="003A3D37" w:rsidRPr="003A3D37" w:rsidRDefault="003A3D37" w:rsidP="00D53390">
      <w:pPr>
        <w:spacing w:after="0" w:line="360" w:lineRule="auto"/>
        <w:jc w:val="both"/>
        <w:rPr>
          <w:rFonts w:ascii="Calibri" w:eastAsia="Calibri" w:hAnsi="Calibri" w:cs="Calibri"/>
          <w:color w:val="000000"/>
          <w:sz w:val="24"/>
          <w:szCs w:val="24"/>
          <w:lang w:val="en-US"/>
        </w:rPr>
      </w:pPr>
      <w:r w:rsidRPr="003A3D37">
        <w:rPr>
          <w:rFonts w:ascii="Calibri" w:eastAsia="Calibri" w:hAnsi="Calibri" w:cs="Calibri"/>
          <w:color w:val="000000"/>
          <w:sz w:val="24"/>
          <w:szCs w:val="24"/>
          <w:lang w:val="en-US"/>
        </w:rPr>
        <w:t xml:space="preserve">Marks &amp; Spencer Group Plc, 2025, </w:t>
      </w:r>
      <w:r w:rsidRPr="003A3D37">
        <w:rPr>
          <w:rFonts w:ascii="Calibri" w:eastAsia="Calibri" w:hAnsi="Calibri" w:cs="Calibri"/>
          <w:i/>
          <w:iCs/>
          <w:color w:val="000000"/>
          <w:sz w:val="24"/>
          <w:szCs w:val="24"/>
          <w:lang w:val="en-US"/>
        </w:rPr>
        <w:t>2025 Annual Report</w:t>
      </w:r>
      <w:r w:rsidRPr="003A3D37">
        <w:rPr>
          <w:rFonts w:ascii="Calibri" w:eastAsia="Calibri" w:hAnsi="Calibri" w:cs="Calibri"/>
          <w:color w:val="000000"/>
          <w:sz w:val="24"/>
          <w:szCs w:val="24"/>
          <w:lang w:val="en-US"/>
        </w:rPr>
        <w:t>, Marks &amp; Spencer Group Plc. Available at: https://corporate.marksandspencer.com/investors/our-performance-updates/2025-annual-report (Accessed: 17 July 2025).</w:t>
      </w:r>
    </w:p>
    <w:p w14:paraId="40D3F762" w14:textId="77777777" w:rsidR="003A3D37" w:rsidRPr="003A3D37" w:rsidRDefault="003A3D37" w:rsidP="00D53390">
      <w:pPr>
        <w:spacing w:after="0" w:line="360" w:lineRule="auto"/>
        <w:jc w:val="both"/>
        <w:rPr>
          <w:rFonts w:ascii="Calibri" w:eastAsia="Calibri" w:hAnsi="Calibri" w:cs="Calibri"/>
          <w:color w:val="000000"/>
          <w:sz w:val="24"/>
          <w:szCs w:val="24"/>
          <w:lang w:val="en-US"/>
        </w:rPr>
      </w:pPr>
      <w:r w:rsidRPr="003A3D37">
        <w:rPr>
          <w:rFonts w:ascii="Calibri" w:eastAsia="Calibri" w:hAnsi="Calibri" w:cs="Calibri"/>
          <w:color w:val="000000"/>
          <w:sz w:val="24"/>
          <w:szCs w:val="24"/>
          <w:lang w:val="en-US"/>
        </w:rPr>
        <w:lastRenderedPageBreak/>
        <w:t xml:space="preserve">Marks &amp; Spencer Group Plc, 2025, </w:t>
      </w:r>
      <w:r w:rsidRPr="003A3D37">
        <w:rPr>
          <w:rFonts w:ascii="Calibri" w:eastAsia="Calibri" w:hAnsi="Calibri" w:cs="Calibri"/>
          <w:i/>
          <w:iCs/>
          <w:color w:val="000000"/>
          <w:sz w:val="24"/>
          <w:szCs w:val="24"/>
          <w:lang w:val="en-US"/>
        </w:rPr>
        <w:t>Results Reports, Webcasts &amp; Presentations</w:t>
      </w:r>
      <w:r w:rsidRPr="003A3D37">
        <w:rPr>
          <w:rFonts w:ascii="Calibri" w:eastAsia="Calibri" w:hAnsi="Calibri" w:cs="Calibri"/>
          <w:color w:val="000000"/>
          <w:sz w:val="24"/>
          <w:szCs w:val="24"/>
          <w:lang w:val="en-US"/>
        </w:rPr>
        <w:t>, Investors. Available at: https://corporate.marksandspencer.com/investors/our-performance-updates/results-reports-webcasts-presentations (Accessed: 17 July 2025).</w:t>
      </w:r>
    </w:p>
    <w:p w14:paraId="1EC63FA6" w14:textId="77777777" w:rsidR="003A3D37" w:rsidRPr="003A3D37" w:rsidRDefault="003A3D37" w:rsidP="00D53390">
      <w:pPr>
        <w:spacing w:after="0" w:line="360" w:lineRule="auto"/>
        <w:jc w:val="both"/>
        <w:rPr>
          <w:rFonts w:ascii="Calibri" w:eastAsia="Calibri" w:hAnsi="Calibri" w:cs="Calibri"/>
          <w:color w:val="000000"/>
          <w:sz w:val="24"/>
          <w:szCs w:val="24"/>
          <w:shd w:val="clear" w:color="auto" w:fill="FFFFFF"/>
          <w:lang w:val="en-US"/>
        </w:rPr>
      </w:pPr>
      <w:r w:rsidRPr="003A3D37">
        <w:rPr>
          <w:rFonts w:ascii="Calibri" w:eastAsia="Calibri" w:hAnsi="Calibri" w:cs="Calibri"/>
          <w:color w:val="000000"/>
          <w:sz w:val="24"/>
          <w:szCs w:val="24"/>
          <w:shd w:val="clear" w:color="auto" w:fill="FFFFFF"/>
          <w:lang w:val="en-US"/>
        </w:rPr>
        <w:t>Minz, N. K., Sha, A., &amp; Yadav, M. (2024). Adapting to Change: Strategic Evolution of Human Resource Management Practices in SMEs Amidst Shifting Market Dynamics. In </w:t>
      </w:r>
      <w:r w:rsidRPr="003A3D37">
        <w:rPr>
          <w:rFonts w:ascii="Calibri" w:eastAsia="Calibri" w:hAnsi="Calibri" w:cs="Calibri"/>
          <w:i/>
          <w:iCs/>
          <w:color w:val="000000"/>
          <w:sz w:val="24"/>
          <w:szCs w:val="24"/>
          <w:shd w:val="clear" w:color="auto" w:fill="FFFFFF"/>
          <w:lang w:val="en-US"/>
        </w:rPr>
        <w:t>Innovative Human Resource Management for SMEs</w:t>
      </w:r>
      <w:r w:rsidRPr="003A3D37">
        <w:rPr>
          <w:rFonts w:ascii="Calibri" w:eastAsia="Calibri" w:hAnsi="Calibri" w:cs="Calibri"/>
          <w:color w:val="000000"/>
          <w:sz w:val="24"/>
          <w:szCs w:val="24"/>
          <w:shd w:val="clear" w:color="auto" w:fill="FFFFFF"/>
          <w:lang w:val="en-US"/>
        </w:rPr>
        <w:t> (pp. 148-164). IGI Global Scientific Publishing.</w:t>
      </w:r>
      <w:r w:rsidRPr="003A3D37">
        <w:rPr>
          <w:rFonts w:ascii="Calibri" w:eastAsia="Calibri" w:hAnsi="Calibri" w:cs="Calibri"/>
          <w:color w:val="000000"/>
          <w:sz w:val="24"/>
          <w:szCs w:val="24"/>
          <w:lang w:val="en-US"/>
        </w:rPr>
        <w:t xml:space="preserve"> </w:t>
      </w:r>
      <w:hyperlink r:id="rId12" w:history="1">
        <w:r w:rsidRPr="003A3D37">
          <w:rPr>
            <w:rFonts w:ascii="Calibri" w:eastAsia="Calibri" w:hAnsi="Calibri" w:cs="Calibri"/>
            <w:color w:val="000000"/>
            <w:sz w:val="24"/>
            <w:szCs w:val="24"/>
            <w:u w:val="single"/>
            <w:shd w:val="clear" w:color="auto" w:fill="FFFFFF"/>
            <w:lang w:val="en-US"/>
          </w:rPr>
          <w:t>https://www.igi-global.com/chapter/adapting-to-change/337913</w:t>
        </w:r>
      </w:hyperlink>
      <w:r w:rsidRPr="003A3D37">
        <w:rPr>
          <w:rFonts w:ascii="Calibri" w:eastAsia="Calibri" w:hAnsi="Calibri" w:cs="Calibri"/>
          <w:color w:val="000000"/>
          <w:sz w:val="24"/>
          <w:szCs w:val="24"/>
          <w:shd w:val="clear" w:color="auto" w:fill="FFFFFF"/>
          <w:lang w:val="en-US"/>
        </w:rPr>
        <w:t xml:space="preserve"> </w:t>
      </w:r>
    </w:p>
    <w:p w14:paraId="36847D00" w14:textId="77777777" w:rsidR="003A3D37" w:rsidRPr="003A3D37" w:rsidRDefault="003A3D37" w:rsidP="00D53390">
      <w:pPr>
        <w:spacing w:after="0" w:line="360" w:lineRule="auto"/>
        <w:jc w:val="both"/>
        <w:rPr>
          <w:rFonts w:ascii="Calibri" w:eastAsia="Calibri" w:hAnsi="Calibri" w:cs="Calibri"/>
          <w:color w:val="000000"/>
          <w:sz w:val="24"/>
          <w:szCs w:val="24"/>
          <w:lang w:val="en-US"/>
        </w:rPr>
      </w:pPr>
      <w:r w:rsidRPr="003A3D37">
        <w:rPr>
          <w:rFonts w:ascii="Calibri" w:eastAsia="Calibri" w:hAnsi="Calibri" w:cs="Calibri"/>
          <w:color w:val="000000"/>
          <w:sz w:val="24"/>
          <w:szCs w:val="24"/>
          <w:lang w:val="en-US"/>
        </w:rPr>
        <w:t>Morrison, J. (2016), The Global Business Environment, (Fourth Edition), UK: Palgrave</w:t>
      </w:r>
    </w:p>
    <w:p w14:paraId="13BC3D99" w14:textId="77777777" w:rsidR="003A3D37" w:rsidRPr="003A3D37" w:rsidRDefault="003A3D37" w:rsidP="00D53390">
      <w:pPr>
        <w:spacing w:after="0" w:line="360" w:lineRule="auto"/>
        <w:jc w:val="both"/>
        <w:rPr>
          <w:rFonts w:ascii="Calibri" w:eastAsia="Calibri" w:hAnsi="Calibri" w:cs="Calibri"/>
          <w:color w:val="000000"/>
          <w:sz w:val="24"/>
          <w:szCs w:val="24"/>
          <w:shd w:val="clear" w:color="auto" w:fill="FFFFFF"/>
          <w:lang w:val="en-US"/>
        </w:rPr>
      </w:pPr>
      <w:r w:rsidRPr="003A3D37">
        <w:rPr>
          <w:rFonts w:ascii="Calibri" w:eastAsia="Calibri" w:hAnsi="Calibri" w:cs="Calibri"/>
          <w:color w:val="000000"/>
          <w:sz w:val="24"/>
          <w:szCs w:val="24"/>
          <w:shd w:val="clear" w:color="auto" w:fill="FFFFFF"/>
          <w:lang w:val="en-US"/>
        </w:rPr>
        <w:t>Moussa, T., Kotb, A., &amp; Helfaya, A. (2022). An empirical investigation of UK environmental targets disclosure: The role of environmental governance and performance. </w:t>
      </w:r>
      <w:r w:rsidRPr="003A3D37">
        <w:rPr>
          <w:rFonts w:ascii="Calibri" w:eastAsia="Calibri" w:hAnsi="Calibri" w:cs="Calibri"/>
          <w:i/>
          <w:iCs/>
          <w:color w:val="000000"/>
          <w:sz w:val="24"/>
          <w:szCs w:val="24"/>
          <w:shd w:val="clear" w:color="auto" w:fill="FFFFFF"/>
          <w:lang w:val="en-US"/>
        </w:rPr>
        <w:t>European Accounting Review</w:t>
      </w:r>
      <w:r w:rsidRPr="003A3D37">
        <w:rPr>
          <w:rFonts w:ascii="Calibri" w:eastAsia="Calibri" w:hAnsi="Calibri" w:cs="Calibri"/>
          <w:color w:val="000000"/>
          <w:sz w:val="24"/>
          <w:szCs w:val="24"/>
          <w:shd w:val="clear" w:color="auto" w:fill="FFFFFF"/>
          <w:lang w:val="en-US"/>
        </w:rPr>
        <w:t>, </w:t>
      </w:r>
      <w:r w:rsidRPr="003A3D37">
        <w:rPr>
          <w:rFonts w:ascii="Calibri" w:eastAsia="Calibri" w:hAnsi="Calibri" w:cs="Calibri"/>
          <w:i/>
          <w:iCs/>
          <w:color w:val="000000"/>
          <w:sz w:val="24"/>
          <w:szCs w:val="24"/>
          <w:shd w:val="clear" w:color="auto" w:fill="FFFFFF"/>
          <w:lang w:val="en-US"/>
        </w:rPr>
        <w:t>31</w:t>
      </w:r>
      <w:r w:rsidRPr="003A3D37">
        <w:rPr>
          <w:rFonts w:ascii="Calibri" w:eastAsia="Calibri" w:hAnsi="Calibri" w:cs="Calibri"/>
          <w:color w:val="000000"/>
          <w:sz w:val="24"/>
          <w:szCs w:val="24"/>
          <w:shd w:val="clear" w:color="auto" w:fill="FFFFFF"/>
          <w:lang w:val="en-US"/>
        </w:rPr>
        <w:t>(4), 937-971.</w:t>
      </w:r>
      <w:r w:rsidRPr="003A3D37">
        <w:rPr>
          <w:rFonts w:ascii="Calibri" w:eastAsia="Calibri" w:hAnsi="Calibri" w:cs="Calibri"/>
          <w:color w:val="000000"/>
          <w:sz w:val="24"/>
          <w:szCs w:val="24"/>
          <w:lang w:val="en-US"/>
        </w:rPr>
        <w:t xml:space="preserve"> </w:t>
      </w:r>
      <w:hyperlink r:id="rId13" w:history="1">
        <w:r w:rsidRPr="003A3D37">
          <w:rPr>
            <w:rFonts w:ascii="Calibri" w:eastAsia="Calibri" w:hAnsi="Calibri" w:cs="Calibri"/>
            <w:color w:val="000000"/>
            <w:sz w:val="24"/>
            <w:szCs w:val="24"/>
            <w:u w:val="single"/>
            <w:shd w:val="clear" w:color="auto" w:fill="FFFFFF"/>
            <w:lang w:val="en-US"/>
          </w:rPr>
          <w:t>https://www.tandfonline.com/doi/abs/10.1080/09638180.2021.1890173</w:t>
        </w:r>
      </w:hyperlink>
      <w:r w:rsidRPr="003A3D37">
        <w:rPr>
          <w:rFonts w:ascii="Calibri" w:eastAsia="Calibri" w:hAnsi="Calibri" w:cs="Calibri"/>
          <w:color w:val="000000"/>
          <w:sz w:val="24"/>
          <w:szCs w:val="24"/>
          <w:shd w:val="clear" w:color="auto" w:fill="FFFFFF"/>
          <w:lang w:val="en-US"/>
        </w:rPr>
        <w:t xml:space="preserve"> </w:t>
      </w:r>
    </w:p>
    <w:p w14:paraId="3793CCD5" w14:textId="77777777" w:rsidR="003A3D37" w:rsidRPr="003A3D37" w:rsidRDefault="003A3D37" w:rsidP="00D53390">
      <w:pPr>
        <w:spacing w:after="0" w:line="360" w:lineRule="auto"/>
        <w:jc w:val="both"/>
        <w:rPr>
          <w:rFonts w:ascii="Calibri" w:eastAsia="Calibri" w:hAnsi="Calibri" w:cs="Calibri"/>
          <w:color w:val="000000"/>
          <w:sz w:val="24"/>
          <w:szCs w:val="24"/>
          <w:lang w:val="en-US"/>
        </w:rPr>
      </w:pPr>
      <w:r w:rsidRPr="003A3D37">
        <w:rPr>
          <w:rFonts w:ascii="Calibri" w:eastAsia="Calibri" w:hAnsi="Calibri" w:cs="Calibri"/>
          <w:color w:val="000000"/>
          <w:sz w:val="24"/>
          <w:szCs w:val="24"/>
          <w:lang w:val="en-US"/>
        </w:rPr>
        <w:t>Mullins, L.J. (2019), Organisational Behaviour in the Workplace, (Twelfth Edition), Harlow: Pearson</w:t>
      </w:r>
    </w:p>
    <w:p w14:paraId="3C25CE56" w14:textId="77777777" w:rsidR="003A3D37" w:rsidRPr="003A3D37" w:rsidRDefault="003A3D37" w:rsidP="00D53390">
      <w:pPr>
        <w:spacing w:after="0" w:line="360" w:lineRule="auto"/>
        <w:jc w:val="both"/>
        <w:rPr>
          <w:rFonts w:ascii="Calibri" w:eastAsia="Calibri" w:hAnsi="Calibri" w:cs="Calibri"/>
          <w:color w:val="000000"/>
          <w:sz w:val="24"/>
          <w:szCs w:val="24"/>
          <w:lang w:val="en-US"/>
        </w:rPr>
      </w:pPr>
      <w:r w:rsidRPr="003A3D37">
        <w:rPr>
          <w:rFonts w:ascii="Calibri" w:eastAsia="Calibri" w:hAnsi="Calibri" w:cs="Calibri"/>
          <w:color w:val="000000"/>
          <w:sz w:val="24"/>
          <w:szCs w:val="24"/>
          <w:lang w:val="en-US"/>
        </w:rPr>
        <w:t xml:space="preserve">Onita, L., 2025, ‘Retailers brace for new recycling scheme’, </w:t>
      </w:r>
      <w:r w:rsidRPr="003A3D37">
        <w:rPr>
          <w:rFonts w:ascii="Calibri" w:eastAsia="Calibri" w:hAnsi="Calibri" w:cs="Calibri"/>
          <w:i/>
          <w:iCs/>
          <w:color w:val="000000"/>
          <w:sz w:val="24"/>
          <w:szCs w:val="24"/>
          <w:lang w:val="en-US"/>
        </w:rPr>
        <w:t>Financial Times</w:t>
      </w:r>
      <w:r w:rsidRPr="003A3D37">
        <w:rPr>
          <w:rFonts w:ascii="Calibri" w:eastAsia="Calibri" w:hAnsi="Calibri" w:cs="Calibri"/>
          <w:color w:val="000000"/>
          <w:sz w:val="24"/>
          <w:szCs w:val="24"/>
          <w:lang w:val="en-US"/>
        </w:rPr>
        <w:t>, 17 July. Available at: https://www.ft.com/content/a46f71d9-66a2-4a6e-b70c-5452def221b2 (Accessed: 17 July 2025).</w:t>
      </w:r>
      <w:r w:rsidRPr="003A3D37">
        <w:rPr>
          <w:rFonts w:ascii="Calibri" w:eastAsia="Calibri" w:hAnsi="Calibri" w:cs="Calibri"/>
          <w:color w:val="000000"/>
          <w:sz w:val="24"/>
          <w:szCs w:val="24"/>
          <w:lang w:val="en-US"/>
        </w:rPr>
        <w:br/>
        <w:t>FT Staff, 2025, ‘Marks &amp; Spencer faces £40mn recycling</w:t>
      </w:r>
      <w:r w:rsidRPr="003A3D37">
        <w:rPr>
          <w:rFonts w:ascii="Calibri" w:eastAsia="Calibri" w:hAnsi="Calibri" w:cs="Calibri"/>
          <w:color w:val="000000"/>
          <w:sz w:val="24"/>
          <w:szCs w:val="24"/>
          <w:lang w:val="en-US"/>
        </w:rPr>
        <w:noBreakHyphen/>
        <w:t xml:space="preserve">tax bill as retailers brace for £2bn costs’, </w:t>
      </w:r>
      <w:r w:rsidRPr="003A3D37">
        <w:rPr>
          <w:rFonts w:ascii="Calibri" w:eastAsia="Calibri" w:hAnsi="Calibri" w:cs="Calibri"/>
          <w:i/>
          <w:iCs/>
          <w:color w:val="000000"/>
          <w:sz w:val="24"/>
          <w:szCs w:val="24"/>
          <w:lang w:val="en-US"/>
        </w:rPr>
        <w:t>Financial Times</w:t>
      </w:r>
      <w:r w:rsidRPr="003A3D37">
        <w:rPr>
          <w:rFonts w:ascii="Calibri" w:eastAsia="Calibri" w:hAnsi="Calibri" w:cs="Calibri"/>
          <w:color w:val="000000"/>
          <w:sz w:val="24"/>
          <w:szCs w:val="24"/>
          <w:lang w:val="en-US"/>
        </w:rPr>
        <w:t>, Feb. Available at: https://www.ft.com/content/e5ed2e6e-0c00-4399-9acd-ac193a801623 (Accessed: 17 July 2025).</w:t>
      </w:r>
      <w:r w:rsidRPr="003A3D37">
        <w:rPr>
          <w:rFonts w:ascii="Calibri" w:eastAsia="Calibri" w:hAnsi="Calibri" w:cs="Calibri"/>
          <w:color w:val="000000"/>
          <w:sz w:val="24"/>
          <w:szCs w:val="24"/>
          <w:lang w:val="en-US"/>
        </w:rPr>
        <w:br/>
        <w:t xml:space="preserve">Financial Times, 2025, ‘EU cracks down on fast fashion and food waste’, </w:t>
      </w:r>
      <w:r w:rsidRPr="003A3D37">
        <w:rPr>
          <w:rFonts w:ascii="Calibri" w:eastAsia="Calibri" w:hAnsi="Calibri" w:cs="Calibri"/>
          <w:i/>
          <w:iCs/>
          <w:color w:val="000000"/>
          <w:sz w:val="24"/>
          <w:szCs w:val="24"/>
          <w:lang w:val="en-US"/>
        </w:rPr>
        <w:t>Financial Times</w:t>
      </w:r>
      <w:r w:rsidRPr="003A3D37">
        <w:rPr>
          <w:rFonts w:ascii="Calibri" w:eastAsia="Calibri" w:hAnsi="Calibri" w:cs="Calibri"/>
          <w:color w:val="000000"/>
          <w:sz w:val="24"/>
          <w:szCs w:val="24"/>
          <w:lang w:val="en-US"/>
        </w:rPr>
        <w:t>, 19 Feb. Available at: https://www.ft.com/content/044a6437-6534-457b-a3bf-7022b7770cf7 (Accessed: 17 July 2025).</w:t>
      </w:r>
      <w:r w:rsidRPr="003A3D37">
        <w:rPr>
          <w:rFonts w:ascii="Calibri" w:eastAsia="Calibri" w:hAnsi="Calibri" w:cs="Calibri"/>
          <w:color w:val="000000"/>
          <w:sz w:val="24"/>
          <w:szCs w:val="24"/>
          <w:lang w:val="en-US"/>
        </w:rPr>
        <w:br/>
        <w:t xml:space="preserve">Davey, J., 2024, ‘M&amp;S’s profit soars 58% as a turnaround plan finally delivers’, </w:t>
      </w:r>
      <w:r w:rsidRPr="003A3D37">
        <w:rPr>
          <w:rFonts w:ascii="Calibri" w:eastAsia="Calibri" w:hAnsi="Calibri" w:cs="Calibri"/>
          <w:i/>
          <w:iCs/>
          <w:color w:val="000000"/>
          <w:sz w:val="24"/>
          <w:szCs w:val="24"/>
          <w:lang w:val="en-US"/>
        </w:rPr>
        <w:t>Reuters</w:t>
      </w:r>
      <w:r w:rsidRPr="003A3D37">
        <w:rPr>
          <w:rFonts w:ascii="Calibri" w:eastAsia="Calibri" w:hAnsi="Calibri" w:cs="Calibri"/>
          <w:color w:val="000000"/>
          <w:sz w:val="24"/>
          <w:szCs w:val="24"/>
          <w:lang w:val="en-US"/>
        </w:rPr>
        <w:t>, 22 May. Available at: https://www.reuters.com/markets/europe/mss-profit-soars-58-turnaround-plan-finally-delivers-2024-05-22/ (Accessed: 17 July 2025).</w:t>
      </w:r>
      <w:r w:rsidRPr="003A3D37">
        <w:rPr>
          <w:rFonts w:ascii="Calibri" w:eastAsia="Calibri" w:hAnsi="Calibri" w:cs="Calibri"/>
          <w:color w:val="000000"/>
          <w:sz w:val="24"/>
          <w:szCs w:val="24"/>
          <w:lang w:val="en-US"/>
        </w:rPr>
        <w:br/>
        <w:t xml:space="preserve">Reuters Video, 2025, ‘M&amp;S annual profit soars 58%’, </w:t>
      </w:r>
      <w:r w:rsidRPr="003A3D37">
        <w:rPr>
          <w:rFonts w:ascii="Calibri" w:eastAsia="Calibri" w:hAnsi="Calibri" w:cs="Calibri"/>
          <w:i/>
          <w:iCs/>
          <w:color w:val="000000"/>
          <w:sz w:val="24"/>
          <w:szCs w:val="24"/>
          <w:lang w:val="en-US"/>
        </w:rPr>
        <w:t>Reuters (video)</w:t>
      </w:r>
      <w:r w:rsidRPr="003A3D37">
        <w:rPr>
          <w:rFonts w:ascii="Calibri" w:eastAsia="Calibri" w:hAnsi="Calibri" w:cs="Calibri"/>
          <w:color w:val="000000"/>
          <w:sz w:val="24"/>
          <w:szCs w:val="24"/>
          <w:lang w:val="en-US"/>
        </w:rPr>
        <w:t>, published date unclear. Available at: https://www.reuters.com/video/watch/idRW464322052024RP1/ (Accessed: 17 July 2025).</w:t>
      </w:r>
      <w:r w:rsidRPr="003A3D37">
        <w:rPr>
          <w:rFonts w:ascii="Calibri" w:eastAsia="Calibri" w:hAnsi="Calibri" w:cs="Calibri"/>
          <w:color w:val="000000"/>
          <w:sz w:val="24"/>
          <w:szCs w:val="24"/>
          <w:lang w:val="en-US"/>
        </w:rPr>
        <w:br/>
      </w:r>
      <w:r w:rsidRPr="003A3D37">
        <w:rPr>
          <w:rFonts w:ascii="Calibri" w:eastAsia="Calibri" w:hAnsi="Calibri" w:cs="Calibri"/>
          <w:color w:val="000000"/>
          <w:sz w:val="24"/>
          <w:szCs w:val="24"/>
          <w:lang w:val="en-US"/>
        </w:rPr>
        <w:lastRenderedPageBreak/>
        <w:t xml:space="preserve">Swissinfo, 2024, ‘M&amp;S’s profit soars 58% as turnaround strategy delivers’, </w:t>
      </w:r>
      <w:r w:rsidRPr="003A3D37">
        <w:rPr>
          <w:rFonts w:ascii="Calibri" w:eastAsia="Calibri" w:hAnsi="Calibri" w:cs="Calibri"/>
          <w:i/>
          <w:iCs/>
          <w:color w:val="000000"/>
          <w:sz w:val="24"/>
          <w:szCs w:val="24"/>
          <w:lang w:val="en-US"/>
        </w:rPr>
        <w:t>Swissinfo</w:t>
      </w:r>
      <w:r w:rsidRPr="003A3D37">
        <w:rPr>
          <w:rFonts w:ascii="Calibri" w:eastAsia="Calibri" w:hAnsi="Calibri" w:cs="Calibri"/>
          <w:color w:val="000000"/>
          <w:sz w:val="24"/>
          <w:szCs w:val="24"/>
          <w:lang w:val="en-US"/>
        </w:rPr>
        <w:t>, republishing Reuters. Available at: https://www.swissinfo.ch/eng/m%26s%27s-profit-soars-58%25-as-turnaround-plan-finally-delivers/78270761 (Accessed: 17 July 2025).</w:t>
      </w:r>
      <w:r w:rsidRPr="003A3D37">
        <w:rPr>
          <w:rFonts w:ascii="Calibri" w:eastAsia="Calibri" w:hAnsi="Calibri" w:cs="Calibri"/>
          <w:color w:val="000000"/>
          <w:sz w:val="24"/>
          <w:szCs w:val="24"/>
          <w:lang w:val="en-US"/>
        </w:rPr>
        <w:br/>
        <w:t xml:space="preserve">Yahoo News UK, 2024, ‘M&amp;S's profit soars 58% as a turnaround plan finally delivers’, </w:t>
      </w:r>
      <w:r w:rsidRPr="003A3D37">
        <w:rPr>
          <w:rFonts w:ascii="Calibri" w:eastAsia="Calibri" w:hAnsi="Calibri" w:cs="Calibri"/>
          <w:i/>
          <w:iCs/>
          <w:color w:val="000000"/>
          <w:sz w:val="24"/>
          <w:szCs w:val="24"/>
          <w:lang w:val="en-US"/>
        </w:rPr>
        <w:t>Yahoo News UK</w:t>
      </w:r>
      <w:r w:rsidRPr="003A3D37">
        <w:rPr>
          <w:rFonts w:ascii="Calibri" w:eastAsia="Calibri" w:hAnsi="Calibri" w:cs="Calibri"/>
          <w:color w:val="000000"/>
          <w:sz w:val="24"/>
          <w:szCs w:val="24"/>
          <w:lang w:val="en-US"/>
        </w:rPr>
        <w:t xml:space="preserve">, republished Reuters. Available at: </w:t>
      </w:r>
      <w:hyperlink r:id="rId14" w:history="1">
        <w:r w:rsidRPr="003A3D37">
          <w:rPr>
            <w:rFonts w:ascii="Calibri" w:eastAsia="DengXian" w:hAnsi="Calibri" w:cs="Calibri"/>
            <w:color w:val="000000"/>
            <w:sz w:val="24"/>
            <w:szCs w:val="24"/>
            <w:u w:val="single"/>
            <w:lang w:val="en-US"/>
          </w:rPr>
          <w:t>https://uk.news.yahoo.com/m-annual-profit-soars-58-060702534.html</w:t>
        </w:r>
      </w:hyperlink>
      <w:r w:rsidRPr="003A3D37">
        <w:rPr>
          <w:rFonts w:ascii="Calibri" w:eastAsia="Calibri" w:hAnsi="Calibri" w:cs="Calibri"/>
          <w:color w:val="000000"/>
          <w:sz w:val="24"/>
          <w:szCs w:val="24"/>
          <w:lang w:val="en-US"/>
        </w:rPr>
        <w:t xml:space="preserve"> (Accessed: 17 July 2025).</w:t>
      </w:r>
    </w:p>
    <w:p w14:paraId="1169939C" w14:textId="77777777" w:rsidR="003A3D37" w:rsidRPr="003A3D37" w:rsidRDefault="003A3D37" w:rsidP="00D53390">
      <w:pPr>
        <w:spacing w:after="0" w:line="360" w:lineRule="auto"/>
        <w:jc w:val="both"/>
        <w:rPr>
          <w:rFonts w:ascii="Calibri" w:eastAsia="Calibri" w:hAnsi="Calibri" w:cs="Calibri"/>
          <w:color w:val="000000"/>
          <w:sz w:val="24"/>
          <w:szCs w:val="24"/>
          <w:shd w:val="clear" w:color="auto" w:fill="FFFFFF"/>
          <w:lang w:val="en-US"/>
        </w:rPr>
      </w:pPr>
      <w:r w:rsidRPr="003A3D37">
        <w:rPr>
          <w:rFonts w:ascii="Calibri" w:eastAsia="Calibri" w:hAnsi="Calibri" w:cs="Calibri"/>
          <w:color w:val="000000"/>
          <w:sz w:val="24"/>
          <w:szCs w:val="24"/>
          <w:shd w:val="clear" w:color="auto" w:fill="FFFFFF"/>
          <w:lang w:val="en-US"/>
        </w:rPr>
        <w:t>Paavola, L., &amp; Cuthbertson, R. (2022). Redefining capabilities as drivers of adaptation, incremental change, and transformation: Recognizing the importance of strategic and operational intent on performance. </w:t>
      </w:r>
      <w:r w:rsidRPr="003A3D37">
        <w:rPr>
          <w:rFonts w:ascii="Calibri" w:eastAsia="Calibri" w:hAnsi="Calibri" w:cs="Calibri"/>
          <w:i/>
          <w:iCs/>
          <w:color w:val="000000"/>
          <w:sz w:val="24"/>
          <w:szCs w:val="24"/>
          <w:shd w:val="clear" w:color="auto" w:fill="FFFFFF"/>
          <w:lang w:val="en-US"/>
        </w:rPr>
        <w:t>Journal of Management &amp; Organization</w:t>
      </w:r>
      <w:r w:rsidRPr="003A3D37">
        <w:rPr>
          <w:rFonts w:ascii="Calibri" w:eastAsia="Calibri" w:hAnsi="Calibri" w:cs="Calibri"/>
          <w:color w:val="000000"/>
          <w:sz w:val="24"/>
          <w:szCs w:val="24"/>
          <w:shd w:val="clear" w:color="auto" w:fill="FFFFFF"/>
          <w:lang w:val="en-US"/>
        </w:rPr>
        <w:t>, </w:t>
      </w:r>
      <w:r w:rsidRPr="003A3D37">
        <w:rPr>
          <w:rFonts w:ascii="Calibri" w:eastAsia="Calibri" w:hAnsi="Calibri" w:cs="Calibri"/>
          <w:i/>
          <w:iCs/>
          <w:color w:val="000000"/>
          <w:sz w:val="24"/>
          <w:szCs w:val="24"/>
          <w:shd w:val="clear" w:color="auto" w:fill="FFFFFF"/>
          <w:lang w:val="en-US"/>
        </w:rPr>
        <w:t>28</w:t>
      </w:r>
      <w:r w:rsidRPr="003A3D37">
        <w:rPr>
          <w:rFonts w:ascii="Calibri" w:eastAsia="Calibri" w:hAnsi="Calibri" w:cs="Calibri"/>
          <w:color w:val="000000"/>
          <w:sz w:val="24"/>
          <w:szCs w:val="24"/>
          <w:shd w:val="clear" w:color="auto" w:fill="FFFFFF"/>
          <w:lang w:val="en-US"/>
        </w:rPr>
        <w:t>(3), 522-539.</w:t>
      </w:r>
      <w:r w:rsidRPr="003A3D37">
        <w:rPr>
          <w:rFonts w:ascii="Calibri" w:eastAsia="Calibri" w:hAnsi="Calibri" w:cs="Calibri"/>
          <w:color w:val="000000"/>
          <w:sz w:val="24"/>
          <w:szCs w:val="24"/>
          <w:lang w:val="en-US"/>
        </w:rPr>
        <w:t xml:space="preserve"> </w:t>
      </w:r>
      <w:hyperlink r:id="rId15" w:history="1">
        <w:r w:rsidRPr="003A3D37">
          <w:rPr>
            <w:rFonts w:ascii="Calibri" w:eastAsia="Calibri" w:hAnsi="Calibri" w:cs="Calibri"/>
            <w:color w:val="000000"/>
            <w:sz w:val="24"/>
            <w:szCs w:val="24"/>
            <w:u w:val="single"/>
            <w:shd w:val="clear" w:color="auto" w:fill="FFFFFF"/>
            <w:lang w:val="en-US"/>
          </w:rPr>
          <w:t>https://www.cambridge.org/core/journals/journal-of-management-and-organization/article/redefining-capabilities-as-drivers-of-adaptation-incremental-change-and-transformation-recognizing-the-importance-of-strategic-and-operational-intent-on-performance/B576AAA46B63F596DDB43C856D4F06DC</w:t>
        </w:r>
      </w:hyperlink>
      <w:r w:rsidRPr="003A3D37">
        <w:rPr>
          <w:rFonts w:ascii="Calibri" w:eastAsia="Calibri" w:hAnsi="Calibri" w:cs="Calibri"/>
          <w:color w:val="000000"/>
          <w:sz w:val="24"/>
          <w:szCs w:val="24"/>
          <w:shd w:val="clear" w:color="auto" w:fill="FFFFFF"/>
          <w:lang w:val="en-US"/>
        </w:rPr>
        <w:t xml:space="preserve"> </w:t>
      </w:r>
    </w:p>
    <w:p w14:paraId="1A507D66" w14:textId="77777777" w:rsidR="003A3D37" w:rsidRPr="003A3D37" w:rsidRDefault="003A3D37" w:rsidP="00D53390">
      <w:pPr>
        <w:spacing w:after="0" w:line="360" w:lineRule="auto"/>
        <w:jc w:val="both"/>
        <w:rPr>
          <w:rFonts w:ascii="Calibri" w:eastAsia="Calibri" w:hAnsi="Calibri" w:cs="Calibri"/>
          <w:color w:val="000000"/>
          <w:sz w:val="24"/>
          <w:szCs w:val="24"/>
          <w:shd w:val="clear" w:color="auto" w:fill="FFFFFF"/>
          <w:lang w:val="en-US"/>
        </w:rPr>
      </w:pPr>
      <w:r w:rsidRPr="003A3D37">
        <w:rPr>
          <w:rFonts w:ascii="Calibri" w:eastAsia="Calibri" w:hAnsi="Calibri" w:cs="Calibri"/>
          <w:color w:val="000000"/>
          <w:sz w:val="24"/>
          <w:szCs w:val="24"/>
          <w:shd w:val="clear" w:color="auto" w:fill="FFFFFF"/>
          <w:lang w:val="it-IT"/>
        </w:rPr>
        <w:t xml:space="preserve">Patrucco, A. S., Dimand, A. M., Agasisti, T., Benedetti, M., Gaeta, M., &amp; Tangi, L. (2025). </w:t>
      </w:r>
      <w:r w:rsidRPr="003A3D37">
        <w:rPr>
          <w:rFonts w:ascii="Calibri" w:eastAsia="Calibri" w:hAnsi="Calibri" w:cs="Calibri"/>
          <w:color w:val="000000"/>
          <w:sz w:val="24"/>
          <w:szCs w:val="24"/>
          <w:shd w:val="clear" w:color="auto" w:fill="FFFFFF"/>
          <w:lang w:val="en-US"/>
        </w:rPr>
        <w:t>Managing public sector innovation for a better society: the case of public procurement of innovation. </w:t>
      </w:r>
      <w:r w:rsidRPr="003A3D37">
        <w:rPr>
          <w:rFonts w:ascii="Calibri" w:eastAsia="Calibri" w:hAnsi="Calibri" w:cs="Calibri"/>
          <w:i/>
          <w:iCs/>
          <w:color w:val="000000"/>
          <w:sz w:val="24"/>
          <w:szCs w:val="24"/>
          <w:shd w:val="clear" w:color="auto" w:fill="FFFFFF"/>
          <w:lang w:val="en-US"/>
        </w:rPr>
        <w:t>Production Planning &amp; Control</w:t>
      </w:r>
      <w:r w:rsidRPr="003A3D37">
        <w:rPr>
          <w:rFonts w:ascii="Calibri" w:eastAsia="Calibri" w:hAnsi="Calibri" w:cs="Calibri"/>
          <w:color w:val="000000"/>
          <w:sz w:val="24"/>
          <w:szCs w:val="24"/>
          <w:shd w:val="clear" w:color="auto" w:fill="FFFFFF"/>
          <w:lang w:val="en-US"/>
        </w:rPr>
        <w:t>, 1-19.</w:t>
      </w:r>
      <w:r w:rsidRPr="003A3D37">
        <w:rPr>
          <w:rFonts w:ascii="Calibri" w:eastAsia="Calibri" w:hAnsi="Calibri" w:cs="Calibri"/>
          <w:color w:val="000000"/>
          <w:sz w:val="24"/>
          <w:szCs w:val="24"/>
          <w:lang w:val="en-US"/>
        </w:rPr>
        <w:t xml:space="preserve"> </w:t>
      </w:r>
      <w:hyperlink r:id="rId16" w:history="1">
        <w:r w:rsidRPr="003A3D37">
          <w:rPr>
            <w:rFonts w:ascii="Calibri" w:eastAsia="Calibri" w:hAnsi="Calibri" w:cs="Calibri"/>
            <w:color w:val="000000"/>
            <w:sz w:val="24"/>
            <w:szCs w:val="24"/>
            <w:u w:val="single"/>
            <w:shd w:val="clear" w:color="auto" w:fill="FFFFFF"/>
            <w:lang w:val="en-US"/>
          </w:rPr>
          <w:t>https://www.tandfonline.com/doi/abs/10.1080/09537287.2025.2475286</w:t>
        </w:r>
      </w:hyperlink>
      <w:r w:rsidRPr="003A3D37">
        <w:rPr>
          <w:rFonts w:ascii="Calibri" w:eastAsia="Calibri" w:hAnsi="Calibri" w:cs="Calibri"/>
          <w:color w:val="000000"/>
          <w:sz w:val="24"/>
          <w:szCs w:val="24"/>
          <w:shd w:val="clear" w:color="auto" w:fill="FFFFFF"/>
          <w:lang w:val="en-US"/>
        </w:rPr>
        <w:t xml:space="preserve"> </w:t>
      </w:r>
    </w:p>
    <w:p w14:paraId="1CE76E99" w14:textId="77777777" w:rsidR="003A3D37" w:rsidRPr="003A3D37" w:rsidRDefault="003A3D37" w:rsidP="00D53390">
      <w:pPr>
        <w:spacing w:after="0" w:line="360" w:lineRule="auto"/>
        <w:jc w:val="both"/>
        <w:rPr>
          <w:rFonts w:ascii="Calibri" w:eastAsia="Calibri" w:hAnsi="Calibri" w:cs="Calibri"/>
          <w:color w:val="000000"/>
          <w:sz w:val="24"/>
          <w:szCs w:val="24"/>
          <w:lang w:val="en-US"/>
        </w:rPr>
      </w:pPr>
      <w:r w:rsidRPr="003A3D37">
        <w:rPr>
          <w:rFonts w:ascii="Calibri" w:eastAsia="Calibri" w:hAnsi="Calibri" w:cs="Calibri"/>
          <w:color w:val="000000"/>
          <w:sz w:val="24"/>
          <w:szCs w:val="24"/>
          <w:lang w:val="en-US"/>
        </w:rPr>
        <w:t>Pullan, P. (2022), Virtual Leadership, (Second Edition), UK: Kogan</w:t>
      </w:r>
    </w:p>
    <w:p w14:paraId="758AB46D" w14:textId="77777777" w:rsidR="003A3D37" w:rsidRPr="003A3D37" w:rsidRDefault="003A3D37" w:rsidP="00D53390">
      <w:pPr>
        <w:spacing w:after="0" w:line="360" w:lineRule="auto"/>
        <w:jc w:val="both"/>
        <w:rPr>
          <w:rFonts w:ascii="Calibri" w:eastAsia="Calibri" w:hAnsi="Calibri" w:cs="Calibri"/>
          <w:color w:val="000000"/>
          <w:sz w:val="24"/>
          <w:szCs w:val="24"/>
          <w:lang w:val="en-US"/>
        </w:rPr>
      </w:pPr>
      <w:r w:rsidRPr="003A3D37">
        <w:rPr>
          <w:rFonts w:ascii="Calibri" w:eastAsia="Calibri" w:hAnsi="Calibri" w:cs="Calibri"/>
          <w:color w:val="000000"/>
          <w:sz w:val="24"/>
          <w:szCs w:val="24"/>
          <w:lang w:val="en-US"/>
        </w:rPr>
        <w:t>Ramakrishnan, K. (2013), Managerial Leadership in Multicultural Organisations, uk: Prentice-Hall</w:t>
      </w:r>
    </w:p>
    <w:p w14:paraId="6538B96C" w14:textId="77777777" w:rsidR="003A3D37" w:rsidRPr="003A3D37" w:rsidRDefault="003A3D37" w:rsidP="00D53390">
      <w:pPr>
        <w:spacing w:after="0" w:line="360" w:lineRule="auto"/>
        <w:jc w:val="both"/>
        <w:rPr>
          <w:rFonts w:ascii="Calibri" w:eastAsia="Calibri" w:hAnsi="Calibri" w:cs="Calibri"/>
          <w:color w:val="000000"/>
          <w:sz w:val="24"/>
          <w:szCs w:val="24"/>
          <w:shd w:val="clear" w:color="auto" w:fill="FFFFFF"/>
          <w:lang w:val="en-US"/>
        </w:rPr>
      </w:pPr>
      <w:r w:rsidRPr="003A3D37">
        <w:rPr>
          <w:rFonts w:ascii="Calibri" w:eastAsia="Calibri" w:hAnsi="Calibri" w:cs="Calibri"/>
          <w:color w:val="000000"/>
          <w:sz w:val="24"/>
          <w:szCs w:val="24"/>
          <w:shd w:val="clear" w:color="auto" w:fill="FFFFFF"/>
          <w:lang w:val="en-US"/>
        </w:rPr>
        <w:t>Razzak, M. R. (2023). Mediating effect of productivity between sustainable supply chain management practices and competitive advantage: Evidence from apparel manufacturing in Bangladesh. </w:t>
      </w:r>
      <w:r w:rsidRPr="003A3D37">
        <w:rPr>
          <w:rFonts w:ascii="Calibri" w:eastAsia="Calibri" w:hAnsi="Calibri" w:cs="Calibri"/>
          <w:i/>
          <w:iCs/>
          <w:color w:val="000000"/>
          <w:sz w:val="24"/>
          <w:szCs w:val="24"/>
          <w:shd w:val="clear" w:color="auto" w:fill="FFFFFF"/>
          <w:lang w:val="en-US"/>
        </w:rPr>
        <w:t>Management of Environmental Quality: An International Journal</w:t>
      </w:r>
      <w:r w:rsidRPr="003A3D37">
        <w:rPr>
          <w:rFonts w:ascii="Calibri" w:eastAsia="Calibri" w:hAnsi="Calibri" w:cs="Calibri"/>
          <w:color w:val="000000"/>
          <w:sz w:val="24"/>
          <w:szCs w:val="24"/>
          <w:shd w:val="clear" w:color="auto" w:fill="FFFFFF"/>
          <w:lang w:val="en-US"/>
        </w:rPr>
        <w:t>, </w:t>
      </w:r>
      <w:r w:rsidRPr="003A3D37">
        <w:rPr>
          <w:rFonts w:ascii="Calibri" w:eastAsia="Calibri" w:hAnsi="Calibri" w:cs="Calibri"/>
          <w:i/>
          <w:iCs/>
          <w:color w:val="000000"/>
          <w:sz w:val="24"/>
          <w:szCs w:val="24"/>
          <w:shd w:val="clear" w:color="auto" w:fill="FFFFFF"/>
          <w:lang w:val="en-US"/>
        </w:rPr>
        <w:t>34</w:t>
      </w:r>
      <w:r w:rsidRPr="003A3D37">
        <w:rPr>
          <w:rFonts w:ascii="Calibri" w:eastAsia="Calibri" w:hAnsi="Calibri" w:cs="Calibri"/>
          <w:color w:val="000000"/>
          <w:sz w:val="24"/>
          <w:szCs w:val="24"/>
          <w:shd w:val="clear" w:color="auto" w:fill="FFFFFF"/>
          <w:lang w:val="en-US"/>
        </w:rPr>
        <w:t>(2), 428-445.</w:t>
      </w:r>
      <w:r w:rsidRPr="003A3D37">
        <w:rPr>
          <w:rFonts w:ascii="Calibri" w:eastAsia="Calibri" w:hAnsi="Calibri" w:cs="Calibri"/>
          <w:color w:val="000000"/>
          <w:sz w:val="24"/>
          <w:szCs w:val="24"/>
          <w:lang w:val="en-US"/>
        </w:rPr>
        <w:t xml:space="preserve"> </w:t>
      </w:r>
      <w:hyperlink r:id="rId17" w:history="1">
        <w:r w:rsidRPr="003A3D37">
          <w:rPr>
            <w:rFonts w:ascii="Calibri" w:eastAsia="Calibri" w:hAnsi="Calibri" w:cs="Calibri"/>
            <w:color w:val="000000"/>
            <w:sz w:val="24"/>
            <w:szCs w:val="24"/>
            <w:u w:val="single"/>
            <w:shd w:val="clear" w:color="auto" w:fill="FFFFFF"/>
            <w:lang w:val="en-US"/>
          </w:rPr>
          <w:t>https://www.emerald.com/insight/content/doi/10.1108/meq-01-2022-0022/full/html</w:t>
        </w:r>
      </w:hyperlink>
      <w:r w:rsidRPr="003A3D37">
        <w:rPr>
          <w:rFonts w:ascii="Calibri" w:eastAsia="Calibri" w:hAnsi="Calibri" w:cs="Calibri"/>
          <w:color w:val="000000"/>
          <w:sz w:val="24"/>
          <w:szCs w:val="24"/>
          <w:shd w:val="clear" w:color="auto" w:fill="FFFFFF"/>
          <w:lang w:val="en-US"/>
        </w:rPr>
        <w:t xml:space="preserve"> </w:t>
      </w:r>
    </w:p>
    <w:p w14:paraId="4C2E5FF1" w14:textId="77777777" w:rsidR="003A3D37" w:rsidRPr="003A3D37" w:rsidRDefault="003A3D37" w:rsidP="00D53390">
      <w:pPr>
        <w:spacing w:after="0" w:line="360" w:lineRule="auto"/>
        <w:jc w:val="both"/>
        <w:rPr>
          <w:rFonts w:ascii="Calibri" w:eastAsia="Calibri" w:hAnsi="Calibri" w:cs="Calibri"/>
          <w:color w:val="000000"/>
          <w:sz w:val="24"/>
          <w:szCs w:val="24"/>
          <w:shd w:val="clear" w:color="auto" w:fill="FFFFFF"/>
          <w:lang w:val="en-US"/>
        </w:rPr>
      </w:pPr>
      <w:r w:rsidRPr="003A3D37">
        <w:rPr>
          <w:rFonts w:ascii="Calibri" w:eastAsia="Calibri" w:hAnsi="Calibri" w:cs="Calibri"/>
          <w:color w:val="000000"/>
          <w:sz w:val="24"/>
          <w:szCs w:val="24"/>
          <w:shd w:val="clear" w:color="auto" w:fill="FFFFFF"/>
          <w:lang w:val="en-US"/>
        </w:rPr>
        <w:t>Schleper, M. C., Gold, S., Trautrims, A., &amp; Baldock, D. (2021). Pandemic-induced knowledge gaps in operations and supply chain management: COVID-19’s impacts on retailing. </w:t>
      </w:r>
      <w:r w:rsidRPr="003A3D37">
        <w:rPr>
          <w:rFonts w:ascii="Calibri" w:eastAsia="Calibri" w:hAnsi="Calibri" w:cs="Calibri"/>
          <w:i/>
          <w:iCs/>
          <w:color w:val="000000"/>
          <w:sz w:val="24"/>
          <w:szCs w:val="24"/>
          <w:shd w:val="clear" w:color="auto" w:fill="FFFFFF"/>
          <w:lang w:val="en-US"/>
        </w:rPr>
        <w:t>International Journal of Operations &amp; Production Management</w:t>
      </w:r>
      <w:r w:rsidRPr="003A3D37">
        <w:rPr>
          <w:rFonts w:ascii="Calibri" w:eastAsia="Calibri" w:hAnsi="Calibri" w:cs="Calibri"/>
          <w:color w:val="000000"/>
          <w:sz w:val="24"/>
          <w:szCs w:val="24"/>
          <w:shd w:val="clear" w:color="auto" w:fill="FFFFFF"/>
          <w:lang w:val="en-US"/>
        </w:rPr>
        <w:t>, </w:t>
      </w:r>
      <w:r w:rsidRPr="003A3D37">
        <w:rPr>
          <w:rFonts w:ascii="Calibri" w:eastAsia="Calibri" w:hAnsi="Calibri" w:cs="Calibri"/>
          <w:i/>
          <w:iCs/>
          <w:color w:val="000000"/>
          <w:sz w:val="24"/>
          <w:szCs w:val="24"/>
          <w:shd w:val="clear" w:color="auto" w:fill="FFFFFF"/>
          <w:lang w:val="en-US"/>
        </w:rPr>
        <w:t>41</w:t>
      </w:r>
      <w:r w:rsidRPr="003A3D37">
        <w:rPr>
          <w:rFonts w:ascii="Calibri" w:eastAsia="Calibri" w:hAnsi="Calibri" w:cs="Calibri"/>
          <w:color w:val="000000"/>
          <w:sz w:val="24"/>
          <w:szCs w:val="24"/>
          <w:shd w:val="clear" w:color="auto" w:fill="FFFFFF"/>
          <w:lang w:val="en-US"/>
        </w:rPr>
        <w:t>(3), 193-205.</w:t>
      </w:r>
      <w:r w:rsidRPr="003A3D37">
        <w:rPr>
          <w:rFonts w:ascii="Calibri" w:eastAsia="Calibri" w:hAnsi="Calibri" w:cs="Calibri"/>
          <w:color w:val="000000"/>
          <w:sz w:val="24"/>
          <w:szCs w:val="24"/>
          <w:lang w:val="en-US"/>
        </w:rPr>
        <w:t xml:space="preserve"> </w:t>
      </w:r>
      <w:hyperlink r:id="rId18" w:history="1">
        <w:r w:rsidRPr="003A3D37">
          <w:rPr>
            <w:rFonts w:ascii="Calibri" w:eastAsia="Calibri" w:hAnsi="Calibri" w:cs="Calibri"/>
            <w:color w:val="000000"/>
            <w:sz w:val="24"/>
            <w:szCs w:val="24"/>
            <w:u w:val="single"/>
            <w:shd w:val="clear" w:color="auto" w:fill="FFFFFF"/>
            <w:lang w:val="en-US"/>
          </w:rPr>
          <w:t>https://www.emerald.com/insight/content/doi/10.1108/IJOPM-12-2020-0837/full/html</w:t>
        </w:r>
      </w:hyperlink>
      <w:r w:rsidRPr="003A3D37">
        <w:rPr>
          <w:rFonts w:ascii="Calibri" w:eastAsia="Calibri" w:hAnsi="Calibri" w:cs="Calibri"/>
          <w:color w:val="000000"/>
          <w:sz w:val="24"/>
          <w:szCs w:val="24"/>
          <w:shd w:val="clear" w:color="auto" w:fill="FFFFFF"/>
          <w:lang w:val="en-US"/>
        </w:rPr>
        <w:t xml:space="preserve"> </w:t>
      </w:r>
    </w:p>
    <w:p w14:paraId="2A23761F" w14:textId="77777777" w:rsidR="003A3D37" w:rsidRPr="003A3D37" w:rsidRDefault="003A3D37" w:rsidP="00D53390">
      <w:pPr>
        <w:spacing w:after="0" w:line="360" w:lineRule="auto"/>
        <w:jc w:val="both"/>
        <w:rPr>
          <w:rFonts w:ascii="Calibri" w:eastAsia="Calibri" w:hAnsi="Calibri" w:cs="Calibri"/>
          <w:color w:val="000000"/>
          <w:sz w:val="24"/>
          <w:szCs w:val="24"/>
          <w:lang w:val="en-US"/>
        </w:rPr>
      </w:pPr>
      <w:r w:rsidRPr="003A3D37">
        <w:rPr>
          <w:rFonts w:ascii="Calibri" w:eastAsia="Calibri" w:hAnsi="Calibri" w:cs="Calibri"/>
          <w:color w:val="000000"/>
          <w:sz w:val="24"/>
          <w:szCs w:val="24"/>
          <w:lang w:val="en-US"/>
        </w:rPr>
        <w:t xml:space="preserve">Shares Magazine, 2024, ‘Can Marks &amp; Spencer maintain its “remarkable” momentum?’, </w:t>
      </w:r>
      <w:r w:rsidRPr="003A3D37">
        <w:rPr>
          <w:rFonts w:ascii="Calibri" w:eastAsia="Calibri" w:hAnsi="Calibri" w:cs="Calibri"/>
          <w:i/>
          <w:iCs/>
          <w:color w:val="000000"/>
          <w:sz w:val="24"/>
          <w:szCs w:val="24"/>
          <w:lang w:val="en-US"/>
        </w:rPr>
        <w:t>Shares Magazine</w:t>
      </w:r>
      <w:r w:rsidRPr="003A3D37">
        <w:rPr>
          <w:rFonts w:ascii="Calibri" w:eastAsia="Calibri" w:hAnsi="Calibri" w:cs="Calibri"/>
          <w:color w:val="000000"/>
          <w:sz w:val="24"/>
          <w:szCs w:val="24"/>
          <w:lang w:val="en-US"/>
        </w:rPr>
        <w:t xml:space="preserve">, date unspecified. Available at: </w:t>
      </w:r>
      <w:r w:rsidRPr="003A3D37">
        <w:rPr>
          <w:rFonts w:ascii="Calibri" w:eastAsia="Calibri" w:hAnsi="Calibri" w:cs="Calibri"/>
          <w:color w:val="000000"/>
          <w:sz w:val="24"/>
          <w:szCs w:val="24"/>
          <w:lang w:val="en-US"/>
        </w:rPr>
        <w:lastRenderedPageBreak/>
        <w:t>https://www.sharesmagazine.co.uk/index.php/article/from-an-employee-share-scheme-at-rolls-royce-to-the-dogs-of-the-ftse-how-paul-approaches-the-financial-markets (Accessed: 17 July 2025)</w:t>
      </w:r>
    </w:p>
    <w:p w14:paraId="2D77475F" w14:textId="77777777" w:rsidR="003A3D37" w:rsidRPr="003A3D37" w:rsidRDefault="003A3D37" w:rsidP="00D53390">
      <w:pPr>
        <w:spacing w:after="0" w:line="360" w:lineRule="auto"/>
        <w:jc w:val="both"/>
        <w:rPr>
          <w:rFonts w:ascii="Calibri" w:eastAsia="Calibri" w:hAnsi="Calibri" w:cs="Calibri"/>
          <w:color w:val="000000"/>
          <w:sz w:val="24"/>
          <w:szCs w:val="24"/>
          <w:shd w:val="clear" w:color="auto" w:fill="FFFFFF"/>
          <w:lang w:val="en-US"/>
        </w:rPr>
      </w:pPr>
      <w:r w:rsidRPr="003A3D37">
        <w:rPr>
          <w:rFonts w:ascii="Calibri" w:eastAsia="Calibri" w:hAnsi="Calibri" w:cs="Calibri"/>
          <w:color w:val="000000"/>
          <w:sz w:val="24"/>
          <w:szCs w:val="24"/>
          <w:shd w:val="clear" w:color="auto" w:fill="FFFFFF"/>
          <w:lang w:val="en-US"/>
        </w:rPr>
        <w:t>Thien, T. H., &amp; Hung, N. X. (2023). Intellectual capital and investment efficiency: The mediating role of strategic management accounting practices. </w:t>
      </w:r>
      <w:r w:rsidRPr="003A3D37">
        <w:rPr>
          <w:rFonts w:ascii="Calibri" w:eastAsia="Calibri" w:hAnsi="Calibri" w:cs="Calibri"/>
          <w:i/>
          <w:iCs/>
          <w:color w:val="000000"/>
          <w:sz w:val="24"/>
          <w:szCs w:val="24"/>
          <w:shd w:val="clear" w:color="auto" w:fill="FFFFFF"/>
          <w:lang w:val="en-US"/>
        </w:rPr>
        <w:t>Cogent Business &amp; Management</w:t>
      </w:r>
      <w:r w:rsidRPr="003A3D37">
        <w:rPr>
          <w:rFonts w:ascii="Calibri" w:eastAsia="Calibri" w:hAnsi="Calibri" w:cs="Calibri"/>
          <w:color w:val="000000"/>
          <w:sz w:val="24"/>
          <w:szCs w:val="24"/>
          <w:shd w:val="clear" w:color="auto" w:fill="FFFFFF"/>
          <w:lang w:val="en-US"/>
        </w:rPr>
        <w:t>, </w:t>
      </w:r>
      <w:r w:rsidRPr="003A3D37">
        <w:rPr>
          <w:rFonts w:ascii="Calibri" w:eastAsia="Calibri" w:hAnsi="Calibri" w:cs="Calibri"/>
          <w:i/>
          <w:iCs/>
          <w:color w:val="000000"/>
          <w:sz w:val="24"/>
          <w:szCs w:val="24"/>
          <w:shd w:val="clear" w:color="auto" w:fill="FFFFFF"/>
          <w:lang w:val="en-US"/>
        </w:rPr>
        <w:t>10</w:t>
      </w:r>
      <w:r w:rsidRPr="003A3D37">
        <w:rPr>
          <w:rFonts w:ascii="Calibri" w:eastAsia="Calibri" w:hAnsi="Calibri" w:cs="Calibri"/>
          <w:color w:val="000000"/>
          <w:sz w:val="24"/>
          <w:szCs w:val="24"/>
          <w:shd w:val="clear" w:color="auto" w:fill="FFFFFF"/>
          <w:lang w:val="en-US"/>
        </w:rPr>
        <w:t>(2), 2207879.</w:t>
      </w:r>
      <w:r w:rsidRPr="003A3D37">
        <w:rPr>
          <w:rFonts w:ascii="Calibri" w:eastAsia="Calibri" w:hAnsi="Calibri" w:cs="Calibri"/>
          <w:color w:val="000000"/>
          <w:sz w:val="24"/>
          <w:szCs w:val="24"/>
          <w:lang w:val="en-US"/>
        </w:rPr>
        <w:t xml:space="preserve"> </w:t>
      </w:r>
      <w:hyperlink r:id="rId19" w:history="1">
        <w:r w:rsidRPr="003A3D37">
          <w:rPr>
            <w:rFonts w:ascii="Calibri" w:eastAsia="Calibri" w:hAnsi="Calibri" w:cs="Calibri"/>
            <w:color w:val="000000"/>
            <w:sz w:val="24"/>
            <w:szCs w:val="24"/>
            <w:u w:val="single"/>
            <w:shd w:val="clear" w:color="auto" w:fill="FFFFFF"/>
            <w:lang w:val="en-US"/>
          </w:rPr>
          <w:t>https://www.tandfonline.com/doi/abs/10.1080/23311975.2023.2207879</w:t>
        </w:r>
      </w:hyperlink>
      <w:r w:rsidRPr="003A3D37">
        <w:rPr>
          <w:rFonts w:ascii="Calibri" w:eastAsia="Calibri" w:hAnsi="Calibri" w:cs="Calibri"/>
          <w:color w:val="000000"/>
          <w:sz w:val="24"/>
          <w:szCs w:val="24"/>
          <w:shd w:val="clear" w:color="auto" w:fill="FFFFFF"/>
          <w:lang w:val="en-US"/>
        </w:rPr>
        <w:t xml:space="preserve"> </w:t>
      </w:r>
    </w:p>
    <w:p w14:paraId="53F9E59F" w14:textId="77777777" w:rsidR="003A3D37" w:rsidRPr="003A3D37" w:rsidRDefault="003A3D37" w:rsidP="00D53390">
      <w:pPr>
        <w:spacing w:after="0" w:line="360" w:lineRule="auto"/>
        <w:jc w:val="both"/>
        <w:rPr>
          <w:rFonts w:ascii="Calibri" w:eastAsia="Calibri" w:hAnsi="Calibri" w:cs="Calibri"/>
          <w:color w:val="000000"/>
          <w:sz w:val="24"/>
          <w:szCs w:val="24"/>
          <w:shd w:val="clear" w:color="auto" w:fill="FFFFFF"/>
          <w:lang w:val="en-US"/>
        </w:rPr>
      </w:pPr>
      <w:r w:rsidRPr="003A3D37">
        <w:rPr>
          <w:rFonts w:ascii="Calibri" w:eastAsia="Calibri" w:hAnsi="Calibri" w:cs="Calibri"/>
          <w:color w:val="000000"/>
          <w:sz w:val="24"/>
          <w:szCs w:val="24"/>
          <w:shd w:val="clear" w:color="auto" w:fill="FFFFFF"/>
          <w:lang w:val="en-US"/>
        </w:rPr>
        <w:t>Uddin, M. H., Razzak, M. R., &amp; Rahman, A. A. (2023). Sustainable supply chain management practices, dynamic capabilities and competitive advantage: Evidence from Bangladesh ready‐made garments industry. </w:t>
      </w:r>
      <w:r w:rsidRPr="003A3D37">
        <w:rPr>
          <w:rFonts w:ascii="Calibri" w:eastAsia="Calibri" w:hAnsi="Calibri" w:cs="Calibri"/>
          <w:i/>
          <w:iCs/>
          <w:color w:val="000000"/>
          <w:sz w:val="24"/>
          <w:szCs w:val="24"/>
          <w:shd w:val="clear" w:color="auto" w:fill="FFFFFF"/>
          <w:lang w:val="en-US"/>
        </w:rPr>
        <w:t>Business Strategy &amp; Development</w:t>
      </w:r>
      <w:r w:rsidRPr="003A3D37">
        <w:rPr>
          <w:rFonts w:ascii="Calibri" w:eastAsia="Calibri" w:hAnsi="Calibri" w:cs="Calibri"/>
          <w:color w:val="000000"/>
          <w:sz w:val="24"/>
          <w:szCs w:val="24"/>
          <w:shd w:val="clear" w:color="auto" w:fill="FFFFFF"/>
          <w:lang w:val="en-US"/>
        </w:rPr>
        <w:t>, </w:t>
      </w:r>
      <w:r w:rsidRPr="003A3D37">
        <w:rPr>
          <w:rFonts w:ascii="Calibri" w:eastAsia="Calibri" w:hAnsi="Calibri" w:cs="Calibri"/>
          <w:i/>
          <w:iCs/>
          <w:color w:val="000000"/>
          <w:sz w:val="24"/>
          <w:szCs w:val="24"/>
          <w:shd w:val="clear" w:color="auto" w:fill="FFFFFF"/>
          <w:lang w:val="en-US"/>
        </w:rPr>
        <w:t>6</w:t>
      </w:r>
      <w:r w:rsidRPr="003A3D37">
        <w:rPr>
          <w:rFonts w:ascii="Calibri" w:eastAsia="Calibri" w:hAnsi="Calibri" w:cs="Calibri"/>
          <w:color w:val="000000"/>
          <w:sz w:val="24"/>
          <w:szCs w:val="24"/>
          <w:shd w:val="clear" w:color="auto" w:fill="FFFFFF"/>
          <w:lang w:val="en-US"/>
        </w:rPr>
        <w:t>(2), 176-188.</w:t>
      </w:r>
      <w:r w:rsidRPr="003A3D37">
        <w:rPr>
          <w:rFonts w:ascii="Calibri" w:eastAsia="Calibri" w:hAnsi="Calibri" w:cs="Calibri"/>
          <w:color w:val="000000"/>
          <w:sz w:val="24"/>
          <w:szCs w:val="24"/>
          <w:lang w:val="en-US"/>
        </w:rPr>
        <w:t xml:space="preserve"> </w:t>
      </w:r>
      <w:hyperlink r:id="rId20" w:history="1">
        <w:r w:rsidRPr="003A3D37">
          <w:rPr>
            <w:rFonts w:ascii="Calibri" w:eastAsia="Calibri" w:hAnsi="Calibri" w:cs="Calibri"/>
            <w:color w:val="000000"/>
            <w:sz w:val="24"/>
            <w:szCs w:val="24"/>
            <w:u w:val="single"/>
            <w:shd w:val="clear" w:color="auto" w:fill="FFFFFF"/>
            <w:lang w:val="en-US"/>
          </w:rPr>
          <w:t>https://onlinelibrary.wiley.com/doi/abs/10.1002/bsd2.232</w:t>
        </w:r>
      </w:hyperlink>
      <w:r w:rsidRPr="003A3D37">
        <w:rPr>
          <w:rFonts w:ascii="Calibri" w:eastAsia="Calibri" w:hAnsi="Calibri" w:cs="Calibri"/>
          <w:color w:val="000000"/>
          <w:sz w:val="24"/>
          <w:szCs w:val="24"/>
          <w:shd w:val="clear" w:color="auto" w:fill="FFFFFF"/>
          <w:lang w:val="en-US"/>
        </w:rPr>
        <w:t xml:space="preserve"> </w:t>
      </w:r>
    </w:p>
    <w:p w14:paraId="34EAE3FF" w14:textId="77777777" w:rsidR="003A3D37" w:rsidRPr="003A3D37" w:rsidRDefault="003A3D37" w:rsidP="00D53390">
      <w:pPr>
        <w:spacing w:after="0" w:line="360" w:lineRule="auto"/>
        <w:jc w:val="both"/>
        <w:rPr>
          <w:rFonts w:ascii="Calibri" w:eastAsia="Calibri" w:hAnsi="Calibri" w:cs="Calibri"/>
          <w:color w:val="000000"/>
          <w:sz w:val="24"/>
          <w:szCs w:val="24"/>
          <w:shd w:val="clear" w:color="auto" w:fill="FFFFFF"/>
          <w:lang w:val="en-US"/>
        </w:rPr>
      </w:pPr>
      <w:r w:rsidRPr="003A3D37">
        <w:rPr>
          <w:rFonts w:ascii="Calibri" w:eastAsia="Calibri" w:hAnsi="Calibri" w:cs="Calibri"/>
          <w:color w:val="000000"/>
          <w:sz w:val="24"/>
          <w:szCs w:val="24"/>
          <w:shd w:val="clear" w:color="auto" w:fill="FFFFFF"/>
          <w:lang w:val="en-US"/>
        </w:rPr>
        <w:t>Ulijn, J., &amp; Salamzadeh, A. (2024). Investigating the influence of cultural factors in the disclosure of corporate strategies in annual reports by 100 European firms: does context matter?. </w:t>
      </w:r>
      <w:r w:rsidRPr="003A3D37">
        <w:rPr>
          <w:rFonts w:ascii="Calibri" w:eastAsia="Calibri" w:hAnsi="Calibri" w:cs="Calibri"/>
          <w:i/>
          <w:iCs/>
          <w:color w:val="000000"/>
          <w:sz w:val="24"/>
          <w:szCs w:val="24"/>
          <w:shd w:val="clear" w:color="auto" w:fill="FFFFFF"/>
          <w:lang w:val="en-US"/>
        </w:rPr>
        <w:t>International Journal of Business and Globalisation</w:t>
      </w:r>
      <w:r w:rsidRPr="003A3D37">
        <w:rPr>
          <w:rFonts w:ascii="Calibri" w:eastAsia="Calibri" w:hAnsi="Calibri" w:cs="Calibri"/>
          <w:color w:val="000000"/>
          <w:sz w:val="24"/>
          <w:szCs w:val="24"/>
          <w:shd w:val="clear" w:color="auto" w:fill="FFFFFF"/>
          <w:lang w:val="en-US"/>
        </w:rPr>
        <w:t>, </w:t>
      </w:r>
      <w:r w:rsidRPr="003A3D37">
        <w:rPr>
          <w:rFonts w:ascii="Calibri" w:eastAsia="Calibri" w:hAnsi="Calibri" w:cs="Calibri"/>
          <w:i/>
          <w:iCs/>
          <w:color w:val="000000"/>
          <w:sz w:val="24"/>
          <w:szCs w:val="24"/>
          <w:shd w:val="clear" w:color="auto" w:fill="FFFFFF"/>
          <w:lang w:val="en-US"/>
        </w:rPr>
        <w:t>38</w:t>
      </w:r>
      <w:r w:rsidRPr="003A3D37">
        <w:rPr>
          <w:rFonts w:ascii="Calibri" w:eastAsia="Calibri" w:hAnsi="Calibri" w:cs="Calibri"/>
          <w:color w:val="000000"/>
          <w:sz w:val="24"/>
          <w:szCs w:val="24"/>
          <w:shd w:val="clear" w:color="auto" w:fill="FFFFFF"/>
          <w:lang w:val="en-US"/>
        </w:rPr>
        <w:t>(3), 353-381.</w:t>
      </w:r>
      <w:r w:rsidRPr="003A3D37">
        <w:rPr>
          <w:rFonts w:ascii="Calibri" w:eastAsia="Calibri" w:hAnsi="Calibri" w:cs="Calibri"/>
          <w:color w:val="000000"/>
          <w:sz w:val="24"/>
          <w:szCs w:val="24"/>
          <w:lang w:val="en-US"/>
        </w:rPr>
        <w:t xml:space="preserve"> </w:t>
      </w:r>
      <w:hyperlink r:id="rId21" w:history="1">
        <w:r w:rsidRPr="003A3D37">
          <w:rPr>
            <w:rFonts w:ascii="Calibri" w:eastAsia="Calibri" w:hAnsi="Calibri" w:cs="Calibri"/>
            <w:color w:val="000000"/>
            <w:sz w:val="24"/>
            <w:szCs w:val="24"/>
            <w:u w:val="single"/>
            <w:shd w:val="clear" w:color="auto" w:fill="FFFFFF"/>
            <w:lang w:val="en-US"/>
          </w:rPr>
          <w:t>https://www.inderscienceonline.com/doi/abs/10.1504/IJBG.2024.142248</w:t>
        </w:r>
      </w:hyperlink>
      <w:r w:rsidRPr="003A3D37">
        <w:rPr>
          <w:rFonts w:ascii="Calibri" w:eastAsia="Calibri" w:hAnsi="Calibri" w:cs="Calibri"/>
          <w:color w:val="000000"/>
          <w:sz w:val="24"/>
          <w:szCs w:val="24"/>
          <w:shd w:val="clear" w:color="auto" w:fill="FFFFFF"/>
          <w:lang w:val="en-US"/>
        </w:rPr>
        <w:t xml:space="preserve"> </w:t>
      </w:r>
    </w:p>
    <w:p w14:paraId="3239824F" w14:textId="77777777" w:rsidR="003A3D37" w:rsidRPr="003A3D37" w:rsidRDefault="003A3D37" w:rsidP="00D53390">
      <w:pPr>
        <w:spacing w:after="0" w:line="360" w:lineRule="auto"/>
        <w:jc w:val="both"/>
        <w:rPr>
          <w:rFonts w:ascii="Calibri" w:eastAsia="Calibri" w:hAnsi="Calibri" w:cs="Calibri"/>
          <w:color w:val="000000"/>
          <w:sz w:val="24"/>
          <w:szCs w:val="24"/>
          <w:lang w:val="en-US"/>
        </w:rPr>
      </w:pPr>
      <w:r w:rsidRPr="003A3D37">
        <w:rPr>
          <w:rFonts w:ascii="Calibri" w:eastAsia="Calibri" w:hAnsi="Calibri" w:cs="Calibri"/>
          <w:color w:val="000000"/>
          <w:sz w:val="24"/>
          <w:szCs w:val="24"/>
          <w:lang w:val="en-US"/>
        </w:rPr>
        <w:t xml:space="preserve">Wild, R., 2024, ‘Marks &amp; Spencer Shares Leap 8.6% As Profits Rise, Dividend Restored’, </w:t>
      </w:r>
      <w:r w:rsidRPr="003A3D37">
        <w:rPr>
          <w:rFonts w:ascii="Calibri" w:eastAsia="Calibri" w:hAnsi="Calibri" w:cs="Calibri"/>
          <w:i/>
          <w:iCs/>
          <w:color w:val="000000"/>
          <w:sz w:val="24"/>
          <w:szCs w:val="24"/>
          <w:lang w:val="en-US"/>
        </w:rPr>
        <w:t>Forbes</w:t>
      </w:r>
      <w:r w:rsidRPr="003A3D37">
        <w:rPr>
          <w:rFonts w:ascii="Calibri" w:eastAsia="Calibri" w:hAnsi="Calibri" w:cs="Calibri"/>
          <w:color w:val="000000"/>
          <w:sz w:val="24"/>
          <w:szCs w:val="24"/>
          <w:lang w:val="en-US"/>
        </w:rPr>
        <w:t>, 22 May. Available at: https://www.forbes.com/sites/roystonwild/2024/05/22/marks--spencer-shares-leap-86-as-profits-rise-dividend-restored/ (Accessed: 17 July 2025).</w:t>
      </w:r>
    </w:p>
    <w:p w14:paraId="6348CDEA" w14:textId="77777777" w:rsidR="003A3D37" w:rsidRPr="003A3D37" w:rsidRDefault="003A3D37" w:rsidP="00D53390">
      <w:pPr>
        <w:spacing w:after="0" w:line="360" w:lineRule="auto"/>
        <w:jc w:val="both"/>
        <w:rPr>
          <w:rFonts w:ascii="Calibri" w:eastAsia="Calibri" w:hAnsi="Calibri" w:cs="Calibri"/>
          <w:color w:val="000000"/>
          <w:sz w:val="24"/>
          <w:szCs w:val="24"/>
          <w:lang w:val="en-US"/>
        </w:rPr>
      </w:pPr>
      <w:r w:rsidRPr="003A3D37">
        <w:rPr>
          <w:rFonts w:ascii="Calibri" w:eastAsia="Calibri" w:hAnsi="Calibri" w:cs="Calibri"/>
          <w:color w:val="000000"/>
          <w:sz w:val="24"/>
          <w:szCs w:val="24"/>
          <w:lang w:val="en-US"/>
        </w:rPr>
        <w:t xml:space="preserve">World Bank (2023) </w:t>
      </w:r>
      <w:r w:rsidRPr="003A3D37">
        <w:rPr>
          <w:rFonts w:ascii="Calibri" w:eastAsia="Calibri" w:hAnsi="Calibri" w:cs="Calibri"/>
          <w:i/>
          <w:iCs/>
          <w:color w:val="000000"/>
          <w:sz w:val="24"/>
          <w:szCs w:val="24"/>
          <w:lang w:val="en-US"/>
        </w:rPr>
        <w:t>World Development Report 2023: Migrants, Refugees, and Societies</w:t>
      </w:r>
      <w:r w:rsidRPr="003A3D37">
        <w:rPr>
          <w:rFonts w:ascii="Calibri" w:eastAsia="Calibri" w:hAnsi="Calibri" w:cs="Calibri"/>
          <w:color w:val="000000"/>
          <w:sz w:val="24"/>
          <w:szCs w:val="24"/>
          <w:lang w:val="en-US"/>
        </w:rPr>
        <w:t xml:space="preserve">. Washington, DC: World Bank. Available at: </w:t>
      </w:r>
      <w:hyperlink r:id="rId22" w:tgtFrame="_new" w:history="1">
        <w:r w:rsidRPr="003A3D37">
          <w:rPr>
            <w:rFonts w:ascii="Calibri" w:eastAsia="Calibri" w:hAnsi="Calibri" w:cs="Calibri"/>
            <w:color w:val="000000"/>
            <w:sz w:val="24"/>
            <w:szCs w:val="24"/>
            <w:u w:val="single"/>
            <w:lang w:val="en-US"/>
          </w:rPr>
          <w:t>https://www.worldbank.org/en/publication/wdr2023</w:t>
        </w:r>
      </w:hyperlink>
      <w:r w:rsidRPr="003A3D37">
        <w:rPr>
          <w:rFonts w:ascii="Calibri" w:eastAsia="Calibri" w:hAnsi="Calibri" w:cs="Calibri"/>
          <w:color w:val="000000"/>
          <w:sz w:val="24"/>
          <w:szCs w:val="24"/>
          <w:lang w:val="en-US"/>
        </w:rPr>
        <w:t xml:space="preserve"> (Accessed: 17 July 2025).</w:t>
      </w:r>
    </w:p>
    <w:p w14:paraId="7B107334" w14:textId="77777777" w:rsidR="003A3D37" w:rsidRPr="003A3D37" w:rsidRDefault="003A3D37" w:rsidP="00D53390">
      <w:pPr>
        <w:spacing w:after="0" w:line="360" w:lineRule="auto"/>
        <w:jc w:val="both"/>
        <w:rPr>
          <w:rFonts w:ascii="Calibri" w:eastAsia="Calibri" w:hAnsi="Calibri" w:cs="Calibri"/>
          <w:color w:val="000000"/>
          <w:sz w:val="24"/>
          <w:szCs w:val="24"/>
          <w:shd w:val="clear" w:color="auto" w:fill="FFFFFF"/>
          <w:lang w:val="en-US"/>
        </w:rPr>
      </w:pPr>
      <w:r w:rsidRPr="003A3D37">
        <w:rPr>
          <w:rFonts w:ascii="Calibri" w:eastAsia="Calibri" w:hAnsi="Calibri" w:cs="Calibri"/>
          <w:color w:val="000000"/>
          <w:sz w:val="24"/>
          <w:szCs w:val="24"/>
          <w:shd w:val="clear" w:color="auto" w:fill="FFFFFF"/>
          <w:lang w:val="en-US"/>
        </w:rPr>
        <w:t>Xu, L. (2023). Enhancing firm value through capital structure: A case study of marks and spencer PLC.</w:t>
      </w:r>
    </w:p>
    <w:p w14:paraId="412092FE" w14:textId="77777777" w:rsidR="003A3D37" w:rsidRPr="003A3D37" w:rsidRDefault="003A3D37" w:rsidP="00D53390">
      <w:pPr>
        <w:spacing w:after="0" w:line="360" w:lineRule="auto"/>
        <w:jc w:val="both"/>
        <w:rPr>
          <w:rFonts w:ascii="Calibri" w:eastAsia="Calibri" w:hAnsi="Calibri" w:cs="Calibri"/>
          <w:color w:val="000000"/>
          <w:sz w:val="24"/>
          <w:szCs w:val="24"/>
          <w:shd w:val="clear" w:color="auto" w:fill="FFFFFF"/>
          <w:lang w:val="en-US"/>
        </w:rPr>
      </w:pPr>
      <w:r w:rsidRPr="003A3D37">
        <w:rPr>
          <w:rFonts w:ascii="Calibri" w:eastAsia="Calibri" w:hAnsi="Calibri" w:cs="Calibri"/>
          <w:color w:val="000000"/>
          <w:sz w:val="24"/>
          <w:szCs w:val="24"/>
          <w:shd w:val="clear" w:color="auto" w:fill="FFFFFF"/>
          <w:lang w:val="en-US"/>
        </w:rPr>
        <w:t>Yang, X., Dong, L., &amp; Nahm, A. (2024). Mingling business and politics in China–Does it build value? The relationship between political connection and firm performance. </w:t>
      </w:r>
      <w:r w:rsidRPr="003A3D37">
        <w:rPr>
          <w:rFonts w:ascii="Calibri" w:eastAsia="Calibri" w:hAnsi="Calibri" w:cs="Calibri"/>
          <w:i/>
          <w:iCs/>
          <w:color w:val="000000"/>
          <w:sz w:val="24"/>
          <w:szCs w:val="24"/>
          <w:shd w:val="clear" w:color="auto" w:fill="FFFFFF"/>
          <w:lang w:val="en-US"/>
        </w:rPr>
        <w:t>Journal of Strategy and Management</w:t>
      </w:r>
      <w:r w:rsidRPr="003A3D37">
        <w:rPr>
          <w:rFonts w:ascii="Calibri" w:eastAsia="Calibri" w:hAnsi="Calibri" w:cs="Calibri"/>
          <w:color w:val="000000"/>
          <w:sz w:val="24"/>
          <w:szCs w:val="24"/>
          <w:shd w:val="clear" w:color="auto" w:fill="FFFFFF"/>
          <w:lang w:val="en-US"/>
        </w:rPr>
        <w:t>, </w:t>
      </w:r>
      <w:r w:rsidRPr="003A3D37">
        <w:rPr>
          <w:rFonts w:ascii="Calibri" w:eastAsia="Calibri" w:hAnsi="Calibri" w:cs="Calibri"/>
          <w:i/>
          <w:iCs/>
          <w:color w:val="000000"/>
          <w:sz w:val="24"/>
          <w:szCs w:val="24"/>
          <w:shd w:val="clear" w:color="auto" w:fill="FFFFFF"/>
          <w:lang w:val="en-US"/>
        </w:rPr>
        <w:t>17</w:t>
      </w:r>
      <w:r w:rsidRPr="003A3D37">
        <w:rPr>
          <w:rFonts w:ascii="Calibri" w:eastAsia="Calibri" w:hAnsi="Calibri" w:cs="Calibri"/>
          <w:color w:val="000000"/>
          <w:sz w:val="24"/>
          <w:szCs w:val="24"/>
          <w:shd w:val="clear" w:color="auto" w:fill="FFFFFF"/>
          <w:lang w:val="en-US"/>
        </w:rPr>
        <w:t xml:space="preserve">(1), 22-40. </w:t>
      </w:r>
      <w:hyperlink r:id="rId23" w:history="1">
        <w:r w:rsidRPr="003A3D37">
          <w:rPr>
            <w:rFonts w:ascii="Calibri" w:eastAsia="Calibri" w:hAnsi="Calibri" w:cs="Calibri"/>
            <w:color w:val="000000"/>
            <w:sz w:val="24"/>
            <w:szCs w:val="24"/>
            <w:u w:val="single"/>
            <w:shd w:val="clear" w:color="auto" w:fill="FFFFFF"/>
            <w:lang w:val="en-US"/>
          </w:rPr>
          <w:t>https://www.emerald.com/insight/content/doi/10.1108/JSMA-03-2023-0041/full/html</w:t>
        </w:r>
      </w:hyperlink>
      <w:r w:rsidRPr="003A3D37">
        <w:rPr>
          <w:rFonts w:ascii="Calibri" w:eastAsia="Calibri" w:hAnsi="Calibri" w:cs="Calibri"/>
          <w:color w:val="000000"/>
          <w:sz w:val="24"/>
          <w:szCs w:val="24"/>
          <w:shd w:val="clear" w:color="auto" w:fill="FFFFFF"/>
          <w:lang w:val="en-US"/>
        </w:rPr>
        <w:t xml:space="preserve"> </w:t>
      </w:r>
    </w:p>
    <w:p w14:paraId="19B3F2EB" w14:textId="77777777" w:rsidR="003A3D37" w:rsidRPr="003A3D37" w:rsidRDefault="003A3D37" w:rsidP="00D53390">
      <w:pPr>
        <w:spacing w:after="0" w:line="360" w:lineRule="auto"/>
        <w:jc w:val="both"/>
        <w:rPr>
          <w:rFonts w:ascii="Calibri" w:eastAsia="Calibri" w:hAnsi="Calibri" w:cs="Calibri"/>
          <w:color w:val="000000"/>
          <w:sz w:val="24"/>
          <w:szCs w:val="24"/>
          <w:lang w:val="en-US"/>
        </w:rPr>
      </w:pPr>
      <w:r w:rsidRPr="003A3D37">
        <w:rPr>
          <w:rFonts w:ascii="Calibri" w:eastAsia="Calibri" w:hAnsi="Calibri" w:cs="Calibri"/>
          <w:color w:val="000000"/>
          <w:sz w:val="24"/>
          <w:szCs w:val="24"/>
          <w:shd w:val="clear" w:color="auto" w:fill="FFFFFF"/>
          <w:lang w:val="en-US"/>
        </w:rPr>
        <w:t>Yawson, D. E., &amp; Yamoah, F. A. (2022). Review of strategic agility: A holistic framework for fresh produce supply chain disruptions. </w:t>
      </w:r>
      <w:r w:rsidRPr="003A3D37">
        <w:rPr>
          <w:rFonts w:ascii="Calibri" w:eastAsia="Calibri" w:hAnsi="Calibri" w:cs="Calibri"/>
          <w:i/>
          <w:iCs/>
          <w:color w:val="000000"/>
          <w:sz w:val="24"/>
          <w:szCs w:val="24"/>
          <w:shd w:val="clear" w:color="auto" w:fill="FFFFFF"/>
          <w:lang w:val="en-US"/>
        </w:rPr>
        <w:t>Sustainability</w:t>
      </w:r>
      <w:r w:rsidRPr="003A3D37">
        <w:rPr>
          <w:rFonts w:ascii="Calibri" w:eastAsia="Calibri" w:hAnsi="Calibri" w:cs="Calibri"/>
          <w:color w:val="000000"/>
          <w:sz w:val="24"/>
          <w:szCs w:val="24"/>
          <w:shd w:val="clear" w:color="auto" w:fill="FFFFFF"/>
          <w:lang w:val="en-US"/>
        </w:rPr>
        <w:t>, </w:t>
      </w:r>
      <w:r w:rsidRPr="003A3D37">
        <w:rPr>
          <w:rFonts w:ascii="Calibri" w:eastAsia="Calibri" w:hAnsi="Calibri" w:cs="Calibri"/>
          <w:i/>
          <w:iCs/>
          <w:color w:val="000000"/>
          <w:sz w:val="24"/>
          <w:szCs w:val="24"/>
          <w:shd w:val="clear" w:color="auto" w:fill="FFFFFF"/>
          <w:lang w:val="en-US"/>
        </w:rPr>
        <w:t>14</w:t>
      </w:r>
      <w:r w:rsidRPr="003A3D37">
        <w:rPr>
          <w:rFonts w:ascii="Calibri" w:eastAsia="Calibri" w:hAnsi="Calibri" w:cs="Calibri"/>
          <w:color w:val="000000"/>
          <w:sz w:val="24"/>
          <w:szCs w:val="24"/>
          <w:shd w:val="clear" w:color="auto" w:fill="FFFFFF"/>
          <w:lang w:val="en-US"/>
        </w:rPr>
        <w:t>(22), 14977.</w:t>
      </w:r>
      <w:r w:rsidRPr="003A3D37">
        <w:rPr>
          <w:rFonts w:ascii="Calibri" w:eastAsia="Calibri" w:hAnsi="Calibri" w:cs="Calibri"/>
          <w:color w:val="000000"/>
          <w:sz w:val="24"/>
          <w:szCs w:val="24"/>
          <w:lang w:val="en-US"/>
        </w:rPr>
        <w:t xml:space="preserve"> </w:t>
      </w:r>
      <w:hyperlink r:id="rId24" w:history="1">
        <w:r w:rsidRPr="003A3D37">
          <w:rPr>
            <w:rFonts w:ascii="Calibri" w:eastAsia="Calibri" w:hAnsi="Calibri" w:cs="Calibri"/>
            <w:color w:val="000000"/>
            <w:sz w:val="24"/>
            <w:szCs w:val="24"/>
            <w:u w:val="single"/>
            <w:shd w:val="clear" w:color="auto" w:fill="FFFFFF"/>
            <w:lang w:val="en-US"/>
          </w:rPr>
          <w:t>https://www.mdpi.com/2071-1050/14/22/14977</w:t>
        </w:r>
      </w:hyperlink>
      <w:r w:rsidRPr="003A3D37">
        <w:rPr>
          <w:rFonts w:ascii="Calibri" w:eastAsia="Calibri" w:hAnsi="Calibri" w:cs="Calibri"/>
          <w:color w:val="000000"/>
          <w:sz w:val="24"/>
          <w:szCs w:val="24"/>
          <w:shd w:val="clear" w:color="auto" w:fill="FFFFFF"/>
          <w:lang w:val="en-US"/>
        </w:rPr>
        <w:t xml:space="preserve"> </w:t>
      </w:r>
    </w:p>
    <w:p w14:paraId="277AD047" w14:textId="77777777" w:rsidR="003A3D37" w:rsidRPr="003A3D37" w:rsidRDefault="003A3D37" w:rsidP="003A3D37">
      <w:pPr>
        <w:spacing w:after="0" w:line="360" w:lineRule="auto"/>
        <w:rPr>
          <w:rFonts w:ascii="Calibri" w:eastAsia="Calibri" w:hAnsi="Calibri" w:cs="Calibri"/>
          <w:color w:val="000000"/>
          <w:sz w:val="24"/>
          <w:szCs w:val="24"/>
          <w:lang w:val="en-US"/>
        </w:rPr>
      </w:pPr>
    </w:p>
    <w:p w14:paraId="2D950265" w14:textId="13B7DE5A" w:rsidR="003A3D37" w:rsidRPr="003A3D37" w:rsidRDefault="003A3D37" w:rsidP="003A3D37">
      <w:pPr>
        <w:spacing w:after="0" w:line="360" w:lineRule="auto"/>
        <w:rPr>
          <w:rFonts w:ascii="Calibri" w:eastAsia="DengXian Light" w:hAnsi="Calibri" w:cs="Calibri"/>
          <w:b/>
          <w:bCs/>
          <w:color w:val="000000"/>
          <w:sz w:val="24"/>
          <w:szCs w:val="24"/>
          <w:lang w:val="en-US"/>
        </w:rPr>
      </w:pPr>
    </w:p>
    <w:p w14:paraId="4889A4EC" w14:textId="77777777" w:rsidR="003A3D37" w:rsidRPr="003A3D37" w:rsidRDefault="003A3D37" w:rsidP="003A3D37">
      <w:pPr>
        <w:keepNext/>
        <w:keepLines/>
        <w:spacing w:after="0" w:line="360" w:lineRule="auto"/>
        <w:jc w:val="center"/>
        <w:outlineLvl w:val="0"/>
        <w:rPr>
          <w:rFonts w:ascii="Calibri" w:eastAsia="DengXian Light" w:hAnsi="Calibri" w:cs="Calibri"/>
          <w:b/>
          <w:bCs/>
          <w:color w:val="000000"/>
          <w:sz w:val="24"/>
          <w:szCs w:val="24"/>
          <w:lang w:val="en-US"/>
        </w:rPr>
      </w:pPr>
    </w:p>
    <w:p w14:paraId="6388CF78" w14:textId="77777777" w:rsidR="003A3D37" w:rsidRPr="003A3D37" w:rsidRDefault="003A3D37" w:rsidP="00D53390">
      <w:pPr>
        <w:pStyle w:val="Heading1"/>
        <w:jc w:val="center"/>
        <w:rPr>
          <w:rFonts w:eastAsia="DengXian Light"/>
          <w:lang w:val="en-US"/>
        </w:rPr>
      </w:pPr>
      <w:bookmarkStart w:id="16" w:name="_Toc203991949"/>
      <w:r w:rsidRPr="003A3D37">
        <w:rPr>
          <w:rFonts w:eastAsia="DengXian Light"/>
          <w:lang w:val="en-US"/>
        </w:rPr>
        <w:t>5.0 Appendices</w:t>
      </w:r>
      <w:bookmarkEnd w:id="16"/>
    </w:p>
    <w:p w14:paraId="128C115A" w14:textId="77777777" w:rsidR="003A3D37" w:rsidRPr="003A3D37" w:rsidRDefault="003A3D37" w:rsidP="003A3D37">
      <w:pPr>
        <w:spacing w:before="100" w:beforeAutospacing="1" w:after="100" w:afterAutospacing="1" w:line="360" w:lineRule="auto"/>
        <w:jc w:val="both"/>
        <w:outlineLvl w:val="1"/>
        <w:rPr>
          <w:rFonts w:ascii="Calibri" w:eastAsia="Times New Roman" w:hAnsi="Calibri" w:cs="Calibri"/>
          <w:b/>
          <w:bCs/>
          <w:sz w:val="24"/>
          <w:szCs w:val="24"/>
          <w:lang w:val="en-US"/>
        </w:rPr>
      </w:pPr>
      <w:bookmarkStart w:id="17" w:name="_Toc203991950"/>
      <w:r w:rsidRPr="003A3D37">
        <w:rPr>
          <w:rFonts w:ascii="Calibri" w:eastAsia="Times New Roman" w:hAnsi="Calibri" w:cs="Calibri"/>
          <w:b/>
          <w:bCs/>
          <w:sz w:val="24"/>
          <w:szCs w:val="24"/>
          <w:lang w:val="en-US"/>
        </w:rPr>
        <w:t>Appendix 1: Cultural Factors and Sustainability Strategy</w:t>
      </w:r>
      <w:bookmarkEnd w:id="17"/>
    </w:p>
    <w:tbl>
      <w:tblPr>
        <w:tblStyle w:val="GridTable5Dark-Accent51"/>
        <w:tblW w:w="0" w:type="auto"/>
        <w:tblLook w:val="04A0" w:firstRow="1" w:lastRow="0" w:firstColumn="1" w:lastColumn="0" w:noHBand="0" w:noVBand="1"/>
      </w:tblPr>
      <w:tblGrid>
        <w:gridCol w:w="2221"/>
        <w:gridCol w:w="4333"/>
        <w:gridCol w:w="2796"/>
      </w:tblGrid>
      <w:tr w:rsidR="003A3D37" w:rsidRPr="003A3D37" w14:paraId="5E2FF73B" w14:textId="77777777" w:rsidTr="00373CA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2826C9C" w14:textId="77777777" w:rsidR="003A3D37" w:rsidRPr="003A3D37" w:rsidRDefault="003A3D37" w:rsidP="003A3D37">
            <w:pPr>
              <w:spacing w:line="360" w:lineRule="auto"/>
              <w:rPr>
                <w:rFonts w:ascii="Calibri" w:eastAsia="Calibri" w:hAnsi="Calibri" w:cs="Calibri"/>
                <w:color w:val="000000"/>
                <w:sz w:val="24"/>
                <w:szCs w:val="24"/>
              </w:rPr>
            </w:pPr>
            <w:r w:rsidRPr="003A3D37">
              <w:rPr>
                <w:rFonts w:ascii="Calibri" w:eastAsia="Calibri" w:hAnsi="Calibri" w:cs="Calibri"/>
                <w:color w:val="000000"/>
                <w:sz w:val="24"/>
                <w:szCs w:val="24"/>
              </w:rPr>
              <w:t>Cultural Factor</w:t>
            </w:r>
          </w:p>
        </w:tc>
        <w:tc>
          <w:tcPr>
            <w:tcW w:w="0" w:type="auto"/>
            <w:hideMark/>
          </w:tcPr>
          <w:p w14:paraId="008D5805" w14:textId="77777777" w:rsidR="003A3D37" w:rsidRPr="003A3D37" w:rsidRDefault="003A3D37" w:rsidP="003A3D37">
            <w:pPr>
              <w:spacing w:line="360" w:lineRule="auto"/>
              <w:cnfStyle w:val="100000000000" w:firstRow="1" w:lastRow="0" w:firstColumn="0" w:lastColumn="0" w:oddVBand="0" w:evenVBand="0" w:oddHBand="0" w:evenHBand="0" w:firstRowFirstColumn="0" w:firstRowLastColumn="0" w:lastRowFirstColumn="0" w:lastRowLastColumn="0"/>
              <w:rPr>
                <w:rFonts w:ascii="Calibri" w:eastAsia="Calibri" w:hAnsi="Calibri" w:cs="Calibri"/>
                <w:color w:val="000000"/>
                <w:sz w:val="24"/>
                <w:szCs w:val="24"/>
              </w:rPr>
            </w:pPr>
            <w:r w:rsidRPr="003A3D37">
              <w:rPr>
                <w:rFonts w:ascii="Calibri" w:eastAsia="Calibri" w:hAnsi="Calibri" w:cs="Calibri"/>
                <w:color w:val="000000"/>
                <w:sz w:val="24"/>
                <w:szCs w:val="24"/>
              </w:rPr>
              <w:t>Impact on Sustainability Strategy</w:t>
            </w:r>
          </w:p>
        </w:tc>
        <w:tc>
          <w:tcPr>
            <w:tcW w:w="0" w:type="auto"/>
            <w:hideMark/>
          </w:tcPr>
          <w:p w14:paraId="497665E6" w14:textId="77777777" w:rsidR="003A3D37" w:rsidRPr="003A3D37" w:rsidRDefault="003A3D37" w:rsidP="003A3D37">
            <w:pPr>
              <w:spacing w:line="360" w:lineRule="auto"/>
              <w:cnfStyle w:val="100000000000" w:firstRow="1" w:lastRow="0" w:firstColumn="0" w:lastColumn="0" w:oddVBand="0" w:evenVBand="0" w:oddHBand="0" w:evenHBand="0" w:firstRowFirstColumn="0" w:firstRowLastColumn="0" w:lastRowFirstColumn="0" w:lastRowLastColumn="0"/>
              <w:rPr>
                <w:rFonts w:ascii="Calibri" w:eastAsia="Calibri" w:hAnsi="Calibri" w:cs="Calibri"/>
                <w:color w:val="000000"/>
                <w:sz w:val="24"/>
                <w:szCs w:val="24"/>
              </w:rPr>
            </w:pPr>
            <w:r w:rsidRPr="003A3D37">
              <w:rPr>
                <w:rFonts w:ascii="Calibri" w:eastAsia="Calibri" w:hAnsi="Calibri" w:cs="Calibri"/>
                <w:color w:val="000000"/>
                <w:sz w:val="24"/>
                <w:szCs w:val="24"/>
              </w:rPr>
              <w:t>Source</w:t>
            </w:r>
          </w:p>
        </w:tc>
      </w:tr>
      <w:tr w:rsidR="003A3D37" w:rsidRPr="003A3D37" w14:paraId="6A9E5B11" w14:textId="77777777" w:rsidTr="00373C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12C6D18" w14:textId="77777777" w:rsidR="003A3D37" w:rsidRPr="003A3D37" w:rsidRDefault="003A3D37" w:rsidP="003A3D37">
            <w:pPr>
              <w:spacing w:line="360" w:lineRule="auto"/>
              <w:rPr>
                <w:rFonts w:ascii="Calibri" w:eastAsia="Calibri" w:hAnsi="Calibri" w:cs="Calibri"/>
                <w:color w:val="000000"/>
                <w:sz w:val="24"/>
                <w:szCs w:val="24"/>
              </w:rPr>
            </w:pPr>
            <w:r w:rsidRPr="003A3D37">
              <w:rPr>
                <w:rFonts w:ascii="Calibri" w:eastAsia="Calibri" w:hAnsi="Calibri" w:cs="Calibri"/>
                <w:color w:val="000000"/>
                <w:sz w:val="24"/>
                <w:szCs w:val="24"/>
              </w:rPr>
              <w:t>Communication Style</w:t>
            </w:r>
          </w:p>
        </w:tc>
        <w:tc>
          <w:tcPr>
            <w:tcW w:w="0" w:type="auto"/>
            <w:hideMark/>
          </w:tcPr>
          <w:p w14:paraId="506229AE" w14:textId="77777777" w:rsidR="003A3D37" w:rsidRPr="003A3D37" w:rsidRDefault="003A3D37" w:rsidP="003A3D37">
            <w:pPr>
              <w:spacing w:line="360" w:lineRule="auto"/>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 w:val="24"/>
                <w:szCs w:val="24"/>
              </w:rPr>
            </w:pPr>
            <w:r w:rsidRPr="003A3D37">
              <w:rPr>
                <w:rFonts w:ascii="Calibri" w:eastAsia="Calibri" w:hAnsi="Calibri" w:cs="Calibri"/>
                <w:color w:val="000000"/>
                <w:sz w:val="24"/>
                <w:szCs w:val="24"/>
              </w:rPr>
              <w:t>Influences internal messaging on climate goals</w:t>
            </w:r>
          </w:p>
        </w:tc>
        <w:tc>
          <w:tcPr>
            <w:tcW w:w="0" w:type="auto"/>
            <w:hideMark/>
          </w:tcPr>
          <w:p w14:paraId="60E5CAB5" w14:textId="77777777" w:rsidR="003A3D37" w:rsidRPr="003A3D37" w:rsidRDefault="003A3D37" w:rsidP="003A3D37">
            <w:pPr>
              <w:spacing w:line="360" w:lineRule="auto"/>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 w:val="24"/>
                <w:szCs w:val="24"/>
              </w:rPr>
            </w:pPr>
            <w:r w:rsidRPr="003A3D37">
              <w:rPr>
                <w:rFonts w:ascii="Calibri" w:eastAsia="Calibri" w:hAnsi="Calibri" w:cs="Calibri"/>
                <w:color w:val="000000"/>
                <w:sz w:val="24"/>
                <w:szCs w:val="24"/>
              </w:rPr>
              <w:t>Abrahams and Morgan (2017)</w:t>
            </w:r>
          </w:p>
        </w:tc>
      </w:tr>
      <w:tr w:rsidR="003A3D37" w:rsidRPr="003A3D37" w14:paraId="33115A36" w14:textId="77777777" w:rsidTr="00373CA8">
        <w:tc>
          <w:tcPr>
            <w:cnfStyle w:val="001000000000" w:firstRow="0" w:lastRow="0" w:firstColumn="1" w:lastColumn="0" w:oddVBand="0" w:evenVBand="0" w:oddHBand="0" w:evenHBand="0" w:firstRowFirstColumn="0" w:firstRowLastColumn="0" w:lastRowFirstColumn="0" w:lastRowLastColumn="0"/>
            <w:tcW w:w="0" w:type="auto"/>
            <w:hideMark/>
          </w:tcPr>
          <w:p w14:paraId="581888CB" w14:textId="77777777" w:rsidR="003A3D37" w:rsidRPr="003A3D37" w:rsidRDefault="003A3D37" w:rsidP="003A3D37">
            <w:pPr>
              <w:spacing w:line="360" w:lineRule="auto"/>
              <w:rPr>
                <w:rFonts w:ascii="Calibri" w:eastAsia="Calibri" w:hAnsi="Calibri" w:cs="Calibri"/>
                <w:color w:val="000000"/>
                <w:sz w:val="24"/>
                <w:szCs w:val="24"/>
              </w:rPr>
            </w:pPr>
            <w:r w:rsidRPr="003A3D37">
              <w:rPr>
                <w:rFonts w:ascii="Calibri" w:eastAsia="Calibri" w:hAnsi="Calibri" w:cs="Calibri"/>
                <w:color w:val="000000"/>
                <w:sz w:val="24"/>
                <w:szCs w:val="24"/>
              </w:rPr>
              <w:t>Leadership Norms</w:t>
            </w:r>
          </w:p>
        </w:tc>
        <w:tc>
          <w:tcPr>
            <w:tcW w:w="0" w:type="auto"/>
            <w:hideMark/>
          </w:tcPr>
          <w:p w14:paraId="4044C9FC" w14:textId="77777777" w:rsidR="003A3D37" w:rsidRPr="003A3D37" w:rsidRDefault="003A3D37" w:rsidP="003A3D37">
            <w:pPr>
              <w:spacing w:line="360" w:lineRule="auto"/>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 w:val="24"/>
                <w:szCs w:val="24"/>
              </w:rPr>
            </w:pPr>
            <w:r w:rsidRPr="003A3D37">
              <w:rPr>
                <w:rFonts w:ascii="Calibri" w:eastAsia="Calibri" w:hAnsi="Calibri" w:cs="Calibri"/>
                <w:color w:val="000000"/>
                <w:sz w:val="24"/>
                <w:szCs w:val="24"/>
              </w:rPr>
              <w:t>Shapes top-down vs bottom-up initiative adoption</w:t>
            </w:r>
          </w:p>
        </w:tc>
        <w:tc>
          <w:tcPr>
            <w:tcW w:w="0" w:type="auto"/>
            <w:hideMark/>
          </w:tcPr>
          <w:p w14:paraId="2A059427" w14:textId="77777777" w:rsidR="003A3D37" w:rsidRPr="003A3D37" w:rsidRDefault="003A3D37" w:rsidP="003A3D37">
            <w:pPr>
              <w:spacing w:line="360" w:lineRule="auto"/>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 w:val="24"/>
                <w:szCs w:val="24"/>
              </w:rPr>
            </w:pPr>
            <w:r w:rsidRPr="003A3D37">
              <w:rPr>
                <w:rFonts w:ascii="Calibri" w:eastAsia="Calibri" w:hAnsi="Calibri" w:cs="Calibri"/>
                <w:color w:val="000000"/>
                <w:sz w:val="24"/>
                <w:szCs w:val="24"/>
              </w:rPr>
              <w:t>Abrahams and Morgan (2017)</w:t>
            </w:r>
          </w:p>
        </w:tc>
      </w:tr>
      <w:tr w:rsidR="003A3D37" w:rsidRPr="003A3D37" w14:paraId="2E38566F" w14:textId="77777777" w:rsidTr="00373C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BBE8C61" w14:textId="77777777" w:rsidR="003A3D37" w:rsidRPr="003A3D37" w:rsidRDefault="003A3D37" w:rsidP="003A3D37">
            <w:pPr>
              <w:spacing w:line="360" w:lineRule="auto"/>
              <w:rPr>
                <w:rFonts w:ascii="Calibri" w:eastAsia="Calibri" w:hAnsi="Calibri" w:cs="Calibri"/>
                <w:color w:val="000000"/>
                <w:sz w:val="24"/>
                <w:szCs w:val="24"/>
              </w:rPr>
            </w:pPr>
            <w:r w:rsidRPr="003A3D37">
              <w:rPr>
                <w:rFonts w:ascii="Calibri" w:eastAsia="Calibri" w:hAnsi="Calibri" w:cs="Calibri"/>
                <w:color w:val="000000"/>
                <w:sz w:val="24"/>
                <w:szCs w:val="24"/>
              </w:rPr>
              <w:t>Power Distance</w:t>
            </w:r>
          </w:p>
        </w:tc>
        <w:tc>
          <w:tcPr>
            <w:tcW w:w="0" w:type="auto"/>
            <w:hideMark/>
          </w:tcPr>
          <w:p w14:paraId="181C3903" w14:textId="77777777" w:rsidR="003A3D37" w:rsidRPr="003A3D37" w:rsidRDefault="003A3D37" w:rsidP="003A3D37">
            <w:pPr>
              <w:spacing w:line="360" w:lineRule="auto"/>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 w:val="24"/>
                <w:szCs w:val="24"/>
              </w:rPr>
            </w:pPr>
            <w:r w:rsidRPr="003A3D37">
              <w:rPr>
                <w:rFonts w:ascii="Calibri" w:eastAsia="Calibri" w:hAnsi="Calibri" w:cs="Calibri"/>
                <w:color w:val="000000"/>
                <w:sz w:val="24"/>
                <w:szCs w:val="24"/>
              </w:rPr>
              <w:t>Affects stakeholder inclusion in decisions</w:t>
            </w:r>
          </w:p>
        </w:tc>
        <w:tc>
          <w:tcPr>
            <w:tcW w:w="0" w:type="auto"/>
            <w:hideMark/>
          </w:tcPr>
          <w:p w14:paraId="0DC3DE6B" w14:textId="77777777" w:rsidR="003A3D37" w:rsidRPr="003A3D37" w:rsidRDefault="003A3D37" w:rsidP="003A3D37">
            <w:pPr>
              <w:spacing w:line="360" w:lineRule="auto"/>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 w:val="24"/>
                <w:szCs w:val="24"/>
              </w:rPr>
            </w:pPr>
            <w:r w:rsidRPr="003A3D37">
              <w:rPr>
                <w:rFonts w:ascii="Calibri" w:eastAsia="Calibri" w:hAnsi="Calibri" w:cs="Calibri"/>
                <w:color w:val="000000"/>
                <w:sz w:val="24"/>
                <w:szCs w:val="24"/>
              </w:rPr>
              <w:t>Mullins (2019)</w:t>
            </w:r>
          </w:p>
        </w:tc>
      </w:tr>
      <w:tr w:rsidR="003A3D37" w:rsidRPr="003A3D37" w14:paraId="3DA8A4B0" w14:textId="77777777" w:rsidTr="00373CA8">
        <w:tc>
          <w:tcPr>
            <w:cnfStyle w:val="001000000000" w:firstRow="0" w:lastRow="0" w:firstColumn="1" w:lastColumn="0" w:oddVBand="0" w:evenVBand="0" w:oddHBand="0" w:evenHBand="0" w:firstRowFirstColumn="0" w:firstRowLastColumn="0" w:lastRowFirstColumn="0" w:lastRowLastColumn="0"/>
            <w:tcW w:w="0" w:type="auto"/>
            <w:hideMark/>
          </w:tcPr>
          <w:p w14:paraId="4258B691" w14:textId="77777777" w:rsidR="003A3D37" w:rsidRPr="003A3D37" w:rsidRDefault="003A3D37" w:rsidP="003A3D37">
            <w:pPr>
              <w:spacing w:line="360" w:lineRule="auto"/>
              <w:rPr>
                <w:rFonts w:ascii="Calibri" w:eastAsia="Calibri" w:hAnsi="Calibri" w:cs="Calibri"/>
                <w:color w:val="000000"/>
                <w:sz w:val="24"/>
                <w:szCs w:val="24"/>
              </w:rPr>
            </w:pPr>
            <w:r w:rsidRPr="003A3D37">
              <w:rPr>
                <w:rFonts w:ascii="Calibri" w:eastAsia="Calibri" w:hAnsi="Calibri" w:cs="Calibri"/>
                <w:color w:val="000000"/>
                <w:sz w:val="24"/>
                <w:szCs w:val="24"/>
              </w:rPr>
              <w:t>Time Orientation</w:t>
            </w:r>
          </w:p>
        </w:tc>
        <w:tc>
          <w:tcPr>
            <w:tcW w:w="0" w:type="auto"/>
            <w:hideMark/>
          </w:tcPr>
          <w:p w14:paraId="6060B523" w14:textId="77777777" w:rsidR="003A3D37" w:rsidRPr="003A3D37" w:rsidRDefault="003A3D37" w:rsidP="003A3D37">
            <w:pPr>
              <w:spacing w:line="360" w:lineRule="auto"/>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 w:val="24"/>
                <w:szCs w:val="24"/>
              </w:rPr>
            </w:pPr>
            <w:r w:rsidRPr="003A3D37">
              <w:rPr>
                <w:rFonts w:ascii="Calibri" w:eastAsia="Calibri" w:hAnsi="Calibri" w:cs="Calibri"/>
                <w:color w:val="000000"/>
                <w:sz w:val="24"/>
                <w:szCs w:val="24"/>
              </w:rPr>
              <w:t>Determines urgency of climate investment</w:t>
            </w:r>
          </w:p>
        </w:tc>
        <w:tc>
          <w:tcPr>
            <w:tcW w:w="0" w:type="auto"/>
            <w:hideMark/>
          </w:tcPr>
          <w:p w14:paraId="7911DF18" w14:textId="77777777" w:rsidR="003A3D37" w:rsidRPr="003A3D37" w:rsidRDefault="003A3D37" w:rsidP="003A3D37">
            <w:pPr>
              <w:spacing w:line="360" w:lineRule="auto"/>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 w:val="24"/>
                <w:szCs w:val="24"/>
              </w:rPr>
            </w:pPr>
            <w:r w:rsidRPr="003A3D37">
              <w:rPr>
                <w:rFonts w:ascii="Calibri" w:eastAsia="Calibri" w:hAnsi="Calibri" w:cs="Calibri"/>
                <w:color w:val="000000"/>
                <w:sz w:val="24"/>
                <w:szCs w:val="24"/>
              </w:rPr>
              <w:t>Ramakrishnan (2013)</w:t>
            </w:r>
          </w:p>
        </w:tc>
      </w:tr>
    </w:tbl>
    <w:p w14:paraId="09C2CF47" w14:textId="77777777" w:rsidR="003A3D37" w:rsidRPr="003A3D37" w:rsidRDefault="003A3D37" w:rsidP="003A3D37">
      <w:pPr>
        <w:spacing w:after="0" w:line="360" w:lineRule="auto"/>
        <w:rPr>
          <w:rFonts w:ascii="Calibri" w:eastAsia="Calibri" w:hAnsi="Calibri" w:cs="Calibri"/>
          <w:color w:val="000000"/>
          <w:sz w:val="24"/>
          <w:szCs w:val="24"/>
          <w:lang w:val="en-US"/>
        </w:rPr>
      </w:pPr>
    </w:p>
    <w:p w14:paraId="11969A62" w14:textId="77777777" w:rsidR="003A3D37" w:rsidRPr="003A3D37" w:rsidRDefault="003A3D37" w:rsidP="003A3D37">
      <w:pPr>
        <w:spacing w:before="100" w:beforeAutospacing="1" w:after="100" w:afterAutospacing="1" w:line="360" w:lineRule="auto"/>
        <w:jc w:val="both"/>
        <w:outlineLvl w:val="1"/>
        <w:rPr>
          <w:rFonts w:ascii="Calibri" w:eastAsia="Times New Roman" w:hAnsi="Calibri" w:cs="Calibri"/>
          <w:b/>
          <w:bCs/>
          <w:sz w:val="24"/>
          <w:szCs w:val="24"/>
          <w:lang w:val="en-US"/>
        </w:rPr>
      </w:pPr>
      <w:bookmarkStart w:id="18" w:name="_Toc203991951"/>
      <w:r w:rsidRPr="003A3D37">
        <w:rPr>
          <w:rFonts w:ascii="Calibri" w:eastAsia="Times New Roman" w:hAnsi="Calibri" w:cs="Calibri"/>
          <w:b/>
          <w:bCs/>
          <w:sz w:val="24"/>
          <w:szCs w:val="24"/>
          <w:lang w:val="en-US"/>
        </w:rPr>
        <w:t>Appendix 2: Stakeholder Roles in Climate Strategy</w:t>
      </w:r>
      <w:bookmarkEnd w:id="18"/>
    </w:p>
    <w:tbl>
      <w:tblPr>
        <w:tblStyle w:val="GridTable5Dark-Accent51"/>
        <w:tblW w:w="0" w:type="auto"/>
        <w:tblLook w:val="04A0" w:firstRow="1" w:lastRow="0" w:firstColumn="1" w:lastColumn="0" w:noHBand="0" w:noVBand="1"/>
      </w:tblPr>
      <w:tblGrid>
        <w:gridCol w:w="1419"/>
        <w:gridCol w:w="5658"/>
        <w:gridCol w:w="2273"/>
      </w:tblGrid>
      <w:tr w:rsidR="003A3D37" w:rsidRPr="003A3D37" w14:paraId="0211D45E" w14:textId="77777777" w:rsidTr="00373CA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9AD4EEF" w14:textId="77777777" w:rsidR="003A3D37" w:rsidRPr="003A3D37" w:rsidRDefault="003A3D37" w:rsidP="003A3D37">
            <w:pPr>
              <w:spacing w:line="360" w:lineRule="auto"/>
              <w:rPr>
                <w:rFonts w:ascii="Calibri" w:eastAsia="Calibri" w:hAnsi="Calibri" w:cs="Calibri"/>
                <w:color w:val="000000"/>
                <w:sz w:val="24"/>
                <w:szCs w:val="24"/>
              </w:rPr>
            </w:pPr>
            <w:r w:rsidRPr="003A3D37">
              <w:rPr>
                <w:rFonts w:ascii="Calibri" w:eastAsia="Calibri" w:hAnsi="Calibri" w:cs="Calibri"/>
                <w:color w:val="000000"/>
                <w:sz w:val="24"/>
                <w:szCs w:val="24"/>
              </w:rPr>
              <w:t>Stakeholder</w:t>
            </w:r>
          </w:p>
        </w:tc>
        <w:tc>
          <w:tcPr>
            <w:tcW w:w="0" w:type="auto"/>
            <w:hideMark/>
          </w:tcPr>
          <w:p w14:paraId="68B9FC8A" w14:textId="77777777" w:rsidR="003A3D37" w:rsidRPr="003A3D37" w:rsidRDefault="003A3D37" w:rsidP="003A3D37">
            <w:pPr>
              <w:spacing w:line="360" w:lineRule="auto"/>
              <w:cnfStyle w:val="100000000000" w:firstRow="1" w:lastRow="0" w:firstColumn="0" w:lastColumn="0" w:oddVBand="0" w:evenVBand="0" w:oddHBand="0" w:evenHBand="0" w:firstRowFirstColumn="0" w:firstRowLastColumn="0" w:lastRowFirstColumn="0" w:lastRowLastColumn="0"/>
              <w:rPr>
                <w:rFonts w:ascii="Calibri" w:eastAsia="Calibri" w:hAnsi="Calibri" w:cs="Calibri"/>
                <w:color w:val="000000"/>
                <w:sz w:val="24"/>
                <w:szCs w:val="24"/>
              </w:rPr>
            </w:pPr>
            <w:r w:rsidRPr="003A3D37">
              <w:rPr>
                <w:rFonts w:ascii="Calibri" w:eastAsia="Calibri" w:hAnsi="Calibri" w:cs="Calibri"/>
                <w:color w:val="000000"/>
                <w:sz w:val="24"/>
                <w:szCs w:val="24"/>
              </w:rPr>
              <w:t>Climate Role</w:t>
            </w:r>
          </w:p>
        </w:tc>
        <w:tc>
          <w:tcPr>
            <w:tcW w:w="0" w:type="auto"/>
            <w:hideMark/>
          </w:tcPr>
          <w:p w14:paraId="421A328B" w14:textId="77777777" w:rsidR="003A3D37" w:rsidRPr="003A3D37" w:rsidRDefault="003A3D37" w:rsidP="003A3D37">
            <w:pPr>
              <w:spacing w:line="360" w:lineRule="auto"/>
              <w:cnfStyle w:val="100000000000" w:firstRow="1" w:lastRow="0" w:firstColumn="0" w:lastColumn="0" w:oddVBand="0" w:evenVBand="0" w:oddHBand="0" w:evenHBand="0" w:firstRowFirstColumn="0" w:firstRowLastColumn="0" w:lastRowFirstColumn="0" w:lastRowLastColumn="0"/>
              <w:rPr>
                <w:rFonts w:ascii="Calibri" w:eastAsia="Calibri" w:hAnsi="Calibri" w:cs="Calibri"/>
                <w:color w:val="000000"/>
                <w:sz w:val="24"/>
                <w:szCs w:val="24"/>
              </w:rPr>
            </w:pPr>
            <w:r w:rsidRPr="003A3D37">
              <w:rPr>
                <w:rFonts w:ascii="Calibri" w:eastAsia="Calibri" w:hAnsi="Calibri" w:cs="Calibri"/>
                <w:color w:val="000000"/>
                <w:sz w:val="24"/>
                <w:szCs w:val="24"/>
              </w:rPr>
              <w:t>Power-Interest Level</w:t>
            </w:r>
          </w:p>
        </w:tc>
      </w:tr>
      <w:tr w:rsidR="003A3D37" w:rsidRPr="003A3D37" w14:paraId="68D62F2D" w14:textId="77777777" w:rsidTr="00373C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10CD3C6" w14:textId="77777777" w:rsidR="003A3D37" w:rsidRPr="003A3D37" w:rsidRDefault="003A3D37" w:rsidP="003A3D37">
            <w:pPr>
              <w:spacing w:line="360" w:lineRule="auto"/>
              <w:rPr>
                <w:rFonts w:ascii="Calibri" w:eastAsia="Calibri" w:hAnsi="Calibri" w:cs="Calibri"/>
                <w:color w:val="000000"/>
                <w:sz w:val="24"/>
                <w:szCs w:val="24"/>
              </w:rPr>
            </w:pPr>
            <w:r w:rsidRPr="003A3D37">
              <w:rPr>
                <w:rFonts w:ascii="Calibri" w:eastAsia="Calibri" w:hAnsi="Calibri" w:cs="Calibri"/>
                <w:color w:val="000000"/>
                <w:sz w:val="24"/>
                <w:szCs w:val="24"/>
              </w:rPr>
              <w:t>Employees</w:t>
            </w:r>
          </w:p>
        </w:tc>
        <w:tc>
          <w:tcPr>
            <w:tcW w:w="0" w:type="auto"/>
            <w:hideMark/>
          </w:tcPr>
          <w:p w14:paraId="6424FA31" w14:textId="77777777" w:rsidR="003A3D37" w:rsidRPr="003A3D37" w:rsidRDefault="003A3D37" w:rsidP="003A3D37">
            <w:pPr>
              <w:spacing w:line="360" w:lineRule="auto"/>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 w:val="24"/>
                <w:szCs w:val="24"/>
              </w:rPr>
            </w:pPr>
            <w:r w:rsidRPr="003A3D37">
              <w:rPr>
                <w:rFonts w:ascii="Calibri" w:eastAsia="Calibri" w:hAnsi="Calibri" w:cs="Calibri"/>
                <w:color w:val="000000"/>
                <w:sz w:val="24"/>
                <w:szCs w:val="24"/>
              </w:rPr>
              <w:t>Implement and influence internal practices</w:t>
            </w:r>
          </w:p>
        </w:tc>
        <w:tc>
          <w:tcPr>
            <w:tcW w:w="0" w:type="auto"/>
            <w:hideMark/>
          </w:tcPr>
          <w:p w14:paraId="799F2187" w14:textId="77777777" w:rsidR="003A3D37" w:rsidRPr="003A3D37" w:rsidRDefault="003A3D37" w:rsidP="003A3D37">
            <w:pPr>
              <w:spacing w:line="360" w:lineRule="auto"/>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 w:val="24"/>
                <w:szCs w:val="24"/>
              </w:rPr>
            </w:pPr>
            <w:r w:rsidRPr="003A3D37">
              <w:rPr>
                <w:rFonts w:ascii="Calibri" w:eastAsia="Calibri" w:hAnsi="Calibri" w:cs="Calibri"/>
                <w:color w:val="000000"/>
                <w:sz w:val="24"/>
                <w:szCs w:val="24"/>
              </w:rPr>
              <w:t>Medium–High</w:t>
            </w:r>
          </w:p>
        </w:tc>
      </w:tr>
      <w:tr w:rsidR="003A3D37" w:rsidRPr="003A3D37" w14:paraId="5BD227A1" w14:textId="77777777" w:rsidTr="00373CA8">
        <w:tc>
          <w:tcPr>
            <w:cnfStyle w:val="001000000000" w:firstRow="0" w:lastRow="0" w:firstColumn="1" w:lastColumn="0" w:oddVBand="0" w:evenVBand="0" w:oddHBand="0" w:evenHBand="0" w:firstRowFirstColumn="0" w:firstRowLastColumn="0" w:lastRowFirstColumn="0" w:lastRowLastColumn="0"/>
            <w:tcW w:w="0" w:type="auto"/>
            <w:hideMark/>
          </w:tcPr>
          <w:p w14:paraId="7BDCCA5B" w14:textId="77777777" w:rsidR="003A3D37" w:rsidRPr="003A3D37" w:rsidRDefault="003A3D37" w:rsidP="003A3D37">
            <w:pPr>
              <w:spacing w:line="360" w:lineRule="auto"/>
              <w:rPr>
                <w:rFonts w:ascii="Calibri" w:eastAsia="Calibri" w:hAnsi="Calibri" w:cs="Calibri"/>
                <w:color w:val="000000"/>
                <w:sz w:val="24"/>
                <w:szCs w:val="24"/>
              </w:rPr>
            </w:pPr>
            <w:r w:rsidRPr="003A3D37">
              <w:rPr>
                <w:rFonts w:ascii="Calibri" w:eastAsia="Calibri" w:hAnsi="Calibri" w:cs="Calibri"/>
                <w:color w:val="000000"/>
                <w:sz w:val="24"/>
                <w:szCs w:val="24"/>
              </w:rPr>
              <w:t>Customers</w:t>
            </w:r>
          </w:p>
        </w:tc>
        <w:tc>
          <w:tcPr>
            <w:tcW w:w="0" w:type="auto"/>
            <w:hideMark/>
          </w:tcPr>
          <w:p w14:paraId="604BEC4F" w14:textId="77777777" w:rsidR="003A3D37" w:rsidRPr="003A3D37" w:rsidRDefault="003A3D37" w:rsidP="003A3D37">
            <w:pPr>
              <w:spacing w:line="360" w:lineRule="auto"/>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 w:val="24"/>
                <w:szCs w:val="24"/>
              </w:rPr>
            </w:pPr>
            <w:r w:rsidRPr="003A3D37">
              <w:rPr>
                <w:rFonts w:ascii="Calibri" w:eastAsia="Calibri" w:hAnsi="Calibri" w:cs="Calibri"/>
                <w:color w:val="000000"/>
                <w:sz w:val="24"/>
                <w:szCs w:val="24"/>
              </w:rPr>
              <w:t>Demand sustainability and ethical sourcing</w:t>
            </w:r>
          </w:p>
        </w:tc>
        <w:tc>
          <w:tcPr>
            <w:tcW w:w="0" w:type="auto"/>
            <w:hideMark/>
          </w:tcPr>
          <w:p w14:paraId="5BB5783A" w14:textId="77777777" w:rsidR="003A3D37" w:rsidRPr="003A3D37" w:rsidRDefault="003A3D37" w:rsidP="003A3D37">
            <w:pPr>
              <w:spacing w:line="360" w:lineRule="auto"/>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 w:val="24"/>
                <w:szCs w:val="24"/>
              </w:rPr>
            </w:pPr>
            <w:r w:rsidRPr="003A3D37">
              <w:rPr>
                <w:rFonts w:ascii="Calibri" w:eastAsia="Calibri" w:hAnsi="Calibri" w:cs="Calibri"/>
                <w:color w:val="000000"/>
                <w:sz w:val="24"/>
                <w:szCs w:val="24"/>
              </w:rPr>
              <w:t>Medium–High</w:t>
            </w:r>
          </w:p>
        </w:tc>
      </w:tr>
      <w:tr w:rsidR="003A3D37" w:rsidRPr="003A3D37" w14:paraId="6E238E2A" w14:textId="77777777" w:rsidTr="00373C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8472E2C" w14:textId="77777777" w:rsidR="003A3D37" w:rsidRPr="003A3D37" w:rsidRDefault="003A3D37" w:rsidP="003A3D37">
            <w:pPr>
              <w:spacing w:line="360" w:lineRule="auto"/>
              <w:rPr>
                <w:rFonts w:ascii="Calibri" w:eastAsia="Calibri" w:hAnsi="Calibri" w:cs="Calibri"/>
                <w:color w:val="000000"/>
                <w:sz w:val="24"/>
                <w:szCs w:val="24"/>
              </w:rPr>
            </w:pPr>
            <w:r w:rsidRPr="003A3D37">
              <w:rPr>
                <w:rFonts w:ascii="Calibri" w:eastAsia="Calibri" w:hAnsi="Calibri" w:cs="Calibri"/>
                <w:color w:val="000000"/>
                <w:sz w:val="24"/>
                <w:szCs w:val="24"/>
              </w:rPr>
              <w:t>Investors</w:t>
            </w:r>
          </w:p>
        </w:tc>
        <w:tc>
          <w:tcPr>
            <w:tcW w:w="0" w:type="auto"/>
            <w:hideMark/>
          </w:tcPr>
          <w:p w14:paraId="4DC309ED" w14:textId="77777777" w:rsidR="003A3D37" w:rsidRPr="003A3D37" w:rsidRDefault="003A3D37" w:rsidP="003A3D37">
            <w:pPr>
              <w:spacing w:line="360" w:lineRule="auto"/>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 w:val="24"/>
                <w:szCs w:val="24"/>
              </w:rPr>
            </w:pPr>
            <w:r w:rsidRPr="003A3D37">
              <w:rPr>
                <w:rFonts w:ascii="Calibri" w:eastAsia="Calibri" w:hAnsi="Calibri" w:cs="Calibri"/>
                <w:color w:val="000000"/>
                <w:sz w:val="24"/>
                <w:szCs w:val="24"/>
              </w:rPr>
              <w:t>Push ESG compliance and disclosures</w:t>
            </w:r>
          </w:p>
        </w:tc>
        <w:tc>
          <w:tcPr>
            <w:tcW w:w="0" w:type="auto"/>
            <w:hideMark/>
          </w:tcPr>
          <w:p w14:paraId="4E60AEED" w14:textId="77777777" w:rsidR="003A3D37" w:rsidRPr="003A3D37" w:rsidRDefault="003A3D37" w:rsidP="003A3D37">
            <w:pPr>
              <w:spacing w:line="360" w:lineRule="auto"/>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 w:val="24"/>
                <w:szCs w:val="24"/>
              </w:rPr>
            </w:pPr>
            <w:r w:rsidRPr="003A3D37">
              <w:rPr>
                <w:rFonts w:ascii="Calibri" w:eastAsia="Calibri" w:hAnsi="Calibri" w:cs="Calibri"/>
                <w:color w:val="000000"/>
                <w:sz w:val="24"/>
                <w:szCs w:val="24"/>
              </w:rPr>
              <w:t>High–High</w:t>
            </w:r>
          </w:p>
        </w:tc>
      </w:tr>
      <w:tr w:rsidR="003A3D37" w:rsidRPr="003A3D37" w14:paraId="41CB481D" w14:textId="77777777" w:rsidTr="00373CA8">
        <w:tc>
          <w:tcPr>
            <w:cnfStyle w:val="001000000000" w:firstRow="0" w:lastRow="0" w:firstColumn="1" w:lastColumn="0" w:oddVBand="0" w:evenVBand="0" w:oddHBand="0" w:evenHBand="0" w:firstRowFirstColumn="0" w:firstRowLastColumn="0" w:lastRowFirstColumn="0" w:lastRowLastColumn="0"/>
            <w:tcW w:w="0" w:type="auto"/>
            <w:hideMark/>
          </w:tcPr>
          <w:p w14:paraId="6511D9D1" w14:textId="77777777" w:rsidR="003A3D37" w:rsidRPr="003A3D37" w:rsidRDefault="003A3D37" w:rsidP="003A3D37">
            <w:pPr>
              <w:spacing w:line="360" w:lineRule="auto"/>
              <w:rPr>
                <w:rFonts w:ascii="Calibri" w:eastAsia="Calibri" w:hAnsi="Calibri" w:cs="Calibri"/>
                <w:color w:val="000000"/>
                <w:sz w:val="24"/>
                <w:szCs w:val="24"/>
              </w:rPr>
            </w:pPr>
            <w:r w:rsidRPr="003A3D37">
              <w:rPr>
                <w:rFonts w:ascii="Calibri" w:eastAsia="Calibri" w:hAnsi="Calibri" w:cs="Calibri"/>
                <w:color w:val="000000"/>
                <w:sz w:val="24"/>
                <w:szCs w:val="24"/>
              </w:rPr>
              <w:t>Suppliers</w:t>
            </w:r>
          </w:p>
        </w:tc>
        <w:tc>
          <w:tcPr>
            <w:tcW w:w="0" w:type="auto"/>
            <w:hideMark/>
          </w:tcPr>
          <w:p w14:paraId="78DE0ACD" w14:textId="75160FAF" w:rsidR="003A3D37" w:rsidRPr="003A3D37" w:rsidRDefault="00D53390" w:rsidP="003A3D37">
            <w:pPr>
              <w:spacing w:line="360" w:lineRule="auto"/>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 w:val="24"/>
                <w:szCs w:val="24"/>
              </w:rPr>
            </w:pPr>
            <w:r w:rsidRPr="003A3D37">
              <w:rPr>
                <w:rFonts w:ascii="Calibri" w:eastAsia="Calibri" w:hAnsi="Calibri" w:cs="Calibri"/>
                <w:color w:val="000000"/>
                <w:sz w:val="24"/>
                <w:szCs w:val="24"/>
              </w:rPr>
              <w:t>Delivery</w:t>
            </w:r>
            <w:r w:rsidR="003A3D37" w:rsidRPr="003A3D37">
              <w:rPr>
                <w:rFonts w:ascii="Calibri" w:eastAsia="Calibri" w:hAnsi="Calibri" w:cs="Calibri"/>
                <w:color w:val="000000"/>
                <w:sz w:val="24"/>
                <w:szCs w:val="24"/>
              </w:rPr>
              <w:t xml:space="preserve"> on Scope 3 emissions reductions</w:t>
            </w:r>
          </w:p>
        </w:tc>
        <w:tc>
          <w:tcPr>
            <w:tcW w:w="0" w:type="auto"/>
            <w:hideMark/>
          </w:tcPr>
          <w:p w14:paraId="79515F8B" w14:textId="77777777" w:rsidR="003A3D37" w:rsidRPr="003A3D37" w:rsidRDefault="003A3D37" w:rsidP="003A3D37">
            <w:pPr>
              <w:spacing w:line="360" w:lineRule="auto"/>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 w:val="24"/>
                <w:szCs w:val="24"/>
              </w:rPr>
            </w:pPr>
            <w:r w:rsidRPr="003A3D37">
              <w:rPr>
                <w:rFonts w:ascii="Calibri" w:eastAsia="Calibri" w:hAnsi="Calibri" w:cs="Calibri"/>
                <w:color w:val="000000"/>
                <w:sz w:val="24"/>
                <w:szCs w:val="24"/>
              </w:rPr>
              <w:t>Low–Medium</w:t>
            </w:r>
          </w:p>
        </w:tc>
      </w:tr>
      <w:tr w:rsidR="003A3D37" w:rsidRPr="003A3D37" w14:paraId="601D405C" w14:textId="77777777" w:rsidTr="00373C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E9A5AAD" w14:textId="77777777" w:rsidR="003A3D37" w:rsidRPr="003A3D37" w:rsidRDefault="003A3D37" w:rsidP="003A3D37">
            <w:pPr>
              <w:spacing w:line="360" w:lineRule="auto"/>
              <w:rPr>
                <w:rFonts w:ascii="Calibri" w:eastAsia="Calibri" w:hAnsi="Calibri" w:cs="Calibri"/>
                <w:color w:val="000000"/>
                <w:sz w:val="24"/>
                <w:szCs w:val="24"/>
              </w:rPr>
            </w:pPr>
            <w:r w:rsidRPr="003A3D37">
              <w:rPr>
                <w:rFonts w:ascii="Calibri" w:eastAsia="Calibri" w:hAnsi="Calibri" w:cs="Calibri"/>
                <w:color w:val="000000"/>
                <w:sz w:val="24"/>
                <w:szCs w:val="24"/>
              </w:rPr>
              <w:t>Regulators</w:t>
            </w:r>
          </w:p>
        </w:tc>
        <w:tc>
          <w:tcPr>
            <w:tcW w:w="0" w:type="auto"/>
            <w:hideMark/>
          </w:tcPr>
          <w:p w14:paraId="72956607" w14:textId="77777777" w:rsidR="003A3D37" w:rsidRPr="003A3D37" w:rsidRDefault="003A3D37" w:rsidP="003A3D37">
            <w:pPr>
              <w:spacing w:line="360" w:lineRule="auto"/>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 w:val="24"/>
                <w:szCs w:val="24"/>
              </w:rPr>
            </w:pPr>
            <w:r w:rsidRPr="003A3D37">
              <w:rPr>
                <w:rFonts w:ascii="Calibri" w:eastAsia="Calibri" w:hAnsi="Calibri" w:cs="Calibri"/>
                <w:color w:val="000000"/>
                <w:sz w:val="24"/>
                <w:szCs w:val="24"/>
              </w:rPr>
              <w:t>Enforce standards like Extended Producer Responsibility</w:t>
            </w:r>
          </w:p>
        </w:tc>
        <w:tc>
          <w:tcPr>
            <w:tcW w:w="0" w:type="auto"/>
            <w:hideMark/>
          </w:tcPr>
          <w:p w14:paraId="687809CF" w14:textId="77777777" w:rsidR="003A3D37" w:rsidRPr="003A3D37" w:rsidRDefault="003A3D37" w:rsidP="003A3D37">
            <w:pPr>
              <w:spacing w:line="360" w:lineRule="auto"/>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 w:val="24"/>
                <w:szCs w:val="24"/>
              </w:rPr>
            </w:pPr>
            <w:r w:rsidRPr="003A3D37">
              <w:rPr>
                <w:rFonts w:ascii="Calibri" w:eastAsia="Calibri" w:hAnsi="Calibri" w:cs="Calibri"/>
                <w:color w:val="000000"/>
                <w:sz w:val="24"/>
                <w:szCs w:val="24"/>
              </w:rPr>
              <w:t>High–Medium</w:t>
            </w:r>
          </w:p>
        </w:tc>
      </w:tr>
    </w:tbl>
    <w:p w14:paraId="5D3AF46B" w14:textId="77777777" w:rsidR="003A3D37" w:rsidRPr="003A3D37" w:rsidRDefault="003A3D37" w:rsidP="003A3D37">
      <w:pPr>
        <w:spacing w:after="0" w:line="360" w:lineRule="auto"/>
        <w:rPr>
          <w:rFonts w:ascii="Calibri" w:eastAsia="Calibri" w:hAnsi="Calibri" w:cs="Calibri"/>
          <w:color w:val="000000"/>
          <w:sz w:val="24"/>
          <w:szCs w:val="24"/>
          <w:lang w:val="en-US"/>
        </w:rPr>
      </w:pPr>
    </w:p>
    <w:p w14:paraId="39BF9566" w14:textId="77777777" w:rsidR="003A3D37" w:rsidRPr="003A3D37" w:rsidRDefault="003A3D37" w:rsidP="003A3D37">
      <w:pPr>
        <w:spacing w:before="100" w:beforeAutospacing="1" w:after="100" w:afterAutospacing="1" w:line="360" w:lineRule="auto"/>
        <w:jc w:val="both"/>
        <w:outlineLvl w:val="1"/>
        <w:rPr>
          <w:rFonts w:ascii="Calibri" w:eastAsia="Times New Roman" w:hAnsi="Calibri" w:cs="Calibri"/>
          <w:b/>
          <w:bCs/>
          <w:sz w:val="24"/>
          <w:szCs w:val="24"/>
          <w:lang w:val="en-US"/>
        </w:rPr>
      </w:pPr>
      <w:bookmarkStart w:id="19" w:name="_Toc203991952"/>
      <w:r w:rsidRPr="003A3D37">
        <w:rPr>
          <w:rFonts w:ascii="Calibri" w:eastAsia="Times New Roman" w:hAnsi="Calibri" w:cs="Calibri"/>
          <w:b/>
          <w:bCs/>
          <w:sz w:val="24"/>
          <w:szCs w:val="24"/>
          <w:lang w:val="en-US"/>
        </w:rPr>
        <w:t>Appendix 3: ESG Factors and M&amp;S Responses</w:t>
      </w:r>
      <w:bookmarkEnd w:id="19"/>
    </w:p>
    <w:tbl>
      <w:tblPr>
        <w:tblStyle w:val="GridTable5Dark-Accent51"/>
        <w:tblW w:w="0" w:type="auto"/>
        <w:tblLook w:val="04A0" w:firstRow="1" w:lastRow="0" w:firstColumn="1" w:lastColumn="0" w:noHBand="0" w:noVBand="1"/>
      </w:tblPr>
      <w:tblGrid>
        <w:gridCol w:w="1683"/>
        <w:gridCol w:w="4219"/>
        <w:gridCol w:w="3448"/>
      </w:tblGrid>
      <w:tr w:rsidR="003A3D37" w:rsidRPr="003A3D37" w14:paraId="29C9679C" w14:textId="77777777" w:rsidTr="00373CA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5D32C72" w14:textId="77777777" w:rsidR="003A3D37" w:rsidRPr="003A3D37" w:rsidRDefault="003A3D37" w:rsidP="003A3D37">
            <w:pPr>
              <w:spacing w:line="360" w:lineRule="auto"/>
              <w:rPr>
                <w:rFonts w:ascii="Calibri" w:eastAsia="Calibri" w:hAnsi="Calibri" w:cs="Calibri"/>
                <w:color w:val="000000"/>
                <w:sz w:val="24"/>
                <w:szCs w:val="24"/>
              </w:rPr>
            </w:pPr>
            <w:r w:rsidRPr="003A3D37">
              <w:rPr>
                <w:rFonts w:ascii="Calibri" w:eastAsia="Calibri" w:hAnsi="Calibri" w:cs="Calibri"/>
                <w:color w:val="000000"/>
                <w:sz w:val="24"/>
                <w:szCs w:val="24"/>
              </w:rPr>
              <w:lastRenderedPageBreak/>
              <w:t>ESG Factor</w:t>
            </w:r>
          </w:p>
        </w:tc>
        <w:tc>
          <w:tcPr>
            <w:tcW w:w="0" w:type="auto"/>
            <w:hideMark/>
          </w:tcPr>
          <w:p w14:paraId="115CC258" w14:textId="77777777" w:rsidR="003A3D37" w:rsidRPr="003A3D37" w:rsidRDefault="003A3D37" w:rsidP="003A3D37">
            <w:pPr>
              <w:spacing w:line="360" w:lineRule="auto"/>
              <w:cnfStyle w:val="100000000000" w:firstRow="1" w:lastRow="0" w:firstColumn="0" w:lastColumn="0" w:oddVBand="0" w:evenVBand="0" w:oddHBand="0" w:evenHBand="0" w:firstRowFirstColumn="0" w:firstRowLastColumn="0" w:lastRowFirstColumn="0" w:lastRowLastColumn="0"/>
              <w:rPr>
                <w:rFonts w:ascii="Calibri" w:eastAsia="Calibri" w:hAnsi="Calibri" w:cs="Calibri"/>
                <w:color w:val="000000"/>
                <w:sz w:val="24"/>
                <w:szCs w:val="24"/>
              </w:rPr>
            </w:pPr>
            <w:r w:rsidRPr="003A3D37">
              <w:rPr>
                <w:rFonts w:ascii="Calibri" w:eastAsia="Calibri" w:hAnsi="Calibri" w:cs="Calibri"/>
                <w:color w:val="000000"/>
                <w:sz w:val="24"/>
                <w:szCs w:val="24"/>
              </w:rPr>
              <w:t>M&amp;S Response</w:t>
            </w:r>
          </w:p>
        </w:tc>
        <w:tc>
          <w:tcPr>
            <w:tcW w:w="0" w:type="auto"/>
            <w:hideMark/>
          </w:tcPr>
          <w:p w14:paraId="2E9874E6" w14:textId="77777777" w:rsidR="003A3D37" w:rsidRPr="003A3D37" w:rsidRDefault="003A3D37" w:rsidP="003A3D37">
            <w:pPr>
              <w:spacing w:line="360" w:lineRule="auto"/>
              <w:cnfStyle w:val="100000000000" w:firstRow="1" w:lastRow="0" w:firstColumn="0" w:lastColumn="0" w:oddVBand="0" w:evenVBand="0" w:oddHBand="0" w:evenHBand="0" w:firstRowFirstColumn="0" w:firstRowLastColumn="0" w:lastRowFirstColumn="0" w:lastRowLastColumn="0"/>
              <w:rPr>
                <w:rFonts w:ascii="Calibri" w:eastAsia="Calibri" w:hAnsi="Calibri" w:cs="Calibri"/>
                <w:color w:val="000000"/>
                <w:sz w:val="24"/>
                <w:szCs w:val="24"/>
              </w:rPr>
            </w:pPr>
            <w:r w:rsidRPr="003A3D37">
              <w:rPr>
                <w:rFonts w:ascii="Calibri" w:eastAsia="Calibri" w:hAnsi="Calibri" w:cs="Calibri"/>
                <w:color w:val="000000"/>
                <w:sz w:val="24"/>
                <w:szCs w:val="24"/>
              </w:rPr>
              <w:t>Related Source</w:t>
            </w:r>
          </w:p>
        </w:tc>
      </w:tr>
      <w:tr w:rsidR="003A3D37" w:rsidRPr="003A3D37" w14:paraId="5F8DFD42" w14:textId="77777777" w:rsidTr="00373C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E988D29" w14:textId="77777777" w:rsidR="003A3D37" w:rsidRPr="003A3D37" w:rsidRDefault="003A3D37" w:rsidP="003A3D37">
            <w:pPr>
              <w:spacing w:line="360" w:lineRule="auto"/>
              <w:rPr>
                <w:rFonts w:ascii="Calibri" w:eastAsia="Calibri" w:hAnsi="Calibri" w:cs="Calibri"/>
                <w:color w:val="000000"/>
                <w:sz w:val="24"/>
                <w:szCs w:val="24"/>
              </w:rPr>
            </w:pPr>
            <w:r w:rsidRPr="003A3D37">
              <w:rPr>
                <w:rFonts w:ascii="Calibri" w:eastAsia="Calibri" w:hAnsi="Calibri" w:cs="Calibri"/>
                <w:color w:val="000000"/>
                <w:sz w:val="24"/>
                <w:szCs w:val="24"/>
              </w:rPr>
              <w:t>Environmental</w:t>
            </w:r>
          </w:p>
        </w:tc>
        <w:tc>
          <w:tcPr>
            <w:tcW w:w="0" w:type="auto"/>
            <w:hideMark/>
          </w:tcPr>
          <w:p w14:paraId="2D6C2E4B" w14:textId="77777777" w:rsidR="003A3D37" w:rsidRPr="003A3D37" w:rsidRDefault="003A3D37" w:rsidP="003A3D37">
            <w:pPr>
              <w:spacing w:line="360" w:lineRule="auto"/>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 w:val="24"/>
                <w:szCs w:val="24"/>
              </w:rPr>
            </w:pPr>
            <w:r w:rsidRPr="003A3D37">
              <w:rPr>
                <w:rFonts w:ascii="Calibri" w:eastAsia="Calibri" w:hAnsi="Calibri" w:cs="Calibri"/>
                <w:color w:val="000000"/>
                <w:sz w:val="24"/>
                <w:szCs w:val="24"/>
              </w:rPr>
              <w:t>Net-zero targets, packaging reform, Plan A</w:t>
            </w:r>
          </w:p>
        </w:tc>
        <w:tc>
          <w:tcPr>
            <w:tcW w:w="0" w:type="auto"/>
            <w:hideMark/>
          </w:tcPr>
          <w:p w14:paraId="2A38C944" w14:textId="77777777" w:rsidR="003A3D37" w:rsidRPr="003A3D37" w:rsidRDefault="003A3D37" w:rsidP="003A3D37">
            <w:pPr>
              <w:spacing w:line="360" w:lineRule="auto"/>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 w:val="24"/>
                <w:szCs w:val="24"/>
              </w:rPr>
            </w:pPr>
            <w:r w:rsidRPr="003A3D37">
              <w:rPr>
                <w:rFonts w:ascii="Calibri" w:eastAsia="Calibri" w:hAnsi="Calibri" w:cs="Calibri"/>
                <w:color w:val="000000"/>
                <w:sz w:val="24"/>
                <w:szCs w:val="24"/>
              </w:rPr>
              <w:t>Marks &amp; Spencer Group Plc (2025)</w:t>
            </w:r>
          </w:p>
        </w:tc>
      </w:tr>
      <w:tr w:rsidR="003A3D37" w:rsidRPr="003A3D37" w14:paraId="3922A625" w14:textId="77777777" w:rsidTr="00373CA8">
        <w:tc>
          <w:tcPr>
            <w:cnfStyle w:val="001000000000" w:firstRow="0" w:lastRow="0" w:firstColumn="1" w:lastColumn="0" w:oddVBand="0" w:evenVBand="0" w:oddHBand="0" w:evenHBand="0" w:firstRowFirstColumn="0" w:firstRowLastColumn="0" w:lastRowFirstColumn="0" w:lastRowLastColumn="0"/>
            <w:tcW w:w="0" w:type="auto"/>
            <w:hideMark/>
          </w:tcPr>
          <w:p w14:paraId="6539B8B9" w14:textId="77777777" w:rsidR="003A3D37" w:rsidRPr="003A3D37" w:rsidRDefault="003A3D37" w:rsidP="003A3D37">
            <w:pPr>
              <w:spacing w:line="360" w:lineRule="auto"/>
              <w:rPr>
                <w:rFonts w:ascii="Calibri" w:eastAsia="Calibri" w:hAnsi="Calibri" w:cs="Calibri"/>
                <w:color w:val="000000"/>
                <w:sz w:val="24"/>
                <w:szCs w:val="24"/>
              </w:rPr>
            </w:pPr>
            <w:r w:rsidRPr="003A3D37">
              <w:rPr>
                <w:rFonts w:ascii="Calibri" w:eastAsia="Calibri" w:hAnsi="Calibri" w:cs="Calibri"/>
                <w:color w:val="000000"/>
                <w:sz w:val="24"/>
                <w:szCs w:val="24"/>
              </w:rPr>
              <w:t>Social</w:t>
            </w:r>
          </w:p>
        </w:tc>
        <w:tc>
          <w:tcPr>
            <w:tcW w:w="0" w:type="auto"/>
            <w:hideMark/>
          </w:tcPr>
          <w:p w14:paraId="727072B0" w14:textId="77777777" w:rsidR="003A3D37" w:rsidRPr="003A3D37" w:rsidRDefault="003A3D37" w:rsidP="003A3D37">
            <w:pPr>
              <w:spacing w:line="360" w:lineRule="auto"/>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 w:val="24"/>
                <w:szCs w:val="24"/>
              </w:rPr>
            </w:pPr>
            <w:r w:rsidRPr="003A3D37">
              <w:rPr>
                <w:rFonts w:ascii="Calibri" w:eastAsia="Calibri" w:hAnsi="Calibri" w:cs="Calibri"/>
                <w:color w:val="000000"/>
                <w:sz w:val="24"/>
                <w:szCs w:val="24"/>
              </w:rPr>
              <w:t>Fair trade sourcing, employee wellbeing</w:t>
            </w:r>
          </w:p>
        </w:tc>
        <w:tc>
          <w:tcPr>
            <w:tcW w:w="0" w:type="auto"/>
            <w:hideMark/>
          </w:tcPr>
          <w:p w14:paraId="5EECAFD7" w14:textId="77777777" w:rsidR="003A3D37" w:rsidRPr="003A3D37" w:rsidRDefault="003A3D37" w:rsidP="003A3D37">
            <w:pPr>
              <w:spacing w:line="360" w:lineRule="auto"/>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 w:val="24"/>
                <w:szCs w:val="24"/>
              </w:rPr>
            </w:pPr>
            <w:r w:rsidRPr="003A3D37">
              <w:rPr>
                <w:rFonts w:ascii="Calibri" w:eastAsia="Calibri" w:hAnsi="Calibri" w:cs="Calibri"/>
                <w:color w:val="000000"/>
                <w:sz w:val="24"/>
                <w:szCs w:val="24"/>
              </w:rPr>
              <w:t>Liddle (2021)</w:t>
            </w:r>
          </w:p>
        </w:tc>
      </w:tr>
      <w:tr w:rsidR="003A3D37" w:rsidRPr="003A3D37" w14:paraId="6747D7B5" w14:textId="77777777" w:rsidTr="00373C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14CA785" w14:textId="77777777" w:rsidR="003A3D37" w:rsidRPr="003A3D37" w:rsidRDefault="003A3D37" w:rsidP="003A3D37">
            <w:pPr>
              <w:spacing w:line="360" w:lineRule="auto"/>
              <w:rPr>
                <w:rFonts w:ascii="Calibri" w:eastAsia="Calibri" w:hAnsi="Calibri" w:cs="Calibri"/>
                <w:color w:val="000000"/>
                <w:sz w:val="24"/>
                <w:szCs w:val="24"/>
              </w:rPr>
            </w:pPr>
            <w:r w:rsidRPr="003A3D37">
              <w:rPr>
                <w:rFonts w:ascii="Calibri" w:eastAsia="Calibri" w:hAnsi="Calibri" w:cs="Calibri"/>
                <w:color w:val="000000"/>
                <w:sz w:val="24"/>
                <w:szCs w:val="24"/>
              </w:rPr>
              <w:t>Governance</w:t>
            </w:r>
          </w:p>
        </w:tc>
        <w:tc>
          <w:tcPr>
            <w:tcW w:w="0" w:type="auto"/>
            <w:hideMark/>
          </w:tcPr>
          <w:p w14:paraId="74C35721" w14:textId="77777777" w:rsidR="003A3D37" w:rsidRPr="003A3D37" w:rsidRDefault="003A3D37" w:rsidP="003A3D37">
            <w:pPr>
              <w:spacing w:line="360" w:lineRule="auto"/>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 w:val="24"/>
                <w:szCs w:val="24"/>
              </w:rPr>
            </w:pPr>
            <w:r w:rsidRPr="003A3D37">
              <w:rPr>
                <w:rFonts w:ascii="Calibri" w:eastAsia="Calibri" w:hAnsi="Calibri" w:cs="Calibri"/>
                <w:color w:val="000000"/>
                <w:sz w:val="24"/>
                <w:szCs w:val="24"/>
              </w:rPr>
              <w:t>Board-level ESG integration, transparency</w:t>
            </w:r>
          </w:p>
        </w:tc>
        <w:tc>
          <w:tcPr>
            <w:tcW w:w="0" w:type="auto"/>
            <w:hideMark/>
          </w:tcPr>
          <w:p w14:paraId="04F28793" w14:textId="77777777" w:rsidR="003A3D37" w:rsidRPr="003A3D37" w:rsidRDefault="003A3D37" w:rsidP="003A3D37">
            <w:pPr>
              <w:spacing w:line="360" w:lineRule="auto"/>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 w:val="24"/>
                <w:szCs w:val="24"/>
              </w:rPr>
            </w:pPr>
            <w:r w:rsidRPr="003A3D37">
              <w:rPr>
                <w:rFonts w:ascii="Calibri" w:eastAsia="Calibri" w:hAnsi="Calibri" w:cs="Calibri"/>
                <w:color w:val="000000"/>
                <w:sz w:val="24"/>
                <w:szCs w:val="24"/>
              </w:rPr>
              <w:t>Pullan (2022)</w:t>
            </w:r>
          </w:p>
        </w:tc>
      </w:tr>
    </w:tbl>
    <w:p w14:paraId="4A2B3BA1" w14:textId="77777777" w:rsidR="003A3D37" w:rsidRPr="003A3D37" w:rsidRDefault="003A3D37" w:rsidP="003A3D37">
      <w:pPr>
        <w:spacing w:after="0" w:line="360" w:lineRule="auto"/>
        <w:rPr>
          <w:rFonts w:ascii="Calibri" w:eastAsia="Calibri" w:hAnsi="Calibri" w:cs="Calibri"/>
          <w:color w:val="000000"/>
          <w:sz w:val="24"/>
          <w:szCs w:val="24"/>
          <w:lang w:val="en-US"/>
        </w:rPr>
      </w:pPr>
    </w:p>
    <w:p w14:paraId="779B7982" w14:textId="6A64928D" w:rsidR="003A3D37" w:rsidRPr="003A3D37" w:rsidRDefault="003A3D37" w:rsidP="003A3D37">
      <w:pPr>
        <w:spacing w:after="0" w:line="360" w:lineRule="auto"/>
        <w:rPr>
          <w:rFonts w:ascii="Calibri" w:eastAsia="Calibri" w:hAnsi="Calibri" w:cs="Calibri"/>
          <w:b/>
          <w:bCs/>
          <w:color w:val="000000"/>
          <w:sz w:val="24"/>
          <w:szCs w:val="24"/>
          <w:lang w:val="en-US"/>
        </w:rPr>
      </w:pPr>
    </w:p>
    <w:p w14:paraId="22917141" w14:textId="77777777" w:rsidR="003A3D37" w:rsidRPr="003A3D37" w:rsidRDefault="003A3D37" w:rsidP="003A3D37">
      <w:pPr>
        <w:spacing w:after="0" w:line="360" w:lineRule="auto"/>
        <w:rPr>
          <w:rFonts w:ascii="Calibri" w:eastAsia="Calibri" w:hAnsi="Calibri" w:cs="Calibri"/>
          <w:b/>
          <w:bCs/>
          <w:color w:val="000000"/>
          <w:sz w:val="24"/>
          <w:szCs w:val="24"/>
          <w:lang w:val="en-US"/>
        </w:rPr>
      </w:pPr>
    </w:p>
    <w:p w14:paraId="40B29C5C" w14:textId="77777777" w:rsidR="003A3D37" w:rsidRPr="003A3D37" w:rsidRDefault="003A3D37" w:rsidP="003A3D37">
      <w:pPr>
        <w:spacing w:before="100" w:beforeAutospacing="1" w:after="100" w:afterAutospacing="1" w:line="360" w:lineRule="auto"/>
        <w:jc w:val="both"/>
        <w:outlineLvl w:val="1"/>
        <w:rPr>
          <w:rFonts w:ascii="Calibri" w:eastAsia="Times New Roman" w:hAnsi="Calibri" w:cs="Calibri"/>
          <w:b/>
          <w:bCs/>
          <w:sz w:val="24"/>
          <w:szCs w:val="24"/>
          <w:lang w:val="en-US"/>
        </w:rPr>
      </w:pPr>
      <w:bookmarkStart w:id="20" w:name="_Toc203991953"/>
      <w:r w:rsidRPr="003A3D37">
        <w:rPr>
          <w:rFonts w:ascii="Calibri" w:eastAsia="Times New Roman" w:hAnsi="Calibri" w:cs="Calibri"/>
          <w:b/>
          <w:bCs/>
          <w:sz w:val="24"/>
          <w:szCs w:val="24"/>
          <w:lang w:val="en-US"/>
        </w:rPr>
        <w:t>Appendix 4: M&amp;S Profit Performance Over Time</w:t>
      </w:r>
      <w:bookmarkEnd w:id="20"/>
    </w:p>
    <w:tbl>
      <w:tblPr>
        <w:tblStyle w:val="GridTable5Dark-Accent51"/>
        <w:tblW w:w="0" w:type="auto"/>
        <w:tblLook w:val="04A0" w:firstRow="1" w:lastRow="0" w:firstColumn="1" w:lastColumn="0" w:noHBand="0" w:noVBand="1"/>
      </w:tblPr>
      <w:tblGrid>
        <w:gridCol w:w="703"/>
        <w:gridCol w:w="2609"/>
        <w:gridCol w:w="3714"/>
      </w:tblGrid>
      <w:tr w:rsidR="003A3D37" w:rsidRPr="003A3D37" w14:paraId="2EFC618D" w14:textId="77777777" w:rsidTr="00373CA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F2555C8" w14:textId="77777777" w:rsidR="003A3D37" w:rsidRPr="003A3D37" w:rsidRDefault="003A3D37" w:rsidP="003A3D37">
            <w:pPr>
              <w:spacing w:line="360" w:lineRule="auto"/>
              <w:rPr>
                <w:rFonts w:ascii="Calibri" w:eastAsia="Calibri" w:hAnsi="Calibri" w:cs="Calibri"/>
                <w:color w:val="000000"/>
                <w:sz w:val="24"/>
                <w:szCs w:val="24"/>
              </w:rPr>
            </w:pPr>
            <w:r w:rsidRPr="003A3D37">
              <w:rPr>
                <w:rFonts w:ascii="Calibri" w:eastAsia="Calibri" w:hAnsi="Calibri" w:cs="Calibri"/>
                <w:color w:val="000000"/>
                <w:sz w:val="24"/>
                <w:szCs w:val="24"/>
              </w:rPr>
              <w:t>Year</w:t>
            </w:r>
          </w:p>
        </w:tc>
        <w:tc>
          <w:tcPr>
            <w:tcW w:w="0" w:type="auto"/>
            <w:hideMark/>
          </w:tcPr>
          <w:p w14:paraId="7658A3C2" w14:textId="77777777" w:rsidR="003A3D37" w:rsidRPr="003A3D37" w:rsidRDefault="003A3D37" w:rsidP="003A3D37">
            <w:pPr>
              <w:spacing w:line="360" w:lineRule="auto"/>
              <w:cnfStyle w:val="100000000000" w:firstRow="1" w:lastRow="0" w:firstColumn="0" w:lastColumn="0" w:oddVBand="0" w:evenVBand="0" w:oddHBand="0" w:evenHBand="0" w:firstRowFirstColumn="0" w:firstRowLastColumn="0" w:lastRowFirstColumn="0" w:lastRowLastColumn="0"/>
              <w:rPr>
                <w:rFonts w:ascii="Calibri" w:eastAsia="Calibri" w:hAnsi="Calibri" w:cs="Calibri"/>
                <w:color w:val="000000"/>
                <w:sz w:val="24"/>
                <w:szCs w:val="24"/>
              </w:rPr>
            </w:pPr>
            <w:r w:rsidRPr="003A3D37">
              <w:rPr>
                <w:rFonts w:ascii="Calibri" w:eastAsia="Calibri" w:hAnsi="Calibri" w:cs="Calibri"/>
                <w:color w:val="000000"/>
                <w:sz w:val="24"/>
                <w:szCs w:val="24"/>
              </w:rPr>
              <w:t>Annual Profit (£ million)</w:t>
            </w:r>
          </w:p>
        </w:tc>
        <w:tc>
          <w:tcPr>
            <w:tcW w:w="0" w:type="auto"/>
            <w:hideMark/>
          </w:tcPr>
          <w:p w14:paraId="418F3BF8" w14:textId="77777777" w:rsidR="003A3D37" w:rsidRPr="003A3D37" w:rsidRDefault="003A3D37" w:rsidP="003A3D37">
            <w:pPr>
              <w:spacing w:line="360" w:lineRule="auto"/>
              <w:cnfStyle w:val="100000000000" w:firstRow="1" w:lastRow="0" w:firstColumn="0" w:lastColumn="0" w:oddVBand="0" w:evenVBand="0" w:oddHBand="0" w:evenHBand="0" w:firstRowFirstColumn="0" w:firstRowLastColumn="0" w:lastRowFirstColumn="0" w:lastRowLastColumn="0"/>
              <w:rPr>
                <w:rFonts w:ascii="Calibri" w:eastAsia="Calibri" w:hAnsi="Calibri" w:cs="Calibri"/>
                <w:color w:val="000000"/>
                <w:sz w:val="24"/>
                <w:szCs w:val="24"/>
              </w:rPr>
            </w:pPr>
            <w:r w:rsidRPr="003A3D37">
              <w:rPr>
                <w:rFonts w:ascii="Calibri" w:eastAsia="Calibri" w:hAnsi="Calibri" w:cs="Calibri"/>
                <w:color w:val="000000"/>
                <w:sz w:val="24"/>
                <w:szCs w:val="24"/>
              </w:rPr>
              <w:t>Reported Improvement Factor</w:t>
            </w:r>
          </w:p>
        </w:tc>
      </w:tr>
      <w:tr w:rsidR="003A3D37" w:rsidRPr="003A3D37" w14:paraId="4A491F36" w14:textId="77777777" w:rsidTr="00373C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3372A80" w14:textId="77777777" w:rsidR="003A3D37" w:rsidRPr="003A3D37" w:rsidRDefault="003A3D37" w:rsidP="003A3D37">
            <w:pPr>
              <w:spacing w:line="360" w:lineRule="auto"/>
              <w:rPr>
                <w:rFonts w:ascii="Calibri" w:eastAsia="Calibri" w:hAnsi="Calibri" w:cs="Calibri"/>
                <w:color w:val="000000"/>
                <w:sz w:val="24"/>
                <w:szCs w:val="24"/>
              </w:rPr>
            </w:pPr>
            <w:r w:rsidRPr="003A3D37">
              <w:rPr>
                <w:rFonts w:ascii="Calibri" w:eastAsia="Calibri" w:hAnsi="Calibri" w:cs="Calibri"/>
                <w:color w:val="000000"/>
                <w:sz w:val="24"/>
                <w:szCs w:val="24"/>
              </w:rPr>
              <w:t>2021</w:t>
            </w:r>
          </w:p>
        </w:tc>
        <w:tc>
          <w:tcPr>
            <w:tcW w:w="0" w:type="auto"/>
            <w:hideMark/>
          </w:tcPr>
          <w:p w14:paraId="166646E5" w14:textId="77777777" w:rsidR="003A3D37" w:rsidRPr="003A3D37" w:rsidRDefault="003A3D37" w:rsidP="003A3D37">
            <w:pPr>
              <w:spacing w:line="360" w:lineRule="auto"/>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 w:val="24"/>
                <w:szCs w:val="24"/>
              </w:rPr>
            </w:pPr>
            <w:r w:rsidRPr="003A3D37">
              <w:rPr>
                <w:rFonts w:ascii="Calibri" w:eastAsia="Calibri" w:hAnsi="Calibri" w:cs="Calibri"/>
                <w:color w:val="000000"/>
                <w:sz w:val="24"/>
                <w:szCs w:val="24"/>
              </w:rPr>
              <w:t>187</w:t>
            </w:r>
          </w:p>
        </w:tc>
        <w:tc>
          <w:tcPr>
            <w:tcW w:w="0" w:type="auto"/>
            <w:hideMark/>
          </w:tcPr>
          <w:p w14:paraId="6CBA8339" w14:textId="77777777" w:rsidR="003A3D37" w:rsidRPr="003A3D37" w:rsidRDefault="003A3D37" w:rsidP="003A3D37">
            <w:pPr>
              <w:spacing w:line="360" w:lineRule="auto"/>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 w:val="24"/>
                <w:szCs w:val="24"/>
              </w:rPr>
            </w:pPr>
            <w:r w:rsidRPr="003A3D37">
              <w:rPr>
                <w:rFonts w:ascii="Calibri" w:eastAsia="Calibri" w:hAnsi="Calibri" w:cs="Calibri"/>
                <w:color w:val="000000"/>
                <w:sz w:val="24"/>
                <w:szCs w:val="24"/>
              </w:rPr>
              <w:t>Post-COVID recovery</w:t>
            </w:r>
          </w:p>
        </w:tc>
      </w:tr>
      <w:tr w:rsidR="003A3D37" w:rsidRPr="003A3D37" w14:paraId="510183A8" w14:textId="77777777" w:rsidTr="00373CA8">
        <w:tc>
          <w:tcPr>
            <w:cnfStyle w:val="001000000000" w:firstRow="0" w:lastRow="0" w:firstColumn="1" w:lastColumn="0" w:oddVBand="0" w:evenVBand="0" w:oddHBand="0" w:evenHBand="0" w:firstRowFirstColumn="0" w:firstRowLastColumn="0" w:lastRowFirstColumn="0" w:lastRowLastColumn="0"/>
            <w:tcW w:w="0" w:type="auto"/>
            <w:hideMark/>
          </w:tcPr>
          <w:p w14:paraId="723F3E0B" w14:textId="77777777" w:rsidR="003A3D37" w:rsidRPr="003A3D37" w:rsidRDefault="003A3D37" w:rsidP="003A3D37">
            <w:pPr>
              <w:spacing w:line="360" w:lineRule="auto"/>
              <w:rPr>
                <w:rFonts w:ascii="Calibri" w:eastAsia="Calibri" w:hAnsi="Calibri" w:cs="Calibri"/>
                <w:color w:val="000000"/>
                <w:sz w:val="24"/>
                <w:szCs w:val="24"/>
              </w:rPr>
            </w:pPr>
            <w:r w:rsidRPr="003A3D37">
              <w:rPr>
                <w:rFonts w:ascii="Calibri" w:eastAsia="Calibri" w:hAnsi="Calibri" w:cs="Calibri"/>
                <w:color w:val="000000"/>
                <w:sz w:val="24"/>
                <w:szCs w:val="24"/>
              </w:rPr>
              <w:t>2023</w:t>
            </w:r>
          </w:p>
        </w:tc>
        <w:tc>
          <w:tcPr>
            <w:tcW w:w="0" w:type="auto"/>
            <w:hideMark/>
          </w:tcPr>
          <w:p w14:paraId="7F3C2D9E" w14:textId="77777777" w:rsidR="003A3D37" w:rsidRPr="003A3D37" w:rsidRDefault="003A3D37" w:rsidP="003A3D37">
            <w:pPr>
              <w:spacing w:line="360" w:lineRule="auto"/>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 w:val="24"/>
                <w:szCs w:val="24"/>
              </w:rPr>
            </w:pPr>
            <w:r w:rsidRPr="003A3D37">
              <w:rPr>
                <w:rFonts w:ascii="Calibri" w:eastAsia="Calibri" w:hAnsi="Calibri" w:cs="Calibri"/>
                <w:color w:val="000000"/>
                <w:sz w:val="24"/>
                <w:szCs w:val="24"/>
              </w:rPr>
              <w:t>267</w:t>
            </w:r>
          </w:p>
        </w:tc>
        <w:tc>
          <w:tcPr>
            <w:tcW w:w="0" w:type="auto"/>
            <w:hideMark/>
          </w:tcPr>
          <w:p w14:paraId="42AF0FE4" w14:textId="77777777" w:rsidR="003A3D37" w:rsidRPr="003A3D37" w:rsidRDefault="003A3D37" w:rsidP="003A3D37">
            <w:pPr>
              <w:spacing w:line="360" w:lineRule="auto"/>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 w:val="24"/>
                <w:szCs w:val="24"/>
              </w:rPr>
            </w:pPr>
            <w:r w:rsidRPr="003A3D37">
              <w:rPr>
                <w:rFonts w:ascii="Calibri" w:eastAsia="Calibri" w:hAnsi="Calibri" w:cs="Calibri"/>
                <w:color w:val="000000"/>
                <w:sz w:val="24"/>
                <w:szCs w:val="24"/>
              </w:rPr>
              <w:t>Sustainability-linked transformation</w:t>
            </w:r>
          </w:p>
        </w:tc>
      </w:tr>
      <w:tr w:rsidR="003A3D37" w:rsidRPr="003A3D37" w14:paraId="51136958" w14:textId="77777777" w:rsidTr="00373C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224981A" w14:textId="77777777" w:rsidR="003A3D37" w:rsidRPr="003A3D37" w:rsidRDefault="003A3D37" w:rsidP="003A3D37">
            <w:pPr>
              <w:spacing w:line="360" w:lineRule="auto"/>
              <w:rPr>
                <w:rFonts w:ascii="Calibri" w:eastAsia="Calibri" w:hAnsi="Calibri" w:cs="Calibri"/>
                <w:color w:val="000000"/>
                <w:sz w:val="24"/>
                <w:szCs w:val="24"/>
              </w:rPr>
            </w:pPr>
            <w:r w:rsidRPr="003A3D37">
              <w:rPr>
                <w:rFonts w:ascii="Calibri" w:eastAsia="Calibri" w:hAnsi="Calibri" w:cs="Calibri"/>
                <w:color w:val="000000"/>
                <w:sz w:val="24"/>
                <w:szCs w:val="24"/>
              </w:rPr>
              <w:t>2025</w:t>
            </w:r>
          </w:p>
        </w:tc>
        <w:tc>
          <w:tcPr>
            <w:tcW w:w="0" w:type="auto"/>
            <w:hideMark/>
          </w:tcPr>
          <w:p w14:paraId="10EBEFA5" w14:textId="77777777" w:rsidR="003A3D37" w:rsidRPr="003A3D37" w:rsidRDefault="003A3D37" w:rsidP="003A3D37">
            <w:pPr>
              <w:spacing w:line="360" w:lineRule="auto"/>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 w:val="24"/>
                <w:szCs w:val="24"/>
              </w:rPr>
            </w:pPr>
            <w:r w:rsidRPr="003A3D37">
              <w:rPr>
                <w:rFonts w:ascii="Calibri" w:eastAsia="Calibri" w:hAnsi="Calibri" w:cs="Calibri"/>
                <w:color w:val="000000"/>
                <w:sz w:val="24"/>
                <w:szCs w:val="24"/>
              </w:rPr>
              <w:t>421</w:t>
            </w:r>
          </w:p>
        </w:tc>
        <w:tc>
          <w:tcPr>
            <w:tcW w:w="0" w:type="auto"/>
            <w:hideMark/>
          </w:tcPr>
          <w:p w14:paraId="46554A62" w14:textId="77777777" w:rsidR="003A3D37" w:rsidRPr="003A3D37" w:rsidRDefault="003A3D37" w:rsidP="003A3D37">
            <w:pPr>
              <w:spacing w:line="360" w:lineRule="auto"/>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 w:val="24"/>
                <w:szCs w:val="24"/>
              </w:rPr>
            </w:pPr>
            <w:r w:rsidRPr="003A3D37">
              <w:rPr>
                <w:rFonts w:ascii="Calibri" w:eastAsia="Calibri" w:hAnsi="Calibri" w:cs="Calibri"/>
                <w:color w:val="000000"/>
                <w:sz w:val="24"/>
                <w:szCs w:val="24"/>
              </w:rPr>
              <w:t>Plan A &amp; digital logistics strategy</w:t>
            </w:r>
          </w:p>
        </w:tc>
      </w:tr>
    </w:tbl>
    <w:p w14:paraId="70BD2357" w14:textId="77777777" w:rsidR="003A3D37" w:rsidRPr="003A3D37" w:rsidRDefault="003A3D37" w:rsidP="003A3D37">
      <w:pPr>
        <w:spacing w:after="0" w:line="360" w:lineRule="auto"/>
        <w:rPr>
          <w:rFonts w:ascii="Calibri" w:eastAsia="Calibri" w:hAnsi="Calibri" w:cs="Calibri"/>
          <w:color w:val="000000"/>
          <w:sz w:val="24"/>
          <w:szCs w:val="24"/>
          <w:lang w:val="en-US"/>
        </w:rPr>
      </w:pPr>
      <w:r w:rsidRPr="003A3D37">
        <w:rPr>
          <w:rFonts w:ascii="Calibri" w:eastAsia="Calibri" w:hAnsi="Calibri" w:cs="Calibri"/>
          <w:color w:val="000000"/>
          <w:sz w:val="24"/>
          <w:szCs w:val="24"/>
          <w:lang w:val="en-US"/>
        </w:rPr>
        <w:t>Sources: Irish Examiner (2024); Marketscreener (2024); M&amp;S Annual Reports (2021, 2023, 2025)</w:t>
      </w:r>
    </w:p>
    <w:p w14:paraId="2301C0A9" w14:textId="77777777" w:rsidR="003A3D37" w:rsidRPr="003A3D37" w:rsidRDefault="003A3D37" w:rsidP="003A3D37">
      <w:pPr>
        <w:spacing w:before="100" w:beforeAutospacing="1" w:after="100" w:afterAutospacing="1" w:line="360" w:lineRule="auto"/>
        <w:jc w:val="both"/>
        <w:outlineLvl w:val="1"/>
        <w:rPr>
          <w:rFonts w:ascii="Calibri" w:eastAsia="Times New Roman" w:hAnsi="Calibri" w:cs="Calibri"/>
          <w:b/>
          <w:bCs/>
          <w:sz w:val="24"/>
          <w:szCs w:val="24"/>
          <w:lang w:val="en-US"/>
        </w:rPr>
      </w:pPr>
      <w:bookmarkStart w:id="21" w:name="_Toc203991954"/>
      <w:r w:rsidRPr="003A3D37">
        <w:rPr>
          <w:rFonts w:ascii="Calibri" w:eastAsia="Times New Roman" w:hAnsi="Calibri" w:cs="Calibri"/>
          <w:b/>
          <w:bCs/>
          <w:sz w:val="24"/>
          <w:szCs w:val="24"/>
          <w:lang w:val="en-US"/>
        </w:rPr>
        <w:t>Appendix 5: Supply Chain Climate Risks and Interventions</w:t>
      </w:r>
      <w:bookmarkEnd w:id="21"/>
    </w:p>
    <w:tbl>
      <w:tblPr>
        <w:tblStyle w:val="GridTable5Dark-Accent51"/>
        <w:tblW w:w="0" w:type="auto"/>
        <w:tblLook w:val="04A0" w:firstRow="1" w:lastRow="0" w:firstColumn="1" w:lastColumn="0" w:noHBand="0" w:noVBand="1"/>
      </w:tblPr>
      <w:tblGrid>
        <w:gridCol w:w="2781"/>
        <w:gridCol w:w="1191"/>
        <w:gridCol w:w="3854"/>
      </w:tblGrid>
      <w:tr w:rsidR="003A3D37" w:rsidRPr="003A3D37" w14:paraId="48C0A229" w14:textId="77777777" w:rsidTr="00373CA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548D735" w14:textId="77777777" w:rsidR="003A3D37" w:rsidRPr="003A3D37" w:rsidRDefault="003A3D37" w:rsidP="003A3D37">
            <w:pPr>
              <w:spacing w:line="360" w:lineRule="auto"/>
              <w:rPr>
                <w:rFonts w:ascii="Calibri" w:eastAsia="Calibri" w:hAnsi="Calibri" w:cs="Calibri"/>
                <w:color w:val="000000"/>
                <w:sz w:val="24"/>
                <w:szCs w:val="24"/>
              </w:rPr>
            </w:pPr>
            <w:r w:rsidRPr="003A3D37">
              <w:rPr>
                <w:rFonts w:ascii="Calibri" w:eastAsia="Calibri" w:hAnsi="Calibri" w:cs="Calibri"/>
                <w:color w:val="000000"/>
                <w:sz w:val="24"/>
                <w:szCs w:val="24"/>
              </w:rPr>
              <w:t>Supply Chain Area</w:t>
            </w:r>
          </w:p>
        </w:tc>
        <w:tc>
          <w:tcPr>
            <w:tcW w:w="0" w:type="auto"/>
            <w:hideMark/>
          </w:tcPr>
          <w:p w14:paraId="2674CE7E" w14:textId="77777777" w:rsidR="003A3D37" w:rsidRPr="003A3D37" w:rsidRDefault="003A3D37" w:rsidP="003A3D37">
            <w:pPr>
              <w:spacing w:line="360" w:lineRule="auto"/>
              <w:cnfStyle w:val="100000000000" w:firstRow="1" w:lastRow="0" w:firstColumn="0" w:lastColumn="0" w:oddVBand="0" w:evenVBand="0" w:oddHBand="0" w:evenHBand="0" w:firstRowFirstColumn="0" w:firstRowLastColumn="0" w:lastRowFirstColumn="0" w:lastRowLastColumn="0"/>
              <w:rPr>
                <w:rFonts w:ascii="Calibri" w:eastAsia="Calibri" w:hAnsi="Calibri" w:cs="Calibri"/>
                <w:color w:val="000000"/>
                <w:sz w:val="24"/>
                <w:szCs w:val="24"/>
              </w:rPr>
            </w:pPr>
            <w:r w:rsidRPr="003A3D37">
              <w:rPr>
                <w:rFonts w:ascii="Calibri" w:eastAsia="Calibri" w:hAnsi="Calibri" w:cs="Calibri"/>
                <w:color w:val="000000"/>
                <w:sz w:val="24"/>
                <w:szCs w:val="24"/>
              </w:rPr>
              <w:t>Risk Level</w:t>
            </w:r>
          </w:p>
        </w:tc>
        <w:tc>
          <w:tcPr>
            <w:tcW w:w="0" w:type="auto"/>
            <w:hideMark/>
          </w:tcPr>
          <w:p w14:paraId="6A228120" w14:textId="77777777" w:rsidR="003A3D37" w:rsidRPr="003A3D37" w:rsidRDefault="003A3D37" w:rsidP="003A3D37">
            <w:pPr>
              <w:spacing w:line="360" w:lineRule="auto"/>
              <w:cnfStyle w:val="100000000000" w:firstRow="1" w:lastRow="0" w:firstColumn="0" w:lastColumn="0" w:oddVBand="0" w:evenVBand="0" w:oddHBand="0" w:evenHBand="0" w:firstRowFirstColumn="0" w:firstRowLastColumn="0" w:lastRowFirstColumn="0" w:lastRowLastColumn="0"/>
              <w:rPr>
                <w:rFonts w:ascii="Calibri" w:eastAsia="Calibri" w:hAnsi="Calibri" w:cs="Calibri"/>
                <w:color w:val="000000"/>
                <w:sz w:val="24"/>
                <w:szCs w:val="24"/>
              </w:rPr>
            </w:pPr>
            <w:r w:rsidRPr="003A3D37">
              <w:rPr>
                <w:rFonts w:ascii="Calibri" w:eastAsia="Calibri" w:hAnsi="Calibri" w:cs="Calibri"/>
                <w:color w:val="000000"/>
                <w:sz w:val="24"/>
                <w:szCs w:val="24"/>
              </w:rPr>
              <w:t>Climate Intervention</w:t>
            </w:r>
          </w:p>
        </w:tc>
      </w:tr>
      <w:tr w:rsidR="003A3D37" w:rsidRPr="003A3D37" w14:paraId="20209003" w14:textId="77777777" w:rsidTr="00373C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119CA33" w14:textId="77777777" w:rsidR="003A3D37" w:rsidRPr="003A3D37" w:rsidRDefault="003A3D37" w:rsidP="003A3D37">
            <w:pPr>
              <w:spacing w:line="360" w:lineRule="auto"/>
              <w:rPr>
                <w:rFonts w:ascii="Calibri" w:eastAsia="Calibri" w:hAnsi="Calibri" w:cs="Calibri"/>
                <w:color w:val="000000"/>
                <w:sz w:val="24"/>
                <w:szCs w:val="24"/>
              </w:rPr>
            </w:pPr>
            <w:r w:rsidRPr="003A3D37">
              <w:rPr>
                <w:rFonts w:ascii="Calibri" w:eastAsia="Calibri" w:hAnsi="Calibri" w:cs="Calibri"/>
                <w:color w:val="000000"/>
                <w:sz w:val="24"/>
                <w:szCs w:val="24"/>
              </w:rPr>
              <w:t>Garment Sourcing</w:t>
            </w:r>
          </w:p>
        </w:tc>
        <w:tc>
          <w:tcPr>
            <w:tcW w:w="0" w:type="auto"/>
            <w:hideMark/>
          </w:tcPr>
          <w:p w14:paraId="756ECF0E" w14:textId="77777777" w:rsidR="003A3D37" w:rsidRPr="003A3D37" w:rsidRDefault="003A3D37" w:rsidP="003A3D37">
            <w:pPr>
              <w:spacing w:line="360" w:lineRule="auto"/>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 w:val="24"/>
                <w:szCs w:val="24"/>
              </w:rPr>
            </w:pPr>
            <w:r w:rsidRPr="003A3D37">
              <w:rPr>
                <w:rFonts w:ascii="Calibri" w:eastAsia="Calibri" w:hAnsi="Calibri" w:cs="Calibri"/>
                <w:color w:val="000000"/>
                <w:sz w:val="24"/>
                <w:szCs w:val="24"/>
              </w:rPr>
              <w:t>High</w:t>
            </w:r>
          </w:p>
        </w:tc>
        <w:tc>
          <w:tcPr>
            <w:tcW w:w="0" w:type="auto"/>
            <w:hideMark/>
          </w:tcPr>
          <w:p w14:paraId="370A45B2" w14:textId="77777777" w:rsidR="003A3D37" w:rsidRPr="003A3D37" w:rsidRDefault="003A3D37" w:rsidP="003A3D37">
            <w:pPr>
              <w:spacing w:line="360" w:lineRule="auto"/>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 w:val="24"/>
                <w:szCs w:val="24"/>
              </w:rPr>
            </w:pPr>
            <w:r w:rsidRPr="003A3D37">
              <w:rPr>
                <w:rFonts w:ascii="Calibri" w:eastAsia="Calibri" w:hAnsi="Calibri" w:cs="Calibri"/>
                <w:color w:val="000000"/>
                <w:sz w:val="24"/>
                <w:szCs w:val="24"/>
              </w:rPr>
              <w:t>Fair trade and emissions targets</w:t>
            </w:r>
          </w:p>
        </w:tc>
      </w:tr>
      <w:tr w:rsidR="003A3D37" w:rsidRPr="003A3D37" w14:paraId="29B0C51E" w14:textId="77777777" w:rsidTr="00373CA8">
        <w:tc>
          <w:tcPr>
            <w:cnfStyle w:val="001000000000" w:firstRow="0" w:lastRow="0" w:firstColumn="1" w:lastColumn="0" w:oddVBand="0" w:evenVBand="0" w:oddHBand="0" w:evenHBand="0" w:firstRowFirstColumn="0" w:firstRowLastColumn="0" w:lastRowFirstColumn="0" w:lastRowLastColumn="0"/>
            <w:tcW w:w="0" w:type="auto"/>
            <w:hideMark/>
          </w:tcPr>
          <w:p w14:paraId="1C418E78" w14:textId="77777777" w:rsidR="003A3D37" w:rsidRPr="003A3D37" w:rsidRDefault="003A3D37" w:rsidP="003A3D37">
            <w:pPr>
              <w:spacing w:line="360" w:lineRule="auto"/>
              <w:rPr>
                <w:rFonts w:ascii="Calibri" w:eastAsia="Calibri" w:hAnsi="Calibri" w:cs="Calibri"/>
                <w:color w:val="000000"/>
                <w:sz w:val="24"/>
                <w:szCs w:val="24"/>
              </w:rPr>
            </w:pPr>
            <w:r w:rsidRPr="003A3D37">
              <w:rPr>
                <w:rFonts w:ascii="Calibri" w:eastAsia="Calibri" w:hAnsi="Calibri" w:cs="Calibri"/>
                <w:color w:val="000000"/>
                <w:sz w:val="24"/>
                <w:szCs w:val="24"/>
              </w:rPr>
              <w:t>Packaging</w:t>
            </w:r>
          </w:p>
        </w:tc>
        <w:tc>
          <w:tcPr>
            <w:tcW w:w="0" w:type="auto"/>
            <w:hideMark/>
          </w:tcPr>
          <w:p w14:paraId="1A036118" w14:textId="77777777" w:rsidR="003A3D37" w:rsidRPr="003A3D37" w:rsidRDefault="003A3D37" w:rsidP="003A3D37">
            <w:pPr>
              <w:spacing w:line="360" w:lineRule="auto"/>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 w:val="24"/>
                <w:szCs w:val="24"/>
              </w:rPr>
            </w:pPr>
            <w:r w:rsidRPr="003A3D37">
              <w:rPr>
                <w:rFonts w:ascii="Calibri" w:eastAsia="Calibri" w:hAnsi="Calibri" w:cs="Calibri"/>
                <w:color w:val="000000"/>
                <w:sz w:val="24"/>
                <w:szCs w:val="24"/>
              </w:rPr>
              <w:t>Medium</w:t>
            </w:r>
          </w:p>
        </w:tc>
        <w:tc>
          <w:tcPr>
            <w:tcW w:w="0" w:type="auto"/>
            <w:hideMark/>
          </w:tcPr>
          <w:p w14:paraId="0EB0A4D9" w14:textId="77777777" w:rsidR="003A3D37" w:rsidRPr="003A3D37" w:rsidRDefault="003A3D37" w:rsidP="003A3D37">
            <w:pPr>
              <w:spacing w:line="360" w:lineRule="auto"/>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 w:val="24"/>
                <w:szCs w:val="24"/>
              </w:rPr>
            </w:pPr>
            <w:r w:rsidRPr="003A3D37">
              <w:rPr>
                <w:rFonts w:ascii="Calibri" w:eastAsia="Calibri" w:hAnsi="Calibri" w:cs="Calibri"/>
                <w:color w:val="000000"/>
                <w:sz w:val="24"/>
                <w:szCs w:val="24"/>
              </w:rPr>
              <w:t>Recyclable, minimalist packaging</w:t>
            </w:r>
          </w:p>
        </w:tc>
      </w:tr>
      <w:tr w:rsidR="003A3D37" w:rsidRPr="003A3D37" w14:paraId="68F100A4" w14:textId="77777777" w:rsidTr="00373C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D86D0C8" w14:textId="77777777" w:rsidR="003A3D37" w:rsidRPr="003A3D37" w:rsidRDefault="003A3D37" w:rsidP="003A3D37">
            <w:pPr>
              <w:spacing w:line="360" w:lineRule="auto"/>
              <w:rPr>
                <w:rFonts w:ascii="Calibri" w:eastAsia="Calibri" w:hAnsi="Calibri" w:cs="Calibri"/>
                <w:color w:val="000000"/>
                <w:sz w:val="24"/>
                <w:szCs w:val="24"/>
              </w:rPr>
            </w:pPr>
            <w:r w:rsidRPr="003A3D37">
              <w:rPr>
                <w:rFonts w:ascii="Calibri" w:eastAsia="Calibri" w:hAnsi="Calibri" w:cs="Calibri"/>
                <w:color w:val="000000"/>
                <w:sz w:val="24"/>
                <w:szCs w:val="24"/>
              </w:rPr>
              <w:t>Logistics</w:t>
            </w:r>
          </w:p>
        </w:tc>
        <w:tc>
          <w:tcPr>
            <w:tcW w:w="0" w:type="auto"/>
            <w:hideMark/>
          </w:tcPr>
          <w:p w14:paraId="38049466" w14:textId="77777777" w:rsidR="003A3D37" w:rsidRPr="003A3D37" w:rsidRDefault="003A3D37" w:rsidP="003A3D37">
            <w:pPr>
              <w:spacing w:line="360" w:lineRule="auto"/>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 w:val="24"/>
                <w:szCs w:val="24"/>
              </w:rPr>
            </w:pPr>
            <w:r w:rsidRPr="003A3D37">
              <w:rPr>
                <w:rFonts w:ascii="Calibri" w:eastAsia="Calibri" w:hAnsi="Calibri" w:cs="Calibri"/>
                <w:color w:val="000000"/>
                <w:sz w:val="24"/>
                <w:szCs w:val="24"/>
              </w:rPr>
              <w:t>Medium</w:t>
            </w:r>
          </w:p>
        </w:tc>
        <w:tc>
          <w:tcPr>
            <w:tcW w:w="0" w:type="auto"/>
            <w:hideMark/>
          </w:tcPr>
          <w:p w14:paraId="22BDDDC1" w14:textId="7E538597" w:rsidR="003A3D37" w:rsidRPr="003A3D37" w:rsidRDefault="003A3D37" w:rsidP="003A3D37">
            <w:pPr>
              <w:spacing w:line="360" w:lineRule="auto"/>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 w:val="24"/>
                <w:szCs w:val="24"/>
              </w:rPr>
            </w:pPr>
            <w:r w:rsidRPr="003A3D37">
              <w:rPr>
                <w:rFonts w:ascii="Calibri" w:eastAsia="Calibri" w:hAnsi="Calibri" w:cs="Calibri"/>
                <w:color w:val="000000"/>
                <w:sz w:val="24"/>
                <w:szCs w:val="24"/>
              </w:rPr>
              <w:t xml:space="preserve">Route </w:t>
            </w:r>
            <w:r w:rsidR="00D53390" w:rsidRPr="003A3D37">
              <w:rPr>
                <w:rFonts w:ascii="Calibri" w:eastAsia="Calibri" w:hAnsi="Calibri" w:cs="Calibri"/>
                <w:color w:val="000000"/>
                <w:sz w:val="24"/>
                <w:szCs w:val="24"/>
              </w:rPr>
              <w:t>optimization</w:t>
            </w:r>
            <w:r w:rsidRPr="003A3D37">
              <w:rPr>
                <w:rFonts w:ascii="Calibri" w:eastAsia="Calibri" w:hAnsi="Calibri" w:cs="Calibri"/>
                <w:color w:val="000000"/>
                <w:sz w:val="24"/>
                <w:szCs w:val="24"/>
              </w:rPr>
              <w:t xml:space="preserve"> and EV fleet trials</w:t>
            </w:r>
          </w:p>
        </w:tc>
      </w:tr>
      <w:tr w:rsidR="003A3D37" w:rsidRPr="003A3D37" w14:paraId="10A50BE4" w14:textId="77777777" w:rsidTr="00373CA8">
        <w:tc>
          <w:tcPr>
            <w:cnfStyle w:val="001000000000" w:firstRow="0" w:lastRow="0" w:firstColumn="1" w:lastColumn="0" w:oddVBand="0" w:evenVBand="0" w:oddHBand="0" w:evenHBand="0" w:firstRowFirstColumn="0" w:firstRowLastColumn="0" w:lastRowFirstColumn="0" w:lastRowLastColumn="0"/>
            <w:tcW w:w="0" w:type="auto"/>
            <w:hideMark/>
          </w:tcPr>
          <w:p w14:paraId="00B27105" w14:textId="77777777" w:rsidR="003A3D37" w:rsidRPr="003A3D37" w:rsidRDefault="003A3D37" w:rsidP="003A3D37">
            <w:pPr>
              <w:spacing w:line="360" w:lineRule="auto"/>
              <w:rPr>
                <w:rFonts w:ascii="Calibri" w:eastAsia="Calibri" w:hAnsi="Calibri" w:cs="Calibri"/>
                <w:color w:val="000000"/>
                <w:sz w:val="24"/>
                <w:szCs w:val="24"/>
              </w:rPr>
            </w:pPr>
            <w:r w:rsidRPr="003A3D37">
              <w:rPr>
                <w:rFonts w:ascii="Calibri" w:eastAsia="Calibri" w:hAnsi="Calibri" w:cs="Calibri"/>
                <w:color w:val="000000"/>
                <w:sz w:val="24"/>
                <w:szCs w:val="24"/>
              </w:rPr>
              <w:t>Returns/Reverse Logistics</w:t>
            </w:r>
          </w:p>
        </w:tc>
        <w:tc>
          <w:tcPr>
            <w:tcW w:w="0" w:type="auto"/>
            <w:hideMark/>
          </w:tcPr>
          <w:p w14:paraId="58A66D56" w14:textId="77777777" w:rsidR="003A3D37" w:rsidRPr="003A3D37" w:rsidRDefault="003A3D37" w:rsidP="003A3D37">
            <w:pPr>
              <w:spacing w:line="360" w:lineRule="auto"/>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 w:val="24"/>
                <w:szCs w:val="24"/>
              </w:rPr>
            </w:pPr>
            <w:r w:rsidRPr="003A3D37">
              <w:rPr>
                <w:rFonts w:ascii="Calibri" w:eastAsia="Calibri" w:hAnsi="Calibri" w:cs="Calibri"/>
                <w:color w:val="000000"/>
                <w:sz w:val="24"/>
                <w:szCs w:val="24"/>
              </w:rPr>
              <w:t>High</w:t>
            </w:r>
          </w:p>
        </w:tc>
        <w:tc>
          <w:tcPr>
            <w:tcW w:w="0" w:type="auto"/>
            <w:hideMark/>
          </w:tcPr>
          <w:p w14:paraId="03BD4FA4" w14:textId="77777777" w:rsidR="003A3D37" w:rsidRPr="003A3D37" w:rsidRDefault="003A3D37" w:rsidP="003A3D37">
            <w:pPr>
              <w:spacing w:line="360" w:lineRule="auto"/>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 w:val="24"/>
                <w:szCs w:val="24"/>
              </w:rPr>
            </w:pPr>
            <w:r w:rsidRPr="003A3D37">
              <w:rPr>
                <w:rFonts w:ascii="Calibri" w:eastAsia="Calibri" w:hAnsi="Calibri" w:cs="Calibri"/>
                <w:color w:val="000000"/>
                <w:sz w:val="24"/>
                <w:szCs w:val="24"/>
              </w:rPr>
              <w:t>Circular economy reuse pilots</w:t>
            </w:r>
          </w:p>
        </w:tc>
      </w:tr>
    </w:tbl>
    <w:p w14:paraId="26C5DDFB" w14:textId="77777777" w:rsidR="003A3D37" w:rsidRDefault="003A3D37" w:rsidP="003A3D37">
      <w:pPr>
        <w:spacing w:after="0" w:line="360" w:lineRule="auto"/>
        <w:rPr>
          <w:rFonts w:ascii="Calibri" w:eastAsia="Calibri" w:hAnsi="Calibri" w:cs="Calibri"/>
          <w:color w:val="000000"/>
          <w:sz w:val="24"/>
          <w:szCs w:val="24"/>
          <w:lang w:val="en-US"/>
        </w:rPr>
      </w:pPr>
    </w:p>
    <w:p w14:paraId="6A176576" w14:textId="77777777" w:rsidR="00D53390" w:rsidRDefault="00D53390" w:rsidP="003A3D37">
      <w:pPr>
        <w:spacing w:after="0" w:line="360" w:lineRule="auto"/>
        <w:rPr>
          <w:rFonts w:ascii="Calibri" w:eastAsia="Calibri" w:hAnsi="Calibri" w:cs="Calibri"/>
          <w:color w:val="000000"/>
          <w:sz w:val="24"/>
          <w:szCs w:val="24"/>
          <w:lang w:val="en-US"/>
        </w:rPr>
      </w:pPr>
    </w:p>
    <w:p w14:paraId="6D80A257" w14:textId="77777777" w:rsidR="00D53390" w:rsidRDefault="00D53390" w:rsidP="003A3D37">
      <w:pPr>
        <w:spacing w:after="0" w:line="360" w:lineRule="auto"/>
        <w:rPr>
          <w:rFonts w:ascii="Calibri" w:eastAsia="Calibri" w:hAnsi="Calibri" w:cs="Calibri"/>
          <w:color w:val="000000"/>
          <w:sz w:val="24"/>
          <w:szCs w:val="24"/>
          <w:lang w:val="en-US"/>
        </w:rPr>
      </w:pPr>
    </w:p>
    <w:p w14:paraId="4F23159A" w14:textId="77777777" w:rsidR="00D53390" w:rsidRDefault="00D53390" w:rsidP="003A3D37">
      <w:pPr>
        <w:spacing w:after="0" w:line="360" w:lineRule="auto"/>
        <w:rPr>
          <w:rFonts w:ascii="Calibri" w:eastAsia="Calibri" w:hAnsi="Calibri" w:cs="Calibri"/>
          <w:color w:val="000000"/>
          <w:sz w:val="24"/>
          <w:szCs w:val="24"/>
          <w:lang w:val="en-US"/>
        </w:rPr>
      </w:pPr>
    </w:p>
    <w:p w14:paraId="5C451D48" w14:textId="77777777" w:rsidR="00D53390" w:rsidRPr="003A3D37" w:rsidRDefault="00D53390" w:rsidP="003A3D37">
      <w:pPr>
        <w:spacing w:after="0" w:line="360" w:lineRule="auto"/>
        <w:rPr>
          <w:rFonts w:ascii="Calibri" w:eastAsia="Calibri" w:hAnsi="Calibri" w:cs="Calibri"/>
          <w:color w:val="000000"/>
          <w:sz w:val="24"/>
          <w:szCs w:val="24"/>
          <w:lang w:val="en-US"/>
        </w:rPr>
      </w:pPr>
    </w:p>
    <w:p w14:paraId="0FE1A9D9" w14:textId="77777777" w:rsidR="003A3D37" w:rsidRPr="003A3D37" w:rsidRDefault="003A3D37" w:rsidP="003A3D37">
      <w:pPr>
        <w:spacing w:before="100" w:beforeAutospacing="1" w:after="100" w:afterAutospacing="1" w:line="360" w:lineRule="auto"/>
        <w:jc w:val="both"/>
        <w:outlineLvl w:val="1"/>
        <w:rPr>
          <w:rFonts w:ascii="Calibri" w:eastAsia="Times New Roman" w:hAnsi="Calibri" w:cs="Calibri"/>
          <w:b/>
          <w:bCs/>
          <w:sz w:val="24"/>
          <w:szCs w:val="24"/>
          <w:lang w:val="en-US"/>
        </w:rPr>
      </w:pPr>
      <w:bookmarkStart w:id="22" w:name="_Toc203991955"/>
      <w:r w:rsidRPr="003A3D37">
        <w:rPr>
          <w:rFonts w:ascii="Calibri" w:eastAsia="Times New Roman" w:hAnsi="Calibri" w:cs="Calibri"/>
          <w:b/>
          <w:bCs/>
          <w:sz w:val="24"/>
          <w:szCs w:val="24"/>
          <w:lang w:val="en-US"/>
        </w:rPr>
        <w:lastRenderedPageBreak/>
        <w:t>Appendix 6: Dynamic Capabilities Supporting Climate Strategy</w:t>
      </w:r>
      <w:bookmarkEnd w:id="22"/>
    </w:p>
    <w:tbl>
      <w:tblPr>
        <w:tblStyle w:val="GridTable5Dark-Accent51"/>
        <w:tblW w:w="0" w:type="auto"/>
        <w:tblLook w:val="04A0" w:firstRow="1" w:lastRow="0" w:firstColumn="1" w:lastColumn="0" w:noHBand="0" w:noVBand="1"/>
      </w:tblPr>
      <w:tblGrid>
        <w:gridCol w:w="2631"/>
        <w:gridCol w:w="4324"/>
        <w:gridCol w:w="2395"/>
      </w:tblGrid>
      <w:tr w:rsidR="003A3D37" w:rsidRPr="003A3D37" w14:paraId="55AB785F" w14:textId="77777777" w:rsidTr="00373CA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F3D9E21" w14:textId="77777777" w:rsidR="003A3D37" w:rsidRPr="003A3D37" w:rsidRDefault="003A3D37" w:rsidP="003A3D37">
            <w:pPr>
              <w:spacing w:line="360" w:lineRule="auto"/>
              <w:rPr>
                <w:rFonts w:ascii="Calibri" w:eastAsia="Calibri" w:hAnsi="Calibri" w:cs="Calibri"/>
                <w:color w:val="000000"/>
                <w:sz w:val="24"/>
                <w:szCs w:val="24"/>
              </w:rPr>
            </w:pPr>
            <w:r w:rsidRPr="003A3D37">
              <w:rPr>
                <w:rFonts w:ascii="Calibri" w:eastAsia="Calibri" w:hAnsi="Calibri" w:cs="Calibri"/>
                <w:color w:val="000000"/>
                <w:sz w:val="24"/>
                <w:szCs w:val="24"/>
              </w:rPr>
              <w:t>Capability</w:t>
            </w:r>
          </w:p>
        </w:tc>
        <w:tc>
          <w:tcPr>
            <w:tcW w:w="0" w:type="auto"/>
            <w:hideMark/>
          </w:tcPr>
          <w:p w14:paraId="59E84FF2" w14:textId="77777777" w:rsidR="003A3D37" w:rsidRPr="003A3D37" w:rsidRDefault="003A3D37" w:rsidP="003A3D37">
            <w:pPr>
              <w:spacing w:line="360" w:lineRule="auto"/>
              <w:cnfStyle w:val="100000000000" w:firstRow="1" w:lastRow="0" w:firstColumn="0" w:lastColumn="0" w:oddVBand="0" w:evenVBand="0" w:oddHBand="0" w:evenHBand="0" w:firstRowFirstColumn="0" w:firstRowLastColumn="0" w:lastRowFirstColumn="0" w:lastRowLastColumn="0"/>
              <w:rPr>
                <w:rFonts w:ascii="Calibri" w:eastAsia="Calibri" w:hAnsi="Calibri" w:cs="Calibri"/>
                <w:color w:val="000000"/>
                <w:sz w:val="24"/>
                <w:szCs w:val="24"/>
              </w:rPr>
            </w:pPr>
            <w:r w:rsidRPr="003A3D37">
              <w:rPr>
                <w:rFonts w:ascii="Calibri" w:eastAsia="Calibri" w:hAnsi="Calibri" w:cs="Calibri"/>
                <w:color w:val="000000"/>
                <w:sz w:val="24"/>
                <w:szCs w:val="24"/>
              </w:rPr>
              <w:t>Definition</w:t>
            </w:r>
          </w:p>
        </w:tc>
        <w:tc>
          <w:tcPr>
            <w:tcW w:w="0" w:type="auto"/>
            <w:hideMark/>
          </w:tcPr>
          <w:p w14:paraId="404FEFB3" w14:textId="77777777" w:rsidR="003A3D37" w:rsidRPr="003A3D37" w:rsidRDefault="003A3D37" w:rsidP="003A3D37">
            <w:pPr>
              <w:spacing w:line="360" w:lineRule="auto"/>
              <w:cnfStyle w:val="100000000000" w:firstRow="1" w:lastRow="0" w:firstColumn="0" w:lastColumn="0" w:oddVBand="0" w:evenVBand="0" w:oddHBand="0" w:evenHBand="0" w:firstRowFirstColumn="0" w:firstRowLastColumn="0" w:lastRowFirstColumn="0" w:lastRowLastColumn="0"/>
              <w:rPr>
                <w:rFonts w:ascii="Calibri" w:eastAsia="Calibri" w:hAnsi="Calibri" w:cs="Calibri"/>
                <w:color w:val="000000"/>
                <w:sz w:val="24"/>
                <w:szCs w:val="24"/>
              </w:rPr>
            </w:pPr>
            <w:r w:rsidRPr="003A3D37">
              <w:rPr>
                <w:rFonts w:ascii="Calibri" w:eastAsia="Calibri" w:hAnsi="Calibri" w:cs="Calibri"/>
                <w:color w:val="000000"/>
                <w:sz w:val="24"/>
                <w:szCs w:val="24"/>
              </w:rPr>
              <w:t>Supporting Study</w:t>
            </w:r>
          </w:p>
        </w:tc>
      </w:tr>
      <w:tr w:rsidR="003A3D37" w:rsidRPr="003A3D37" w14:paraId="35B5E40B" w14:textId="77777777" w:rsidTr="00373C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E35C641" w14:textId="77777777" w:rsidR="003A3D37" w:rsidRPr="003A3D37" w:rsidRDefault="003A3D37" w:rsidP="003A3D37">
            <w:pPr>
              <w:spacing w:line="360" w:lineRule="auto"/>
              <w:rPr>
                <w:rFonts w:ascii="Calibri" w:eastAsia="Calibri" w:hAnsi="Calibri" w:cs="Calibri"/>
                <w:color w:val="000000"/>
                <w:sz w:val="24"/>
                <w:szCs w:val="24"/>
              </w:rPr>
            </w:pPr>
            <w:r w:rsidRPr="003A3D37">
              <w:rPr>
                <w:rFonts w:ascii="Calibri" w:eastAsia="Calibri" w:hAnsi="Calibri" w:cs="Calibri"/>
                <w:color w:val="000000"/>
                <w:sz w:val="24"/>
                <w:szCs w:val="24"/>
              </w:rPr>
              <w:t>Adaptability</w:t>
            </w:r>
          </w:p>
        </w:tc>
        <w:tc>
          <w:tcPr>
            <w:tcW w:w="0" w:type="auto"/>
            <w:hideMark/>
          </w:tcPr>
          <w:p w14:paraId="60037B1C" w14:textId="77777777" w:rsidR="003A3D37" w:rsidRPr="003A3D37" w:rsidRDefault="003A3D37" w:rsidP="003A3D37">
            <w:pPr>
              <w:spacing w:line="360" w:lineRule="auto"/>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 w:val="24"/>
                <w:szCs w:val="24"/>
              </w:rPr>
            </w:pPr>
            <w:r w:rsidRPr="003A3D37">
              <w:rPr>
                <w:rFonts w:ascii="Calibri" w:eastAsia="Calibri" w:hAnsi="Calibri" w:cs="Calibri"/>
                <w:color w:val="000000"/>
                <w:sz w:val="24"/>
                <w:szCs w:val="24"/>
              </w:rPr>
              <w:t>Pivoting to meet regulatory or market shifts</w:t>
            </w:r>
          </w:p>
        </w:tc>
        <w:tc>
          <w:tcPr>
            <w:tcW w:w="0" w:type="auto"/>
            <w:hideMark/>
          </w:tcPr>
          <w:p w14:paraId="0096D6AA" w14:textId="77777777" w:rsidR="003A3D37" w:rsidRPr="003A3D37" w:rsidRDefault="003A3D37" w:rsidP="003A3D37">
            <w:pPr>
              <w:spacing w:line="360" w:lineRule="auto"/>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 w:val="24"/>
                <w:szCs w:val="24"/>
              </w:rPr>
            </w:pPr>
            <w:r w:rsidRPr="003A3D37">
              <w:rPr>
                <w:rFonts w:ascii="Calibri" w:eastAsia="Calibri" w:hAnsi="Calibri" w:cs="Calibri"/>
                <w:color w:val="000000"/>
                <w:sz w:val="24"/>
                <w:szCs w:val="24"/>
              </w:rPr>
              <w:t>Dejardin et al. (2023)</w:t>
            </w:r>
          </w:p>
        </w:tc>
      </w:tr>
      <w:tr w:rsidR="003A3D37" w:rsidRPr="003A3D37" w14:paraId="3CC30488" w14:textId="77777777" w:rsidTr="00373CA8">
        <w:tc>
          <w:tcPr>
            <w:cnfStyle w:val="001000000000" w:firstRow="0" w:lastRow="0" w:firstColumn="1" w:lastColumn="0" w:oddVBand="0" w:evenVBand="0" w:oddHBand="0" w:evenHBand="0" w:firstRowFirstColumn="0" w:firstRowLastColumn="0" w:lastRowFirstColumn="0" w:lastRowLastColumn="0"/>
            <w:tcW w:w="0" w:type="auto"/>
            <w:hideMark/>
          </w:tcPr>
          <w:p w14:paraId="1DFA3AE3" w14:textId="77777777" w:rsidR="003A3D37" w:rsidRPr="003A3D37" w:rsidRDefault="003A3D37" w:rsidP="003A3D37">
            <w:pPr>
              <w:spacing w:line="360" w:lineRule="auto"/>
              <w:rPr>
                <w:rFonts w:ascii="Calibri" w:eastAsia="Calibri" w:hAnsi="Calibri" w:cs="Calibri"/>
                <w:color w:val="000000"/>
                <w:sz w:val="24"/>
                <w:szCs w:val="24"/>
              </w:rPr>
            </w:pPr>
            <w:r w:rsidRPr="003A3D37">
              <w:rPr>
                <w:rFonts w:ascii="Calibri" w:eastAsia="Calibri" w:hAnsi="Calibri" w:cs="Calibri"/>
                <w:color w:val="000000"/>
                <w:sz w:val="24"/>
                <w:szCs w:val="24"/>
              </w:rPr>
              <w:t>Stakeholder Responsiveness</w:t>
            </w:r>
          </w:p>
        </w:tc>
        <w:tc>
          <w:tcPr>
            <w:tcW w:w="0" w:type="auto"/>
            <w:hideMark/>
          </w:tcPr>
          <w:p w14:paraId="23B1E0F2" w14:textId="77777777" w:rsidR="003A3D37" w:rsidRPr="003A3D37" w:rsidRDefault="003A3D37" w:rsidP="003A3D37">
            <w:pPr>
              <w:spacing w:line="360" w:lineRule="auto"/>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 w:val="24"/>
                <w:szCs w:val="24"/>
              </w:rPr>
            </w:pPr>
            <w:r w:rsidRPr="003A3D37">
              <w:rPr>
                <w:rFonts w:ascii="Calibri" w:eastAsia="Calibri" w:hAnsi="Calibri" w:cs="Calibri"/>
                <w:color w:val="000000"/>
                <w:sz w:val="24"/>
                <w:szCs w:val="24"/>
              </w:rPr>
              <w:t>Addressing multi-level stakeholder expectations</w:t>
            </w:r>
          </w:p>
        </w:tc>
        <w:tc>
          <w:tcPr>
            <w:tcW w:w="0" w:type="auto"/>
            <w:hideMark/>
          </w:tcPr>
          <w:p w14:paraId="7A0F6C84" w14:textId="77777777" w:rsidR="003A3D37" w:rsidRPr="003A3D37" w:rsidRDefault="003A3D37" w:rsidP="003A3D37">
            <w:pPr>
              <w:spacing w:line="360" w:lineRule="auto"/>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 w:val="24"/>
                <w:szCs w:val="24"/>
              </w:rPr>
            </w:pPr>
            <w:r w:rsidRPr="003A3D37">
              <w:rPr>
                <w:rFonts w:ascii="Calibri" w:eastAsia="Calibri" w:hAnsi="Calibri" w:cs="Calibri"/>
                <w:color w:val="000000"/>
                <w:sz w:val="24"/>
                <w:szCs w:val="24"/>
              </w:rPr>
              <w:t>Minz et al. (2024)</w:t>
            </w:r>
          </w:p>
        </w:tc>
      </w:tr>
      <w:tr w:rsidR="003A3D37" w:rsidRPr="003A3D37" w14:paraId="2C5B0033" w14:textId="77777777" w:rsidTr="00373C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091A38F" w14:textId="77777777" w:rsidR="003A3D37" w:rsidRPr="003A3D37" w:rsidRDefault="003A3D37" w:rsidP="003A3D37">
            <w:pPr>
              <w:spacing w:line="360" w:lineRule="auto"/>
              <w:rPr>
                <w:rFonts w:ascii="Calibri" w:eastAsia="Calibri" w:hAnsi="Calibri" w:cs="Calibri"/>
                <w:color w:val="000000"/>
                <w:sz w:val="24"/>
                <w:szCs w:val="24"/>
              </w:rPr>
            </w:pPr>
            <w:r w:rsidRPr="003A3D37">
              <w:rPr>
                <w:rFonts w:ascii="Calibri" w:eastAsia="Calibri" w:hAnsi="Calibri" w:cs="Calibri"/>
                <w:color w:val="000000"/>
                <w:sz w:val="24"/>
                <w:szCs w:val="24"/>
              </w:rPr>
              <w:t>Sustainable Innovation</w:t>
            </w:r>
          </w:p>
        </w:tc>
        <w:tc>
          <w:tcPr>
            <w:tcW w:w="0" w:type="auto"/>
            <w:hideMark/>
          </w:tcPr>
          <w:p w14:paraId="0E3C69BD" w14:textId="77777777" w:rsidR="003A3D37" w:rsidRPr="003A3D37" w:rsidRDefault="003A3D37" w:rsidP="003A3D37">
            <w:pPr>
              <w:spacing w:line="360" w:lineRule="auto"/>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 w:val="24"/>
                <w:szCs w:val="24"/>
              </w:rPr>
            </w:pPr>
            <w:r w:rsidRPr="003A3D37">
              <w:rPr>
                <w:rFonts w:ascii="Calibri" w:eastAsia="Calibri" w:hAnsi="Calibri" w:cs="Calibri"/>
                <w:color w:val="000000"/>
                <w:sz w:val="24"/>
                <w:szCs w:val="24"/>
              </w:rPr>
              <w:t>Creating green solutions aligned with long-term strategy</w:t>
            </w:r>
          </w:p>
        </w:tc>
        <w:tc>
          <w:tcPr>
            <w:tcW w:w="0" w:type="auto"/>
            <w:hideMark/>
          </w:tcPr>
          <w:p w14:paraId="3EB12165" w14:textId="77777777" w:rsidR="003A3D37" w:rsidRPr="003A3D37" w:rsidRDefault="003A3D37" w:rsidP="003A3D37">
            <w:pPr>
              <w:spacing w:line="360" w:lineRule="auto"/>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 w:val="24"/>
                <w:szCs w:val="24"/>
              </w:rPr>
            </w:pPr>
            <w:r w:rsidRPr="003A3D37">
              <w:rPr>
                <w:rFonts w:ascii="Calibri" w:eastAsia="Calibri" w:hAnsi="Calibri" w:cs="Calibri"/>
                <w:color w:val="000000"/>
                <w:sz w:val="24"/>
                <w:szCs w:val="24"/>
              </w:rPr>
              <w:t>Yawson and Yamoah (2022)</w:t>
            </w:r>
          </w:p>
        </w:tc>
      </w:tr>
    </w:tbl>
    <w:p w14:paraId="3A237C92" w14:textId="77777777" w:rsidR="003A3D37" w:rsidRPr="003A3D37" w:rsidRDefault="003A3D37" w:rsidP="003A3D37">
      <w:pPr>
        <w:spacing w:before="100" w:beforeAutospacing="1" w:after="100" w:afterAutospacing="1" w:line="360" w:lineRule="auto"/>
        <w:jc w:val="both"/>
        <w:outlineLvl w:val="1"/>
        <w:rPr>
          <w:rFonts w:ascii="Calibri" w:eastAsia="Times New Roman" w:hAnsi="Calibri" w:cs="Calibri"/>
          <w:b/>
          <w:bCs/>
          <w:sz w:val="24"/>
          <w:szCs w:val="24"/>
          <w:lang w:val="en-US"/>
        </w:rPr>
      </w:pPr>
      <w:bookmarkStart w:id="23" w:name="_Toc203991956"/>
      <w:r w:rsidRPr="003A3D37">
        <w:rPr>
          <w:rFonts w:ascii="Calibri" w:eastAsia="Times New Roman" w:hAnsi="Calibri" w:cs="Calibri"/>
          <w:b/>
          <w:bCs/>
          <w:sz w:val="24"/>
          <w:szCs w:val="24"/>
          <w:lang w:val="en-US"/>
        </w:rPr>
        <w:t>Appendix 7: M&amp;S Communication Channels for Climate Action</w:t>
      </w:r>
      <w:bookmarkEnd w:id="23"/>
    </w:p>
    <w:tbl>
      <w:tblPr>
        <w:tblStyle w:val="GridTable5Dark-Accent51"/>
        <w:tblW w:w="0" w:type="auto"/>
        <w:tblLook w:val="04A0" w:firstRow="1" w:lastRow="0" w:firstColumn="1" w:lastColumn="0" w:noHBand="0" w:noVBand="1"/>
      </w:tblPr>
      <w:tblGrid>
        <w:gridCol w:w="2664"/>
        <w:gridCol w:w="4712"/>
        <w:gridCol w:w="1516"/>
      </w:tblGrid>
      <w:tr w:rsidR="003A3D37" w:rsidRPr="003A3D37" w14:paraId="0AD4FA89" w14:textId="77777777" w:rsidTr="00373CA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E6EB0EC" w14:textId="77777777" w:rsidR="003A3D37" w:rsidRPr="003A3D37" w:rsidRDefault="003A3D37" w:rsidP="003A3D37">
            <w:pPr>
              <w:spacing w:line="360" w:lineRule="auto"/>
              <w:rPr>
                <w:rFonts w:ascii="Calibri" w:eastAsia="Calibri" w:hAnsi="Calibri" w:cs="Calibri"/>
                <w:color w:val="000000"/>
                <w:sz w:val="24"/>
                <w:szCs w:val="24"/>
              </w:rPr>
            </w:pPr>
            <w:r w:rsidRPr="003A3D37">
              <w:rPr>
                <w:rFonts w:ascii="Calibri" w:eastAsia="Calibri" w:hAnsi="Calibri" w:cs="Calibri"/>
                <w:color w:val="000000"/>
                <w:sz w:val="24"/>
                <w:szCs w:val="24"/>
              </w:rPr>
              <w:t>Communication Channel</w:t>
            </w:r>
          </w:p>
        </w:tc>
        <w:tc>
          <w:tcPr>
            <w:tcW w:w="0" w:type="auto"/>
            <w:hideMark/>
          </w:tcPr>
          <w:p w14:paraId="77863D4D" w14:textId="77777777" w:rsidR="003A3D37" w:rsidRPr="003A3D37" w:rsidRDefault="003A3D37" w:rsidP="003A3D37">
            <w:pPr>
              <w:spacing w:line="360" w:lineRule="auto"/>
              <w:cnfStyle w:val="100000000000" w:firstRow="1" w:lastRow="0" w:firstColumn="0" w:lastColumn="0" w:oddVBand="0" w:evenVBand="0" w:oddHBand="0" w:evenHBand="0" w:firstRowFirstColumn="0" w:firstRowLastColumn="0" w:lastRowFirstColumn="0" w:lastRowLastColumn="0"/>
              <w:rPr>
                <w:rFonts w:ascii="Calibri" w:eastAsia="Calibri" w:hAnsi="Calibri" w:cs="Calibri"/>
                <w:color w:val="000000"/>
                <w:sz w:val="24"/>
                <w:szCs w:val="24"/>
              </w:rPr>
            </w:pPr>
            <w:r w:rsidRPr="003A3D37">
              <w:rPr>
                <w:rFonts w:ascii="Calibri" w:eastAsia="Calibri" w:hAnsi="Calibri" w:cs="Calibri"/>
                <w:color w:val="000000"/>
                <w:sz w:val="24"/>
                <w:szCs w:val="24"/>
              </w:rPr>
              <w:t>Purpose</w:t>
            </w:r>
          </w:p>
        </w:tc>
        <w:tc>
          <w:tcPr>
            <w:tcW w:w="0" w:type="auto"/>
            <w:hideMark/>
          </w:tcPr>
          <w:p w14:paraId="73EA9EA4" w14:textId="77777777" w:rsidR="003A3D37" w:rsidRPr="003A3D37" w:rsidRDefault="003A3D37" w:rsidP="003A3D37">
            <w:pPr>
              <w:spacing w:line="360" w:lineRule="auto"/>
              <w:cnfStyle w:val="100000000000" w:firstRow="1" w:lastRow="0" w:firstColumn="0" w:lastColumn="0" w:oddVBand="0" w:evenVBand="0" w:oddHBand="0" w:evenHBand="0" w:firstRowFirstColumn="0" w:firstRowLastColumn="0" w:lastRowFirstColumn="0" w:lastRowLastColumn="0"/>
              <w:rPr>
                <w:rFonts w:ascii="Calibri" w:eastAsia="Calibri" w:hAnsi="Calibri" w:cs="Calibri"/>
                <w:color w:val="000000"/>
                <w:sz w:val="24"/>
                <w:szCs w:val="24"/>
              </w:rPr>
            </w:pPr>
            <w:r w:rsidRPr="003A3D37">
              <w:rPr>
                <w:rFonts w:ascii="Calibri" w:eastAsia="Calibri" w:hAnsi="Calibri" w:cs="Calibri"/>
                <w:color w:val="000000"/>
                <w:sz w:val="24"/>
                <w:szCs w:val="24"/>
              </w:rPr>
              <w:t>Frequency</w:t>
            </w:r>
          </w:p>
        </w:tc>
      </w:tr>
      <w:tr w:rsidR="003A3D37" w:rsidRPr="003A3D37" w14:paraId="4B486CDF" w14:textId="77777777" w:rsidTr="00373C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79BFE1D" w14:textId="77777777" w:rsidR="003A3D37" w:rsidRPr="003A3D37" w:rsidRDefault="003A3D37" w:rsidP="003A3D37">
            <w:pPr>
              <w:spacing w:line="360" w:lineRule="auto"/>
              <w:rPr>
                <w:rFonts w:ascii="Calibri" w:eastAsia="Calibri" w:hAnsi="Calibri" w:cs="Calibri"/>
                <w:color w:val="000000"/>
                <w:sz w:val="24"/>
                <w:szCs w:val="24"/>
              </w:rPr>
            </w:pPr>
            <w:r w:rsidRPr="003A3D37">
              <w:rPr>
                <w:rFonts w:ascii="Calibri" w:eastAsia="Calibri" w:hAnsi="Calibri" w:cs="Calibri"/>
                <w:color w:val="000000"/>
                <w:sz w:val="24"/>
                <w:szCs w:val="24"/>
              </w:rPr>
              <w:t>Sustainability Reports</w:t>
            </w:r>
          </w:p>
        </w:tc>
        <w:tc>
          <w:tcPr>
            <w:tcW w:w="0" w:type="auto"/>
            <w:hideMark/>
          </w:tcPr>
          <w:p w14:paraId="267055AF" w14:textId="77777777" w:rsidR="003A3D37" w:rsidRPr="003A3D37" w:rsidRDefault="003A3D37" w:rsidP="003A3D37">
            <w:pPr>
              <w:spacing w:line="360" w:lineRule="auto"/>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 w:val="24"/>
                <w:szCs w:val="24"/>
              </w:rPr>
            </w:pPr>
            <w:r w:rsidRPr="003A3D37">
              <w:rPr>
                <w:rFonts w:ascii="Calibri" w:eastAsia="Calibri" w:hAnsi="Calibri" w:cs="Calibri"/>
                <w:color w:val="000000"/>
                <w:sz w:val="24"/>
                <w:szCs w:val="24"/>
              </w:rPr>
              <w:t>Public accountability and metrics</w:t>
            </w:r>
          </w:p>
        </w:tc>
        <w:tc>
          <w:tcPr>
            <w:tcW w:w="0" w:type="auto"/>
            <w:hideMark/>
          </w:tcPr>
          <w:p w14:paraId="3E93E86D" w14:textId="77777777" w:rsidR="003A3D37" w:rsidRPr="003A3D37" w:rsidRDefault="003A3D37" w:rsidP="003A3D37">
            <w:pPr>
              <w:spacing w:line="360" w:lineRule="auto"/>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 w:val="24"/>
                <w:szCs w:val="24"/>
              </w:rPr>
            </w:pPr>
            <w:r w:rsidRPr="003A3D37">
              <w:rPr>
                <w:rFonts w:ascii="Calibri" w:eastAsia="Calibri" w:hAnsi="Calibri" w:cs="Calibri"/>
                <w:color w:val="000000"/>
                <w:sz w:val="24"/>
                <w:szCs w:val="24"/>
              </w:rPr>
              <w:t>Annual</w:t>
            </w:r>
          </w:p>
        </w:tc>
      </w:tr>
      <w:tr w:rsidR="003A3D37" w:rsidRPr="003A3D37" w14:paraId="3DF5421C" w14:textId="77777777" w:rsidTr="00373CA8">
        <w:tc>
          <w:tcPr>
            <w:cnfStyle w:val="001000000000" w:firstRow="0" w:lastRow="0" w:firstColumn="1" w:lastColumn="0" w:oddVBand="0" w:evenVBand="0" w:oddHBand="0" w:evenHBand="0" w:firstRowFirstColumn="0" w:firstRowLastColumn="0" w:lastRowFirstColumn="0" w:lastRowLastColumn="0"/>
            <w:tcW w:w="0" w:type="auto"/>
            <w:hideMark/>
          </w:tcPr>
          <w:p w14:paraId="34858798" w14:textId="77777777" w:rsidR="003A3D37" w:rsidRPr="003A3D37" w:rsidRDefault="003A3D37" w:rsidP="003A3D37">
            <w:pPr>
              <w:spacing w:line="360" w:lineRule="auto"/>
              <w:rPr>
                <w:rFonts w:ascii="Calibri" w:eastAsia="Calibri" w:hAnsi="Calibri" w:cs="Calibri"/>
                <w:color w:val="000000"/>
                <w:sz w:val="24"/>
                <w:szCs w:val="24"/>
              </w:rPr>
            </w:pPr>
            <w:r w:rsidRPr="003A3D37">
              <w:rPr>
                <w:rFonts w:ascii="Calibri" w:eastAsia="Calibri" w:hAnsi="Calibri" w:cs="Calibri"/>
                <w:color w:val="000000"/>
                <w:sz w:val="24"/>
                <w:szCs w:val="24"/>
              </w:rPr>
              <w:t>Investor Presentations</w:t>
            </w:r>
          </w:p>
        </w:tc>
        <w:tc>
          <w:tcPr>
            <w:tcW w:w="0" w:type="auto"/>
            <w:hideMark/>
          </w:tcPr>
          <w:p w14:paraId="01AFB13B" w14:textId="77777777" w:rsidR="003A3D37" w:rsidRPr="003A3D37" w:rsidRDefault="003A3D37" w:rsidP="003A3D37">
            <w:pPr>
              <w:spacing w:line="360" w:lineRule="auto"/>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 w:val="24"/>
                <w:szCs w:val="24"/>
              </w:rPr>
            </w:pPr>
            <w:r w:rsidRPr="003A3D37">
              <w:rPr>
                <w:rFonts w:ascii="Calibri" w:eastAsia="Calibri" w:hAnsi="Calibri" w:cs="Calibri"/>
                <w:color w:val="000000"/>
                <w:sz w:val="24"/>
                <w:szCs w:val="24"/>
              </w:rPr>
              <w:t>Financial transparency and ESG briefings</w:t>
            </w:r>
          </w:p>
        </w:tc>
        <w:tc>
          <w:tcPr>
            <w:tcW w:w="0" w:type="auto"/>
            <w:hideMark/>
          </w:tcPr>
          <w:p w14:paraId="4C2EE432" w14:textId="77777777" w:rsidR="003A3D37" w:rsidRPr="003A3D37" w:rsidRDefault="003A3D37" w:rsidP="003A3D37">
            <w:pPr>
              <w:spacing w:line="360" w:lineRule="auto"/>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 w:val="24"/>
                <w:szCs w:val="24"/>
              </w:rPr>
            </w:pPr>
            <w:r w:rsidRPr="003A3D37">
              <w:rPr>
                <w:rFonts w:ascii="Calibri" w:eastAsia="Calibri" w:hAnsi="Calibri" w:cs="Calibri"/>
                <w:color w:val="000000"/>
                <w:sz w:val="24"/>
                <w:szCs w:val="24"/>
              </w:rPr>
              <w:t>Quarterly</w:t>
            </w:r>
          </w:p>
        </w:tc>
      </w:tr>
      <w:tr w:rsidR="003A3D37" w:rsidRPr="003A3D37" w14:paraId="0AADFEC5" w14:textId="77777777" w:rsidTr="00373C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4F604E4" w14:textId="77777777" w:rsidR="003A3D37" w:rsidRPr="003A3D37" w:rsidRDefault="003A3D37" w:rsidP="003A3D37">
            <w:pPr>
              <w:spacing w:line="360" w:lineRule="auto"/>
              <w:rPr>
                <w:rFonts w:ascii="Calibri" w:eastAsia="Calibri" w:hAnsi="Calibri" w:cs="Calibri"/>
                <w:color w:val="000000"/>
                <w:sz w:val="24"/>
                <w:szCs w:val="24"/>
              </w:rPr>
            </w:pPr>
            <w:r w:rsidRPr="003A3D37">
              <w:rPr>
                <w:rFonts w:ascii="Calibri" w:eastAsia="Calibri" w:hAnsi="Calibri" w:cs="Calibri"/>
                <w:color w:val="000000"/>
                <w:sz w:val="24"/>
                <w:szCs w:val="24"/>
              </w:rPr>
              <w:t>Staff Training Platforms</w:t>
            </w:r>
          </w:p>
        </w:tc>
        <w:tc>
          <w:tcPr>
            <w:tcW w:w="0" w:type="auto"/>
            <w:hideMark/>
          </w:tcPr>
          <w:p w14:paraId="6D2654B3" w14:textId="56154BA1" w:rsidR="003A3D37" w:rsidRPr="003A3D37" w:rsidRDefault="003A3D37" w:rsidP="003A3D37">
            <w:pPr>
              <w:spacing w:line="360" w:lineRule="auto"/>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 w:val="24"/>
                <w:szCs w:val="24"/>
              </w:rPr>
            </w:pPr>
            <w:r w:rsidRPr="003A3D37">
              <w:rPr>
                <w:rFonts w:ascii="Calibri" w:eastAsia="Calibri" w:hAnsi="Calibri" w:cs="Calibri"/>
                <w:color w:val="000000"/>
                <w:sz w:val="24"/>
                <w:szCs w:val="24"/>
              </w:rPr>
              <w:t xml:space="preserve">Internal alignment and </w:t>
            </w:r>
            <w:r w:rsidR="00D53390" w:rsidRPr="003A3D37">
              <w:rPr>
                <w:rFonts w:ascii="Calibri" w:eastAsia="Calibri" w:hAnsi="Calibri" w:cs="Calibri"/>
                <w:color w:val="000000"/>
                <w:sz w:val="24"/>
                <w:szCs w:val="24"/>
              </w:rPr>
              <w:t>behavioral</w:t>
            </w:r>
            <w:r w:rsidRPr="003A3D37">
              <w:rPr>
                <w:rFonts w:ascii="Calibri" w:eastAsia="Calibri" w:hAnsi="Calibri" w:cs="Calibri"/>
                <w:color w:val="000000"/>
                <w:sz w:val="24"/>
                <w:szCs w:val="24"/>
              </w:rPr>
              <w:t xml:space="preserve"> consistency</w:t>
            </w:r>
          </w:p>
        </w:tc>
        <w:tc>
          <w:tcPr>
            <w:tcW w:w="0" w:type="auto"/>
            <w:hideMark/>
          </w:tcPr>
          <w:p w14:paraId="728C47DE" w14:textId="77777777" w:rsidR="003A3D37" w:rsidRPr="003A3D37" w:rsidRDefault="003A3D37" w:rsidP="003A3D37">
            <w:pPr>
              <w:spacing w:line="360" w:lineRule="auto"/>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 w:val="24"/>
                <w:szCs w:val="24"/>
              </w:rPr>
            </w:pPr>
            <w:r w:rsidRPr="003A3D37">
              <w:rPr>
                <w:rFonts w:ascii="Calibri" w:eastAsia="Calibri" w:hAnsi="Calibri" w:cs="Calibri"/>
                <w:color w:val="000000"/>
                <w:sz w:val="24"/>
                <w:szCs w:val="24"/>
              </w:rPr>
              <w:t>Ongoing</w:t>
            </w:r>
          </w:p>
        </w:tc>
      </w:tr>
      <w:tr w:rsidR="003A3D37" w:rsidRPr="003A3D37" w14:paraId="551C75BF" w14:textId="77777777" w:rsidTr="00373CA8">
        <w:tc>
          <w:tcPr>
            <w:cnfStyle w:val="001000000000" w:firstRow="0" w:lastRow="0" w:firstColumn="1" w:lastColumn="0" w:oddVBand="0" w:evenVBand="0" w:oddHBand="0" w:evenHBand="0" w:firstRowFirstColumn="0" w:firstRowLastColumn="0" w:lastRowFirstColumn="0" w:lastRowLastColumn="0"/>
            <w:tcW w:w="0" w:type="auto"/>
            <w:hideMark/>
          </w:tcPr>
          <w:p w14:paraId="50138D6D" w14:textId="77777777" w:rsidR="003A3D37" w:rsidRPr="003A3D37" w:rsidRDefault="003A3D37" w:rsidP="003A3D37">
            <w:pPr>
              <w:spacing w:line="360" w:lineRule="auto"/>
              <w:rPr>
                <w:rFonts w:ascii="Calibri" w:eastAsia="Calibri" w:hAnsi="Calibri" w:cs="Calibri"/>
                <w:color w:val="000000"/>
                <w:sz w:val="24"/>
                <w:szCs w:val="24"/>
              </w:rPr>
            </w:pPr>
            <w:r w:rsidRPr="003A3D37">
              <w:rPr>
                <w:rFonts w:ascii="Calibri" w:eastAsia="Calibri" w:hAnsi="Calibri" w:cs="Calibri"/>
                <w:color w:val="000000"/>
                <w:sz w:val="24"/>
                <w:szCs w:val="24"/>
              </w:rPr>
              <w:t>Social Media</w:t>
            </w:r>
          </w:p>
        </w:tc>
        <w:tc>
          <w:tcPr>
            <w:tcW w:w="0" w:type="auto"/>
            <w:hideMark/>
          </w:tcPr>
          <w:p w14:paraId="192581D7" w14:textId="77777777" w:rsidR="003A3D37" w:rsidRPr="003A3D37" w:rsidRDefault="003A3D37" w:rsidP="003A3D37">
            <w:pPr>
              <w:spacing w:line="360" w:lineRule="auto"/>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 w:val="24"/>
                <w:szCs w:val="24"/>
              </w:rPr>
            </w:pPr>
            <w:r w:rsidRPr="003A3D37">
              <w:rPr>
                <w:rFonts w:ascii="Calibri" w:eastAsia="Calibri" w:hAnsi="Calibri" w:cs="Calibri"/>
                <w:color w:val="000000"/>
                <w:sz w:val="24"/>
                <w:szCs w:val="24"/>
              </w:rPr>
              <w:t>Customer engagement and ethical branding</w:t>
            </w:r>
          </w:p>
        </w:tc>
        <w:tc>
          <w:tcPr>
            <w:tcW w:w="0" w:type="auto"/>
            <w:hideMark/>
          </w:tcPr>
          <w:p w14:paraId="4EF2D684" w14:textId="77777777" w:rsidR="003A3D37" w:rsidRPr="003A3D37" w:rsidRDefault="003A3D37" w:rsidP="003A3D37">
            <w:pPr>
              <w:spacing w:line="360" w:lineRule="auto"/>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 w:val="24"/>
                <w:szCs w:val="24"/>
              </w:rPr>
            </w:pPr>
            <w:r w:rsidRPr="003A3D37">
              <w:rPr>
                <w:rFonts w:ascii="Calibri" w:eastAsia="Calibri" w:hAnsi="Calibri" w:cs="Calibri"/>
                <w:color w:val="000000"/>
                <w:sz w:val="24"/>
                <w:szCs w:val="24"/>
              </w:rPr>
              <w:t>Weekly/Daily</w:t>
            </w:r>
          </w:p>
        </w:tc>
      </w:tr>
    </w:tbl>
    <w:p w14:paraId="3FDDFA87" w14:textId="77777777" w:rsidR="003A3D37" w:rsidRPr="003A3D37" w:rsidRDefault="003A3D37" w:rsidP="003A3D37">
      <w:pPr>
        <w:spacing w:before="100" w:beforeAutospacing="1" w:after="100" w:afterAutospacing="1" w:line="360" w:lineRule="auto"/>
        <w:jc w:val="both"/>
        <w:outlineLvl w:val="1"/>
        <w:rPr>
          <w:rFonts w:ascii="Calibri" w:eastAsia="Times New Roman" w:hAnsi="Calibri" w:cs="Calibri"/>
          <w:b/>
          <w:bCs/>
          <w:sz w:val="24"/>
          <w:szCs w:val="24"/>
          <w:lang w:val="en-US"/>
        </w:rPr>
      </w:pPr>
      <w:bookmarkStart w:id="24" w:name="_Toc203991957"/>
      <w:r w:rsidRPr="003A3D37">
        <w:rPr>
          <w:rFonts w:ascii="Calibri" w:eastAsia="Times New Roman" w:hAnsi="Calibri" w:cs="Calibri"/>
          <w:b/>
          <w:bCs/>
          <w:sz w:val="24"/>
          <w:szCs w:val="24"/>
          <w:lang w:val="en-US"/>
        </w:rPr>
        <w:t>Appendix 8: Theoretical Frameworks Supporting Leadership &amp; Change</w:t>
      </w:r>
      <w:bookmarkEnd w:id="24"/>
    </w:p>
    <w:tbl>
      <w:tblPr>
        <w:tblStyle w:val="GridTable5Dark-Accent51"/>
        <w:tblW w:w="0" w:type="auto"/>
        <w:tblLook w:val="04A0" w:firstRow="1" w:lastRow="0" w:firstColumn="1" w:lastColumn="0" w:noHBand="0" w:noVBand="1"/>
      </w:tblPr>
      <w:tblGrid>
        <w:gridCol w:w="2504"/>
        <w:gridCol w:w="5152"/>
        <w:gridCol w:w="1694"/>
      </w:tblGrid>
      <w:tr w:rsidR="003A3D37" w:rsidRPr="003A3D37" w14:paraId="02FE4B88" w14:textId="77777777" w:rsidTr="00373CA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1E0D43A" w14:textId="77777777" w:rsidR="003A3D37" w:rsidRPr="003A3D37" w:rsidRDefault="003A3D37" w:rsidP="003A3D37">
            <w:pPr>
              <w:spacing w:line="360" w:lineRule="auto"/>
              <w:rPr>
                <w:rFonts w:ascii="Calibri" w:eastAsia="Calibri" w:hAnsi="Calibri" w:cs="Calibri"/>
                <w:color w:val="000000"/>
                <w:sz w:val="24"/>
                <w:szCs w:val="24"/>
              </w:rPr>
            </w:pPr>
            <w:r w:rsidRPr="003A3D37">
              <w:rPr>
                <w:rFonts w:ascii="Calibri" w:eastAsia="Calibri" w:hAnsi="Calibri" w:cs="Calibri"/>
                <w:color w:val="000000"/>
                <w:sz w:val="24"/>
                <w:szCs w:val="24"/>
              </w:rPr>
              <w:t>Theoretical Lens</w:t>
            </w:r>
          </w:p>
        </w:tc>
        <w:tc>
          <w:tcPr>
            <w:tcW w:w="0" w:type="auto"/>
            <w:hideMark/>
          </w:tcPr>
          <w:p w14:paraId="693A7DF9" w14:textId="77777777" w:rsidR="003A3D37" w:rsidRPr="003A3D37" w:rsidRDefault="003A3D37" w:rsidP="003A3D37">
            <w:pPr>
              <w:spacing w:line="360" w:lineRule="auto"/>
              <w:cnfStyle w:val="100000000000" w:firstRow="1" w:lastRow="0" w:firstColumn="0" w:lastColumn="0" w:oddVBand="0" w:evenVBand="0" w:oddHBand="0" w:evenHBand="0" w:firstRowFirstColumn="0" w:firstRowLastColumn="0" w:lastRowFirstColumn="0" w:lastRowLastColumn="0"/>
              <w:rPr>
                <w:rFonts w:ascii="Calibri" w:eastAsia="Calibri" w:hAnsi="Calibri" w:cs="Calibri"/>
                <w:color w:val="000000"/>
                <w:sz w:val="24"/>
                <w:szCs w:val="24"/>
              </w:rPr>
            </w:pPr>
            <w:r w:rsidRPr="003A3D37">
              <w:rPr>
                <w:rFonts w:ascii="Calibri" w:eastAsia="Calibri" w:hAnsi="Calibri" w:cs="Calibri"/>
                <w:color w:val="000000"/>
                <w:sz w:val="24"/>
                <w:szCs w:val="24"/>
              </w:rPr>
              <w:t>Key Insight</w:t>
            </w:r>
          </w:p>
        </w:tc>
        <w:tc>
          <w:tcPr>
            <w:tcW w:w="0" w:type="auto"/>
            <w:hideMark/>
          </w:tcPr>
          <w:p w14:paraId="03FFAF8C" w14:textId="77777777" w:rsidR="003A3D37" w:rsidRPr="003A3D37" w:rsidRDefault="003A3D37" w:rsidP="003A3D37">
            <w:pPr>
              <w:spacing w:line="360" w:lineRule="auto"/>
              <w:cnfStyle w:val="100000000000" w:firstRow="1" w:lastRow="0" w:firstColumn="0" w:lastColumn="0" w:oddVBand="0" w:evenVBand="0" w:oddHBand="0" w:evenHBand="0" w:firstRowFirstColumn="0" w:firstRowLastColumn="0" w:lastRowFirstColumn="0" w:lastRowLastColumn="0"/>
              <w:rPr>
                <w:rFonts w:ascii="Calibri" w:eastAsia="Calibri" w:hAnsi="Calibri" w:cs="Calibri"/>
                <w:color w:val="000000"/>
                <w:sz w:val="24"/>
                <w:szCs w:val="24"/>
              </w:rPr>
            </w:pPr>
            <w:r w:rsidRPr="003A3D37">
              <w:rPr>
                <w:rFonts w:ascii="Calibri" w:eastAsia="Calibri" w:hAnsi="Calibri" w:cs="Calibri"/>
                <w:color w:val="000000"/>
                <w:sz w:val="24"/>
                <w:szCs w:val="24"/>
              </w:rPr>
              <w:t>Academic Source</w:t>
            </w:r>
          </w:p>
        </w:tc>
      </w:tr>
      <w:tr w:rsidR="003A3D37" w:rsidRPr="003A3D37" w14:paraId="4CD62263" w14:textId="77777777" w:rsidTr="00373C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0A44053" w14:textId="77777777" w:rsidR="003A3D37" w:rsidRPr="003A3D37" w:rsidRDefault="003A3D37" w:rsidP="003A3D37">
            <w:pPr>
              <w:spacing w:line="360" w:lineRule="auto"/>
              <w:rPr>
                <w:rFonts w:ascii="Calibri" w:eastAsia="Calibri" w:hAnsi="Calibri" w:cs="Calibri"/>
                <w:color w:val="000000"/>
                <w:sz w:val="24"/>
                <w:szCs w:val="24"/>
              </w:rPr>
            </w:pPr>
            <w:r w:rsidRPr="003A3D37">
              <w:rPr>
                <w:rFonts w:ascii="Calibri" w:eastAsia="Calibri" w:hAnsi="Calibri" w:cs="Calibri"/>
                <w:color w:val="000000"/>
                <w:sz w:val="24"/>
                <w:szCs w:val="24"/>
              </w:rPr>
              <w:t>Transformational Culture</w:t>
            </w:r>
          </w:p>
        </w:tc>
        <w:tc>
          <w:tcPr>
            <w:tcW w:w="0" w:type="auto"/>
            <w:hideMark/>
          </w:tcPr>
          <w:p w14:paraId="68449887" w14:textId="77777777" w:rsidR="003A3D37" w:rsidRPr="003A3D37" w:rsidRDefault="003A3D37" w:rsidP="003A3D37">
            <w:pPr>
              <w:spacing w:line="360" w:lineRule="auto"/>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 w:val="24"/>
                <w:szCs w:val="24"/>
              </w:rPr>
            </w:pPr>
            <w:r w:rsidRPr="003A3D37">
              <w:rPr>
                <w:rFonts w:ascii="Calibri" w:eastAsia="Calibri" w:hAnsi="Calibri" w:cs="Calibri"/>
                <w:color w:val="000000"/>
                <w:sz w:val="24"/>
                <w:szCs w:val="24"/>
              </w:rPr>
              <w:t>Inclusive leadership builds ethical, resilient cultures</w:t>
            </w:r>
          </w:p>
        </w:tc>
        <w:tc>
          <w:tcPr>
            <w:tcW w:w="0" w:type="auto"/>
            <w:hideMark/>
          </w:tcPr>
          <w:p w14:paraId="2A9C64DC" w14:textId="77777777" w:rsidR="003A3D37" w:rsidRPr="003A3D37" w:rsidRDefault="003A3D37" w:rsidP="003A3D37">
            <w:pPr>
              <w:spacing w:line="360" w:lineRule="auto"/>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 w:val="24"/>
                <w:szCs w:val="24"/>
              </w:rPr>
            </w:pPr>
            <w:r w:rsidRPr="003A3D37">
              <w:rPr>
                <w:rFonts w:ascii="Calibri" w:eastAsia="Calibri" w:hAnsi="Calibri" w:cs="Calibri"/>
                <w:color w:val="000000"/>
                <w:sz w:val="24"/>
                <w:szCs w:val="24"/>
              </w:rPr>
              <w:t>Liddle (2021)</w:t>
            </w:r>
          </w:p>
        </w:tc>
      </w:tr>
      <w:tr w:rsidR="003A3D37" w:rsidRPr="003A3D37" w14:paraId="3BF4BC4B" w14:textId="77777777" w:rsidTr="00373CA8">
        <w:tc>
          <w:tcPr>
            <w:cnfStyle w:val="001000000000" w:firstRow="0" w:lastRow="0" w:firstColumn="1" w:lastColumn="0" w:oddVBand="0" w:evenVBand="0" w:oddHBand="0" w:evenHBand="0" w:firstRowFirstColumn="0" w:firstRowLastColumn="0" w:lastRowFirstColumn="0" w:lastRowLastColumn="0"/>
            <w:tcW w:w="0" w:type="auto"/>
            <w:hideMark/>
          </w:tcPr>
          <w:p w14:paraId="4DF22155" w14:textId="77777777" w:rsidR="003A3D37" w:rsidRPr="003A3D37" w:rsidRDefault="003A3D37" w:rsidP="003A3D37">
            <w:pPr>
              <w:spacing w:line="360" w:lineRule="auto"/>
              <w:rPr>
                <w:rFonts w:ascii="Calibri" w:eastAsia="Calibri" w:hAnsi="Calibri" w:cs="Calibri"/>
                <w:color w:val="000000"/>
                <w:sz w:val="24"/>
                <w:szCs w:val="24"/>
              </w:rPr>
            </w:pPr>
            <w:r w:rsidRPr="003A3D37">
              <w:rPr>
                <w:rFonts w:ascii="Calibri" w:eastAsia="Calibri" w:hAnsi="Calibri" w:cs="Calibri"/>
                <w:color w:val="000000"/>
                <w:sz w:val="24"/>
                <w:szCs w:val="24"/>
              </w:rPr>
              <w:t>Organisational Behaviour</w:t>
            </w:r>
          </w:p>
        </w:tc>
        <w:tc>
          <w:tcPr>
            <w:tcW w:w="0" w:type="auto"/>
            <w:hideMark/>
          </w:tcPr>
          <w:p w14:paraId="5CF58CE6" w14:textId="3B5BBEED" w:rsidR="003A3D37" w:rsidRPr="003A3D37" w:rsidRDefault="003A3D37" w:rsidP="003A3D37">
            <w:pPr>
              <w:spacing w:line="360" w:lineRule="auto"/>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 w:val="24"/>
                <w:szCs w:val="24"/>
              </w:rPr>
            </w:pPr>
            <w:r w:rsidRPr="003A3D37">
              <w:rPr>
                <w:rFonts w:ascii="Calibri" w:eastAsia="Calibri" w:hAnsi="Calibri" w:cs="Calibri"/>
                <w:color w:val="000000"/>
                <w:sz w:val="24"/>
                <w:szCs w:val="24"/>
              </w:rPr>
              <w:t xml:space="preserve">Motivation, group norms and systems shape sustainable </w:t>
            </w:r>
            <w:r w:rsidR="00D53390" w:rsidRPr="003A3D37">
              <w:rPr>
                <w:rFonts w:ascii="Calibri" w:eastAsia="Calibri" w:hAnsi="Calibri" w:cs="Calibri"/>
                <w:color w:val="000000"/>
                <w:sz w:val="24"/>
                <w:szCs w:val="24"/>
              </w:rPr>
              <w:t>behavior</w:t>
            </w:r>
          </w:p>
        </w:tc>
        <w:tc>
          <w:tcPr>
            <w:tcW w:w="0" w:type="auto"/>
            <w:hideMark/>
          </w:tcPr>
          <w:p w14:paraId="532B3749" w14:textId="77777777" w:rsidR="003A3D37" w:rsidRPr="003A3D37" w:rsidRDefault="003A3D37" w:rsidP="003A3D37">
            <w:pPr>
              <w:spacing w:line="360" w:lineRule="auto"/>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 w:val="24"/>
                <w:szCs w:val="24"/>
              </w:rPr>
            </w:pPr>
            <w:r w:rsidRPr="003A3D37">
              <w:rPr>
                <w:rFonts w:ascii="Calibri" w:eastAsia="Calibri" w:hAnsi="Calibri" w:cs="Calibri"/>
                <w:color w:val="000000"/>
                <w:sz w:val="24"/>
                <w:szCs w:val="24"/>
              </w:rPr>
              <w:t>Mullins (2019)</w:t>
            </w:r>
          </w:p>
        </w:tc>
      </w:tr>
      <w:tr w:rsidR="003A3D37" w:rsidRPr="003A3D37" w14:paraId="660BA728" w14:textId="77777777" w:rsidTr="00373C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6E85BBE" w14:textId="77777777" w:rsidR="003A3D37" w:rsidRPr="003A3D37" w:rsidRDefault="003A3D37" w:rsidP="003A3D37">
            <w:pPr>
              <w:spacing w:line="360" w:lineRule="auto"/>
              <w:rPr>
                <w:rFonts w:ascii="Calibri" w:eastAsia="Calibri" w:hAnsi="Calibri" w:cs="Calibri"/>
                <w:color w:val="000000"/>
                <w:sz w:val="24"/>
                <w:szCs w:val="24"/>
              </w:rPr>
            </w:pPr>
            <w:r w:rsidRPr="003A3D37">
              <w:rPr>
                <w:rFonts w:ascii="Calibri" w:eastAsia="Calibri" w:hAnsi="Calibri" w:cs="Calibri"/>
                <w:color w:val="000000"/>
                <w:sz w:val="24"/>
                <w:szCs w:val="24"/>
              </w:rPr>
              <w:t>Global Strategy</w:t>
            </w:r>
          </w:p>
        </w:tc>
        <w:tc>
          <w:tcPr>
            <w:tcW w:w="0" w:type="auto"/>
            <w:hideMark/>
          </w:tcPr>
          <w:p w14:paraId="0B146157" w14:textId="77777777" w:rsidR="003A3D37" w:rsidRPr="003A3D37" w:rsidRDefault="003A3D37" w:rsidP="003A3D37">
            <w:pPr>
              <w:spacing w:line="360" w:lineRule="auto"/>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 w:val="24"/>
                <w:szCs w:val="24"/>
              </w:rPr>
            </w:pPr>
            <w:r w:rsidRPr="003A3D37">
              <w:rPr>
                <w:rFonts w:ascii="Calibri" w:eastAsia="Calibri" w:hAnsi="Calibri" w:cs="Calibri"/>
                <w:color w:val="000000"/>
                <w:sz w:val="24"/>
                <w:szCs w:val="24"/>
              </w:rPr>
              <w:t>Local-global alignment drives long-term market and climate success</w:t>
            </w:r>
          </w:p>
        </w:tc>
        <w:tc>
          <w:tcPr>
            <w:tcW w:w="0" w:type="auto"/>
            <w:hideMark/>
          </w:tcPr>
          <w:p w14:paraId="27E70DDD" w14:textId="77777777" w:rsidR="003A3D37" w:rsidRPr="003A3D37" w:rsidRDefault="003A3D37" w:rsidP="003A3D37">
            <w:pPr>
              <w:spacing w:line="360" w:lineRule="auto"/>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 w:val="24"/>
                <w:szCs w:val="24"/>
              </w:rPr>
            </w:pPr>
            <w:r w:rsidRPr="003A3D37">
              <w:rPr>
                <w:rFonts w:ascii="Calibri" w:eastAsia="Calibri" w:hAnsi="Calibri" w:cs="Calibri"/>
                <w:color w:val="000000"/>
                <w:sz w:val="24"/>
                <w:szCs w:val="24"/>
              </w:rPr>
              <w:t>Morrison (2016)</w:t>
            </w:r>
          </w:p>
        </w:tc>
      </w:tr>
      <w:tr w:rsidR="003A3D37" w:rsidRPr="003A3D37" w14:paraId="6693E5BF" w14:textId="77777777" w:rsidTr="00373CA8">
        <w:tc>
          <w:tcPr>
            <w:cnfStyle w:val="001000000000" w:firstRow="0" w:lastRow="0" w:firstColumn="1" w:lastColumn="0" w:oddVBand="0" w:evenVBand="0" w:oddHBand="0" w:evenHBand="0" w:firstRowFirstColumn="0" w:firstRowLastColumn="0" w:lastRowFirstColumn="0" w:lastRowLastColumn="0"/>
            <w:tcW w:w="0" w:type="auto"/>
            <w:hideMark/>
          </w:tcPr>
          <w:p w14:paraId="68189B7F" w14:textId="77777777" w:rsidR="003A3D37" w:rsidRPr="003A3D37" w:rsidRDefault="003A3D37" w:rsidP="003A3D37">
            <w:pPr>
              <w:spacing w:line="360" w:lineRule="auto"/>
              <w:rPr>
                <w:rFonts w:ascii="Calibri" w:eastAsia="Calibri" w:hAnsi="Calibri" w:cs="Calibri"/>
                <w:color w:val="000000"/>
                <w:sz w:val="24"/>
                <w:szCs w:val="24"/>
              </w:rPr>
            </w:pPr>
            <w:r w:rsidRPr="003A3D37">
              <w:rPr>
                <w:rFonts w:ascii="Calibri" w:eastAsia="Calibri" w:hAnsi="Calibri" w:cs="Calibri"/>
                <w:color w:val="000000"/>
                <w:sz w:val="24"/>
                <w:szCs w:val="24"/>
              </w:rPr>
              <w:t>Virtual Leadership</w:t>
            </w:r>
          </w:p>
        </w:tc>
        <w:tc>
          <w:tcPr>
            <w:tcW w:w="0" w:type="auto"/>
            <w:hideMark/>
          </w:tcPr>
          <w:p w14:paraId="13123B8B" w14:textId="5C8BC49F" w:rsidR="003A3D37" w:rsidRPr="003A3D37" w:rsidRDefault="003A3D37" w:rsidP="003A3D37">
            <w:pPr>
              <w:spacing w:line="360" w:lineRule="auto"/>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 w:val="24"/>
                <w:szCs w:val="24"/>
              </w:rPr>
            </w:pPr>
            <w:r w:rsidRPr="003A3D37">
              <w:rPr>
                <w:rFonts w:ascii="Calibri" w:eastAsia="Calibri" w:hAnsi="Calibri" w:cs="Calibri"/>
                <w:color w:val="000000"/>
                <w:sz w:val="24"/>
                <w:szCs w:val="24"/>
              </w:rPr>
              <w:t>Human-</w:t>
            </w:r>
            <w:r w:rsidR="00D53390" w:rsidRPr="003A3D37">
              <w:rPr>
                <w:rFonts w:ascii="Calibri" w:eastAsia="Calibri" w:hAnsi="Calibri" w:cs="Calibri"/>
                <w:color w:val="000000"/>
                <w:sz w:val="24"/>
                <w:szCs w:val="24"/>
              </w:rPr>
              <w:t>centered</w:t>
            </w:r>
            <w:r w:rsidRPr="003A3D37">
              <w:rPr>
                <w:rFonts w:ascii="Calibri" w:eastAsia="Calibri" w:hAnsi="Calibri" w:cs="Calibri"/>
                <w:color w:val="000000"/>
                <w:sz w:val="24"/>
                <w:szCs w:val="24"/>
              </w:rPr>
              <w:t xml:space="preserve"> digital leadership sustains strategic clarity</w:t>
            </w:r>
          </w:p>
        </w:tc>
        <w:tc>
          <w:tcPr>
            <w:tcW w:w="0" w:type="auto"/>
            <w:hideMark/>
          </w:tcPr>
          <w:p w14:paraId="3D830642" w14:textId="77777777" w:rsidR="003A3D37" w:rsidRPr="003A3D37" w:rsidRDefault="003A3D37" w:rsidP="003A3D37">
            <w:pPr>
              <w:spacing w:line="360" w:lineRule="auto"/>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 w:val="24"/>
                <w:szCs w:val="24"/>
              </w:rPr>
            </w:pPr>
            <w:r w:rsidRPr="003A3D37">
              <w:rPr>
                <w:rFonts w:ascii="Calibri" w:eastAsia="Calibri" w:hAnsi="Calibri" w:cs="Calibri"/>
                <w:color w:val="000000"/>
                <w:sz w:val="24"/>
                <w:szCs w:val="24"/>
              </w:rPr>
              <w:t>Pullan (2022)</w:t>
            </w:r>
          </w:p>
        </w:tc>
      </w:tr>
    </w:tbl>
    <w:p w14:paraId="3F2337B4" w14:textId="77777777" w:rsidR="00352F73" w:rsidRPr="003A3D37" w:rsidRDefault="00352F73" w:rsidP="003A3D37">
      <w:pPr>
        <w:spacing w:line="360" w:lineRule="auto"/>
        <w:rPr>
          <w:rFonts w:ascii="Calibri" w:hAnsi="Calibri" w:cs="Calibri"/>
          <w:sz w:val="24"/>
          <w:szCs w:val="24"/>
        </w:rPr>
      </w:pPr>
    </w:p>
    <w:sectPr w:rsidR="00352F73" w:rsidRPr="003A3D37" w:rsidSect="005C172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2B7AEA" w14:textId="77777777" w:rsidR="00A1259B" w:rsidRDefault="00A1259B" w:rsidP="003A3D37">
      <w:pPr>
        <w:spacing w:after="0" w:line="240" w:lineRule="auto"/>
      </w:pPr>
      <w:r>
        <w:separator/>
      </w:r>
    </w:p>
  </w:endnote>
  <w:endnote w:type="continuationSeparator" w:id="0">
    <w:p w14:paraId="2B07FF37" w14:textId="77777777" w:rsidR="00A1259B" w:rsidRDefault="00A1259B" w:rsidP="003A3D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AA27B1" w14:textId="77777777" w:rsidR="00A1259B" w:rsidRDefault="00A1259B" w:rsidP="003A3D37">
      <w:pPr>
        <w:spacing w:after="0" w:line="240" w:lineRule="auto"/>
      </w:pPr>
      <w:r>
        <w:separator/>
      </w:r>
    </w:p>
  </w:footnote>
  <w:footnote w:type="continuationSeparator" w:id="0">
    <w:p w14:paraId="4B7DB4C8" w14:textId="77777777" w:rsidR="00A1259B" w:rsidRDefault="00A1259B" w:rsidP="003A3D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006125"/>
    <w:multiLevelType w:val="multilevel"/>
    <w:tmpl w:val="0D9EAF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44E7D40"/>
    <w:multiLevelType w:val="multilevel"/>
    <w:tmpl w:val="CE10E2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53C354C"/>
    <w:multiLevelType w:val="multilevel"/>
    <w:tmpl w:val="CEB8FB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70F158E"/>
    <w:multiLevelType w:val="multilevel"/>
    <w:tmpl w:val="2CEE36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71A4BE8"/>
    <w:multiLevelType w:val="multilevel"/>
    <w:tmpl w:val="6FCEAB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AEC5068"/>
    <w:multiLevelType w:val="multilevel"/>
    <w:tmpl w:val="C88649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AF52889"/>
    <w:multiLevelType w:val="multilevel"/>
    <w:tmpl w:val="849E00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5A4131D"/>
    <w:multiLevelType w:val="multilevel"/>
    <w:tmpl w:val="D012C0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6562FB8"/>
    <w:multiLevelType w:val="multilevel"/>
    <w:tmpl w:val="AD60AC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7131CB6"/>
    <w:multiLevelType w:val="multilevel"/>
    <w:tmpl w:val="42C274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8DB646B"/>
    <w:multiLevelType w:val="multilevel"/>
    <w:tmpl w:val="591287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9A10711"/>
    <w:multiLevelType w:val="multilevel"/>
    <w:tmpl w:val="ACA23F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A673F8D"/>
    <w:multiLevelType w:val="multilevel"/>
    <w:tmpl w:val="9424CA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FC34B06"/>
    <w:multiLevelType w:val="multilevel"/>
    <w:tmpl w:val="F4F861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AE21528"/>
    <w:multiLevelType w:val="multilevel"/>
    <w:tmpl w:val="8A0C51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C6D26A8"/>
    <w:multiLevelType w:val="multilevel"/>
    <w:tmpl w:val="65864A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F401BB7"/>
    <w:multiLevelType w:val="multilevel"/>
    <w:tmpl w:val="05FCF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8CF50AD"/>
    <w:multiLevelType w:val="multilevel"/>
    <w:tmpl w:val="93CEC7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F2A0983"/>
    <w:multiLevelType w:val="multilevel"/>
    <w:tmpl w:val="4C1C5A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F796DE3"/>
    <w:multiLevelType w:val="multilevel"/>
    <w:tmpl w:val="C8FAB0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34A622B"/>
    <w:multiLevelType w:val="multilevel"/>
    <w:tmpl w:val="AD0E82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4A7242D"/>
    <w:multiLevelType w:val="multilevel"/>
    <w:tmpl w:val="159A13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67F5B23"/>
    <w:multiLevelType w:val="multilevel"/>
    <w:tmpl w:val="0F6878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CFB3936"/>
    <w:multiLevelType w:val="multilevel"/>
    <w:tmpl w:val="3E42FF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54B210F"/>
    <w:multiLevelType w:val="multilevel"/>
    <w:tmpl w:val="0226C1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5AB6E95"/>
    <w:multiLevelType w:val="multilevel"/>
    <w:tmpl w:val="1222F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6032547"/>
    <w:multiLevelType w:val="multilevel"/>
    <w:tmpl w:val="B6264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85B7D33"/>
    <w:multiLevelType w:val="multilevel"/>
    <w:tmpl w:val="C1FEC6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9A15F60"/>
    <w:multiLevelType w:val="multilevel"/>
    <w:tmpl w:val="686463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CB03C0E"/>
    <w:multiLevelType w:val="multilevel"/>
    <w:tmpl w:val="4BBE3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DAE4304"/>
    <w:multiLevelType w:val="multilevel"/>
    <w:tmpl w:val="7A0A55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37406157">
    <w:abstractNumId w:val="21"/>
  </w:num>
  <w:num w:numId="2" w16cid:durableId="1639844960">
    <w:abstractNumId w:val="25"/>
  </w:num>
  <w:num w:numId="3" w16cid:durableId="1074474036">
    <w:abstractNumId w:val="5"/>
  </w:num>
  <w:num w:numId="4" w16cid:durableId="1914587990">
    <w:abstractNumId w:val="22"/>
  </w:num>
  <w:num w:numId="5" w16cid:durableId="50468817">
    <w:abstractNumId w:val="1"/>
  </w:num>
  <w:num w:numId="6" w16cid:durableId="1955165773">
    <w:abstractNumId w:val="30"/>
  </w:num>
  <w:num w:numId="7" w16cid:durableId="1458135607">
    <w:abstractNumId w:val="26"/>
  </w:num>
  <w:num w:numId="8" w16cid:durableId="38746176">
    <w:abstractNumId w:val="0"/>
  </w:num>
  <w:num w:numId="9" w16cid:durableId="1450315014">
    <w:abstractNumId w:val="15"/>
  </w:num>
  <w:num w:numId="10" w16cid:durableId="1066144099">
    <w:abstractNumId w:val="7"/>
  </w:num>
  <w:num w:numId="11" w16cid:durableId="673343504">
    <w:abstractNumId w:val="19"/>
  </w:num>
  <w:num w:numId="12" w16cid:durableId="1386180556">
    <w:abstractNumId w:val="14"/>
  </w:num>
  <w:num w:numId="13" w16cid:durableId="1426801411">
    <w:abstractNumId w:val="9"/>
  </w:num>
  <w:num w:numId="14" w16cid:durableId="1719739745">
    <w:abstractNumId w:val="29"/>
  </w:num>
  <w:num w:numId="15" w16cid:durableId="1749109849">
    <w:abstractNumId w:val="17"/>
  </w:num>
  <w:num w:numId="16" w16cid:durableId="273169595">
    <w:abstractNumId w:val="11"/>
  </w:num>
  <w:num w:numId="17" w16cid:durableId="356539149">
    <w:abstractNumId w:val="18"/>
  </w:num>
  <w:num w:numId="18" w16cid:durableId="628822375">
    <w:abstractNumId w:val="28"/>
  </w:num>
  <w:num w:numId="19" w16cid:durableId="1949045693">
    <w:abstractNumId w:val="2"/>
  </w:num>
  <w:num w:numId="20" w16cid:durableId="2025981894">
    <w:abstractNumId w:val="20"/>
  </w:num>
  <w:num w:numId="21" w16cid:durableId="435641961">
    <w:abstractNumId w:val="3"/>
  </w:num>
  <w:num w:numId="22" w16cid:durableId="1384406729">
    <w:abstractNumId w:val="23"/>
  </w:num>
  <w:num w:numId="23" w16cid:durableId="1719545252">
    <w:abstractNumId w:val="10"/>
  </w:num>
  <w:num w:numId="24" w16cid:durableId="791443365">
    <w:abstractNumId w:val="16"/>
  </w:num>
  <w:num w:numId="25" w16cid:durableId="20054719">
    <w:abstractNumId w:val="13"/>
  </w:num>
  <w:num w:numId="26" w16cid:durableId="1030692573">
    <w:abstractNumId w:val="12"/>
  </w:num>
  <w:num w:numId="27" w16cid:durableId="1953853884">
    <w:abstractNumId w:val="6"/>
  </w:num>
  <w:num w:numId="28" w16cid:durableId="880246094">
    <w:abstractNumId w:val="24"/>
  </w:num>
  <w:num w:numId="29" w16cid:durableId="1006978198">
    <w:abstractNumId w:val="27"/>
  </w:num>
  <w:num w:numId="30" w16cid:durableId="1934432794">
    <w:abstractNumId w:val="4"/>
  </w:num>
  <w:num w:numId="31" w16cid:durableId="117730820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7EB1"/>
    <w:rsid w:val="000C0EA4"/>
    <w:rsid w:val="000E5183"/>
    <w:rsid w:val="001906E5"/>
    <w:rsid w:val="001C7EB1"/>
    <w:rsid w:val="00352F73"/>
    <w:rsid w:val="003A3D37"/>
    <w:rsid w:val="00450583"/>
    <w:rsid w:val="00465704"/>
    <w:rsid w:val="004C1DFD"/>
    <w:rsid w:val="005C1721"/>
    <w:rsid w:val="00874533"/>
    <w:rsid w:val="00A1259B"/>
    <w:rsid w:val="00BD0FA4"/>
    <w:rsid w:val="00C95470"/>
    <w:rsid w:val="00D53390"/>
    <w:rsid w:val="00D668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49D9BF4"/>
  <w15:chartTrackingRefBased/>
  <w15:docId w15:val="{9DCE8536-4121-4880-B2EF-4564A74421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7EB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C7EB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C7EB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C7EB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C7EB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C7EB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C7EB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C7EB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C7EB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7EB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C7EB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C7EB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C7EB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C7EB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C7E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C7E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C7E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C7EB1"/>
    <w:rPr>
      <w:rFonts w:eastAsiaTheme="majorEastAsia" w:cstheme="majorBidi"/>
      <w:color w:val="272727" w:themeColor="text1" w:themeTint="D8"/>
    </w:rPr>
  </w:style>
  <w:style w:type="paragraph" w:styleId="Title">
    <w:name w:val="Title"/>
    <w:basedOn w:val="Normal"/>
    <w:next w:val="Normal"/>
    <w:link w:val="TitleChar"/>
    <w:uiPriority w:val="10"/>
    <w:qFormat/>
    <w:rsid w:val="001C7EB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7E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C7EB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C7EB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C7EB1"/>
    <w:pPr>
      <w:spacing w:before="160"/>
      <w:jc w:val="center"/>
    </w:pPr>
    <w:rPr>
      <w:i/>
      <w:iCs/>
      <w:color w:val="404040" w:themeColor="text1" w:themeTint="BF"/>
    </w:rPr>
  </w:style>
  <w:style w:type="character" w:customStyle="1" w:styleId="QuoteChar">
    <w:name w:val="Quote Char"/>
    <w:basedOn w:val="DefaultParagraphFont"/>
    <w:link w:val="Quote"/>
    <w:uiPriority w:val="29"/>
    <w:rsid w:val="001C7EB1"/>
    <w:rPr>
      <w:i/>
      <w:iCs/>
      <w:color w:val="404040" w:themeColor="text1" w:themeTint="BF"/>
    </w:rPr>
  </w:style>
  <w:style w:type="paragraph" w:styleId="ListParagraph">
    <w:name w:val="List Paragraph"/>
    <w:basedOn w:val="Normal"/>
    <w:uiPriority w:val="34"/>
    <w:qFormat/>
    <w:rsid w:val="001C7EB1"/>
    <w:pPr>
      <w:ind w:left="720"/>
      <w:contextualSpacing/>
    </w:pPr>
  </w:style>
  <w:style w:type="character" w:styleId="IntenseEmphasis">
    <w:name w:val="Intense Emphasis"/>
    <w:basedOn w:val="DefaultParagraphFont"/>
    <w:uiPriority w:val="21"/>
    <w:qFormat/>
    <w:rsid w:val="001C7EB1"/>
    <w:rPr>
      <w:i/>
      <w:iCs/>
      <w:color w:val="0F4761" w:themeColor="accent1" w:themeShade="BF"/>
    </w:rPr>
  </w:style>
  <w:style w:type="paragraph" w:styleId="IntenseQuote">
    <w:name w:val="Intense Quote"/>
    <w:basedOn w:val="Normal"/>
    <w:next w:val="Normal"/>
    <w:link w:val="IntenseQuoteChar"/>
    <w:uiPriority w:val="30"/>
    <w:qFormat/>
    <w:rsid w:val="001C7E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C7EB1"/>
    <w:rPr>
      <w:i/>
      <w:iCs/>
      <w:color w:val="0F4761" w:themeColor="accent1" w:themeShade="BF"/>
    </w:rPr>
  </w:style>
  <w:style w:type="character" w:styleId="IntenseReference">
    <w:name w:val="Intense Reference"/>
    <w:basedOn w:val="DefaultParagraphFont"/>
    <w:uiPriority w:val="32"/>
    <w:qFormat/>
    <w:rsid w:val="001C7EB1"/>
    <w:rPr>
      <w:b/>
      <w:bCs/>
      <w:smallCaps/>
      <w:color w:val="0F4761" w:themeColor="accent1" w:themeShade="BF"/>
      <w:spacing w:val="5"/>
    </w:rPr>
  </w:style>
  <w:style w:type="character" w:styleId="Strong">
    <w:name w:val="Strong"/>
    <w:basedOn w:val="DefaultParagraphFont"/>
    <w:uiPriority w:val="22"/>
    <w:qFormat/>
    <w:rsid w:val="003A3D37"/>
    <w:rPr>
      <w:b/>
      <w:bCs/>
    </w:rPr>
  </w:style>
  <w:style w:type="paragraph" w:styleId="NormalWeb">
    <w:name w:val="Normal (Web)"/>
    <w:basedOn w:val="Normal"/>
    <w:uiPriority w:val="99"/>
    <w:unhideWhenUsed/>
    <w:rsid w:val="003A3D37"/>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Emphasis">
    <w:name w:val="Emphasis"/>
    <w:basedOn w:val="DefaultParagraphFont"/>
    <w:uiPriority w:val="20"/>
    <w:qFormat/>
    <w:rsid w:val="003A3D37"/>
    <w:rPr>
      <w:i/>
      <w:iCs/>
    </w:rPr>
  </w:style>
  <w:style w:type="character" w:customStyle="1" w:styleId="sr-only">
    <w:name w:val="sr-only"/>
    <w:basedOn w:val="DefaultParagraphFont"/>
    <w:rsid w:val="003A3D37"/>
  </w:style>
  <w:style w:type="paragraph" w:styleId="z-TopofForm">
    <w:name w:val="HTML Top of Form"/>
    <w:basedOn w:val="Normal"/>
    <w:next w:val="Normal"/>
    <w:link w:val="z-TopofFormChar"/>
    <w:hidden/>
    <w:uiPriority w:val="99"/>
    <w:semiHidden/>
    <w:unhideWhenUsed/>
    <w:rsid w:val="003A3D37"/>
    <w:pPr>
      <w:pBdr>
        <w:bottom w:val="single" w:sz="6" w:space="1" w:color="auto"/>
      </w:pBdr>
      <w:spacing w:after="0" w:line="240" w:lineRule="auto"/>
      <w:jc w:val="center"/>
    </w:pPr>
    <w:rPr>
      <w:rFonts w:ascii="Arial" w:eastAsia="Times New Roman" w:hAnsi="Arial" w:cs="Arial"/>
      <w:vanish/>
      <w:sz w:val="16"/>
      <w:szCs w:val="16"/>
      <w:lang w:val="en-US"/>
    </w:rPr>
  </w:style>
  <w:style w:type="character" w:customStyle="1" w:styleId="z-TopofFormChar">
    <w:name w:val="z-Top of Form Char"/>
    <w:basedOn w:val="DefaultParagraphFont"/>
    <w:link w:val="z-TopofForm"/>
    <w:uiPriority w:val="99"/>
    <w:semiHidden/>
    <w:rsid w:val="003A3D37"/>
    <w:rPr>
      <w:rFonts w:ascii="Arial" w:eastAsia="Times New Roman" w:hAnsi="Arial" w:cs="Arial"/>
      <w:vanish/>
      <w:sz w:val="16"/>
      <w:szCs w:val="16"/>
      <w:lang w:val="en-US"/>
    </w:rPr>
  </w:style>
  <w:style w:type="paragraph" w:customStyle="1" w:styleId="placeholder">
    <w:name w:val="placeholder"/>
    <w:basedOn w:val="Normal"/>
    <w:rsid w:val="003A3D37"/>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z-BottomofForm">
    <w:name w:val="HTML Bottom of Form"/>
    <w:basedOn w:val="Normal"/>
    <w:next w:val="Normal"/>
    <w:link w:val="z-BottomofFormChar"/>
    <w:hidden/>
    <w:uiPriority w:val="99"/>
    <w:semiHidden/>
    <w:unhideWhenUsed/>
    <w:rsid w:val="003A3D37"/>
    <w:pPr>
      <w:pBdr>
        <w:top w:val="single" w:sz="6" w:space="1" w:color="auto"/>
      </w:pBdr>
      <w:spacing w:after="0" w:line="240" w:lineRule="auto"/>
      <w:jc w:val="center"/>
    </w:pPr>
    <w:rPr>
      <w:rFonts w:ascii="Arial" w:eastAsia="Times New Roman" w:hAnsi="Arial" w:cs="Arial"/>
      <w:vanish/>
      <w:sz w:val="16"/>
      <w:szCs w:val="16"/>
      <w:lang w:val="en-US"/>
    </w:rPr>
  </w:style>
  <w:style w:type="character" w:customStyle="1" w:styleId="z-BottomofFormChar">
    <w:name w:val="z-Bottom of Form Char"/>
    <w:basedOn w:val="DefaultParagraphFont"/>
    <w:link w:val="z-BottomofForm"/>
    <w:uiPriority w:val="99"/>
    <w:semiHidden/>
    <w:rsid w:val="003A3D37"/>
    <w:rPr>
      <w:rFonts w:ascii="Arial" w:eastAsia="Times New Roman" w:hAnsi="Arial" w:cs="Arial"/>
      <w:vanish/>
      <w:sz w:val="16"/>
      <w:szCs w:val="16"/>
      <w:lang w:val="en-US"/>
    </w:rPr>
  </w:style>
  <w:style w:type="table" w:customStyle="1" w:styleId="PlainTable11">
    <w:name w:val="Plain Table 11"/>
    <w:basedOn w:val="TableNormal"/>
    <w:next w:val="PlainTable1"/>
    <w:uiPriority w:val="41"/>
    <w:rsid w:val="003A3D37"/>
    <w:pPr>
      <w:spacing w:after="0" w:line="240" w:lineRule="auto"/>
    </w:pPr>
    <w:rPr>
      <w:lang w:val="en-US"/>
    </w:rPr>
    <w:tblPr>
      <w:tblStyleRowBandSize w:val="1"/>
      <w:tblStyleColBandSize w:val="1"/>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tblStylePr w:type="firstRow">
      <w:rPr>
        <w:b/>
        <w:bCs/>
      </w:rPr>
    </w:tblStylePr>
    <w:tblStylePr w:type="lastRow">
      <w:rPr>
        <w:b/>
        <w:bCs/>
      </w:rPr>
      <w:tblPr/>
      <w:tcPr>
        <w:tcBorders>
          <w:top w:val="doub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table" w:customStyle="1" w:styleId="GridTable4-Accent51">
    <w:name w:val="Grid Table 4 - Accent 51"/>
    <w:basedOn w:val="TableNormal"/>
    <w:next w:val="GridTable4-Accent5"/>
    <w:uiPriority w:val="49"/>
    <w:rsid w:val="003A3D37"/>
    <w:pPr>
      <w:spacing w:after="0" w:line="240" w:lineRule="auto"/>
    </w:pPr>
    <w:rPr>
      <w:lang w:val="en-US"/>
    </w:rPr>
    <w:tblPr>
      <w:tblStyleRowBandSize w:val="1"/>
      <w:tblStyleColBandSize w:val="1"/>
      <w:tblBorders>
        <w:top w:val="single" w:sz="4" w:space="0" w:color="8EAADB"/>
        <w:left w:val="single" w:sz="4" w:space="0" w:color="8EAADB"/>
        <w:bottom w:val="single" w:sz="4" w:space="0" w:color="8EAADB"/>
        <w:right w:val="single" w:sz="4" w:space="0" w:color="8EAADB"/>
        <w:insideH w:val="single" w:sz="4" w:space="0" w:color="8EAADB"/>
        <w:insideV w:val="single" w:sz="4" w:space="0" w:color="8EAADB"/>
      </w:tblBorders>
    </w:tblPr>
    <w:tblStylePr w:type="firstRow">
      <w:rPr>
        <w:b/>
        <w:bCs/>
        <w:color w:val="FFFFFF"/>
      </w:rPr>
      <w:tblPr/>
      <w:tcPr>
        <w:tcBorders>
          <w:top w:val="single" w:sz="4" w:space="0" w:color="4472C4"/>
          <w:left w:val="single" w:sz="4" w:space="0" w:color="4472C4"/>
          <w:bottom w:val="single" w:sz="4" w:space="0" w:color="4472C4"/>
          <w:right w:val="single" w:sz="4" w:space="0" w:color="4472C4"/>
          <w:insideH w:val="nil"/>
          <w:insideV w:val="nil"/>
        </w:tcBorders>
        <w:shd w:val="clear" w:color="auto" w:fill="4472C4"/>
      </w:tcPr>
    </w:tblStylePr>
    <w:tblStylePr w:type="lastRow">
      <w:rPr>
        <w:b/>
        <w:bCs/>
      </w:rPr>
      <w:tblPr/>
      <w:tcPr>
        <w:tcBorders>
          <w:top w:val="double" w:sz="4" w:space="0" w:color="4472C4"/>
        </w:tcBorders>
      </w:tcPr>
    </w:tblStylePr>
    <w:tblStylePr w:type="firstCol">
      <w:rPr>
        <w:b/>
        <w:bCs/>
      </w:rPr>
    </w:tblStylePr>
    <w:tblStylePr w:type="lastCol">
      <w:rPr>
        <w:b/>
        <w:bCs/>
      </w:rPr>
    </w:tblStylePr>
    <w:tblStylePr w:type="band1Vert">
      <w:tblPr/>
      <w:tcPr>
        <w:shd w:val="clear" w:color="auto" w:fill="D9E2F3"/>
      </w:tcPr>
    </w:tblStylePr>
    <w:tblStylePr w:type="band1Horz">
      <w:tblPr/>
      <w:tcPr>
        <w:shd w:val="clear" w:color="auto" w:fill="D9E2F3"/>
      </w:tcPr>
    </w:tblStylePr>
  </w:style>
  <w:style w:type="paragraph" w:customStyle="1" w:styleId="Caption1">
    <w:name w:val="Caption1"/>
    <w:basedOn w:val="Normal"/>
    <w:next w:val="Normal"/>
    <w:uiPriority w:val="35"/>
    <w:unhideWhenUsed/>
    <w:qFormat/>
    <w:rsid w:val="003A3D37"/>
    <w:pPr>
      <w:spacing w:after="200" w:line="240" w:lineRule="auto"/>
    </w:pPr>
    <w:rPr>
      <w:i/>
      <w:iCs/>
      <w:color w:val="44546A"/>
      <w:sz w:val="18"/>
      <w:szCs w:val="18"/>
      <w:lang w:val="en-US"/>
    </w:rPr>
  </w:style>
  <w:style w:type="table" w:customStyle="1" w:styleId="GridTable5Dark-Accent51">
    <w:name w:val="Grid Table 5 Dark - Accent 51"/>
    <w:basedOn w:val="TableNormal"/>
    <w:next w:val="GridTable5Dark-Accent5"/>
    <w:uiPriority w:val="50"/>
    <w:rsid w:val="003A3D37"/>
    <w:pPr>
      <w:spacing w:after="0" w:line="240" w:lineRule="auto"/>
    </w:pPr>
    <w:rPr>
      <w:lang w:val="en-US"/>
    </w:rPr>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D9E2F3"/>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4472C4"/>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4472C4"/>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4472C4"/>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4472C4"/>
      </w:tcPr>
    </w:tblStylePr>
    <w:tblStylePr w:type="band1Vert">
      <w:tblPr/>
      <w:tcPr>
        <w:shd w:val="clear" w:color="auto" w:fill="B4C6E7"/>
      </w:tcPr>
    </w:tblStylePr>
    <w:tblStylePr w:type="band1Horz">
      <w:tblPr/>
      <w:tcPr>
        <w:shd w:val="clear" w:color="auto" w:fill="B4C6E7"/>
      </w:tcPr>
    </w:tblStylePr>
  </w:style>
  <w:style w:type="paragraph" w:customStyle="1" w:styleId="Header1">
    <w:name w:val="Header1"/>
    <w:basedOn w:val="Normal"/>
    <w:next w:val="Header"/>
    <w:link w:val="HeaderChar"/>
    <w:uiPriority w:val="99"/>
    <w:unhideWhenUsed/>
    <w:rsid w:val="003A3D37"/>
    <w:pPr>
      <w:tabs>
        <w:tab w:val="center" w:pos="4680"/>
        <w:tab w:val="right" w:pos="9360"/>
      </w:tabs>
      <w:spacing w:after="0" w:line="240" w:lineRule="auto"/>
    </w:pPr>
  </w:style>
  <w:style w:type="character" w:customStyle="1" w:styleId="HeaderChar">
    <w:name w:val="Header Char"/>
    <w:basedOn w:val="DefaultParagraphFont"/>
    <w:link w:val="Header1"/>
    <w:uiPriority w:val="99"/>
    <w:rsid w:val="003A3D37"/>
  </w:style>
  <w:style w:type="paragraph" w:customStyle="1" w:styleId="Footer1">
    <w:name w:val="Footer1"/>
    <w:basedOn w:val="Normal"/>
    <w:next w:val="Footer"/>
    <w:link w:val="FooterChar"/>
    <w:uiPriority w:val="99"/>
    <w:unhideWhenUsed/>
    <w:rsid w:val="003A3D37"/>
    <w:pPr>
      <w:tabs>
        <w:tab w:val="center" w:pos="4680"/>
        <w:tab w:val="right" w:pos="9360"/>
      </w:tabs>
      <w:spacing w:after="0" w:line="240" w:lineRule="auto"/>
    </w:pPr>
  </w:style>
  <w:style w:type="character" w:customStyle="1" w:styleId="FooterChar">
    <w:name w:val="Footer Char"/>
    <w:basedOn w:val="DefaultParagraphFont"/>
    <w:link w:val="Footer1"/>
    <w:uiPriority w:val="99"/>
    <w:rsid w:val="003A3D37"/>
  </w:style>
  <w:style w:type="character" w:customStyle="1" w:styleId="Hyperlink1">
    <w:name w:val="Hyperlink1"/>
    <w:basedOn w:val="DefaultParagraphFont"/>
    <w:uiPriority w:val="99"/>
    <w:unhideWhenUsed/>
    <w:rsid w:val="003A3D37"/>
    <w:rPr>
      <w:color w:val="0563C1"/>
      <w:u w:val="single"/>
    </w:rPr>
  </w:style>
  <w:style w:type="paragraph" w:customStyle="1" w:styleId="TOCHeading1">
    <w:name w:val="TOC Heading1"/>
    <w:basedOn w:val="Heading1"/>
    <w:next w:val="Normal"/>
    <w:uiPriority w:val="39"/>
    <w:unhideWhenUsed/>
    <w:qFormat/>
    <w:rsid w:val="003A3D37"/>
    <w:pPr>
      <w:spacing w:before="240" w:after="0"/>
      <w:outlineLvl w:val="9"/>
    </w:pPr>
    <w:rPr>
      <w:sz w:val="32"/>
      <w:szCs w:val="32"/>
      <w:lang w:val="en-US"/>
    </w:rPr>
  </w:style>
  <w:style w:type="paragraph" w:customStyle="1" w:styleId="TOC11">
    <w:name w:val="TOC 11"/>
    <w:basedOn w:val="Normal"/>
    <w:next w:val="Normal"/>
    <w:autoRedefine/>
    <w:uiPriority w:val="39"/>
    <w:unhideWhenUsed/>
    <w:rsid w:val="003A3D37"/>
    <w:pPr>
      <w:spacing w:after="100"/>
    </w:pPr>
    <w:rPr>
      <w:lang w:val="en-US"/>
    </w:rPr>
  </w:style>
  <w:style w:type="paragraph" w:customStyle="1" w:styleId="TOC21">
    <w:name w:val="TOC 21"/>
    <w:basedOn w:val="Normal"/>
    <w:next w:val="Normal"/>
    <w:autoRedefine/>
    <w:uiPriority w:val="39"/>
    <w:unhideWhenUsed/>
    <w:rsid w:val="003A3D37"/>
    <w:pPr>
      <w:spacing w:after="100"/>
      <w:ind w:left="220"/>
    </w:pPr>
    <w:rPr>
      <w:lang w:val="en-US"/>
    </w:rPr>
  </w:style>
  <w:style w:type="paragraph" w:customStyle="1" w:styleId="TOC31">
    <w:name w:val="TOC 31"/>
    <w:basedOn w:val="Normal"/>
    <w:next w:val="Normal"/>
    <w:autoRedefine/>
    <w:uiPriority w:val="39"/>
    <w:unhideWhenUsed/>
    <w:rsid w:val="003A3D37"/>
    <w:pPr>
      <w:spacing w:after="100"/>
      <w:ind w:left="440"/>
    </w:pPr>
    <w:rPr>
      <w:lang w:val="en-US"/>
    </w:rPr>
  </w:style>
  <w:style w:type="paragraph" w:customStyle="1" w:styleId="TableofFigures1">
    <w:name w:val="Table of Figures1"/>
    <w:basedOn w:val="Normal"/>
    <w:next w:val="Normal"/>
    <w:uiPriority w:val="99"/>
    <w:unhideWhenUsed/>
    <w:rsid w:val="003A3D37"/>
    <w:pPr>
      <w:spacing w:after="0"/>
    </w:pPr>
    <w:rPr>
      <w:lang w:val="en-US"/>
    </w:rPr>
  </w:style>
  <w:style w:type="character" w:styleId="CommentReference">
    <w:name w:val="annotation reference"/>
    <w:basedOn w:val="DefaultParagraphFont"/>
    <w:uiPriority w:val="99"/>
    <w:semiHidden/>
    <w:unhideWhenUsed/>
    <w:rsid w:val="003A3D37"/>
    <w:rPr>
      <w:sz w:val="16"/>
      <w:szCs w:val="16"/>
    </w:rPr>
  </w:style>
  <w:style w:type="paragraph" w:customStyle="1" w:styleId="CommentText1">
    <w:name w:val="Comment Text1"/>
    <w:basedOn w:val="Normal"/>
    <w:next w:val="CommentText"/>
    <w:link w:val="CommentTextChar"/>
    <w:uiPriority w:val="99"/>
    <w:unhideWhenUsed/>
    <w:rsid w:val="003A3D37"/>
    <w:pPr>
      <w:spacing w:line="240" w:lineRule="auto"/>
    </w:pPr>
    <w:rPr>
      <w:sz w:val="20"/>
      <w:szCs w:val="20"/>
    </w:rPr>
  </w:style>
  <w:style w:type="character" w:customStyle="1" w:styleId="CommentTextChar">
    <w:name w:val="Comment Text Char"/>
    <w:basedOn w:val="DefaultParagraphFont"/>
    <w:link w:val="CommentText1"/>
    <w:uiPriority w:val="99"/>
    <w:rsid w:val="003A3D37"/>
    <w:rPr>
      <w:sz w:val="20"/>
      <w:szCs w:val="20"/>
    </w:rPr>
  </w:style>
  <w:style w:type="paragraph" w:customStyle="1" w:styleId="CommentSubject1">
    <w:name w:val="Comment Subject1"/>
    <w:basedOn w:val="CommentText"/>
    <w:next w:val="CommentText"/>
    <w:uiPriority w:val="99"/>
    <w:semiHidden/>
    <w:unhideWhenUsed/>
    <w:rsid w:val="003A3D37"/>
    <w:rPr>
      <w:b/>
      <w:bCs/>
      <w:lang w:val="en-US"/>
    </w:rPr>
  </w:style>
  <w:style w:type="character" w:customStyle="1" w:styleId="CommentSubjectChar">
    <w:name w:val="Comment Subject Char"/>
    <w:basedOn w:val="CommentTextChar"/>
    <w:link w:val="CommentSubject"/>
    <w:uiPriority w:val="99"/>
    <w:semiHidden/>
    <w:rsid w:val="003A3D37"/>
    <w:rPr>
      <w:b/>
      <w:bCs/>
      <w:sz w:val="20"/>
      <w:szCs w:val="20"/>
    </w:rPr>
  </w:style>
  <w:style w:type="paragraph" w:customStyle="1" w:styleId="BalloonText1">
    <w:name w:val="Balloon Text1"/>
    <w:basedOn w:val="Normal"/>
    <w:next w:val="BalloonText"/>
    <w:link w:val="BalloonTextChar"/>
    <w:uiPriority w:val="99"/>
    <w:semiHidden/>
    <w:unhideWhenUsed/>
    <w:rsid w:val="003A3D3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1"/>
    <w:uiPriority w:val="99"/>
    <w:semiHidden/>
    <w:rsid w:val="003A3D37"/>
    <w:rPr>
      <w:rFonts w:ascii="Segoe UI" w:hAnsi="Segoe UI" w:cs="Segoe UI"/>
      <w:sz w:val="18"/>
      <w:szCs w:val="18"/>
    </w:rPr>
  </w:style>
  <w:style w:type="table" w:styleId="PlainTable1">
    <w:name w:val="Plain Table 1"/>
    <w:basedOn w:val="TableNormal"/>
    <w:uiPriority w:val="41"/>
    <w:rsid w:val="003A3D37"/>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4-Accent5">
    <w:name w:val="Grid Table 4 Accent 5"/>
    <w:basedOn w:val="TableNormal"/>
    <w:uiPriority w:val="49"/>
    <w:rsid w:val="003A3D37"/>
    <w:pPr>
      <w:spacing w:after="0" w:line="240" w:lineRule="auto"/>
    </w:p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color w:val="FFFFFF" w:themeColor="background1"/>
      </w:rPr>
      <w:tblPr/>
      <w:tcPr>
        <w:tcBorders>
          <w:top w:val="single" w:sz="4" w:space="0" w:color="A02B93" w:themeColor="accent5"/>
          <w:left w:val="single" w:sz="4" w:space="0" w:color="A02B93" w:themeColor="accent5"/>
          <w:bottom w:val="single" w:sz="4" w:space="0" w:color="A02B93" w:themeColor="accent5"/>
          <w:right w:val="single" w:sz="4" w:space="0" w:color="A02B93" w:themeColor="accent5"/>
          <w:insideH w:val="nil"/>
          <w:insideV w:val="nil"/>
        </w:tcBorders>
        <w:shd w:val="clear" w:color="auto" w:fill="A02B93" w:themeFill="accent5"/>
      </w:tcPr>
    </w:tblStylePr>
    <w:tblStylePr w:type="lastRow">
      <w:rPr>
        <w:b/>
        <w:bCs/>
      </w:rPr>
      <w:tblPr/>
      <w:tcPr>
        <w:tcBorders>
          <w:top w:val="double" w:sz="4" w:space="0" w:color="A02B93" w:themeColor="accent5"/>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GridTable5Dark-Accent5">
    <w:name w:val="Grid Table 5 Dark Accent 5"/>
    <w:basedOn w:val="TableNormal"/>
    <w:uiPriority w:val="50"/>
    <w:rsid w:val="003A3D3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CEED"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02B93"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02B93"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02B93"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02B93" w:themeFill="accent5"/>
      </w:tcPr>
    </w:tblStylePr>
    <w:tblStylePr w:type="band1Vert">
      <w:tblPr/>
      <w:tcPr>
        <w:shd w:val="clear" w:color="auto" w:fill="E59EDC" w:themeFill="accent5" w:themeFillTint="66"/>
      </w:tcPr>
    </w:tblStylePr>
    <w:tblStylePr w:type="band1Horz">
      <w:tblPr/>
      <w:tcPr>
        <w:shd w:val="clear" w:color="auto" w:fill="E59EDC" w:themeFill="accent5" w:themeFillTint="66"/>
      </w:tcPr>
    </w:tblStylePr>
  </w:style>
  <w:style w:type="paragraph" w:styleId="Header">
    <w:name w:val="header"/>
    <w:basedOn w:val="Normal"/>
    <w:link w:val="HeaderChar1"/>
    <w:uiPriority w:val="99"/>
    <w:unhideWhenUsed/>
    <w:rsid w:val="003A3D37"/>
    <w:pPr>
      <w:tabs>
        <w:tab w:val="center" w:pos="4513"/>
        <w:tab w:val="right" w:pos="9026"/>
      </w:tabs>
      <w:spacing w:after="0" w:line="240" w:lineRule="auto"/>
    </w:pPr>
  </w:style>
  <w:style w:type="character" w:customStyle="1" w:styleId="HeaderChar1">
    <w:name w:val="Header Char1"/>
    <w:basedOn w:val="DefaultParagraphFont"/>
    <w:link w:val="Header"/>
    <w:uiPriority w:val="99"/>
    <w:rsid w:val="003A3D37"/>
  </w:style>
  <w:style w:type="paragraph" w:styleId="Footer">
    <w:name w:val="footer"/>
    <w:basedOn w:val="Normal"/>
    <w:link w:val="FooterChar1"/>
    <w:uiPriority w:val="99"/>
    <w:unhideWhenUsed/>
    <w:rsid w:val="003A3D37"/>
    <w:pPr>
      <w:tabs>
        <w:tab w:val="center" w:pos="4513"/>
        <w:tab w:val="right" w:pos="9026"/>
      </w:tabs>
      <w:spacing w:after="0" w:line="240" w:lineRule="auto"/>
    </w:pPr>
  </w:style>
  <w:style w:type="character" w:customStyle="1" w:styleId="FooterChar1">
    <w:name w:val="Footer Char1"/>
    <w:basedOn w:val="DefaultParagraphFont"/>
    <w:link w:val="Footer"/>
    <w:uiPriority w:val="99"/>
    <w:rsid w:val="003A3D37"/>
  </w:style>
  <w:style w:type="character" w:styleId="Hyperlink">
    <w:name w:val="Hyperlink"/>
    <w:basedOn w:val="DefaultParagraphFont"/>
    <w:uiPriority w:val="99"/>
    <w:unhideWhenUsed/>
    <w:rsid w:val="003A3D37"/>
    <w:rPr>
      <w:color w:val="467886" w:themeColor="hyperlink"/>
      <w:u w:val="single"/>
    </w:rPr>
  </w:style>
  <w:style w:type="paragraph" w:styleId="CommentText">
    <w:name w:val="annotation text"/>
    <w:basedOn w:val="Normal"/>
    <w:link w:val="CommentTextChar1"/>
    <w:uiPriority w:val="99"/>
    <w:semiHidden/>
    <w:unhideWhenUsed/>
    <w:rsid w:val="003A3D37"/>
    <w:pPr>
      <w:spacing w:line="240" w:lineRule="auto"/>
    </w:pPr>
    <w:rPr>
      <w:sz w:val="20"/>
      <w:szCs w:val="20"/>
    </w:rPr>
  </w:style>
  <w:style w:type="character" w:customStyle="1" w:styleId="CommentTextChar1">
    <w:name w:val="Comment Text Char1"/>
    <w:basedOn w:val="DefaultParagraphFont"/>
    <w:link w:val="CommentText"/>
    <w:uiPriority w:val="99"/>
    <w:semiHidden/>
    <w:rsid w:val="003A3D37"/>
    <w:rPr>
      <w:sz w:val="20"/>
      <w:szCs w:val="20"/>
    </w:rPr>
  </w:style>
  <w:style w:type="paragraph" w:styleId="CommentSubject">
    <w:name w:val="annotation subject"/>
    <w:basedOn w:val="CommentText"/>
    <w:next w:val="CommentText"/>
    <w:link w:val="CommentSubjectChar"/>
    <w:uiPriority w:val="99"/>
    <w:semiHidden/>
    <w:unhideWhenUsed/>
    <w:rsid w:val="003A3D37"/>
    <w:rPr>
      <w:b/>
      <w:bCs/>
    </w:rPr>
  </w:style>
  <w:style w:type="character" w:customStyle="1" w:styleId="CommentSubjectChar1">
    <w:name w:val="Comment Subject Char1"/>
    <w:basedOn w:val="CommentTextChar1"/>
    <w:uiPriority w:val="99"/>
    <w:semiHidden/>
    <w:rsid w:val="003A3D37"/>
    <w:rPr>
      <w:b/>
      <w:bCs/>
      <w:sz w:val="20"/>
      <w:szCs w:val="20"/>
    </w:rPr>
  </w:style>
  <w:style w:type="paragraph" w:styleId="BalloonText">
    <w:name w:val="Balloon Text"/>
    <w:basedOn w:val="Normal"/>
    <w:link w:val="BalloonTextChar1"/>
    <w:uiPriority w:val="99"/>
    <w:semiHidden/>
    <w:unhideWhenUsed/>
    <w:rsid w:val="003A3D37"/>
    <w:pPr>
      <w:spacing w:after="0" w:line="240" w:lineRule="auto"/>
    </w:pPr>
    <w:rPr>
      <w:rFonts w:ascii="Segoe UI" w:hAnsi="Segoe UI" w:cs="Segoe UI"/>
      <w:sz w:val="18"/>
      <w:szCs w:val="18"/>
    </w:rPr>
  </w:style>
  <w:style w:type="character" w:customStyle="1" w:styleId="BalloonTextChar1">
    <w:name w:val="Balloon Text Char1"/>
    <w:basedOn w:val="DefaultParagraphFont"/>
    <w:link w:val="BalloonText"/>
    <w:uiPriority w:val="99"/>
    <w:semiHidden/>
    <w:rsid w:val="003A3D37"/>
    <w:rPr>
      <w:rFonts w:ascii="Segoe UI" w:hAnsi="Segoe UI" w:cs="Segoe UI"/>
      <w:sz w:val="18"/>
      <w:szCs w:val="18"/>
    </w:rPr>
  </w:style>
  <w:style w:type="paragraph" w:styleId="NoSpacing">
    <w:name w:val="No Spacing"/>
    <w:link w:val="NoSpacingChar"/>
    <w:uiPriority w:val="1"/>
    <w:qFormat/>
    <w:rsid w:val="003A3D37"/>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3A3D37"/>
    <w:rPr>
      <w:rFonts w:eastAsiaTheme="minorEastAsia"/>
      <w:lang w:eastAsia="en-GB"/>
    </w:rPr>
  </w:style>
  <w:style w:type="paragraph" w:styleId="TOC1">
    <w:name w:val="toc 1"/>
    <w:basedOn w:val="Normal"/>
    <w:next w:val="Normal"/>
    <w:autoRedefine/>
    <w:uiPriority w:val="39"/>
    <w:unhideWhenUsed/>
    <w:rsid w:val="00C95470"/>
    <w:pPr>
      <w:spacing w:after="100"/>
    </w:pPr>
  </w:style>
  <w:style w:type="paragraph" w:styleId="TOC2">
    <w:name w:val="toc 2"/>
    <w:basedOn w:val="Normal"/>
    <w:next w:val="Normal"/>
    <w:autoRedefine/>
    <w:uiPriority w:val="39"/>
    <w:unhideWhenUsed/>
    <w:rsid w:val="00C95470"/>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dpublications.org/wp-content/uploads/2023/07/Full-Paper-COMPARATIVE-ANALYSIS-AND-EVALUATION-OF-BUSINESS-AND-FINANCIAL-PERFORMANCE-OF-AMAZON.com_.pdf" TargetMode="External"/><Relationship Id="rId13" Type="http://schemas.openxmlformats.org/officeDocument/2006/relationships/hyperlink" Target="https://www.tandfonline.com/doi/abs/10.1080/09638180.2021.1890173" TargetMode="External"/><Relationship Id="rId18" Type="http://schemas.openxmlformats.org/officeDocument/2006/relationships/hyperlink" Target="https://www.emerald.com/insight/content/doi/10.1108/IJOPM-12-2020-0837/full/html"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inderscienceonline.com/doi/abs/10.1504/IJBG.2024.142248" TargetMode="External"/><Relationship Id="rId7" Type="http://schemas.openxmlformats.org/officeDocument/2006/relationships/hyperlink" Target="https://onlinelibrary.wiley.com/doi/abs/10.1111/corg.12504" TargetMode="External"/><Relationship Id="rId12" Type="http://schemas.openxmlformats.org/officeDocument/2006/relationships/hyperlink" Target="https://www.igi-global.com/chapter/adapting-to-change/337913" TargetMode="External"/><Relationship Id="rId17" Type="http://schemas.openxmlformats.org/officeDocument/2006/relationships/hyperlink" Target="https://www.emerald.com/insight/content/doi/10.1108/meq-01-2022-0022/full/html"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tandfonline.com/doi/abs/10.1080/09537287.2025.2475286" TargetMode="External"/><Relationship Id="rId20" Type="http://schemas.openxmlformats.org/officeDocument/2006/relationships/hyperlink" Target="https://onlinelibrary.wiley.com/doi/abs/10.1002/bsd2.232"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ojs.library.carleton.ca/index.php/pcharm/article/view/5449/3861" TargetMode="External"/><Relationship Id="rId24" Type="http://schemas.openxmlformats.org/officeDocument/2006/relationships/hyperlink" Target="https://www.mdpi.com/2071-1050/14/22/14977" TargetMode="External"/><Relationship Id="rId5" Type="http://schemas.openxmlformats.org/officeDocument/2006/relationships/footnotes" Target="footnotes.xml"/><Relationship Id="rId15" Type="http://schemas.openxmlformats.org/officeDocument/2006/relationships/hyperlink" Target="https://www.cambridge.org/core/journals/journal-of-management-and-organization/article/redefining-capabilities-as-drivers-of-adaptation-incremental-change-and-transformation-recognizing-the-importance-of-strategic-and-operational-intent-on-performance/B576AAA46B63F596DDB43C856D4F06DC" TargetMode="External"/><Relationship Id="rId23" Type="http://schemas.openxmlformats.org/officeDocument/2006/relationships/hyperlink" Target="https://www.emerald.com/insight/content/doi/10.1108/JSMA-03-2023-0041/full/html" TargetMode="External"/><Relationship Id="rId10" Type="http://schemas.openxmlformats.org/officeDocument/2006/relationships/hyperlink" Target="https://link.springer.com/chapter/10.1007/978-3-031-45565-0_20" TargetMode="External"/><Relationship Id="rId19" Type="http://schemas.openxmlformats.org/officeDocument/2006/relationships/hyperlink" Target="https://www.tandfonline.com/doi/abs/10.1080/23311975.2023.2207879" TargetMode="External"/><Relationship Id="rId4" Type="http://schemas.openxmlformats.org/officeDocument/2006/relationships/webSettings" Target="webSettings.xml"/><Relationship Id="rId9" Type="http://schemas.openxmlformats.org/officeDocument/2006/relationships/hyperlink" Target="https://link.springer.com/article/10.1007/s11846-022-00569-x" TargetMode="External"/><Relationship Id="rId14" Type="http://schemas.openxmlformats.org/officeDocument/2006/relationships/hyperlink" Target="https://uk.news.yahoo.com/m-annual-profit-soars-58-060702534.html" TargetMode="External"/><Relationship Id="rId22" Type="http://schemas.openxmlformats.org/officeDocument/2006/relationships/hyperlink" Target="https://www.worldbank.org/en/publication/wdr20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TotalTime>
  <Pages>23</Pages>
  <Words>5339</Words>
  <Characters>35721</Characters>
  <Application>Microsoft Office Word</Application>
  <DocSecurity>0</DocSecurity>
  <Lines>793</Lines>
  <Paragraphs>402</Paragraphs>
  <ScaleCrop>false</ScaleCrop>
  <HeadingPairs>
    <vt:vector size="2" baseType="variant">
      <vt:variant>
        <vt:lpstr>Title</vt:lpstr>
      </vt:variant>
      <vt:variant>
        <vt:i4>1</vt:i4>
      </vt:variant>
    </vt:vector>
  </HeadingPairs>
  <TitlesOfParts>
    <vt:vector size="1" baseType="lpstr">
      <vt:lpstr/>
    </vt:vector>
  </TitlesOfParts>
  <Company>WUTSD</Company>
  <LinksUpToDate>false</LinksUpToDate>
  <CharactersWithSpaces>40658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Leaders in Global Business: Marks &amp; spencer case study</dc:title>
  <dc:subject/>
  <dc:creator>Ancuta Selaru (1918834)</dc:creator>
  <cp:keywords/>
  <dc:description/>
  <cp:lastModifiedBy>Ancuta Selaru (1918834)</cp:lastModifiedBy>
  <cp:revision>4</cp:revision>
  <dcterms:created xsi:type="dcterms:W3CDTF">2025-07-21T10:08:00Z</dcterms:created>
  <dcterms:modified xsi:type="dcterms:W3CDTF">2025-07-21T11:06:00Z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b1befe21-8c6c-47f1-92a7-117f7836f62e</vt:lpwstr>
  </property>
</Properties>
</file>