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84647B" w14:textId="4641A046" w:rsidR="0058612E" w:rsidRDefault="00134AD6" w:rsidP="00134AD6">
      <w:pPr>
        <w:jc w:val="center"/>
        <w:rPr>
          <w:rFonts w:ascii="Calibri" w:hAnsi="Calibri" w:cs="Calibri"/>
          <w:sz w:val="28"/>
          <w:szCs w:val="28"/>
        </w:rPr>
      </w:pPr>
      <w:r>
        <w:rPr>
          <w:rFonts w:ascii="Calibri" w:hAnsi="Calibri" w:cs="Calibri"/>
          <w:sz w:val="28"/>
          <w:szCs w:val="28"/>
        </w:rPr>
        <w:t>Working with Others in Health and Social Care: My Experiences and Development</w:t>
      </w:r>
    </w:p>
    <w:p w14:paraId="663C5993" w14:textId="77777777" w:rsidR="00134AD6" w:rsidRDefault="00134AD6" w:rsidP="00134AD6">
      <w:pPr>
        <w:jc w:val="center"/>
        <w:rPr>
          <w:rFonts w:ascii="Calibri" w:hAnsi="Calibri" w:cs="Calibri"/>
          <w:sz w:val="28"/>
          <w:szCs w:val="28"/>
        </w:rPr>
      </w:pPr>
    </w:p>
    <w:p w14:paraId="62C24634" w14:textId="6EC92B40" w:rsidR="00134AD6" w:rsidRDefault="00134AD6" w:rsidP="00134AD6">
      <w:pPr>
        <w:spacing w:line="360" w:lineRule="auto"/>
        <w:rPr>
          <w:rFonts w:ascii="Calibri" w:hAnsi="Calibri" w:cs="Calibri"/>
          <w:sz w:val="24"/>
          <w:szCs w:val="24"/>
        </w:rPr>
      </w:pPr>
      <w:r>
        <w:rPr>
          <w:rFonts w:ascii="Calibri" w:hAnsi="Calibri" w:cs="Calibri"/>
          <w:sz w:val="24"/>
          <w:szCs w:val="24"/>
        </w:rPr>
        <w:t>In the past few weeks, I took part in a professional interview designed to assess my qualifications for a position as a paramedic in the healthcare industry. As part of my reflection report and SWOT analysis, I aim not only to describe the performance that I put on during the interview</w:t>
      </w:r>
      <w:r w:rsidR="00A81521">
        <w:rPr>
          <w:rFonts w:ascii="Calibri" w:hAnsi="Calibri" w:cs="Calibri"/>
          <w:sz w:val="24"/>
          <w:szCs w:val="24"/>
        </w:rPr>
        <w:t xml:space="preserve"> </w:t>
      </w:r>
      <w:r>
        <w:rPr>
          <w:rFonts w:ascii="Calibri" w:hAnsi="Calibri" w:cs="Calibri"/>
          <w:sz w:val="24"/>
          <w:szCs w:val="24"/>
        </w:rPr>
        <w:t>but also to identify key areas where I could develop personally and professionally in the future. During this exercise, I hope to enhance my understanding of effective interviewing techniques and boost my confidence in future interviews by enhancing my understanding of interviewing techniques.</w:t>
      </w:r>
    </w:p>
    <w:p w14:paraId="3320056B" w14:textId="77777777" w:rsidR="00134AD6" w:rsidRDefault="00134AD6" w:rsidP="00134AD6">
      <w:pPr>
        <w:spacing w:line="360" w:lineRule="auto"/>
        <w:rPr>
          <w:rFonts w:ascii="Calibri" w:hAnsi="Calibri" w:cs="Calibri"/>
          <w:sz w:val="24"/>
          <w:szCs w:val="24"/>
        </w:rPr>
      </w:pPr>
    </w:p>
    <w:p w14:paraId="172D2A80" w14:textId="650FDCD6" w:rsidR="00910C0F" w:rsidRDefault="00134AD6" w:rsidP="00134AD6">
      <w:pPr>
        <w:spacing w:line="360" w:lineRule="auto"/>
        <w:rPr>
          <w:rFonts w:ascii="Calibri" w:hAnsi="Calibri" w:cs="Calibri"/>
          <w:sz w:val="24"/>
          <w:szCs w:val="24"/>
        </w:rPr>
      </w:pPr>
      <w:r>
        <w:rPr>
          <w:rFonts w:ascii="Calibri" w:hAnsi="Calibri" w:cs="Calibri"/>
          <w:sz w:val="24"/>
          <w:szCs w:val="24"/>
        </w:rPr>
        <w:t xml:space="preserve">My preparation for my interview was a key strength in my interview. The job description was thoroughly reviewed by me, which allowed me to anticipate a great deal of what could be asked in the interview. During my interview, I was able to describe specific skills and experiences that I have gained over time that would enable me to contribute as a paramedic. By preparing in advance, I was able to </w:t>
      </w:r>
      <w:r w:rsidR="00A732F3">
        <w:rPr>
          <w:rFonts w:ascii="Calibri" w:hAnsi="Calibri" w:cs="Calibri"/>
          <w:sz w:val="24"/>
          <w:szCs w:val="24"/>
        </w:rPr>
        <w:t>reply to</w:t>
      </w:r>
      <w:r>
        <w:rPr>
          <w:rFonts w:ascii="Calibri" w:hAnsi="Calibri" w:cs="Calibri"/>
          <w:sz w:val="24"/>
          <w:szCs w:val="24"/>
        </w:rPr>
        <w:t xml:space="preserve"> </w:t>
      </w:r>
      <w:r w:rsidR="00A732F3">
        <w:rPr>
          <w:rFonts w:ascii="Calibri" w:hAnsi="Calibri" w:cs="Calibri"/>
          <w:sz w:val="24"/>
          <w:szCs w:val="24"/>
        </w:rPr>
        <w:t xml:space="preserve">confidentiality and demonstrate my suitability for the position during the interview. One of my greatest strengths was my ability to communicate well with others. Even though I was a little nervous, I was able to clearly articulate my thoughts throughout the interview </w:t>
      </w:r>
      <w:r w:rsidR="00A81521">
        <w:rPr>
          <w:rFonts w:ascii="Calibri" w:hAnsi="Calibri" w:cs="Calibri"/>
          <w:sz w:val="24"/>
          <w:szCs w:val="24"/>
        </w:rPr>
        <w:t>concisely and clear</w:t>
      </w:r>
      <w:r w:rsidR="00FA4F96">
        <w:rPr>
          <w:rFonts w:ascii="Calibri" w:hAnsi="Calibri" w:cs="Calibri"/>
          <w:sz w:val="24"/>
          <w:szCs w:val="24"/>
        </w:rPr>
        <w:t>ly.</w:t>
      </w:r>
      <w:r w:rsidR="00A732F3">
        <w:rPr>
          <w:rFonts w:ascii="Calibri" w:hAnsi="Calibri" w:cs="Calibri"/>
          <w:sz w:val="24"/>
          <w:szCs w:val="24"/>
        </w:rPr>
        <w:t xml:space="preserve"> Especially when describing complex aspects of my actual job, I was able to demonstrate this </w:t>
      </w:r>
      <w:r w:rsidR="00EC173C">
        <w:rPr>
          <w:rFonts w:ascii="Calibri" w:hAnsi="Calibri" w:cs="Calibri"/>
          <w:sz w:val="24"/>
          <w:szCs w:val="24"/>
        </w:rPr>
        <w:t>clearly and concisely.</w:t>
      </w:r>
      <w:r w:rsidR="00A732F3">
        <w:rPr>
          <w:rFonts w:ascii="Calibri" w:hAnsi="Calibri" w:cs="Calibri"/>
          <w:sz w:val="24"/>
          <w:szCs w:val="24"/>
        </w:rPr>
        <w:t xml:space="preserve"> While I recognize that using more professional or academic language could have enhanced my presentation in the future. I believe my ability to engage the interviewers and clearly explain my background was a significant asset during the interview process.</w:t>
      </w:r>
      <w:r w:rsidR="006F5687">
        <w:rPr>
          <w:rFonts w:ascii="Calibri" w:hAnsi="Calibri" w:cs="Calibri"/>
          <w:sz w:val="24"/>
          <w:szCs w:val="24"/>
        </w:rPr>
        <w:t xml:space="preserve"> </w:t>
      </w:r>
      <w:r w:rsidR="00A732F3">
        <w:rPr>
          <w:rFonts w:ascii="Calibri" w:hAnsi="Calibri" w:cs="Calibri"/>
          <w:sz w:val="24"/>
          <w:szCs w:val="24"/>
        </w:rPr>
        <w:t xml:space="preserve">The pleasant interview environment also played a vital role in my performance. The friendly </w:t>
      </w:r>
      <w:r w:rsidR="00910C0F">
        <w:rPr>
          <w:rFonts w:ascii="Calibri" w:hAnsi="Calibri" w:cs="Calibri"/>
          <w:sz w:val="24"/>
          <w:szCs w:val="24"/>
        </w:rPr>
        <w:t>demeanour</w:t>
      </w:r>
      <w:r w:rsidR="00A732F3">
        <w:rPr>
          <w:rFonts w:ascii="Calibri" w:hAnsi="Calibri" w:cs="Calibri"/>
          <w:sz w:val="24"/>
          <w:szCs w:val="24"/>
        </w:rPr>
        <w:t xml:space="preserve"> of the interview helped ease my initial nerves, allowing me to settle into the conversation more comfortably. The interviews’ open and inviting body language encouraged me to express my ideas freely and contributed to a more dynamic and interactive discussion. This supportive atmosphere allowed me to </w:t>
      </w:r>
      <w:r w:rsidR="00910C0F">
        <w:rPr>
          <w:rFonts w:ascii="Calibri" w:hAnsi="Calibri" w:cs="Calibri"/>
          <w:sz w:val="24"/>
          <w:szCs w:val="24"/>
        </w:rPr>
        <w:t>perform at my highest level</w:t>
      </w:r>
      <w:r w:rsidR="00D24EC3">
        <w:rPr>
          <w:rFonts w:ascii="Calibri" w:hAnsi="Calibri" w:cs="Calibri"/>
          <w:sz w:val="24"/>
          <w:szCs w:val="24"/>
        </w:rPr>
        <w:t xml:space="preserve"> (Zhenjing et al</w:t>
      </w:r>
      <w:r w:rsidR="00D135F5">
        <w:rPr>
          <w:rFonts w:ascii="Calibri" w:hAnsi="Calibri" w:cs="Calibri"/>
          <w:sz w:val="24"/>
          <w:szCs w:val="24"/>
        </w:rPr>
        <w:t>,</w:t>
      </w:r>
      <w:r w:rsidR="00D24EC3">
        <w:rPr>
          <w:rFonts w:ascii="Calibri" w:hAnsi="Calibri" w:cs="Calibri"/>
          <w:sz w:val="24"/>
          <w:szCs w:val="24"/>
        </w:rPr>
        <w:t xml:space="preserve"> 2022).</w:t>
      </w:r>
    </w:p>
    <w:p w14:paraId="68D85A63" w14:textId="2FBC0AD0" w:rsidR="00F817A2" w:rsidRDefault="00146466" w:rsidP="00134AD6">
      <w:pPr>
        <w:spacing w:line="360" w:lineRule="auto"/>
        <w:rPr>
          <w:rFonts w:ascii="Calibri" w:hAnsi="Calibri" w:cs="Calibri"/>
          <w:sz w:val="24"/>
          <w:szCs w:val="24"/>
        </w:rPr>
      </w:pPr>
      <w:r>
        <w:rPr>
          <w:rFonts w:ascii="Calibri" w:hAnsi="Calibri" w:cs="Calibri"/>
          <w:sz w:val="24"/>
          <w:szCs w:val="24"/>
        </w:rPr>
        <w:lastRenderedPageBreak/>
        <w:t xml:space="preserve">There were times during the interview when I experienced noticeable stress, which sometimes </w:t>
      </w:r>
      <w:r w:rsidR="00D135F5">
        <w:rPr>
          <w:rFonts w:ascii="Calibri" w:hAnsi="Calibri" w:cs="Calibri"/>
          <w:sz w:val="24"/>
          <w:szCs w:val="24"/>
        </w:rPr>
        <w:t>hurt</w:t>
      </w:r>
      <w:r>
        <w:rPr>
          <w:rFonts w:ascii="Calibri" w:hAnsi="Calibri" w:cs="Calibri"/>
          <w:sz w:val="24"/>
          <w:szCs w:val="24"/>
        </w:rPr>
        <w:t xml:space="preserve"> my ability to respond as effectively as I would have liked. There were times when I found myself experiencing a great deal of stress during some of the more challenging questions. During this process, I temporarily lost focus</w:t>
      </w:r>
      <w:r w:rsidR="00A140A7">
        <w:rPr>
          <w:rFonts w:ascii="Calibri" w:hAnsi="Calibri" w:cs="Calibri"/>
          <w:sz w:val="24"/>
          <w:szCs w:val="24"/>
        </w:rPr>
        <w:t xml:space="preserve"> </w:t>
      </w:r>
      <w:r>
        <w:rPr>
          <w:rFonts w:ascii="Calibri" w:hAnsi="Calibri" w:cs="Calibri"/>
          <w:sz w:val="24"/>
          <w:szCs w:val="24"/>
        </w:rPr>
        <w:t>and was unable to formulate a coherent and clear response. Even though I had prepared extensively for the role, this emotional response might have given the impression of inadequate preparation</w:t>
      </w:r>
      <w:r w:rsidR="00D24EC3">
        <w:rPr>
          <w:rFonts w:ascii="Calibri" w:hAnsi="Calibri" w:cs="Calibri"/>
          <w:sz w:val="24"/>
          <w:szCs w:val="24"/>
        </w:rPr>
        <w:t xml:space="preserve"> (Corliss, 2020). </w:t>
      </w:r>
      <w:r>
        <w:rPr>
          <w:rFonts w:ascii="Calibri" w:hAnsi="Calibri" w:cs="Calibri"/>
          <w:sz w:val="24"/>
          <w:szCs w:val="24"/>
        </w:rPr>
        <w:t xml:space="preserve">My use of academic and professional language needs improvement. Upon </w:t>
      </w:r>
      <w:r w:rsidR="00F817A2">
        <w:rPr>
          <w:rFonts w:ascii="Calibri" w:hAnsi="Calibri" w:cs="Calibri"/>
          <w:sz w:val="24"/>
          <w:szCs w:val="24"/>
        </w:rPr>
        <w:t>reflection, I realized that I could have used more precise terminology. Not only would I demonstrate my technical knowledge and familiarity with the field, but also my professionalism and ability to communicate effectively. This language might have made my responses seem less authoritative and well-informed</w:t>
      </w:r>
      <w:r w:rsidR="00D24EC3">
        <w:rPr>
          <w:rFonts w:ascii="Calibri" w:hAnsi="Calibri" w:cs="Calibri"/>
          <w:sz w:val="24"/>
          <w:szCs w:val="24"/>
        </w:rPr>
        <w:t xml:space="preserve"> (Bryson, 2016).</w:t>
      </w:r>
      <w:r w:rsidR="006F5687">
        <w:rPr>
          <w:rFonts w:ascii="Calibri" w:hAnsi="Calibri" w:cs="Calibri"/>
          <w:sz w:val="24"/>
          <w:szCs w:val="24"/>
        </w:rPr>
        <w:t xml:space="preserve"> </w:t>
      </w:r>
      <w:r w:rsidR="00D24EC3">
        <w:rPr>
          <w:rFonts w:ascii="Calibri" w:hAnsi="Calibri" w:cs="Calibri"/>
          <w:sz w:val="24"/>
          <w:szCs w:val="24"/>
        </w:rPr>
        <w:t>Another weakness I saw during the interview was a lack of confidence</w:t>
      </w:r>
      <w:r w:rsidR="009F49B3">
        <w:rPr>
          <w:rFonts w:ascii="Calibri" w:hAnsi="Calibri" w:cs="Calibri"/>
          <w:sz w:val="24"/>
          <w:szCs w:val="24"/>
        </w:rPr>
        <w:t xml:space="preserve"> </w:t>
      </w:r>
      <w:r w:rsidR="00D24EC3">
        <w:rPr>
          <w:rFonts w:ascii="Calibri" w:hAnsi="Calibri" w:cs="Calibri"/>
          <w:sz w:val="24"/>
          <w:szCs w:val="24"/>
        </w:rPr>
        <w:t>or rather a lack of it</w:t>
      </w:r>
      <w:r w:rsidR="00F817A2">
        <w:rPr>
          <w:rFonts w:ascii="Calibri" w:hAnsi="Calibri" w:cs="Calibri"/>
          <w:sz w:val="24"/>
          <w:szCs w:val="24"/>
        </w:rPr>
        <w:t xml:space="preserve">. I had moments of pause or struggle when trying to find the right words in the interview. When I was asked to describe instances where I overcame professional challenges, this was particularly evident. As a result of this hesitation, my overall candidacy could have been lowered by the perception that my abilities are uncertain or that my experience </w:t>
      </w:r>
      <w:r w:rsidR="00493FB3">
        <w:rPr>
          <w:rFonts w:ascii="Calibri" w:hAnsi="Calibri" w:cs="Calibri"/>
          <w:sz w:val="24"/>
          <w:szCs w:val="24"/>
        </w:rPr>
        <w:t xml:space="preserve">is </w:t>
      </w:r>
      <w:r w:rsidR="00F817A2">
        <w:rPr>
          <w:rFonts w:ascii="Calibri" w:hAnsi="Calibri" w:cs="Calibri"/>
          <w:sz w:val="24"/>
          <w:szCs w:val="24"/>
        </w:rPr>
        <w:t>ambiguous, which would have negatively impacted my candidacy</w:t>
      </w:r>
      <w:r w:rsidR="00D24EC3">
        <w:rPr>
          <w:rFonts w:ascii="Calibri" w:hAnsi="Calibri" w:cs="Calibri"/>
          <w:sz w:val="24"/>
          <w:szCs w:val="24"/>
        </w:rPr>
        <w:t xml:space="preserve"> (Tookey et al</w:t>
      </w:r>
      <w:r w:rsidR="00493FB3">
        <w:rPr>
          <w:rFonts w:ascii="Calibri" w:hAnsi="Calibri" w:cs="Calibri"/>
          <w:sz w:val="24"/>
          <w:szCs w:val="24"/>
        </w:rPr>
        <w:t>,</w:t>
      </w:r>
      <w:r w:rsidR="00D24EC3">
        <w:rPr>
          <w:rFonts w:ascii="Calibri" w:hAnsi="Calibri" w:cs="Calibri"/>
          <w:sz w:val="24"/>
          <w:szCs w:val="24"/>
        </w:rPr>
        <w:t xml:space="preserve"> 2018).</w:t>
      </w:r>
      <w:r w:rsidR="006F5687">
        <w:rPr>
          <w:rFonts w:ascii="Calibri" w:hAnsi="Calibri" w:cs="Calibri"/>
          <w:sz w:val="24"/>
          <w:szCs w:val="24"/>
        </w:rPr>
        <w:t xml:space="preserve"> </w:t>
      </w:r>
      <w:r w:rsidR="00F817A2">
        <w:rPr>
          <w:rFonts w:ascii="Calibri" w:hAnsi="Calibri" w:cs="Calibri"/>
          <w:sz w:val="24"/>
          <w:szCs w:val="24"/>
        </w:rPr>
        <w:t>Professional growth remains a crucial opportunity for me as an experienced nurse. By enrolling in specialized course</w:t>
      </w:r>
      <w:r w:rsidR="007217EE">
        <w:rPr>
          <w:rFonts w:ascii="Calibri" w:hAnsi="Calibri" w:cs="Calibri"/>
          <w:sz w:val="24"/>
          <w:szCs w:val="24"/>
        </w:rPr>
        <w:t>s</w:t>
      </w:r>
      <w:r w:rsidR="00F817A2">
        <w:rPr>
          <w:rFonts w:ascii="Calibri" w:hAnsi="Calibri" w:cs="Calibri"/>
          <w:sz w:val="24"/>
          <w:szCs w:val="24"/>
        </w:rPr>
        <w:t xml:space="preserve"> such as advance</w:t>
      </w:r>
      <w:r w:rsidR="007217EE">
        <w:rPr>
          <w:rFonts w:ascii="Calibri" w:hAnsi="Calibri" w:cs="Calibri"/>
          <w:sz w:val="24"/>
          <w:szCs w:val="24"/>
        </w:rPr>
        <w:t>d</w:t>
      </w:r>
      <w:r w:rsidR="00F817A2">
        <w:rPr>
          <w:rFonts w:ascii="Calibri" w:hAnsi="Calibri" w:cs="Calibri"/>
          <w:sz w:val="24"/>
          <w:szCs w:val="24"/>
        </w:rPr>
        <w:t xml:space="preserve"> patient care or geriatric nursing, I can enhance my clinical competencies </w:t>
      </w:r>
      <w:r w:rsidR="00550501">
        <w:rPr>
          <w:rFonts w:ascii="Calibri" w:hAnsi="Calibri" w:cs="Calibri"/>
          <w:sz w:val="24"/>
          <w:szCs w:val="24"/>
        </w:rPr>
        <w:t>and keep</w:t>
      </w:r>
      <w:r w:rsidR="00F817A2">
        <w:rPr>
          <w:rFonts w:ascii="Calibri" w:hAnsi="Calibri" w:cs="Calibri"/>
          <w:sz w:val="24"/>
          <w:szCs w:val="24"/>
        </w:rPr>
        <w:t xml:space="preserve"> up with the latest nursing care. Besides improving my practical skills, these </w:t>
      </w:r>
      <w:r w:rsidR="00550501">
        <w:rPr>
          <w:rFonts w:ascii="Calibri" w:hAnsi="Calibri" w:cs="Calibri"/>
          <w:sz w:val="24"/>
          <w:szCs w:val="24"/>
        </w:rPr>
        <w:t>courses will expand my vocabulary. My interaction and future interviews in the healthcare sector will be improved</w:t>
      </w:r>
      <w:r w:rsidR="006F5687">
        <w:rPr>
          <w:rFonts w:ascii="Calibri" w:hAnsi="Calibri" w:cs="Calibri"/>
          <w:sz w:val="24"/>
          <w:szCs w:val="24"/>
        </w:rPr>
        <w:t xml:space="preserve"> (Bindon, 2018).</w:t>
      </w:r>
    </w:p>
    <w:p w14:paraId="2E5F8BA1" w14:textId="3CED5CF3" w:rsidR="0014690F" w:rsidRDefault="00550501" w:rsidP="00134AD6">
      <w:pPr>
        <w:spacing w:line="360" w:lineRule="auto"/>
        <w:rPr>
          <w:rFonts w:ascii="Calibri" w:hAnsi="Calibri" w:cs="Calibri"/>
          <w:sz w:val="24"/>
          <w:szCs w:val="24"/>
        </w:rPr>
      </w:pPr>
      <w:r>
        <w:rPr>
          <w:rFonts w:ascii="Calibri" w:hAnsi="Calibri" w:cs="Calibri"/>
          <w:sz w:val="24"/>
          <w:szCs w:val="24"/>
        </w:rPr>
        <w:t xml:space="preserve">Mock interviews tailored </w:t>
      </w:r>
      <w:r w:rsidR="00697F65">
        <w:rPr>
          <w:rFonts w:ascii="Calibri" w:hAnsi="Calibri" w:cs="Calibri"/>
          <w:sz w:val="24"/>
          <w:szCs w:val="24"/>
        </w:rPr>
        <w:t xml:space="preserve">to </w:t>
      </w:r>
      <w:r>
        <w:rPr>
          <w:rFonts w:ascii="Calibri" w:hAnsi="Calibri" w:cs="Calibri"/>
          <w:sz w:val="24"/>
          <w:szCs w:val="24"/>
        </w:rPr>
        <w:t>the healthcare industry can significantly improve my performance in interviews. I will find this practice particularly useful when preparing for clinical decisions and patient management scenarios. The simulations will provide a realistic and challenging learning environment. I will be able to sharpen my response strategies</w:t>
      </w:r>
      <w:r w:rsidR="006F5687">
        <w:rPr>
          <w:rFonts w:ascii="Calibri" w:hAnsi="Calibri" w:cs="Calibri"/>
          <w:sz w:val="24"/>
          <w:szCs w:val="24"/>
        </w:rPr>
        <w:t xml:space="preserve"> (Walsh, 2018). </w:t>
      </w:r>
      <w:r>
        <w:rPr>
          <w:rFonts w:ascii="Calibri" w:hAnsi="Calibri" w:cs="Calibri"/>
          <w:sz w:val="24"/>
          <w:szCs w:val="24"/>
        </w:rPr>
        <w:t>Continually seeking feedback has been critical to my nursing development. After patient interaction and during performance reviews, I intend to seek more structured feedback. This input will help me identify specific areas where I can improve my communication with colleagues and patients. For effective nursing care and professional advancement, this is crucial</w:t>
      </w:r>
      <w:r w:rsidR="006F5687">
        <w:rPr>
          <w:rFonts w:ascii="Calibri" w:hAnsi="Calibri" w:cs="Calibri"/>
          <w:sz w:val="24"/>
          <w:szCs w:val="24"/>
        </w:rPr>
        <w:t xml:space="preserve"> (Mlambo, Silen, and McGrath, 2021). </w:t>
      </w:r>
      <w:r>
        <w:rPr>
          <w:rFonts w:ascii="Calibri" w:hAnsi="Calibri" w:cs="Calibri"/>
          <w:sz w:val="24"/>
          <w:szCs w:val="24"/>
        </w:rPr>
        <w:t xml:space="preserve">There is a large degree of competition in the nursing profession, especially in areas like geriatric </w:t>
      </w:r>
      <w:r w:rsidR="00E06F13">
        <w:rPr>
          <w:rFonts w:ascii="Calibri" w:hAnsi="Calibri" w:cs="Calibri"/>
          <w:sz w:val="24"/>
          <w:szCs w:val="24"/>
        </w:rPr>
        <w:t>care</w:t>
      </w:r>
      <w:r>
        <w:rPr>
          <w:rFonts w:ascii="Calibri" w:hAnsi="Calibri" w:cs="Calibri"/>
          <w:sz w:val="24"/>
          <w:szCs w:val="24"/>
        </w:rPr>
        <w:t xml:space="preserve"> where it is more </w:t>
      </w:r>
      <w:r>
        <w:rPr>
          <w:rFonts w:ascii="Calibri" w:hAnsi="Calibri" w:cs="Calibri"/>
          <w:sz w:val="24"/>
          <w:szCs w:val="24"/>
        </w:rPr>
        <w:lastRenderedPageBreak/>
        <w:t>specialized. It is important to note that with the increase in healthcare needs resulting from an ag</w:t>
      </w:r>
      <w:r w:rsidR="005D0403">
        <w:rPr>
          <w:rFonts w:ascii="Calibri" w:hAnsi="Calibri" w:cs="Calibri"/>
          <w:sz w:val="24"/>
          <w:szCs w:val="24"/>
        </w:rPr>
        <w:t>ei</w:t>
      </w:r>
      <w:r>
        <w:rPr>
          <w:rFonts w:ascii="Calibri" w:hAnsi="Calibri" w:cs="Calibri"/>
          <w:sz w:val="24"/>
          <w:szCs w:val="24"/>
        </w:rPr>
        <w:t xml:space="preserve">ng population, the number of qualified professionals entering the workforce increases as well. Competition can </w:t>
      </w:r>
      <w:r w:rsidR="0014690F">
        <w:rPr>
          <w:rFonts w:ascii="Calibri" w:hAnsi="Calibri" w:cs="Calibri"/>
          <w:sz w:val="24"/>
          <w:szCs w:val="24"/>
        </w:rPr>
        <w:t>make it challenging to develop the skills and experience needed to secure advancements and can lead to exceptional differentiation based on skills and experience. Taking this into consideration, I need to continue to develop my skills to enhance my qualifications and distinguish myself through exemplary patient care and continuous professional development</w:t>
      </w:r>
      <w:r w:rsidR="006F5687">
        <w:rPr>
          <w:rFonts w:ascii="Calibri" w:hAnsi="Calibri" w:cs="Calibri"/>
          <w:sz w:val="24"/>
          <w:szCs w:val="24"/>
        </w:rPr>
        <w:t xml:space="preserve"> (Cabrera and Zabalegui, 2020). </w:t>
      </w:r>
      <w:r w:rsidR="0014690F">
        <w:rPr>
          <w:rFonts w:ascii="Calibri" w:hAnsi="Calibri" w:cs="Calibri"/>
          <w:sz w:val="24"/>
          <w:szCs w:val="24"/>
        </w:rPr>
        <w:t xml:space="preserve">Anxiety can also be a significant threat to my performance during critical moments such as interviews or times when a patient needs immediate care. During my previous interviews, I had the opportunity to see how nerves and stress can compromise my communication abilities. </w:t>
      </w:r>
      <w:r w:rsidR="005D0403">
        <w:rPr>
          <w:rFonts w:ascii="Calibri" w:hAnsi="Calibri" w:cs="Calibri"/>
          <w:sz w:val="24"/>
          <w:szCs w:val="24"/>
        </w:rPr>
        <w:t xml:space="preserve">Ensuring </w:t>
      </w:r>
      <w:r w:rsidR="0014690F">
        <w:rPr>
          <w:rFonts w:ascii="Calibri" w:hAnsi="Calibri" w:cs="Calibri"/>
          <w:sz w:val="24"/>
          <w:szCs w:val="24"/>
        </w:rPr>
        <w:t>that I can effectively address my anxiety through strategies such as mindfulness, stress management training, or professional counselling will be crucial to ensuring that my professional interactions or career advancement opportunities are not hindered by it</w:t>
      </w:r>
      <w:r w:rsidR="006F5687">
        <w:rPr>
          <w:rFonts w:ascii="Calibri" w:hAnsi="Calibri" w:cs="Calibri"/>
          <w:sz w:val="24"/>
          <w:szCs w:val="24"/>
        </w:rPr>
        <w:t xml:space="preserve"> (Schneider, Powell and Bonaccio, 2019). </w:t>
      </w:r>
      <w:r w:rsidR="0014690F">
        <w:rPr>
          <w:rFonts w:ascii="Calibri" w:hAnsi="Calibri" w:cs="Calibri"/>
          <w:sz w:val="24"/>
          <w:szCs w:val="24"/>
        </w:rPr>
        <w:t xml:space="preserve">Medical technology </w:t>
      </w:r>
      <w:r w:rsidR="008436F0">
        <w:rPr>
          <w:rFonts w:ascii="Calibri" w:hAnsi="Calibri" w:cs="Calibri"/>
          <w:sz w:val="24"/>
          <w:szCs w:val="24"/>
        </w:rPr>
        <w:t xml:space="preserve">advancements and evolving patient </w:t>
      </w:r>
      <w:r w:rsidR="009879C7">
        <w:rPr>
          <w:rFonts w:ascii="Calibri" w:hAnsi="Calibri" w:cs="Calibri"/>
          <w:sz w:val="24"/>
          <w:szCs w:val="24"/>
        </w:rPr>
        <w:t>care</w:t>
      </w:r>
      <w:r w:rsidR="008436F0">
        <w:rPr>
          <w:rFonts w:ascii="Calibri" w:hAnsi="Calibri" w:cs="Calibri"/>
          <w:sz w:val="24"/>
          <w:szCs w:val="24"/>
        </w:rPr>
        <w:t xml:space="preserve"> protocols are driving rapid changes in the healthcare industry, driving rapid changes in standards and practices, which are a result of advancements in medical technology. Maintaining an up-to-date understanding of these changes is vital for nurses who want to ensure that </w:t>
      </w:r>
      <w:r w:rsidR="00A9481D">
        <w:rPr>
          <w:rFonts w:ascii="Calibri" w:hAnsi="Calibri" w:cs="Calibri"/>
          <w:sz w:val="24"/>
          <w:szCs w:val="24"/>
        </w:rPr>
        <w:t>nurses care meets the highest standards. However, I need to realize that this kind of change can also be threatening if I am unable to adapt to it quickly enough, negatively impacting my professional growth and job security. Participating in professional networks and engaging in ongoing education will be essential for navigating these changes effectively and making the most of opportunities</w:t>
      </w:r>
      <w:r w:rsidR="006F5687">
        <w:rPr>
          <w:rFonts w:ascii="Calibri" w:hAnsi="Calibri" w:cs="Calibri"/>
          <w:sz w:val="24"/>
          <w:szCs w:val="24"/>
        </w:rPr>
        <w:t xml:space="preserve"> (YEC, 2021).</w:t>
      </w:r>
    </w:p>
    <w:p w14:paraId="45D8A9DF" w14:textId="77777777" w:rsidR="00A9481D" w:rsidRDefault="00A9481D" w:rsidP="00134AD6">
      <w:pPr>
        <w:spacing w:line="360" w:lineRule="auto"/>
        <w:rPr>
          <w:rFonts w:ascii="Calibri" w:hAnsi="Calibri" w:cs="Calibri"/>
          <w:sz w:val="24"/>
          <w:szCs w:val="24"/>
        </w:rPr>
      </w:pPr>
    </w:p>
    <w:p w14:paraId="39C55B16" w14:textId="03D0C303" w:rsidR="00A9481D" w:rsidRDefault="00A9481D" w:rsidP="00134AD6">
      <w:pPr>
        <w:spacing w:line="360" w:lineRule="auto"/>
        <w:rPr>
          <w:rFonts w:ascii="Calibri" w:hAnsi="Calibri" w:cs="Calibri"/>
          <w:sz w:val="24"/>
          <w:szCs w:val="24"/>
        </w:rPr>
      </w:pPr>
      <w:r>
        <w:rPr>
          <w:rFonts w:ascii="Calibri" w:hAnsi="Calibri" w:cs="Calibri"/>
          <w:sz w:val="24"/>
          <w:szCs w:val="24"/>
        </w:rPr>
        <w:t xml:space="preserve">In conducting a SWOT analysis of the interview, I have discovered both strengths that can be built upon as well as weaknesses that need to be addressed. I am dedicated to leveraging this knowledge to enhance my interview skills in the future, as well as ensuring better preparedness </w:t>
      </w:r>
      <w:r w:rsidR="009879C7">
        <w:rPr>
          <w:rFonts w:ascii="Calibri" w:hAnsi="Calibri" w:cs="Calibri"/>
          <w:sz w:val="24"/>
          <w:szCs w:val="24"/>
        </w:rPr>
        <w:t xml:space="preserve">for </w:t>
      </w:r>
      <w:r>
        <w:rPr>
          <w:rFonts w:ascii="Calibri" w:hAnsi="Calibri" w:cs="Calibri"/>
          <w:sz w:val="24"/>
          <w:szCs w:val="24"/>
        </w:rPr>
        <w:t>future opportunities and gaining more confidence. As a champion of skills development and emotional control, I aim to transform potential threats into manageable challenges by taking advantage of every opportunity for professional development that comes my way.</w:t>
      </w:r>
      <w:r w:rsidR="006F5687">
        <w:rPr>
          <w:rFonts w:ascii="Calibri" w:hAnsi="Calibri" w:cs="Calibri"/>
          <w:sz w:val="24"/>
          <w:szCs w:val="24"/>
        </w:rPr>
        <w:t xml:space="preserve"> </w:t>
      </w:r>
    </w:p>
    <w:p w14:paraId="5AA9ACBE" w14:textId="77777777" w:rsidR="006F5687" w:rsidRDefault="006F5687" w:rsidP="00134AD6">
      <w:pPr>
        <w:spacing w:line="360" w:lineRule="auto"/>
        <w:rPr>
          <w:rFonts w:ascii="Calibri" w:hAnsi="Calibri" w:cs="Calibri"/>
          <w:sz w:val="24"/>
          <w:szCs w:val="24"/>
        </w:rPr>
      </w:pPr>
    </w:p>
    <w:p w14:paraId="62F2818F" w14:textId="69F737B8" w:rsidR="006F5687" w:rsidRDefault="006F5687" w:rsidP="00134AD6">
      <w:pPr>
        <w:spacing w:line="360" w:lineRule="auto"/>
        <w:rPr>
          <w:rFonts w:ascii="Calibri" w:hAnsi="Calibri" w:cs="Calibri"/>
          <w:sz w:val="24"/>
          <w:szCs w:val="24"/>
        </w:rPr>
      </w:pPr>
      <w:r>
        <w:rPr>
          <w:rFonts w:ascii="Calibri" w:hAnsi="Calibri" w:cs="Calibri"/>
          <w:sz w:val="24"/>
          <w:szCs w:val="24"/>
        </w:rPr>
        <w:lastRenderedPageBreak/>
        <w:t>Reference list</w:t>
      </w:r>
    </w:p>
    <w:p w14:paraId="3C0E8E28" w14:textId="56395ADF" w:rsidR="006F5687" w:rsidRDefault="006F5687" w:rsidP="001D4AE5">
      <w:pPr>
        <w:pStyle w:val="ListParagraph"/>
        <w:spacing w:line="360" w:lineRule="auto"/>
        <w:rPr>
          <w:rFonts w:ascii="Calibri" w:hAnsi="Calibri" w:cs="Calibri"/>
          <w:sz w:val="24"/>
          <w:szCs w:val="24"/>
        </w:rPr>
      </w:pPr>
      <w:r>
        <w:rPr>
          <w:rFonts w:ascii="Calibri" w:hAnsi="Calibri" w:cs="Calibri"/>
          <w:sz w:val="24"/>
          <w:szCs w:val="24"/>
        </w:rPr>
        <w:t xml:space="preserve">Bindon, S.L. (2018). Professional Development Strategies to Enhance Nurses’ Knowledge and Maintain </w:t>
      </w:r>
      <w:r w:rsidR="00F05DFE">
        <w:rPr>
          <w:rFonts w:ascii="Calibri" w:hAnsi="Calibri" w:cs="Calibri"/>
          <w:sz w:val="24"/>
          <w:szCs w:val="24"/>
        </w:rPr>
        <w:t>S</w:t>
      </w:r>
      <w:r>
        <w:rPr>
          <w:rFonts w:ascii="Calibri" w:hAnsi="Calibri" w:cs="Calibri"/>
          <w:sz w:val="24"/>
          <w:szCs w:val="24"/>
        </w:rPr>
        <w:t xml:space="preserve">afe Practice. </w:t>
      </w:r>
      <w:r w:rsidRPr="001D4AE5">
        <w:rPr>
          <w:rFonts w:ascii="Calibri" w:hAnsi="Calibri" w:cs="Calibri"/>
          <w:i/>
          <w:iCs/>
          <w:sz w:val="24"/>
          <w:szCs w:val="24"/>
        </w:rPr>
        <w:t>AORN Journal</w:t>
      </w:r>
      <w:r>
        <w:rPr>
          <w:rFonts w:ascii="Calibri" w:hAnsi="Calibri" w:cs="Calibri"/>
          <w:sz w:val="24"/>
          <w:szCs w:val="24"/>
        </w:rPr>
        <w:t>, [online] 106(2), pp99-110.</w:t>
      </w:r>
    </w:p>
    <w:p w14:paraId="6064F7A8" w14:textId="56E16335" w:rsidR="006F5687" w:rsidRDefault="006F5687" w:rsidP="006F5687">
      <w:pPr>
        <w:pStyle w:val="ListParagraph"/>
        <w:spacing w:line="360" w:lineRule="auto"/>
        <w:rPr>
          <w:rFonts w:ascii="Calibri" w:hAnsi="Calibri" w:cs="Calibri"/>
          <w:sz w:val="24"/>
          <w:szCs w:val="24"/>
        </w:rPr>
      </w:pPr>
      <w:r>
        <w:rPr>
          <w:rFonts w:ascii="Calibri" w:hAnsi="Calibri" w:cs="Calibri"/>
          <w:sz w:val="24"/>
          <w:szCs w:val="24"/>
        </w:rPr>
        <w:t xml:space="preserve">Available at: </w:t>
      </w:r>
      <w:r w:rsidRPr="001D4AE5">
        <w:rPr>
          <w:rFonts w:ascii="Calibri" w:hAnsi="Calibri" w:cs="Calibri"/>
          <w:sz w:val="24"/>
          <w:szCs w:val="24"/>
        </w:rPr>
        <w:t>https://doi.org/10.1016/j.aom.2017.06.002</w:t>
      </w:r>
      <w:r>
        <w:rPr>
          <w:rFonts w:ascii="Calibri" w:hAnsi="Calibri" w:cs="Calibri"/>
          <w:sz w:val="24"/>
          <w:szCs w:val="24"/>
        </w:rPr>
        <w:t>.</w:t>
      </w:r>
      <w:r w:rsidR="001D4AE5">
        <w:rPr>
          <w:rFonts w:ascii="Calibri" w:hAnsi="Calibri" w:cs="Calibri"/>
          <w:sz w:val="24"/>
          <w:szCs w:val="24"/>
        </w:rPr>
        <w:t xml:space="preserve"> </w:t>
      </w:r>
    </w:p>
    <w:p w14:paraId="529E56B5" w14:textId="77777777" w:rsidR="001D4AE5" w:rsidRDefault="001D4AE5" w:rsidP="006F5687">
      <w:pPr>
        <w:pStyle w:val="ListParagraph"/>
        <w:spacing w:line="360" w:lineRule="auto"/>
        <w:rPr>
          <w:rFonts w:ascii="Calibri" w:hAnsi="Calibri" w:cs="Calibri"/>
          <w:sz w:val="24"/>
          <w:szCs w:val="24"/>
        </w:rPr>
      </w:pPr>
    </w:p>
    <w:p w14:paraId="4DBB4C36" w14:textId="62590969" w:rsidR="006F5687" w:rsidRDefault="006F5687" w:rsidP="001D4AE5">
      <w:pPr>
        <w:pStyle w:val="ListParagraph"/>
        <w:spacing w:line="360" w:lineRule="auto"/>
        <w:rPr>
          <w:rFonts w:ascii="Calibri" w:hAnsi="Calibri" w:cs="Calibri"/>
          <w:sz w:val="24"/>
          <w:szCs w:val="24"/>
        </w:rPr>
      </w:pPr>
      <w:r>
        <w:rPr>
          <w:rFonts w:ascii="Calibri" w:hAnsi="Calibri" w:cs="Calibri"/>
          <w:sz w:val="24"/>
          <w:szCs w:val="24"/>
        </w:rPr>
        <w:t xml:space="preserve">Bryson, D. (2016). Professional language: understanding and being understood. </w:t>
      </w:r>
      <w:r w:rsidRPr="001D4AE5">
        <w:rPr>
          <w:rFonts w:ascii="Calibri" w:hAnsi="Calibri" w:cs="Calibri"/>
          <w:i/>
          <w:iCs/>
          <w:sz w:val="24"/>
          <w:szCs w:val="24"/>
        </w:rPr>
        <w:t>Journal of Visual Communication in Medicine,</w:t>
      </w:r>
      <w:r>
        <w:rPr>
          <w:rFonts w:ascii="Calibri" w:hAnsi="Calibri" w:cs="Calibri"/>
          <w:sz w:val="24"/>
          <w:szCs w:val="24"/>
        </w:rPr>
        <w:t xml:space="preserve"> 39(3-4), pp.158-159.</w:t>
      </w:r>
    </w:p>
    <w:p w14:paraId="5DC6E124" w14:textId="4279E104" w:rsidR="006F5687" w:rsidRDefault="006F5687" w:rsidP="006F5687">
      <w:pPr>
        <w:pStyle w:val="ListParagraph"/>
        <w:spacing w:line="360" w:lineRule="auto"/>
        <w:rPr>
          <w:rFonts w:ascii="Calibri" w:hAnsi="Calibri" w:cs="Calibri"/>
          <w:sz w:val="24"/>
          <w:szCs w:val="24"/>
        </w:rPr>
      </w:pPr>
      <w:r>
        <w:rPr>
          <w:rFonts w:ascii="Calibri" w:hAnsi="Calibri" w:cs="Calibri"/>
          <w:sz w:val="24"/>
          <w:szCs w:val="24"/>
        </w:rPr>
        <w:t xml:space="preserve">Available at: </w:t>
      </w:r>
      <w:r w:rsidRPr="001D4AE5">
        <w:rPr>
          <w:rFonts w:ascii="Calibri" w:hAnsi="Calibri" w:cs="Calibri"/>
          <w:sz w:val="24"/>
          <w:szCs w:val="24"/>
        </w:rPr>
        <w:t>https://doi.org/10.1080/17453054-2016.1246942</w:t>
      </w:r>
      <w:r>
        <w:rPr>
          <w:rFonts w:ascii="Calibri" w:hAnsi="Calibri" w:cs="Calibri"/>
          <w:sz w:val="24"/>
          <w:szCs w:val="24"/>
        </w:rPr>
        <w:t>.</w:t>
      </w:r>
      <w:r w:rsidR="001D4AE5">
        <w:rPr>
          <w:rFonts w:ascii="Calibri" w:hAnsi="Calibri" w:cs="Calibri"/>
          <w:sz w:val="24"/>
          <w:szCs w:val="24"/>
        </w:rPr>
        <w:t xml:space="preserve"> </w:t>
      </w:r>
    </w:p>
    <w:p w14:paraId="2F2D6065" w14:textId="77777777" w:rsidR="001D4AE5" w:rsidRDefault="001D4AE5" w:rsidP="006F5687">
      <w:pPr>
        <w:pStyle w:val="ListParagraph"/>
        <w:spacing w:line="360" w:lineRule="auto"/>
        <w:rPr>
          <w:rFonts w:ascii="Calibri" w:hAnsi="Calibri" w:cs="Calibri"/>
          <w:sz w:val="24"/>
          <w:szCs w:val="24"/>
        </w:rPr>
      </w:pPr>
    </w:p>
    <w:p w14:paraId="0ADE3A3B" w14:textId="5BA0FF68" w:rsidR="006F5687" w:rsidRDefault="006F5687" w:rsidP="001D4AE5">
      <w:pPr>
        <w:pStyle w:val="ListParagraph"/>
        <w:spacing w:line="360" w:lineRule="auto"/>
        <w:rPr>
          <w:rFonts w:ascii="Calibri" w:hAnsi="Calibri" w:cs="Calibri"/>
          <w:sz w:val="24"/>
          <w:szCs w:val="24"/>
        </w:rPr>
      </w:pPr>
      <w:r>
        <w:rPr>
          <w:rFonts w:ascii="Calibri" w:hAnsi="Calibri" w:cs="Calibri"/>
          <w:sz w:val="24"/>
          <w:szCs w:val="24"/>
        </w:rPr>
        <w:t xml:space="preserve">Cabrera, E. and Zabalegui, A. (2020). </w:t>
      </w:r>
      <w:r w:rsidR="001D4AE5">
        <w:rPr>
          <w:rFonts w:ascii="Calibri" w:hAnsi="Calibri" w:cs="Calibri"/>
          <w:sz w:val="24"/>
          <w:szCs w:val="24"/>
        </w:rPr>
        <w:t>Nurses’</w:t>
      </w:r>
      <w:r>
        <w:rPr>
          <w:rFonts w:ascii="Calibri" w:hAnsi="Calibri" w:cs="Calibri"/>
          <w:sz w:val="24"/>
          <w:szCs w:val="24"/>
        </w:rPr>
        <w:t xml:space="preserve"> workforce and competencies. A challenger for </w:t>
      </w:r>
      <w:r w:rsidR="00F05DFE">
        <w:rPr>
          <w:rFonts w:ascii="Calibri" w:hAnsi="Calibri" w:cs="Calibri"/>
          <w:sz w:val="24"/>
          <w:szCs w:val="24"/>
        </w:rPr>
        <w:t xml:space="preserve">the </w:t>
      </w:r>
      <w:r>
        <w:rPr>
          <w:rFonts w:ascii="Calibri" w:hAnsi="Calibri" w:cs="Calibri"/>
          <w:sz w:val="24"/>
          <w:szCs w:val="24"/>
        </w:rPr>
        <w:t xml:space="preserve">health system more than ever. </w:t>
      </w:r>
      <w:r w:rsidRPr="001D4AE5">
        <w:rPr>
          <w:rFonts w:ascii="Calibri" w:hAnsi="Calibri" w:cs="Calibri"/>
          <w:i/>
          <w:iCs/>
          <w:sz w:val="24"/>
          <w:szCs w:val="24"/>
        </w:rPr>
        <w:t>Nurse Education in Practice</w:t>
      </w:r>
      <w:r>
        <w:rPr>
          <w:rFonts w:ascii="Calibri" w:hAnsi="Calibri" w:cs="Calibri"/>
          <w:sz w:val="24"/>
          <w:szCs w:val="24"/>
        </w:rPr>
        <w:t>, [online] 48, p. 102858.</w:t>
      </w:r>
    </w:p>
    <w:p w14:paraId="4E77AECD" w14:textId="0458AD7A" w:rsidR="006F5687" w:rsidRDefault="006F5687" w:rsidP="006F5687">
      <w:pPr>
        <w:pStyle w:val="ListParagraph"/>
        <w:spacing w:line="360" w:lineRule="auto"/>
        <w:rPr>
          <w:rFonts w:ascii="Calibri" w:hAnsi="Calibri" w:cs="Calibri"/>
          <w:sz w:val="24"/>
          <w:szCs w:val="24"/>
        </w:rPr>
      </w:pPr>
      <w:r>
        <w:rPr>
          <w:rFonts w:ascii="Calibri" w:hAnsi="Calibri" w:cs="Calibri"/>
          <w:sz w:val="24"/>
          <w:szCs w:val="24"/>
        </w:rPr>
        <w:t xml:space="preserve">Available at: </w:t>
      </w:r>
      <w:r w:rsidR="008037EE" w:rsidRPr="001D4AE5">
        <w:rPr>
          <w:rFonts w:ascii="Calibri" w:hAnsi="Calibri" w:cs="Calibri"/>
          <w:sz w:val="24"/>
          <w:szCs w:val="24"/>
        </w:rPr>
        <w:t>https://doi.org/10.1016/j.nepr.2020.102858</w:t>
      </w:r>
      <w:r w:rsidR="008037EE">
        <w:rPr>
          <w:rFonts w:ascii="Calibri" w:hAnsi="Calibri" w:cs="Calibri"/>
          <w:sz w:val="24"/>
          <w:szCs w:val="24"/>
        </w:rPr>
        <w:t>.</w:t>
      </w:r>
      <w:r w:rsidR="001D4AE5">
        <w:rPr>
          <w:rFonts w:ascii="Calibri" w:hAnsi="Calibri" w:cs="Calibri"/>
          <w:sz w:val="24"/>
          <w:szCs w:val="24"/>
        </w:rPr>
        <w:t xml:space="preserve"> </w:t>
      </w:r>
    </w:p>
    <w:p w14:paraId="0EEE164F" w14:textId="77777777" w:rsidR="001D4AE5" w:rsidRDefault="001D4AE5" w:rsidP="006F5687">
      <w:pPr>
        <w:pStyle w:val="ListParagraph"/>
        <w:spacing w:line="360" w:lineRule="auto"/>
        <w:rPr>
          <w:rFonts w:ascii="Calibri" w:hAnsi="Calibri" w:cs="Calibri"/>
          <w:sz w:val="24"/>
          <w:szCs w:val="24"/>
        </w:rPr>
      </w:pPr>
    </w:p>
    <w:p w14:paraId="658E7CE5" w14:textId="12886D53" w:rsidR="008037EE" w:rsidRDefault="008037EE" w:rsidP="001D4AE5">
      <w:pPr>
        <w:pStyle w:val="ListParagraph"/>
        <w:spacing w:line="360" w:lineRule="auto"/>
        <w:rPr>
          <w:rFonts w:ascii="Calibri" w:hAnsi="Calibri" w:cs="Calibri"/>
          <w:sz w:val="24"/>
          <w:szCs w:val="24"/>
        </w:rPr>
      </w:pPr>
      <w:r>
        <w:rPr>
          <w:rFonts w:ascii="Calibri" w:hAnsi="Calibri" w:cs="Calibri"/>
          <w:sz w:val="24"/>
          <w:szCs w:val="24"/>
        </w:rPr>
        <w:t xml:space="preserve">Corliss, J. (2020). </w:t>
      </w:r>
      <w:r w:rsidRPr="001D4AE5">
        <w:rPr>
          <w:rFonts w:ascii="Calibri" w:hAnsi="Calibri" w:cs="Calibri"/>
          <w:i/>
          <w:iCs/>
          <w:sz w:val="24"/>
          <w:szCs w:val="24"/>
        </w:rPr>
        <w:t>Staying positive during difficult times.</w:t>
      </w:r>
      <w:r>
        <w:rPr>
          <w:rFonts w:ascii="Calibri" w:hAnsi="Calibri" w:cs="Calibri"/>
          <w:sz w:val="24"/>
          <w:szCs w:val="24"/>
        </w:rPr>
        <w:t xml:space="preserve"> [online] Harvard Health Blog. </w:t>
      </w:r>
    </w:p>
    <w:p w14:paraId="491D467E" w14:textId="46DAE2EC" w:rsidR="008037EE" w:rsidRDefault="008037EE" w:rsidP="008037EE">
      <w:pPr>
        <w:pStyle w:val="ListParagraph"/>
        <w:spacing w:line="360" w:lineRule="auto"/>
        <w:rPr>
          <w:rFonts w:ascii="Calibri" w:hAnsi="Calibri" w:cs="Calibri"/>
          <w:sz w:val="24"/>
          <w:szCs w:val="24"/>
        </w:rPr>
      </w:pPr>
      <w:r>
        <w:rPr>
          <w:rFonts w:ascii="Calibri" w:hAnsi="Calibri" w:cs="Calibri"/>
          <w:sz w:val="24"/>
          <w:szCs w:val="24"/>
        </w:rPr>
        <w:t xml:space="preserve">Available at: </w:t>
      </w:r>
      <w:r w:rsidRPr="001D4AE5">
        <w:rPr>
          <w:rFonts w:ascii="Calibri" w:hAnsi="Calibri" w:cs="Calibri"/>
          <w:sz w:val="24"/>
          <w:szCs w:val="24"/>
        </w:rPr>
        <w:t>https://www.health.harvard.edu/blog/staying-positive-during-difficult-times-2020100121047</w:t>
      </w:r>
      <w:r>
        <w:rPr>
          <w:rFonts w:ascii="Calibri" w:hAnsi="Calibri" w:cs="Calibri"/>
          <w:sz w:val="24"/>
          <w:szCs w:val="24"/>
        </w:rPr>
        <w:t>.</w:t>
      </w:r>
      <w:r w:rsidR="001D4AE5">
        <w:rPr>
          <w:rFonts w:ascii="Calibri" w:hAnsi="Calibri" w:cs="Calibri"/>
          <w:sz w:val="24"/>
          <w:szCs w:val="24"/>
        </w:rPr>
        <w:t xml:space="preserve"> </w:t>
      </w:r>
    </w:p>
    <w:p w14:paraId="565C5ED6" w14:textId="77777777" w:rsidR="001D4AE5" w:rsidRDefault="001D4AE5" w:rsidP="008037EE">
      <w:pPr>
        <w:pStyle w:val="ListParagraph"/>
        <w:spacing w:line="360" w:lineRule="auto"/>
        <w:rPr>
          <w:rFonts w:ascii="Calibri" w:hAnsi="Calibri" w:cs="Calibri"/>
          <w:sz w:val="24"/>
          <w:szCs w:val="24"/>
        </w:rPr>
      </w:pPr>
    </w:p>
    <w:p w14:paraId="44AFE982" w14:textId="56307985" w:rsidR="008037EE" w:rsidRDefault="008037EE" w:rsidP="001D4AE5">
      <w:pPr>
        <w:pStyle w:val="ListParagraph"/>
        <w:spacing w:line="360" w:lineRule="auto"/>
        <w:rPr>
          <w:rFonts w:ascii="Calibri" w:hAnsi="Calibri" w:cs="Calibri"/>
          <w:sz w:val="24"/>
          <w:szCs w:val="24"/>
        </w:rPr>
      </w:pPr>
      <w:r>
        <w:rPr>
          <w:rFonts w:ascii="Calibri" w:hAnsi="Calibri" w:cs="Calibri"/>
          <w:sz w:val="24"/>
          <w:szCs w:val="24"/>
        </w:rPr>
        <w:t>Mlambo, M., Silen, C. and McGrath, C. (2021). Lifelong learning and nurses’ continuing professional development a meta</w:t>
      </w:r>
      <w:r w:rsidR="00D854CD">
        <w:rPr>
          <w:rFonts w:ascii="Calibri" w:hAnsi="Calibri" w:cs="Calibri"/>
          <w:sz w:val="24"/>
          <w:szCs w:val="24"/>
        </w:rPr>
        <w:t>-</w:t>
      </w:r>
      <w:r>
        <w:rPr>
          <w:rFonts w:ascii="Calibri" w:hAnsi="Calibri" w:cs="Calibri"/>
          <w:sz w:val="24"/>
          <w:szCs w:val="24"/>
        </w:rPr>
        <w:t xml:space="preserve">synthesis of the literature. </w:t>
      </w:r>
      <w:r w:rsidRPr="00CF596E">
        <w:rPr>
          <w:rFonts w:ascii="Calibri" w:hAnsi="Calibri" w:cs="Calibri"/>
          <w:i/>
          <w:iCs/>
          <w:sz w:val="24"/>
          <w:szCs w:val="24"/>
        </w:rPr>
        <w:t>BMC Nursing,</w:t>
      </w:r>
      <w:r>
        <w:rPr>
          <w:rFonts w:ascii="Calibri" w:hAnsi="Calibri" w:cs="Calibri"/>
          <w:sz w:val="24"/>
          <w:szCs w:val="24"/>
        </w:rPr>
        <w:t xml:space="preserve"> [online] 20(62), pp. 1-13. </w:t>
      </w:r>
    </w:p>
    <w:p w14:paraId="632019FA" w14:textId="45A0C038" w:rsidR="008037EE" w:rsidRDefault="008037EE" w:rsidP="008037EE">
      <w:pPr>
        <w:pStyle w:val="ListParagraph"/>
        <w:spacing w:line="360" w:lineRule="auto"/>
        <w:rPr>
          <w:rFonts w:ascii="Calibri" w:hAnsi="Calibri" w:cs="Calibri"/>
          <w:sz w:val="24"/>
          <w:szCs w:val="24"/>
        </w:rPr>
      </w:pPr>
      <w:r>
        <w:rPr>
          <w:rFonts w:ascii="Calibri" w:hAnsi="Calibri" w:cs="Calibri"/>
          <w:sz w:val="24"/>
          <w:szCs w:val="24"/>
        </w:rPr>
        <w:t xml:space="preserve">Available at: </w:t>
      </w:r>
      <w:r w:rsidRPr="001D4AE5">
        <w:rPr>
          <w:rFonts w:ascii="Calibri" w:hAnsi="Calibri" w:cs="Calibri"/>
          <w:sz w:val="24"/>
          <w:szCs w:val="24"/>
        </w:rPr>
        <w:t>https://doi.org/10.1186/s12912-021-00579-2</w:t>
      </w:r>
      <w:r>
        <w:rPr>
          <w:rFonts w:ascii="Calibri" w:hAnsi="Calibri" w:cs="Calibri"/>
          <w:sz w:val="24"/>
          <w:szCs w:val="24"/>
        </w:rPr>
        <w:t>.</w:t>
      </w:r>
      <w:r w:rsidR="001D4AE5">
        <w:rPr>
          <w:rFonts w:ascii="Calibri" w:hAnsi="Calibri" w:cs="Calibri"/>
          <w:sz w:val="24"/>
          <w:szCs w:val="24"/>
        </w:rPr>
        <w:t xml:space="preserve"> </w:t>
      </w:r>
    </w:p>
    <w:p w14:paraId="4E724215" w14:textId="77777777" w:rsidR="001D4AE5" w:rsidRDefault="001D4AE5" w:rsidP="008037EE">
      <w:pPr>
        <w:pStyle w:val="ListParagraph"/>
        <w:spacing w:line="360" w:lineRule="auto"/>
        <w:rPr>
          <w:rFonts w:ascii="Calibri" w:hAnsi="Calibri" w:cs="Calibri"/>
          <w:sz w:val="24"/>
          <w:szCs w:val="24"/>
        </w:rPr>
      </w:pPr>
    </w:p>
    <w:p w14:paraId="20B1EC5E" w14:textId="076CDDD1" w:rsidR="008037EE" w:rsidRDefault="00391706" w:rsidP="00CF596E">
      <w:pPr>
        <w:pStyle w:val="ListParagraph"/>
        <w:spacing w:line="360" w:lineRule="auto"/>
        <w:rPr>
          <w:rFonts w:ascii="Calibri" w:hAnsi="Calibri" w:cs="Calibri"/>
          <w:sz w:val="24"/>
          <w:szCs w:val="24"/>
        </w:rPr>
      </w:pPr>
      <w:r>
        <w:rPr>
          <w:rFonts w:ascii="Calibri" w:hAnsi="Calibri" w:cs="Calibri"/>
          <w:sz w:val="24"/>
          <w:szCs w:val="24"/>
        </w:rPr>
        <w:t xml:space="preserve">Schneider, L., Powell, D.M. and Bonaccio, S. (2019). Does interview anxiety predict job performance and does it influence the predictive validity of interviews? </w:t>
      </w:r>
      <w:r w:rsidRPr="00CF596E">
        <w:rPr>
          <w:rFonts w:ascii="Calibri" w:hAnsi="Calibri" w:cs="Calibri"/>
          <w:i/>
          <w:iCs/>
          <w:sz w:val="24"/>
          <w:szCs w:val="24"/>
        </w:rPr>
        <w:t>International Journal of Selection and Assessment</w:t>
      </w:r>
      <w:r>
        <w:rPr>
          <w:rFonts w:ascii="Calibri" w:hAnsi="Calibri" w:cs="Calibri"/>
          <w:sz w:val="24"/>
          <w:szCs w:val="24"/>
        </w:rPr>
        <w:t>, 27(4), pp. 328-336.</w:t>
      </w:r>
    </w:p>
    <w:p w14:paraId="7D678FD1" w14:textId="57494436" w:rsidR="00391706" w:rsidRDefault="00391706" w:rsidP="00391706">
      <w:pPr>
        <w:pStyle w:val="ListParagraph"/>
        <w:spacing w:line="360" w:lineRule="auto"/>
        <w:rPr>
          <w:rFonts w:ascii="Calibri" w:hAnsi="Calibri" w:cs="Calibri"/>
          <w:sz w:val="24"/>
          <w:szCs w:val="24"/>
        </w:rPr>
      </w:pPr>
      <w:r>
        <w:rPr>
          <w:rFonts w:ascii="Calibri" w:hAnsi="Calibri" w:cs="Calibri"/>
          <w:sz w:val="24"/>
          <w:szCs w:val="24"/>
        </w:rPr>
        <w:t xml:space="preserve">Available at: </w:t>
      </w:r>
      <w:r w:rsidRPr="00CF596E">
        <w:rPr>
          <w:rFonts w:ascii="Calibri" w:hAnsi="Calibri" w:cs="Calibri"/>
          <w:sz w:val="24"/>
          <w:szCs w:val="24"/>
        </w:rPr>
        <w:t>https://doi.org/10.1111/ijsa.12263</w:t>
      </w:r>
      <w:r>
        <w:rPr>
          <w:rFonts w:ascii="Calibri" w:hAnsi="Calibri" w:cs="Calibri"/>
          <w:sz w:val="24"/>
          <w:szCs w:val="24"/>
        </w:rPr>
        <w:t>.</w:t>
      </w:r>
      <w:r w:rsidR="00CF596E">
        <w:rPr>
          <w:rFonts w:ascii="Calibri" w:hAnsi="Calibri" w:cs="Calibri"/>
          <w:sz w:val="24"/>
          <w:szCs w:val="24"/>
        </w:rPr>
        <w:t xml:space="preserve"> </w:t>
      </w:r>
    </w:p>
    <w:p w14:paraId="5030441E" w14:textId="77777777" w:rsidR="00CF596E" w:rsidRDefault="00CF596E" w:rsidP="00391706">
      <w:pPr>
        <w:pStyle w:val="ListParagraph"/>
        <w:spacing w:line="360" w:lineRule="auto"/>
        <w:rPr>
          <w:rFonts w:ascii="Calibri" w:hAnsi="Calibri" w:cs="Calibri"/>
          <w:sz w:val="24"/>
          <w:szCs w:val="24"/>
        </w:rPr>
      </w:pPr>
    </w:p>
    <w:p w14:paraId="1ACCFF79" w14:textId="7F826C70" w:rsidR="00391706" w:rsidRDefault="00391706" w:rsidP="00CF596E">
      <w:pPr>
        <w:pStyle w:val="ListParagraph"/>
        <w:spacing w:line="360" w:lineRule="auto"/>
        <w:rPr>
          <w:rFonts w:ascii="Calibri" w:hAnsi="Calibri" w:cs="Calibri"/>
          <w:sz w:val="24"/>
          <w:szCs w:val="24"/>
        </w:rPr>
      </w:pPr>
      <w:r>
        <w:rPr>
          <w:rFonts w:ascii="Calibri" w:hAnsi="Calibri" w:cs="Calibri"/>
          <w:sz w:val="24"/>
          <w:szCs w:val="24"/>
        </w:rPr>
        <w:t xml:space="preserve">Tookey, S., Renzi, C., Waller, J., von Wagner, C. and Whitaker, K.L. (2018). Using the candidacy framework to understand how doctor-patient interactions influence </w:t>
      </w:r>
      <w:r>
        <w:rPr>
          <w:rFonts w:ascii="Calibri" w:hAnsi="Calibri" w:cs="Calibri"/>
          <w:sz w:val="24"/>
          <w:szCs w:val="24"/>
        </w:rPr>
        <w:lastRenderedPageBreak/>
        <w:t xml:space="preserve">perceived eligibility to seek help for cancer alarm symptoms: a qualitative interview study. </w:t>
      </w:r>
      <w:r w:rsidRPr="00CF596E">
        <w:rPr>
          <w:rFonts w:ascii="Calibri" w:hAnsi="Calibri" w:cs="Calibri"/>
          <w:i/>
          <w:iCs/>
          <w:sz w:val="24"/>
          <w:szCs w:val="24"/>
        </w:rPr>
        <w:t>BMC Health Services Research</w:t>
      </w:r>
      <w:r>
        <w:rPr>
          <w:rFonts w:ascii="Calibri" w:hAnsi="Calibri" w:cs="Calibri"/>
          <w:sz w:val="24"/>
          <w:szCs w:val="24"/>
        </w:rPr>
        <w:t xml:space="preserve">, 18(1). </w:t>
      </w:r>
    </w:p>
    <w:p w14:paraId="2618B800" w14:textId="5B06B4C8" w:rsidR="00391706" w:rsidRDefault="00391706" w:rsidP="00391706">
      <w:pPr>
        <w:pStyle w:val="ListParagraph"/>
        <w:spacing w:line="360" w:lineRule="auto"/>
        <w:rPr>
          <w:rFonts w:ascii="Calibri" w:hAnsi="Calibri" w:cs="Calibri"/>
          <w:sz w:val="24"/>
          <w:szCs w:val="24"/>
        </w:rPr>
      </w:pPr>
      <w:r>
        <w:rPr>
          <w:rFonts w:ascii="Calibri" w:hAnsi="Calibri" w:cs="Calibri"/>
          <w:sz w:val="24"/>
          <w:szCs w:val="24"/>
        </w:rPr>
        <w:t xml:space="preserve">Available at: </w:t>
      </w:r>
      <w:r w:rsidRPr="00CF596E">
        <w:rPr>
          <w:rFonts w:ascii="Calibri" w:hAnsi="Calibri" w:cs="Calibri"/>
          <w:sz w:val="24"/>
          <w:szCs w:val="24"/>
        </w:rPr>
        <w:t>https://doi.org/10.1186/s12913-018-3730-5</w:t>
      </w:r>
      <w:r>
        <w:rPr>
          <w:rFonts w:ascii="Calibri" w:hAnsi="Calibri" w:cs="Calibri"/>
          <w:sz w:val="24"/>
          <w:szCs w:val="24"/>
        </w:rPr>
        <w:t xml:space="preserve">. </w:t>
      </w:r>
    </w:p>
    <w:p w14:paraId="6A70BD35" w14:textId="77777777" w:rsidR="00CF596E" w:rsidRDefault="00CF596E" w:rsidP="00391706">
      <w:pPr>
        <w:pStyle w:val="ListParagraph"/>
        <w:spacing w:line="360" w:lineRule="auto"/>
        <w:rPr>
          <w:rFonts w:ascii="Calibri" w:hAnsi="Calibri" w:cs="Calibri"/>
          <w:sz w:val="24"/>
          <w:szCs w:val="24"/>
        </w:rPr>
      </w:pPr>
    </w:p>
    <w:p w14:paraId="5BF5F040" w14:textId="702C83D0" w:rsidR="00391706" w:rsidRDefault="00391706" w:rsidP="00CF596E">
      <w:pPr>
        <w:pStyle w:val="ListParagraph"/>
        <w:spacing w:line="360" w:lineRule="auto"/>
        <w:rPr>
          <w:rFonts w:ascii="Calibri" w:hAnsi="Calibri" w:cs="Calibri"/>
          <w:sz w:val="24"/>
          <w:szCs w:val="24"/>
        </w:rPr>
      </w:pPr>
      <w:r>
        <w:rPr>
          <w:rFonts w:ascii="Calibri" w:hAnsi="Calibri" w:cs="Calibri"/>
          <w:sz w:val="24"/>
          <w:szCs w:val="24"/>
        </w:rPr>
        <w:t xml:space="preserve">Walsh, K. (2018). The utility of e-learning and clinical decision support resources in improving the practice of healthcare professionals in infectious diseases. </w:t>
      </w:r>
      <w:r w:rsidRPr="00CF596E">
        <w:rPr>
          <w:rFonts w:ascii="Calibri" w:hAnsi="Calibri" w:cs="Calibri"/>
          <w:i/>
          <w:iCs/>
          <w:sz w:val="24"/>
          <w:szCs w:val="24"/>
        </w:rPr>
        <w:t>MedEdPublish,</w:t>
      </w:r>
      <w:r>
        <w:rPr>
          <w:rFonts w:ascii="Calibri" w:hAnsi="Calibri" w:cs="Calibri"/>
          <w:sz w:val="24"/>
          <w:szCs w:val="24"/>
        </w:rPr>
        <w:t xml:space="preserve"> 7(1). </w:t>
      </w:r>
    </w:p>
    <w:p w14:paraId="3B7129D8" w14:textId="2B525213" w:rsidR="001D4AE5" w:rsidRDefault="00391706" w:rsidP="001D4AE5">
      <w:pPr>
        <w:pStyle w:val="ListParagraph"/>
        <w:spacing w:line="360" w:lineRule="auto"/>
        <w:rPr>
          <w:rFonts w:ascii="Calibri" w:hAnsi="Calibri" w:cs="Calibri"/>
          <w:sz w:val="24"/>
          <w:szCs w:val="24"/>
        </w:rPr>
      </w:pPr>
      <w:r>
        <w:rPr>
          <w:rFonts w:ascii="Calibri" w:hAnsi="Calibri" w:cs="Calibri"/>
          <w:sz w:val="24"/>
          <w:szCs w:val="24"/>
        </w:rPr>
        <w:t>Available at: ht</w:t>
      </w:r>
      <w:r w:rsidR="001D4AE5">
        <w:rPr>
          <w:rFonts w:ascii="Calibri" w:hAnsi="Calibri" w:cs="Calibri"/>
          <w:sz w:val="24"/>
          <w:szCs w:val="24"/>
        </w:rPr>
        <w:t>tp</w:t>
      </w:r>
      <w:r>
        <w:rPr>
          <w:rFonts w:ascii="Calibri" w:hAnsi="Calibri" w:cs="Calibri"/>
          <w:sz w:val="24"/>
          <w:szCs w:val="24"/>
        </w:rPr>
        <w:t>s://doi.org/10.15694/mep</w:t>
      </w:r>
      <w:r w:rsidR="001D4AE5">
        <w:rPr>
          <w:rFonts w:ascii="Calibri" w:hAnsi="Calibri" w:cs="Calibri"/>
          <w:sz w:val="24"/>
          <w:szCs w:val="24"/>
        </w:rPr>
        <w:t>.2018.0000059.1.</w:t>
      </w:r>
      <w:r w:rsidR="00CF596E">
        <w:rPr>
          <w:rFonts w:ascii="Calibri" w:hAnsi="Calibri" w:cs="Calibri"/>
          <w:sz w:val="24"/>
          <w:szCs w:val="24"/>
        </w:rPr>
        <w:t xml:space="preserve"> </w:t>
      </w:r>
    </w:p>
    <w:p w14:paraId="3808C9A7" w14:textId="77777777" w:rsidR="00CF596E" w:rsidRDefault="00CF596E" w:rsidP="001D4AE5">
      <w:pPr>
        <w:pStyle w:val="ListParagraph"/>
        <w:spacing w:line="360" w:lineRule="auto"/>
        <w:rPr>
          <w:rFonts w:ascii="Calibri" w:hAnsi="Calibri" w:cs="Calibri"/>
          <w:sz w:val="24"/>
          <w:szCs w:val="24"/>
        </w:rPr>
      </w:pPr>
    </w:p>
    <w:p w14:paraId="5C0859B1" w14:textId="7082F650" w:rsidR="001D4AE5" w:rsidRDefault="001D4AE5" w:rsidP="00CF596E">
      <w:pPr>
        <w:pStyle w:val="ListParagraph"/>
        <w:spacing w:line="360" w:lineRule="auto"/>
        <w:rPr>
          <w:rFonts w:ascii="Calibri" w:hAnsi="Calibri" w:cs="Calibri"/>
          <w:sz w:val="24"/>
          <w:szCs w:val="24"/>
        </w:rPr>
      </w:pPr>
      <w:r>
        <w:rPr>
          <w:rFonts w:ascii="Calibri" w:hAnsi="Calibri" w:cs="Calibri"/>
          <w:sz w:val="24"/>
          <w:szCs w:val="24"/>
        </w:rPr>
        <w:t xml:space="preserve">YEC (2021). </w:t>
      </w:r>
      <w:r w:rsidRPr="00CF596E">
        <w:rPr>
          <w:rFonts w:ascii="Calibri" w:hAnsi="Calibri" w:cs="Calibri"/>
          <w:i/>
          <w:iCs/>
          <w:sz w:val="24"/>
          <w:szCs w:val="24"/>
        </w:rPr>
        <w:t>Council Post: How Advanced Medical Technologies are Changing the Healthcare Landscape.</w:t>
      </w:r>
      <w:r>
        <w:rPr>
          <w:rFonts w:ascii="Calibri" w:hAnsi="Calibri" w:cs="Calibri"/>
          <w:sz w:val="24"/>
          <w:szCs w:val="24"/>
        </w:rPr>
        <w:t xml:space="preserve"> [online] Forbes. </w:t>
      </w:r>
    </w:p>
    <w:p w14:paraId="346A2815" w14:textId="5D6AD9F1" w:rsidR="001D4AE5" w:rsidRDefault="001D4AE5" w:rsidP="001D4AE5">
      <w:pPr>
        <w:pStyle w:val="ListParagraph"/>
        <w:spacing w:line="360" w:lineRule="auto"/>
        <w:rPr>
          <w:rFonts w:ascii="Calibri" w:hAnsi="Calibri" w:cs="Calibri"/>
          <w:sz w:val="24"/>
          <w:szCs w:val="24"/>
        </w:rPr>
      </w:pPr>
      <w:r>
        <w:rPr>
          <w:rFonts w:ascii="Calibri" w:hAnsi="Calibri" w:cs="Calibri"/>
          <w:sz w:val="24"/>
          <w:szCs w:val="24"/>
        </w:rPr>
        <w:t xml:space="preserve">Available at: </w:t>
      </w:r>
      <w:r w:rsidRPr="00CF596E">
        <w:rPr>
          <w:rFonts w:ascii="Calibri" w:hAnsi="Calibri" w:cs="Calibri"/>
          <w:sz w:val="24"/>
          <w:szCs w:val="24"/>
        </w:rPr>
        <w:t>https://www.forbes.com/sites/theyec/2021/07/08/how-advanced-medical-technologies-are-changing-the-healthcare-landscape/</w:t>
      </w:r>
      <w:r>
        <w:rPr>
          <w:rFonts w:ascii="Calibri" w:hAnsi="Calibri" w:cs="Calibri"/>
          <w:sz w:val="24"/>
          <w:szCs w:val="24"/>
        </w:rPr>
        <w:t xml:space="preserve">. </w:t>
      </w:r>
      <w:r w:rsidR="00CF596E">
        <w:rPr>
          <w:rFonts w:ascii="Calibri" w:hAnsi="Calibri" w:cs="Calibri"/>
          <w:sz w:val="24"/>
          <w:szCs w:val="24"/>
        </w:rPr>
        <w:t xml:space="preserve"> </w:t>
      </w:r>
    </w:p>
    <w:p w14:paraId="27B2206F" w14:textId="77777777" w:rsidR="00CF596E" w:rsidRDefault="00CF596E" w:rsidP="001D4AE5">
      <w:pPr>
        <w:pStyle w:val="ListParagraph"/>
        <w:spacing w:line="360" w:lineRule="auto"/>
        <w:rPr>
          <w:rFonts w:ascii="Calibri" w:hAnsi="Calibri" w:cs="Calibri"/>
          <w:sz w:val="24"/>
          <w:szCs w:val="24"/>
        </w:rPr>
      </w:pPr>
    </w:p>
    <w:p w14:paraId="2DBDDCCE" w14:textId="5FC06214" w:rsidR="001D4AE5" w:rsidRDefault="001D4AE5" w:rsidP="00CF596E">
      <w:pPr>
        <w:pStyle w:val="ListParagraph"/>
        <w:spacing w:line="360" w:lineRule="auto"/>
        <w:rPr>
          <w:rFonts w:ascii="Calibri" w:hAnsi="Calibri" w:cs="Calibri"/>
          <w:sz w:val="24"/>
          <w:szCs w:val="24"/>
        </w:rPr>
      </w:pPr>
      <w:r>
        <w:rPr>
          <w:rFonts w:ascii="Calibri" w:hAnsi="Calibri" w:cs="Calibri"/>
          <w:sz w:val="24"/>
          <w:szCs w:val="24"/>
        </w:rPr>
        <w:t xml:space="preserve">Zhenjing, G., Chupradit, S., Ku, K.Y., Nassani, A.A. and Haffar, M. (2022). Impact of employees’ workplace environment on employees’ performance: A multi-meditation model. </w:t>
      </w:r>
      <w:r w:rsidRPr="00CF596E">
        <w:rPr>
          <w:rFonts w:ascii="Calibri" w:hAnsi="Calibri" w:cs="Calibri"/>
          <w:i/>
          <w:iCs/>
          <w:sz w:val="24"/>
          <w:szCs w:val="24"/>
        </w:rPr>
        <w:t>Frontiers in Public Health</w:t>
      </w:r>
      <w:r>
        <w:rPr>
          <w:rFonts w:ascii="Calibri" w:hAnsi="Calibri" w:cs="Calibri"/>
          <w:sz w:val="24"/>
          <w:szCs w:val="24"/>
        </w:rPr>
        <w:t xml:space="preserve">, [online] 10(890400). </w:t>
      </w:r>
    </w:p>
    <w:p w14:paraId="1DF12A2C" w14:textId="66B3BB71" w:rsidR="001D4AE5" w:rsidRDefault="001D4AE5" w:rsidP="001D4AE5">
      <w:pPr>
        <w:pStyle w:val="ListParagraph"/>
        <w:spacing w:line="360" w:lineRule="auto"/>
        <w:rPr>
          <w:rFonts w:ascii="Calibri" w:hAnsi="Calibri" w:cs="Calibri"/>
          <w:sz w:val="24"/>
          <w:szCs w:val="24"/>
        </w:rPr>
      </w:pPr>
      <w:r>
        <w:rPr>
          <w:rFonts w:ascii="Calibri" w:hAnsi="Calibri" w:cs="Calibri"/>
          <w:sz w:val="24"/>
          <w:szCs w:val="24"/>
        </w:rPr>
        <w:t xml:space="preserve">Available at: </w:t>
      </w:r>
      <w:r w:rsidRPr="00CF596E">
        <w:rPr>
          <w:rFonts w:ascii="Calibri" w:hAnsi="Calibri" w:cs="Calibri"/>
          <w:sz w:val="24"/>
          <w:szCs w:val="24"/>
        </w:rPr>
        <w:t>https://doi.org/10.3389/fpubh.2022.890400</w:t>
      </w:r>
      <w:r>
        <w:rPr>
          <w:rFonts w:ascii="Calibri" w:hAnsi="Calibri" w:cs="Calibri"/>
          <w:sz w:val="24"/>
          <w:szCs w:val="24"/>
        </w:rPr>
        <w:t xml:space="preserve">. </w:t>
      </w:r>
    </w:p>
    <w:p w14:paraId="63EC68B7" w14:textId="77777777" w:rsidR="001D4AE5" w:rsidRPr="001D4AE5" w:rsidRDefault="001D4AE5" w:rsidP="001D4AE5">
      <w:pPr>
        <w:pStyle w:val="ListParagraph"/>
        <w:spacing w:line="360" w:lineRule="auto"/>
        <w:rPr>
          <w:rFonts w:ascii="Calibri" w:hAnsi="Calibri" w:cs="Calibri"/>
          <w:sz w:val="24"/>
          <w:szCs w:val="24"/>
        </w:rPr>
      </w:pPr>
    </w:p>
    <w:p w14:paraId="14392830" w14:textId="77777777" w:rsidR="001D4AE5" w:rsidRPr="00391706" w:rsidRDefault="001D4AE5" w:rsidP="00391706">
      <w:pPr>
        <w:pStyle w:val="ListParagraph"/>
        <w:spacing w:line="360" w:lineRule="auto"/>
        <w:rPr>
          <w:rFonts w:ascii="Calibri" w:hAnsi="Calibri" w:cs="Calibri"/>
          <w:sz w:val="24"/>
          <w:szCs w:val="24"/>
        </w:rPr>
      </w:pPr>
    </w:p>
    <w:p w14:paraId="59664AC1" w14:textId="77777777" w:rsidR="00391706" w:rsidRPr="006F5687" w:rsidRDefault="00391706" w:rsidP="00391706">
      <w:pPr>
        <w:pStyle w:val="ListParagraph"/>
        <w:spacing w:line="360" w:lineRule="auto"/>
        <w:rPr>
          <w:rFonts w:ascii="Calibri" w:hAnsi="Calibri" w:cs="Calibri"/>
          <w:sz w:val="24"/>
          <w:szCs w:val="24"/>
        </w:rPr>
      </w:pPr>
    </w:p>
    <w:p w14:paraId="57DFB6F6" w14:textId="77777777" w:rsidR="0014690F" w:rsidRDefault="0014690F" w:rsidP="00134AD6">
      <w:pPr>
        <w:spacing w:line="360" w:lineRule="auto"/>
        <w:rPr>
          <w:rFonts w:ascii="Calibri" w:hAnsi="Calibri" w:cs="Calibri"/>
          <w:sz w:val="24"/>
          <w:szCs w:val="24"/>
        </w:rPr>
      </w:pPr>
    </w:p>
    <w:p w14:paraId="577303D7" w14:textId="77777777" w:rsidR="00550501" w:rsidRDefault="00550501" w:rsidP="00134AD6">
      <w:pPr>
        <w:spacing w:line="360" w:lineRule="auto"/>
        <w:rPr>
          <w:rFonts w:ascii="Calibri" w:hAnsi="Calibri" w:cs="Calibri"/>
          <w:sz w:val="24"/>
          <w:szCs w:val="24"/>
        </w:rPr>
      </w:pPr>
    </w:p>
    <w:p w14:paraId="15173EC0" w14:textId="77777777" w:rsidR="00F817A2" w:rsidRDefault="00F817A2" w:rsidP="00134AD6">
      <w:pPr>
        <w:spacing w:line="360" w:lineRule="auto"/>
        <w:rPr>
          <w:rFonts w:ascii="Calibri" w:hAnsi="Calibri" w:cs="Calibri"/>
          <w:sz w:val="24"/>
          <w:szCs w:val="24"/>
        </w:rPr>
      </w:pPr>
    </w:p>
    <w:p w14:paraId="4191050D" w14:textId="77777777" w:rsidR="00A732F3" w:rsidRPr="00134AD6" w:rsidRDefault="00A732F3" w:rsidP="00134AD6">
      <w:pPr>
        <w:spacing w:line="360" w:lineRule="auto"/>
        <w:rPr>
          <w:rFonts w:ascii="Calibri" w:hAnsi="Calibri" w:cs="Calibri"/>
          <w:sz w:val="24"/>
          <w:szCs w:val="24"/>
        </w:rPr>
      </w:pPr>
    </w:p>
    <w:sectPr w:rsidR="00A732F3" w:rsidRPr="00134A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5F2B27"/>
    <w:multiLevelType w:val="hybridMultilevel"/>
    <w:tmpl w:val="3476E5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1354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AD6"/>
    <w:rsid w:val="00134AD6"/>
    <w:rsid w:val="00146466"/>
    <w:rsid w:val="0014690F"/>
    <w:rsid w:val="00171E2B"/>
    <w:rsid w:val="001D4AE5"/>
    <w:rsid w:val="00391706"/>
    <w:rsid w:val="00493FB3"/>
    <w:rsid w:val="00550501"/>
    <w:rsid w:val="0058612E"/>
    <w:rsid w:val="005D0403"/>
    <w:rsid w:val="00697F65"/>
    <w:rsid w:val="006F5687"/>
    <w:rsid w:val="007217EE"/>
    <w:rsid w:val="008037EE"/>
    <w:rsid w:val="008436F0"/>
    <w:rsid w:val="00854663"/>
    <w:rsid w:val="00910C0F"/>
    <w:rsid w:val="009879C7"/>
    <w:rsid w:val="009F49B3"/>
    <w:rsid w:val="00A140A7"/>
    <w:rsid w:val="00A732F3"/>
    <w:rsid w:val="00A81521"/>
    <w:rsid w:val="00A9481D"/>
    <w:rsid w:val="00CF596E"/>
    <w:rsid w:val="00D135F5"/>
    <w:rsid w:val="00D24EC3"/>
    <w:rsid w:val="00D854CD"/>
    <w:rsid w:val="00E06F13"/>
    <w:rsid w:val="00EC173C"/>
    <w:rsid w:val="00F05DFE"/>
    <w:rsid w:val="00F347E7"/>
    <w:rsid w:val="00F817A2"/>
    <w:rsid w:val="00FA4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F2D28"/>
  <w15:chartTrackingRefBased/>
  <w15:docId w15:val="{B13BF2E6-FAC1-4F64-89EE-FACE31CAC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4A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4A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4A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4A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4A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4A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4A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4A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4A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4A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4A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4A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4A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4A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4A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4A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4A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4AD6"/>
    <w:rPr>
      <w:rFonts w:eastAsiaTheme="majorEastAsia" w:cstheme="majorBidi"/>
      <w:color w:val="272727" w:themeColor="text1" w:themeTint="D8"/>
    </w:rPr>
  </w:style>
  <w:style w:type="paragraph" w:styleId="Title">
    <w:name w:val="Title"/>
    <w:basedOn w:val="Normal"/>
    <w:next w:val="Normal"/>
    <w:link w:val="TitleChar"/>
    <w:uiPriority w:val="10"/>
    <w:qFormat/>
    <w:rsid w:val="00134A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4A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4A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4A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4AD6"/>
    <w:pPr>
      <w:spacing w:before="160"/>
      <w:jc w:val="center"/>
    </w:pPr>
    <w:rPr>
      <w:i/>
      <w:iCs/>
      <w:color w:val="404040" w:themeColor="text1" w:themeTint="BF"/>
    </w:rPr>
  </w:style>
  <w:style w:type="character" w:customStyle="1" w:styleId="QuoteChar">
    <w:name w:val="Quote Char"/>
    <w:basedOn w:val="DefaultParagraphFont"/>
    <w:link w:val="Quote"/>
    <w:uiPriority w:val="29"/>
    <w:rsid w:val="00134AD6"/>
    <w:rPr>
      <w:i/>
      <w:iCs/>
      <w:color w:val="404040" w:themeColor="text1" w:themeTint="BF"/>
    </w:rPr>
  </w:style>
  <w:style w:type="paragraph" w:styleId="ListParagraph">
    <w:name w:val="List Paragraph"/>
    <w:basedOn w:val="Normal"/>
    <w:uiPriority w:val="34"/>
    <w:qFormat/>
    <w:rsid w:val="00134AD6"/>
    <w:pPr>
      <w:ind w:left="720"/>
      <w:contextualSpacing/>
    </w:pPr>
  </w:style>
  <w:style w:type="character" w:styleId="IntenseEmphasis">
    <w:name w:val="Intense Emphasis"/>
    <w:basedOn w:val="DefaultParagraphFont"/>
    <w:uiPriority w:val="21"/>
    <w:qFormat/>
    <w:rsid w:val="00134AD6"/>
    <w:rPr>
      <w:i/>
      <w:iCs/>
      <w:color w:val="0F4761" w:themeColor="accent1" w:themeShade="BF"/>
    </w:rPr>
  </w:style>
  <w:style w:type="paragraph" w:styleId="IntenseQuote">
    <w:name w:val="Intense Quote"/>
    <w:basedOn w:val="Normal"/>
    <w:next w:val="Normal"/>
    <w:link w:val="IntenseQuoteChar"/>
    <w:uiPriority w:val="30"/>
    <w:qFormat/>
    <w:rsid w:val="00134A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4AD6"/>
    <w:rPr>
      <w:i/>
      <w:iCs/>
      <w:color w:val="0F4761" w:themeColor="accent1" w:themeShade="BF"/>
    </w:rPr>
  </w:style>
  <w:style w:type="character" w:styleId="IntenseReference">
    <w:name w:val="Intense Reference"/>
    <w:basedOn w:val="DefaultParagraphFont"/>
    <w:uiPriority w:val="32"/>
    <w:qFormat/>
    <w:rsid w:val="00134AD6"/>
    <w:rPr>
      <w:b/>
      <w:bCs/>
      <w:smallCaps/>
      <w:color w:val="0F4761" w:themeColor="accent1" w:themeShade="BF"/>
      <w:spacing w:val="5"/>
    </w:rPr>
  </w:style>
  <w:style w:type="character" w:styleId="Hyperlink">
    <w:name w:val="Hyperlink"/>
    <w:basedOn w:val="DefaultParagraphFont"/>
    <w:uiPriority w:val="99"/>
    <w:unhideWhenUsed/>
    <w:rsid w:val="006F5687"/>
    <w:rPr>
      <w:color w:val="467886" w:themeColor="hyperlink"/>
      <w:u w:val="single"/>
    </w:rPr>
  </w:style>
  <w:style w:type="character" w:styleId="UnresolvedMention">
    <w:name w:val="Unresolved Mention"/>
    <w:basedOn w:val="DefaultParagraphFont"/>
    <w:uiPriority w:val="99"/>
    <w:semiHidden/>
    <w:unhideWhenUsed/>
    <w:rsid w:val="006F56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5</Pages>
  <Words>1489</Words>
  <Characters>8491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Cojocariu</dc:creator>
  <cp:keywords/>
  <dc:description/>
  <cp:lastModifiedBy>Maria Cojocariu</cp:lastModifiedBy>
  <cp:revision>17</cp:revision>
  <dcterms:created xsi:type="dcterms:W3CDTF">2024-04-23T07:51:00Z</dcterms:created>
  <dcterms:modified xsi:type="dcterms:W3CDTF">2024-05-01T14:17:00Z</dcterms:modified>
</cp:coreProperties>
</file>