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C20E4" w14:textId="5389F11F" w:rsidR="00274E66" w:rsidRPr="009E413D" w:rsidRDefault="498E9DC4" w:rsidP="009E413D">
      <w:pPr>
        <w:spacing w:line="360" w:lineRule="auto"/>
        <w:rPr>
          <w:rFonts w:eastAsiaTheme="minorEastAsia" w:cstheme="minorHAnsi"/>
          <w:sz w:val="22"/>
          <w:szCs w:val="22"/>
        </w:rPr>
      </w:pPr>
      <w:r w:rsidRPr="009E413D">
        <w:rPr>
          <w:rFonts w:eastAsiaTheme="minorEastAsia" w:cstheme="minorHAnsi"/>
          <w:sz w:val="22"/>
          <w:szCs w:val="22"/>
        </w:rPr>
        <w:t>Student name: Desislava Markova</w:t>
      </w:r>
    </w:p>
    <w:p w14:paraId="7A03A981" w14:textId="414C65C9" w:rsidR="00274E66" w:rsidRPr="009E413D" w:rsidRDefault="498E9DC4" w:rsidP="009E413D">
      <w:pPr>
        <w:spacing w:line="360" w:lineRule="auto"/>
        <w:rPr>
          <w:rFonts w:eastAsiaTheme="minorEastAsia" w:cstheme="minorHAnsi"/>
          <w:sz w:val="22"/>
          <w:szCs w:val="22"/>
        </w:rPr>
      </w:pPr>
      <w:r w:rsidRPr="009E413D">
        <w:rPr>
          <w:rFonts w:eastAsiaTheme="minorEastAsia" w:cstheme="minorHAnsi"/>
          <w:sz w:val="22"/>
          <w:szCs w:val="22"/>
        </w:rPr>
        <w:t>Student number: 2512936</w:t>
      </w:r>
    </w:p>
    <w:p w14:paraId="1B3BE351" w14:textId="2D17E81B" w:rsidR="00274E66" w:rsidRPr="009E413D" w:rsidRDefault="498E9DC4" w:rsidP="009E413D">
      <w:pPr>
        <w:spacing w:line="360" w:lineRule="auto"/>
        <w:rPr>
          <w:rFonts w:eastAsiaTheme="minorEastAsia" w:cstheme="minorHAnsi"/>
          <w:sz w:val="22"/>
          <w:szCs w:val="22"/>
        </w:rPr>
      </w:pPr>
      <w:r w:rsidRPr="009E413D">
        <w:rPr>
          <w:rFonts w:eastAsiaTheme="minorEastAsia" w:cstheme="minorHAnsi"/>
          <w:sz w:val="22"/>
          <w:szCs w:val="22"/>
        </w:rPr>
        <w:t xml:space="preserve">The module code and title: </w:t>
      </w:r>
      <w:r w:rsidR="1C414A02" w:rsidRPr="009E413D">
        <w:rPr>
          <w:rFonts w:eastAsiaTheme="minorEastAsia" w:cstheme="minorHAnsi"/>
          <w:sz w:val="22"/>
          <w:szCs w:val="22"/>
        </w:rPr>
        <w:t>LCHS7000</w:t>
      </w:r>
      <w:r w:rsidRPr="009E413D">
        <w:rPr>
          <w:rFonts w:eastAsiaTheme="minorEastAsia" w:cstheme="minorHAnsi"/>
          <w:sz w:val="22"/>
          <w:szCs w:val="22"/>
        </w:rPr>
        <w:t>, Social Epidemiology and Public Health Development</w:t>
      </w:r>
    </w:p>
    <w:p w14:paraId="237F4F43" w14:textId="431D8ACD" w:rsidR="00274E66" w:rsidRPr="009E413D" w:rsidRDefault="498E9DC4" w:rsidP="009E413D">
      <w:pPr>
        <w:spacing w:line="360" w:lineRule="auto"/>
        <w:rPr>
          <w:rFonts w:eastAsiaTheme="minorEastAsia" w:cstheme="minorHAnsi"/>
          <w:sz w:val="22"/>
          <w:szCs w:val="22"/>
        </w:rPr>
      </w:pPr>
      <w:r w:rsidRPr="009E413D">
        <w:rPr>
          <w:rFonts w:eastAsiaTheme="minorEastAsia" w:cstheme="minorHAnsi"/>
          <w:sz w:val="22"/>
          <w:szCs w:val="22"/>
        </w:rPr>
        <w:t>Lecturer’s name: Dr Hamdi Hussain</w:t>
      </w:r>
    </w:p>
    <w:p w14:paraId="6E89D006" w14:textId="7FEEC88C" w:rsidR="00274E66" w:rsidRPr="009E413D" w:rsidRDefault="498E9DC4" w:rsidP="009E413D">
      <w:pPr>
        <w:spacing w:line="360" w:lineRule="auto"/>
        <w:rPr>
          <w:rFonts w:eastAsiaTheme="minorEastAsia" w:cstheme="minorHAnsi"/>
          <w:sz w:val="22"/>
          <w:szCs w:val="22"/>
        </w:rPr>
      </w:pPr>
      <w:r w:rsidRPr="009E413D">
        <w:rPr>
          <w:rFonts w:eastAsiaTheme="minorEastAsia" w:cstheme="minorHAnsi"/>
          <w:sz w:val="22"/>
          <w:szCs w:val="22"/>
        </w:rPr>
        <w:t>Assessment title: Component 2 Analytical Report</w:t>
      </w:r>
    </w:p>
    <w:p w14:paraId="12882934" w14:textId="4E351E2C" w:rsidR="00274E66" w:rsidRPr="009E413D" w:rsidRDefault="00274E66" w:rsidP="009E413D">
      <w:pPr>
        <w:spacing w:line="360" w:lineRule="auto"/>
        <w:rPr>
          <w:rFonts w:eastAsiaTheme="minorEastAsia" w:cstheme="minorHAnsi"/>
          <w:sz w:val="22"/>
          <w:szCs w:val="22"/>
        </w:rPr>
      </w:pPr>
    </w:p>
    <w:p w14:paraId="1FDB118A" w14:textId="209DB6B6" w:rsidR="6FCAF703" w:rsidRPr="009E413D" w:rsidRDefault="6FCAF703" w:rsidP="009E413D">
      <w:pPr>
        <w:spacing w:line="360" w:lineRule="auto"/>
        <w:rPr>
          <w:rFonts w:eastAsiaTheme="minorEastAsia" w:cstheme="minorHAnsi"/>
          <w:sz w:val="22"/>
          <w:szCs w:val="22"/>
        </w:rPr>
      </w:pPr>
    </w:p>
    <w:p w14:paraId="1C2F6890" w14:textId="745E1FF9" w:rsidR="6FCAF703" w:rsidRPr="009E413D" w:rsidRDefault="6FCAF703" w:rsidP="009E413D">
      <w:pPr>
        <w:spacing w:line="360" w:lineRule="auto"/>
        <w:rPr>
          <w:rFonts w:eastAsiaTheme="minorEastAsia" w:cstheme="minorHAnsi"/>
          <w:sz w:val="22"/>
          <w:szCs w:val="22"/>
        </w:rPr>
      </w:pPr>
    </w:p>
    <w:p w14:paraId="4BEF9098" w14:textId="0C565AEA" w:rsidR="6FCAF703" w:rsidRPr="009E413D" w:rsidRDefault="6FCAF703" w:rsidP="009E413D">
      <w:pPr>
        <w:spacing w:line="360" w:lineRule="auto"/>
        <w:rPr>
          <w:rFonts w:eastAsiaTheme="minorEastAsia" w:cstheme="minorHAnsi"/>
          <w:sz w:val="22"/>
          <w:szCs w:val="22"/>
        </w:rPr>
      </w:pPr>
    </w:p>
    <w:p w14:paraId="7D43FB54" w14:textId="71B40BE5" w:rsidR="6FCAF703" w:rsidRPr="009E413D" w:rsidRDefault="6FCAF703" w:rsidP="009E413D">
      <w:pPr>
        <w:spacing w:line="360" w:lineRule="auto"/>
        <w:rPr>
          <w:rFonts w:eastAsiaTheme="minorEastAsia" w:cstheme="minorHAnsi"/>
          <w:sz w:val="22"/>
          <w:szCs w:val="22"/>
        </w:rPr>
      </w:pPr>
    </w:p>
    <w:p w14:paraId="248085BB" w14:textId="17E349B5" w:rsidR="6FCAF703" w:rsidRPr="009E413D" w:rsidRDefault="6FCAF703" w:rsidP="009E413D">
      <w:pPr>
        <w:spacing w:line="360" w:lineRule="auto"/>
        <w:rPr>
          <w:rFonts w:eastAsiaTheme="minorEastAsia" w:cstheme="minorHAnsi"/>
          <w:sz w:val="22"/>
          <w:szCs w:val="22"/>
        </w:rPr>
      </w:pPr>
    </w:p>
    <w:p w14:paraId="5C17E5AE" w14:textId="21EC7DED" w:rsidR="6FCAF703" w:rsidRPr="009E413D" w:rsidRDefault="6FCAF703" w:rsidP="009E413D">
      <w:pPr>
        <w:spacing w:line="360" w:lineRule="auto"/>
        <w:rPr>
          <w:rFonts w:eastAsiaTheme="minorEastAsia" w:cstheme="minorHAnsi"/>
          <w:sz w:val="22"/>
          <w:szCs w:val="22"/>
        </w:rPr>
      </w:pPr>
    </w:p>
    <w:p w14:paraId="6F0C0B2E" w14:textId="53E1C31C" w:rsidR="6FCAF703" w:rsidRPr="009E413D" w:rsidRDefault="6FCAF703" w:rsidP="009E413D">
      <w:pPr>
        <w:spacing w:line="360" w:lineRule="auto"/>
        <w:rPr>
          <w:rFonts w:eastAsiaTheme="minorEastAsia" w:cstheme="minorHAnsi"/>
          <w:sz w:val="22"/>
          <w:szCs w:val="22"/>
        </w:rPr>
      </w:pPr>
    </w:p>
    <w:p w14:paraId="48F58D54" w14:textId="6C4BDFC5" w:rsidR="6FCAF703" w:rsidRPr="009E413D" w:rsidRDefault="6FCAF703" w:rsidP="009E413D">
      <w:pPr>
        <w:spacing w:line="360" w:lineRule="auto"/>
        <w:rPr>
          <w:rFonts w:eastAsiaTheme="minorEastAsia" w:cstheme="minorHAnsi"/>
          <w:sz w:val="22"/>
          <w:szCs w:val="22"/>
        </w:rPr>
      </w:pPr>
    </w:p>
    <w:p w14:paraId="3C9C4F4B" w14:textId="3093703D" w:rsidR="6FCAF703" w:rsidRPr="009E413D" w:rsidRDefault="6FCAF703" w:rsidP="009E413D">
      <w:pPr>
        <w:spacing w:line="360" w:lineRule="auto"/>
        <w:rPr>
          <w:rFonts w:eastAsiaTheme="minorEastAsia" w:cstheme="minorHAnsi"/>
          <w:sz w:val="22"/>
          <w:szCs w:val="22"/>
        </w:rPr>
      </w:pPr>
    </w:p>
    <w:p w14:paraId="0CFF49A3" w14:textId="23C29E2A" w:rsidR="6FCAF703" w:rsidRPr="009E413D" w:rsidRDefault="6FCAF703" w:rsidP="009E413D">
      <w:pPr>
        <w:spacing w:line="360" w:lineRule="auto"/>
        <w:rPr>
          <w:rFonts w:eastAsiaTheme="minorEastAsia" w:cstheme="minorHAnsi"/>
          <w:sz w:val="22"/>
          <w:szCs w:val="22"/>
        </w:rPr>
      </w:pPr>
    </w:p>
    <w:p w14:paraId="02E6F600" w14:textId="06654C44" w:rsidR="6FCAF703" w:rsidRPr="009E413D" w:rsidRDefault="6FCAF703" w:rsidP="009E413D">
      <w:pPr>
        <w:spacing w:line="360" w:lineRule="auto"/>
        <w:rPr>
          <w:rFonts w:eastAsiaTheme="minorEastAsia" w:cstheme="minorHAnsi"/>
          <w:sz w:val="22"/>
          <w:szCs w:val="22"/>
        </w:rPr>
      </w:pPr>
    </w:p>
    <w:p w14:paraId="0C8FE9ED" w14:textId="33B09A49" w:rsidR="6FCAF703" w:rsidRPr="009E413D" w:rsidRDefault="6FCAF703" w:rsidP="009E413D">
      <w:pPr>
        <w:spacing w:line="360" w:lineRule="auto"/>
        <w:rPr>
          <w:rFonts w:eastAsiaTheme="minorEastAsia" w:cstheme="minorHAnsi"/>
          <w:sz w:val="22"/>
          <w:szCs w:val="22"/>
        </w:rPr>
      </w:pPr>
    </w:p>
    <w:p w14:paraId="2984D42B" w14:textId="3ED66D72" w:rsidR="6FCAF703" w:rsidRPr="009E413D" w:rsidRDefault="6FCAF703" w:rsidP="009E413D">
      <w:pPr>
        <w:spacing w:line="360" w:lineRule="auto"/>
        <w:rPr>
          <w:rFonts w:eastAsiaTheme="minorEastAsia" w:cstheme="minorHAnsi"/>
          <w:sz w:val="22"/>
          <w:szCs w:val="22"/>
        </w:rPr>
      </w:pPr>
    </w:p>
    <w:p w14:paraId="5785F556" w14:textId="1F76FA6B" w:rsidR="6FCAF703" w:rsidRPr="009E413D" w:rsidRDefault="6FCAF703" w:rsidP="009E413D">
      <w:pPr>
        <w:spacing w:line="360" w:lineRule="auto"/>
        <w:rPr>
          <w:rFonts w:eastAsiaTheme="minorEastAsia" w:cstheme="minorHAnsi"/>
          <w:sz w:val="22"/>
          <w:szCs w:val="22"/>
        </w:rPr>
      </w:pPr>
    </w:p>
    <w:p w14:paraId="7C1D4061" w14:textId="2B7D4130" w:rsidR="6FCAF703" w:rsidRPr="009E413D" w:rsidRDefault="6FCAF703" w:rsidP="009E413D">
      <w:pPr>
        <w:spacing w:line="360" w:lineRule="auto"/>
        <w:rPr>
          <w:rFonts w:eastAsiaTheme="minorEastAsia" w:cstheme="minorHAnsi"/>
          <w:sz w:val="22"/>
          <w:szCs w:val="22"/>
        </w:rPr>
      </w:pPr>
    </w:p>
    <w:p w14:paraId="76F570C7" w14:textId="42EE09B6" w:rsidR="6FCAF703" w:rsidRPr="009E413D" w:rsidRDefault="6FCAF703" w:rsidP="009E413D">
      <w:pPr>
        <w:spacing w:line="360" w:lineRule="auto"/>
        <w:rPr>
          <w:rFonts w:eastAsiaTheme="minorEastAsia" w:cstheme="minorHAnsi"/>
          <w:sz w:val="22"/>
          <w:szCs w:val="22"/>
        </w:rPr>
      </w:pPr>
    </w:p>
    <w:p w14:paraId="4D564A02" w14:textId="4AF5149E" w:rsidR="6FCAF703" w:rsidRPr="009E413D" w:rsidRDefault="6FCAF703" w:rsidP="009E413D">
      <w:pPr>
        <w:spacing w:line="360" w:lineRule="auto"/>
        <w:rPr>
          <w:rFonts w:eastAsiaTheme="minorEastAsia" w:cstheme="minorHAnsi"/>
          <w:sz w:val="22"/>
          <w:szCs w:val="22"/>
        </w:rPr>
      </w:pPr>
    </w:p>
    <w:p w14:paraId="5FB8A27F" w14:textId="4242EB69" w:rsidR="6FCAF703" w:rsidRPr="009E413D" w:rsidRDefault="6FCAF703" w:rsidP="009E413D">
      <w:pPr>
        <w:spacing w:line="360" w:lineRule="auto"/>
        <w:rPr>
          <w:rFonts w:eastAsiaTheme="minorEastAsia" w:cstheme="minorHAnsi"/>
          <w:sz w:val="22"/>
          <w:szCs w:val="22"/>
        </w:rPr>
      </w:pPr>
    </w:p>
    <w:p w14:paraId="1DD826A4" w14:textId="3B7A009D" w:rsidR="6FCAF703" w:rsidRPr="009E413D" w:rsidRDefault="6FCAF703" w:rsidP="009E413D">
      <w:pPr>
        <w:spacing w:line="360" w:lineRule="auto"/>
        <w:rPr>
          <w:rFonts w:eastAsiaTheme="minorEastAsia" w:cstheme="minorHAnsi"/>
          <w:sz w:val="22"/>
          <w:szCs w:val="22"/>
        </w:rPr>
      </w:pPr>
    </w:p>
    <w:p w14:paraId="3B84E6AA" w14:textId="77777777" w:rsidR="002D3A36" w:rsidRPr="009E413D" w:rsidRDefault="002D3A36" w:rsidP="009E413D">
      <w:pPr>
        <w:spacing w:line="360" w:lineRule="auto"/>
        <w:rPr>
          <w:rFonts w:eastAsiaTheme="minorEastAsia" w:cstheme="minorHAnsi"/>
          <w:sz w:val="22"/>
          <w:szCs w:val="22"/>
          <w:lang w:val="en-GB"/>
        </w:rPr>
      </w:pPr>
    </w:p>
    <w:p w14:paraId="45DBB00B" w14:textId="1E44412C" w:rsidR="6FCAF703" w:rsidRPr="009E413D" w:rsidRDefault="65746E79" w:rsidP="009E413D">
      <w:pPr>
        <w:spacing w:line="360" w:lineRule="auto"/>
        <w:rPr>
          <w:rFonts w:eastAsia="Arial" w:cstheme="minorHAnsi"/>
          <w:b/>
          <w:bCs/>
          <w:sz w:val="22"/>
          <w:szCs w:val="22"/>
        </w:rPr>
      </w:pPr>
      <w:r w:rsidRPr="009E413D">
        <w:rPr>
          <w:rFonts w:eastAsia="Arial" w:cstheme="minorHAnsi"/>
          <w:b/>
          <w:bCs/>
          <w:sz w:val="22"/>
          <w:szCs w:val="22"/>
        </w:rPr>
        <w:lastRenderedPageBreak/>
        <w:t>Social Epidemiological Analysis</w:t>
      </w:r>
    </w:p>
    <w:p w14:paraId="6DDCA0CA" w14:textId="146C1D76"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Introduction</w:t>
      </w:r>
    </w:p>
    <w:p w14:paraId="5D1FA09A" w14:textId="0E15D1B9" w:rsidR="6FCAF703" w:rsidRPr="009E413D" w:rsidRDefault="1AEFF733"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Health inequalities refer to unfair and avoidable differences in health outcomes experienced by different groups within society (Public Health England, 2021). People with learning disabilities are a particularly vulnerable group who experience significant health inequalities compared with the general population (Public Health England, 2021). These inequalities arise due to barriers in accessing healthcare services, communication difficulties, social exclusion, and limited availability of appropriate support (Public Health England, 2021; NHS, 2023</w:t>
      </w:r>
      <w:r w:rsidR="002666FA" w:rsidRPr="009E413D">
        <w:rPr>
          <w:rFonts w:eastAsia="Arial" w:cstheme="minorHAnsi"/>
          <w:sz w:val="22"/>
          <w:szCs w:val="22"/>
          <w:lang w:val="en-US"/>
        </w:rPr>
        <w:t xml:space="preserve">; </w:t>
      </w:r>
      <w:r w:rsidR="002666FA" w:rsidRPr="009E413D">
        <w:rPr>
          <w:rStyle w:val="Strong"/>
          <w:rFonts w:cstheme="minorHAnsi"/>
          <w:b w:val="0"/>
          <w:bCs w:val="0"/>
          <w:sz w:val="22"/>
          <w:szCs w:val="22"/>
        </w:rPr>
        <w:t>NHS England, 2019</w:t>
      </w:r>
      <w:r w:rsidRPr="009E413D">
        <w:rPr>
          <w:rFonts w:eastAsia="Arial" w:cstheme="minorHAnsi"/>
          <w:sz w:val="22"/>
          <w:szCs w:val="22"/>
          <w:lang w:val="en-US"/>
        </w:rPr>
        <w:t>)</w:t>
      </w:r>
      <w:r w:rsidRPr="009E413D">
        <w:rPr>
          <w:rFonts w:eastAsia="Arial" w:cstheme="minorHAnsi"/>
          <w:b/>
          <w:bCs/>
          <w:sz w:val="22"/>
          <w:szCs w:val="22"/>
          <w:lang w:val="en-US"/>
        </w:rPr>
        <w:t>.</w:t>
      </w:r>
      <w:r w:rsidRPr="009E413D">
        <w:rPr>
          <w:rFonts w:eastAsia="Arial" w:cstheme="minorHAnsi"/>
          <w:sz w:val="22"/>
          <w:szCs w:val="22"/>
          <w:lang w:val="en-US"/>
        </w:rPr>
        <w:t xml:space="preserve"> As a result, individuals with learning disabilities are more likely to experience poorer physical and mental health outcomes and reduced quality of life (NHS, 2023).</w:t>
      </w:r>
    </w:p>
    <w:p w14:paraId="782D1149" w14:textId="526A54BD" w:rsidR="6FCAF703" w:rsidRPr="009E413D" w:rsidRDefault="1AEFF733"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According to the Women and Equalities Committee (2024), people with learning disabilities have a significantly lower life expectancy and experience a higher number of preventable deaths compared with the wider population (Women and Equalities Committee, 2024). Many of these deaths could be avoided through earlier diagnosis, improved access to healthcare services, and appropriate treatment (NHS, 2023; Public Health England, 2021). The Learning Disabilities Mortality Review (LeDeR) programme further highlights the gap in life expectancy between people with learning disabilities and the general population (NHS England, no date; Women and Equalities Committee, 2024).</w:t>
      </w:r>
    </w:p>
    <w:p w14:paraId="2DE5E125" w14:textId="0FE24A36" w:rsidR="6FCAF703" w:rsidRPr="009E413D" w:rsidRDefault="1AEFF733"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Additionally, individuals with learning disabilities from ethnic minority backgrounds may face even greater disparities in healthcare access and outcomes (Women and Equalities Committee, 2024; NHS, 2023). This further emphasises the need for targeted interventions and inclusive healthcare services (Public Health England, 2021).</w:t>
      </w:r>
    </w:p>
    <w:p w14:paraId="23731C5C" w14:textId="3824FFC2" w:rsidR="6FCAF703" w:rsidRPr="009E413D" w:rsidRDefault="6FCAF703" w:rsidP="009E413D">
      <w:pPr>
        <w:spacing w:line="360" w:lineRule="auto"/>
        <w:rPr>
          <w:rFonts w:cstheme="minorHAnsi"/>
          <w:sz w:val="22"/>
          <w:szCs w:val="22"/>
        </w:rPr>
      </w:pPr>
    </w:p>
    <w:p w14:paraId="7AD469D3" w14:textId="2E2EA886"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Respiratory illnesses</w:t>
      </w:r>
    </w:p>
    <w:p w14:paraId="1C323CD5" w14:textId="667856D7"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Respiratory disease is one of the leading causes of death among people with learning disabilities (NHS England, no date; NHS England, 2023). Evidence from the Learning Disabilities Mortality Review (LeDeR) shows that individuals with learning disabilities die significantly younger than the general population, with a median age of death of 62.9 years (Women and Equalities Committee, 2024; NHS England, 2023). Respiratory infections such as pneumonia and influenza are among the most common causes of death in this group (NHS England, no date; Public Health England, 2021</w:t>
      </w:r>
      <w:r w:rsidR="00A07495" w:rsidRPr="009E413D">
        <w:rPr>
          <w:rFonts w:eastAsia="Arial" w:cstheme="minorHAnsi"/>
          <w:sz w:val="22"/>
          <w:szCs w:val="22"/>
          <w:lang w:val="en-GB"/>
        </w:rPr>
        <w:t xml:space="preserve">; </w:t>
      </w:r>
      <w:r w:rsidR="00A07495" w:rsidRPr="009E413D">
        <w:rPr>
          <w:rFonts w:cstheme="minorHAnsi"/>
          <w:sz w:val="22"/>
          <w:szCs w:val="22"/>
        </w:rPr>
        <w:t>Heslop et al., 2021</w:t>
      </w:r>
      <w:r w:rsidRPr="009E413D">
        <w:rPr>
          <w:rFonts w:eastAsia="Arial" w:cstheme="minorHAnsi"/>
          <w:sz w:val="22"/>
          <w:szCs w:val="22"/>
        </w:rPr>
        <w:t>).</w:t>
      </w:r>
    </w:p>
    <w:p w14:paraId="6AA5AB8C" w14:textId="111146B3"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lastRenderedPageBreak/>
        <w:t>This increased risk is associated with factors such as swallowing difficulties, reduced mobility, and barriers to accessing timely healthcare services (Public Health England, 2021; Care Quality Commission, 2022). Communication difficulties can also lead to delays in recognising symptoms and seeking treatment (NHS England, 2023). Addressing these issues requires improved access to annual health checks, vaccination programmes, and early diagnosis (NHS England, 2023; Public Health England, 2021). These interventions can significantly reduce preventable deaths (Care Quality Commission, 2022; NHS England, no date).</w:t>
      </w:r>
    </w:p>
    <w:p w14:paraId="6EE02E7A" w14:textId="2F695B13" w:rsidR="6FCAF703" w:rsidRPr="009E413D" w:rsidRDefault="6FCAF703" w:rsidP="009E413D">
      <w:pPr>
        <w:spacing w:line="360" w:lineRule="auto"/>
        <w:rPr>
          <w:rFonts w:cstheme="minorHAnsi"/>
          <w:sz w:val="22"/>
          <w:szCs w:val="22"/>
        </w:rPr>
      </w:pPr>
    </w:p>
    <w:p w14:paraId="3155383E" w14:textId="3B75BCDC"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Epilepsy</w:t>
      </w:r>
    </w:p>
    <w:p w14:paraId="17EF130D" w14:textId="290EB607"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Epilepsy is significantly more prevalent among people with learning disabilities compared with the general population (NICE, 2023; NHS Digital, 2023). Studies indicate that approximately 17.9% of individuals with learning disabilities receive treatment for epilepsy, compared with only 0.6% of those without learning disabilities (NICE, 2023; NHS Digital, 2023).</w:t>
      </w:r>
    </w:p>
    <w:p w14:paraId="0700EA70" w14:textId="2D383F6C"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This disparity may be linked to underlying neurological conditions as well as delays in diagnosis and limited access to specialist care (NHS England, no date; NHS England, 2023). Poorly managed epilepsy increases the risk of emergency hospital admissions and premature mortality (NICE, 2023; Public Health England, 2021</w:t>
      </w:r>
      <w:r w:rsidR="009E413D" w:rsidRPr="009E413D">
        <w:rPr>
          <w:rFonts w:eastAsia="Arial" w:cstheme="minorHAnsi"/>
          <w:sz w:val="22"/>
          <w:szCs w:val="22"/>
          <w:lang w:val="en-GB"/>
        </w:rPr>
        <w:t xml:space="preserve">; </w:t>
      </w:r>
      <w:r w:rsidR="009E413D" w:rsidRPr="009E413D">
        <w:rPr>
          <w:rFonts w:cstheme="minorHAnsi"/>
          <w:sz w:val="22"/>
          <w:szCs w:val="22"/>
        </w:rPr>
        <w:t>Robertson et al., 201</w:t>
      </w:r>
      <w:r w:rsidR="009E413D" w:rsidRPr="009E413D">
        <w:rPr>
          <w:rFonts w:cstheme="minorHAnsi"/>
          <w:sz w:val="22"/>
          <w:szCs w:val="22"/>
          <w:lang w:val="en-GB"/>
        </w:rPr>
        <w:t>5</w:t>
      </w:r>
      <w:r w:rsidRPr="009E413D">
        <w:rPr>
          <w:rFonts w:eastAsia="Arial" w:cstheme="minorHAnsi"/>
          <w:sz w:val="22"/>
          <w:szCs w:val="22"/>
        </w:rPr>
        <w:t>). Improving epilepsy management requires regular reviews, accessible information, and coordinated care between healthcare professionals (NHS England, 2023; NICE, 2023). These approaches can help ensure effective treatment and reduce risks (NHS England, no date).</w:t>
      </w:r>
    </w:p>
    <w:p w14:paraId="3903AD9D" w14:textId="42CDD3F0" w:rsidR="6FCAF703" w:rsidRPr="009E413D" w:rsidRDefault="6FCAF703" w:rsidP="009E413D">
      <w:pPr>
        <w:spacing w:line="360" w:lineRule="auto"/>
        <w:rPr>
          <w:rFonts w:cstheme="minorHAnsi"/>
          <w:sz w:val="22"/>
          <w:szCs w:val="22"/>
        </w:rPr>
      </w:pPr>
    </w:p>
    <w:p w14:paraId="26BD40BC" w14:textId="35054E4F"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Diabetes and obesity</w:t>
      </w:r>
    </w:p>
    <w:p w14:paraId="2A2BA78F" w14:textId="5D055113"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People with learning disabilities are at a higher risk of developing obesity and type 2 diabetes compared with the general population (NHS England, 2023; Public Health England, 2021). Approximately 40% of adults with learning disabilities are classified as obese, and diabetes prevalence is almost double that of the wider population (NHS England, 2023; Public Health England, 2021).</w:t>
      </w:r>
    </w:p>
    <w:p w14:paraId="14A16500" w14:textId="63F84A4A"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lastRenderedPageBreak/>
        <w:t>These inequalities are influenced by limited access to physical activity, inadequate support for healthy eating, and the side effects of certain medications (Care Quality Commission, 2022; NHS England, 2023). In addition, individuals may struggle to understand health information if it is not presented in an accessible format (Public Health England, 2021). Addressing these issues requires tailored health education, regular monitoring through health checks, and targeted support (NHS England, 2023; Public Health England, 2021). These interventions can help promote healthier lifestyles and reduce inequalities (Care Quality Commission, 2022).</w:t>
      </w:r>
    </w:p>
    <w:p w14:paraId="7EF883F5" w14:textId="4D6EBEA3" w:rsidR="6FCAF703" w:rsidRPr="009E413D" w:rsidRDefault="6FCAF703" w:rsidP="009E413D">
      <w:pPr>
        <w:spacing w:line="360" w:lineRule="auto"/>
        <w:rPr>
          <w:rFonts w:cstheme="minorHAnsi"/>
          <w:sz w:val="22"/>
          <w:szCs w:val="22"/>
        </w:rPr>
      </w:pPr>
    </w:p>
    <w:p w14:paraId="348DE0C5" w14:textId="0C858CEB"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Social isolation and loneliness</w:t>
      </w:r>
    </w:p>
    <w:p w14:paraId="2946BD2A" w14:textId="20304ED8"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People with learning disabilities are more likely to experience social isolation and loneliness than the general population (Mencap, no date; Public Health England, 2021). Approximately 50% of individuals report experiencing chronic loneliness, which is significantly higher than the rate in the wider population (Mencap, no date).</w:t>
      </w:r>
    </w:p>
    <w:p w14:paraId="0923BDCF" w14:textId="7474EC1B"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This may result from stigma, communication barriers, and limited opportunities for social participation (Public Health England, 2021; NHS England, 2023). Social isolation can negatively impact mental health, increasing the risk of anxiety and depression (Public Health England, 2021</w:t>
      </w:r>
      <w:r w:rsidR="00A07495" w:rsidRPr="009E413D">
        <w:rPr>
          <w:rFonts w:eastAsia="Arial" w:cstheme="minorHAnsi"/>
          <w:sz w:val="22"/>
          <w:szCs w:val="22"/>
          <w:lang w:val="en-GB"/>
        </w:rPr>
        <w:t xml:space="preserve">; </w:t>
      </w:r>
      <w:r w:rsidR="00A07495" w:rsidRPr="009E413D">
        <w:rPr>
          <w:rFonts w:cstheme="minorHAnsi"/>
          <w:sz w:val="22"/>
          <w:szCs w:val="22"/>
        </w:rPr>
        <w:t>Holt-Lunstad et al., 2015</w:t>
      </w:r>
      <w:r w:rsidRPr="009E413D">
        <w:rPr>
          <w:rFonts w:eastAsia="Arial" w:cstheme="minorHAnsi"/>
          <w:sz w:val="22"/>
          <w:szCs w:val="22"/>
        </w:rPr>
        <w:t>). Strategies to address this include inclusive community programmes, accessible social activities, and support services that promote engagement (Mencap, no date; NHS England, 2023).</w:t>
      </w:r>
    </w:p>
    <w:p w14:paraId="72CFE0E0" w14:textId="2A2E7528" w:rsidR="6FCAF703" w:rsidRPr="009E413D" w:rsidRDefault="6FCAF703" w:rsidP="009E413D">
      <w:pPr>
        <w:spacing w:line="360" w:lineRule="auto"/>
        <w:rPr>
          <w:rFonts w:cstheme="minorHAnsi"/>
          <w:sz w:val="22"/>
          <w:szCs w:val="22"/>
        </w:rPr>
      </w:pPr>
    </w:p>
    <w:p w14:paraId="23D3FCBB" w14:textId="15E0C3B0"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Poverty and employment</w:t>
      </w:r>
    </w:p>
    <w:p w14:paraId="0A3E9529" w14:textId="5160E485"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People with learning disabilities are more likely to experience poverty due to limited employment opportunities (NHS Digital, 2023; Public Health England, 2021). Before the COVID-19 pandemic, only around 17% of working-age adults with learning disabilities were in paid employment (NHS Digital, 2023).</w:t>
      </w:r>
    </w:p>
    <w:p w14:paraId="209681B1" w14:textId="6119C7C4"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 xml:space="preserve">Those who are employed are also less likely to have stable jobs with favourable working conditions (Public Health England, 2021; NHS England, 2023). This contributes to financial insecurity and reinforces health inequalities (Public Health England, 2021). Addressing this issue requires the expansion of supported employment programmes, workplace </w:t>
      </w:r>
      <w:r w:rsidRPr="009E413D">
        <w:rPr>
          <w:rFonts w:eastAsia="Arial" w:cstheme="minorHAnsi"/>
          <w:sz w:val="22"/>
          <w:szCs w:val="22"/>
        </w:rPr>
        <w:lastRenderedPageBreak/>
        <w:t>adjustments, and inclusive hiring practices (NHS England, 2023). These approaches can help improve employment outcomes and reduce poverty (Public Health England, 2021).</w:t>
      </w:r>
    </w:p>
    <w:p w14:paraId="2CE11BA7" w14:textId="25B19D9C" w:rsidR="6FCAF703" w:rsidRPr="009E413D" w:rsidRDefault="6FCAF703" w:rsidP="009E413D">
      <w:pPr>
        <w:spacing w:line="360" w:lineRule="auto"/>
        <w:rPr>
          <w:rFonts w:cstheme="minorHAnsi"/>
          <w:sz w:val="22"/>
          <w:szCs w:val="22"/>
        </w:rPr>
      </w:pPr>
    </w:p>
    <w:p w14:paraId="7B6F021C" w14:textId="63032027"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Housing issues</w:t>
      </w:r>
    </w:p>
    <w:p w14:paraId="4350EE1B" w14:textId="4A4D5657"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Housing inequality is another significant issue affecting people with learning disabilities (Care Quality Commission, 2022; Public Health England, 2021). Many individuals face challenges accessing suitable and affordable housing due to low income and limited support for independent living (Care Quality Commission, 2022).</w:t>
      </w:r>
    </w:p>
    <w:p w14:paraId="18294DDB" w14:textId="559DCFB3"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Poor or unstable housing conditions can negatively impact physical and mental health, as well as limit access to essential services (Public Health England, 2021). Increasing the availability of supported housing and improving housing policies can help individuals achieve greater independence (Care Quality Commission, 2022; NHS England, 2023).</w:t>
      </w:r>
    </w:p>
    <w:p w14:paraId="644359DC" w14:textId="7881ABDB" w:rsidR="6FCAF703" w:rsidRPr="009E413D" w:rsidRDefault="6FCAF703" w:rsidP="009E413D">
      <w:pPr>
        <w:spacing w:line="360" w:lineRule="auto"/>
        <w:rPr>
          <w:rFonts w:cstheme="minorHAnsi"/>
          <w:sz w:val="22"/>
          <w:szCs w:val="22"/>
        </w:rPr>
      </w:pPr>
    </w:p>
    <w:p w14:paraId="0391F845" w14:textId="673AF80E"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National response to reduce health inequalities</w:t>
      </w:r>
    </w:p>
    <w:p w14:paraId="4BC6D446" w14:textId="4EE39B60"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One key national response is the NHS Learning Disability Annual Health Check programme (NHS England, 2023; NHS Digital, 2023). Individuals aged 14 and over who are registered with a GP are offered a yearly health check and a personalised health action plan (NHS England, 2023). These checks help identify health conditions early and improve access to appropriate care (NHS Digital, 2023; Public Health England, 2021).</w:t>
      </w:r>
    </w:p>
    <w:p w14:paraId="143D012A" w14:textId="7D1932AA"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Another important initiative is the Learning from Lives and Deaths (LeDeR) programme (NHS England, no date; Women and Equalities Committee, 2024). This programme reviews the deaths of people with learning disabilities to identify areas for improvement in healthcare services (NHS England, no date). It also highlights avoidable causes of death and supports strategies to reduce inequalities (Women and Equalities Committee, 2024; NHS England, 2023).</w:t>
      </w:r>
    </w:p>
    <w:p w14:paraId="1FD27A1D" w14:textId="0AF28431" w:rsidR="6FCAF703" w:rsidRPr="009E413D" w:rsidRDefault="6FCAF703" w:rsidP="009E413D">
      <w:pPr>
        <w:spacing w:line="360" w:lineRule="auto"/>
        <w:rPr>
          <w:rFonts w:cstheme="minorHAnsi"/>
          <w:sz w:val="22"/>
          <w:szCs w:val="22"/>
        </w:rPr>
      </w:pPr>
    </w:p>
    <w:p w14:paraId="6ED151A5" w14:textId="2E1CFCED"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Organisations that support the chosen group</w:t>
      </w:r>
    </w:p>
    <w:p w14:paraId="0F9A91B2" w14:textId="4BC144B7"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 xml:space="preserve">One charity that supports people with learning disabilities in the UK is Mencap (Mencap, no date). Mencap works to raise awareness of the inequalities faced by this group and </w:t>
      </w:r>
      <w:r w:rsidRPr="009E413D">
        <w:rPr>
          <w:rFonts w:eastAsia="Arial" w:cstheme="minorHAnsi"/>
          <w:sz w:val="22"/>
          <w:szCs w:val="22"/>
        </w:rPr>
        <w:lastRenderedPageBreak/>
        <w:t>campaigns for improved healthcare and equal rights (Mencap, no date; Public Health England, 2021). The organisation also provides advice, support services, and accessible information for individuals and their families (Mencap, no date).</w:t>
      </w:r>
    </w:p>
    <w:p w14:paraId="646D1363" w14:textId="6CD6FB39"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Mencap’s goals include reducing avoidable deaths, improving access to healthcare, and promoting equality within the health system (Mencap, no date; NHS England, 2023). The charity also conducts research and campaigns such as the “I’m In” initiative (Mencap, no date). This campaign encourages individuals to join the learning disability register to access annual health checks and appropriate healthcare support (NHS England, 2023; Mencap, no date).</w:t>
      </w:r>
    </w:p>
    <w:p w14:paraId="3EF21B07" w14:textId="7C73BEB3" w:rsidR="6FCAF703" w:rsidRPr="009E413D" w:rsidRDefault="6FCAF703" w:rsidP="009E413D">
      <w:pPr>
        <w:spacing w:line="360" w:lineRule="auto"/>
        <w:rPr>
          <w:rFonts w:cstheme="minorHAnsi"/>
          <w:sz w:val="22"/>
          <w:szCs w:val="22"/>
        </w:rPr>
      </w:pPr>
    </w:p>
    <w:p w14:paraId="6C9E756A" w14:textId="159E29DF" w:rsidR="6FCAF703" w:rsidRPr="009E413D" w:rsidRDefault="1AEFF733"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Conclusion</w:t>
      </w:r>
    </w:p>
    <w:p w14:paraId="5DAC3B15" w14:textId="6B19D75E"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In conclusion, people with learning disabilities face significant health inequalities compared with the general population (Public Health England, 2021; NHS England, 2023). Higher rates of conditions such as respiratory illness, epilepsy, diabetes and obesity, alongside lower life expectancy, demonstrate the extent of these disparities (Women and Equalities Committee, 2024). Social determinants including poverty, unemployment, housing difficulties and social isolation further contribute to poorer health outcomes (Public Health England, 2021).</w:t>
      </w:r>
    </w:p>
    <w:p w14:paraId="23B68486" w14:textId="7E5D098A" w:rsidR="6FCAF703" w:rsidRPr="009E413D" w:rsidRDefault="1AEFF733" w:rsidP="009E413D">
      <w:pPr>
        <w:spacing w:before="240" w:after="240" w:line="360" w:lineRule="auto"/>
        <w:rPr>
          <w:rFonts w:eastAsia="Arial" w:cstheme="minorHAnsi"/>
          <w:sz w:val="22"/>
          <w:szCs w:val="22"/>
        </w:rPr>
      </w:pPr>
      <w:r w:rsidRPr="009E413D">
        <w:rPr>
          <w:rFonts w:eastAsia="Arial" w:cstheme="minorHAnsi"/>
          <w:sz w:val="22"/>
          <w:szCs w:val="22"/>
        </w:rPr>
        <w:t>National initiatives such as the NHS Annual Health Check programme and the Learning from Lives and Deaths (LeDeR) programme aim to address these inequalities (NHS England, 2023; NHS England, no date). In addition, organisations such as Mencap play a vital role in raising awareness and supporting individuals (Mencap, no date). Overall, reducing these inequalities requires a coordinated approach involving healthcare services, policy changes and community support (Public Health England, 2021; NHS England, 2023).</w:t>
      </w:r>
    </w:p>
    <w:p w14:paraId="25213698" w14:textId="132F09B0" w:rsidR="6FCAF703" w:rsidRPr="009E413D" w:rsidRDefault="6FCAF703" w:rsidP="009E413D">
      <w:pPr>
        <w:spacing w:before="240" w:after="240" w:line="360" w:lineRule="auto"/>
        <w:rPr>
          <w:rFonts w:eastAsia="Arial" w:cstheme="minorHAnsi"/>
          <w:sz w:val="22"/>
          <w:szCs w:val="22"/>
        </w:rPr>
      </w:pPr>
    </w:p>
    <w:p w14:paraId="6B820233" w14:textId="4768B5BE" w:rsidR="6FCAF703" w:rsidRPr="009E413D" w:rsidRDefault="6FCAF703" w:rsidP="009E413D">
      <w:pPr>
        <w:spacing w:before="240" w:after="240" w:line="360" w:lineRule="auto"/>
        <w:rPr>
          <w:rFonts w:eastAsia="Arial" w:cstheme="minorHAnsi"/>
          <w:sz w:val="22"/>
          <w:szCs w:val="22"/>
        </w:rPr>
      </w:pPr>
    </w:p>
    <w:p w14:paraId="562B2D79" w14:textId="60299069" w:rsidR="6FCAF703" w:rsidRPr="009E413D" w:rsidRDefault="6FCAF703" w:rsidP="009E413D">
      <w:pPr>
        <w:spacing w:line="360" w:lineRule="auto"/>
        <w:rPr>
          <w:rFonts w:eastAsiaTheme="minorEastAsia" w:cstheme="minorHAnsi"/>
          <w:sz w:val="22"/>
          <w:szCs w:val="22"/>
        </w:rPr>
      </w:pPr>
    </w:p>
    <w:p w14:paraId="5BD9B5D6" w14:textId="4CBC6437" w:rsidR="1BEFAC2A" w:rsidRPr="009E413D" w:rsidRDefault="1BEFAC2A" w:rsidP="009E413D">
      <w:pPr>
        <w:spacing w:line="360" w:lineRule="auto"/>
        <w:rPr>
          <w:rFonts w:eastAsiaTheme="minorEastAsia" w:cstheme="minorHAnsi"/>
          <w:sz w:val="22"/>
          <w:szCs w:val="22"/>
        </w:rPr>
      </w:pPr>
    </w:p>
    <w:p w14:paraId="10E944E2" w14:textId="1A4715CF" w:rsidR="445DFF29" w:rsidRPr="009E413D" w:rsidRDefault="445DFF29" w:rsidP="009E413D">
      <w:pPr>
        <w:pStyle w:val="Heading1"/>
        <w:spacing w:before="322" w:after="322"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lastRenderedPageBreak/>
        <w:t>Epidemiological Processes in the Identification, Assessment and Management of Breast Cancer in the UK: A Focus on Women in the London Borough of Lambeth</w:t>
      </w:r>
    </w:p>
    <w:p w14:paraId="3E0FB6FF" w14:textId="13964599" w:rsidR="1BEFAC2A" w:rsidRPr="009E413D" w:rsidRDefault="1BEFAC2A" w:rsidP="009E413D">
      <w:pPr>
        <w:spacing w:line="360" w:lineRule="auto"/>
        <w:rPr>
          <w:rFonts w:cstheme="minorHAnsi"/>
          <w:sz w:val="22"/>
          <w:szCs w:val="22"/>
        </w:rPr>
      </w:pPr>
    </w:p>
    <w:p w14:paraId="32348CD1" w14:textId="0B1E28F6" w:rsidR="445DFF29" w:rsidRPr="009E413D" w:rsidRDefault="445DFF2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Introductio</w:t>
      </w:r>
      <w:r w:rsidR="5054ED92" w:rsidRPr="009E413D">
        <w:rPr>
          <w:rFonts w:asciiTheme="minorHAnsi" w:eastAsia="Arial" w:hAnsiTheme="minorHAnsi" w:cstheme="minorHAnsi"/>
          <w:b/>
          <w:bCs/>
          <w:color w:val="auto"/>
          <w:sz w:val="22"/>
          <w:szCs w:val="22"/>
        </w:rPr>
        <w:t>n</w:t>
      </w:r>
    </w:p>
    <w:p w14:paraId="4DF35FF2" w14:textId="378CF31E" w:rsidR="1F578C79" w:rsidRPr="009E413D" w:rsidRDefault="6D12EA99"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Epidemiology is defined as the study of the distribution and determinants of health-related states within populations, alongside the application of this knowledge to control health problems (Friis and Sellers, 2021; Gordis, 2020). It provides a systematic and analytical framework for understanding disease patterns and informing evidence-based public health decision-making (Porta, 2020</w:t>
      </w:r>
      <w:r w:rsidR="230518B3" w:rsidRPr="009E413D">
        <w:rPr>
          <w:rFonts w:eastAsia="Arial" w:cstheme="minorHAnsi"/>
          <w:sz w:val="22"/>
          <w:szCs w:val="22"/>
          <w:lang w:val="en-US"/>
        </w:rPr>
        <w:t>; Rothman et al., 2021</w:t>
      </w:r>
      <w:r w:rsidRPr="009E413D">
        <w:rPr>
          <w:rFonts w:eastAsia="Arial" w:cstheme="minorHAnsi"/>
          <w:sz w:val="22"/>
          <w:szCs w:val="22"/>
          <w:lang w:val="en-US"/>
        </w:rPr>
        <w:t xml:space="preserve">). In the context of breast cancer, epidemiology is essential for identifying incidence trends, assessing risk </w:t>
      </w:r>
      <w:r w:rsidR="6B0F625B" w:rsidRPr="009E413D">
        <w:rPr>
          <w:rFonts w:eastAsia="Arial" w:cstheme="minorHAnsi"/>
          <w:sz w:val="22"/>
          <w:szCs w:val="22"/>
          <w:lang w:val="en-US"/>
        </w:rPr>
        <w:t>factors,</w:t>
      </w:r>
      <w:r w:rsidRPr="009E413D">
        <w:rPr>
          <w:rFonts w:eastAsia="Arial" w:cstheme="minorHAnsi"/>
          <w:sz w:val="22"/>
          <w:szCs w:val="22"/>
          <w:lang w:val="en-US"/>
        </w:rPr>
        <w:t xml:space="preserve"> and evaluating the effectiveness of screening programmes and treatment pathways (Bray et al., 2024; World Health Organization, 202</w:t>
      </w:r>
      <w:r w:rsidR="677B92AE" w:rsidRPr="009E413D">
        <w:rPr>
          <w:rFonts w:eastAsia="Arial" w:cstheme="minorHAnsi"/>
          <w:sz w:val="22"/>
          <w:szCs w:val="22"/>
          <w:lang w:val="en-US"/>
        </w:rPr>
        <w:t>5</w:t>
      </w:r>
      <w:r w:rsidRPr="009E413D">
        <w:rPr>
          <w:rFonts w:eastAsia="Arial" w:cstheme="minorHAnsi"/>
          <w:sz w:val="22"/>
          <w:szCs w:val="22"/>
          <w:lang w:val="en-US"/>
        </w:rPr>
        <w:t>). It also enables comparison across populations and time, allowing policymakers to prioritise interventions and allocate resources efficiently.</w:t>
      </w:r>
    </w:p>
    <w:p w14:paraId="6E82010B" w14:textId="0DCD9B60" w:rsidR="19E898F0" w:rsidRPr="009E413D" w:rsidRDefault="19E898F0" w:rsidP="009E413D">
      <w:pPr>
        <w:spacing w:before="240" w:after="240" w:line="360" w:lineRule="auto"/>
        <w:rPr>
          <w:rFonts w:cstheme="minorHAnsi"/>
          <w:sz w:val="22"/>
          <w:szCs w:val="22"/>
        </w:rPr>
      </w:pPr>
      <w:r w:rsidRPr="009E413D">
        <w:rPr>
          <w:rFonts w:eastAsia="Arial" w:cstheme="minorHAnsi"/>
          <w:sz w:val="22"/>
          <w:szCs w:val="22"/>
          <w:lang w:val="en-US"/>
        </w:rPr>
        <w:t>Breast cancer remains the most common cancer among women globally, representing a significant public health burden (World Health Organization, 2023; Sung et al., 2021; Arnold et al., 2022). It is characterised by the uncontrolled growth of abnormal breast cells, with the potential for metastasis if untreated (Cancer Research UK, 2024). The disease has profound physical, psychological and socioeconomic consequences, including reduced quality of life, emotional distress and increased mortality (NHS England, 2023; Macmillan Cancer Support, 2025). In addition, the long-term impact on families and healthcare systems further highlights its significance as a major public health concern.</w:t>
      </w:r>
    </w:p>
    <w:p w14:paraId="63CC5836" w14:textId="560D7862" w:rsidR="1F578C79" w:rsidRPr="009E413D" w:rsidRDefault="6D12EA99"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Globally, approximately 2.3 million new cases were reported in 2022, with incidence rates continuing to rise (World Health Organization, 202</w:t>
      </w:r>
      <w:r w:rsidR="5C95A385" w:rsidRPr="009E413D">
        <w:rPr>
          <w:rFonts w:eastAsia="Arial" w:cstheme="minorHAnsi"/>
          <w:sz w:val="22"/>
          <w:szCs w:val="22"/>
          <w:lang w:val="en-US"/>
        </w:rPr>
        <w:t>5</w:t>
      </w:r>
      <w:r w:rsidRPr="009E413D">
        <w:rPr>
          <w:rFonts w:eastAsia="Arial" w:cstheme="minorHAnsi"/>
          <w:sz w:val="22"/>
          <w:szCs w:val="22"/>
          <w:lang w:val="en-US"/>
        </w:rPr>
        <w:t xml:space="preserve">). In the UK, around 55,000 women are diagnosed annually, with lifetime risk estimated at one in seven (Cancer Research UK, 2024; </w:t>
      </w:r>
      <w:r w:rsidR="2582C4FC" w:rsidRPr="009E413D">
        <w:rPr>
          <w:rFonts w:eastAsia="Arial" w:cstheme="minorHAnsi"/>
          <w:sz w:val="22"/>
          <w:szCs w:val="22"/>
          <w:lang w:val="en-US"/>
        </w:rPr>
        <w:t>NHS Digital, 2024)</w:t>
      </w:r>
      <w:r w:rsidRPr="009E413D">
        <w:rPr>
          <w:rFonts w:eastAsia="Arial" w:cstheme="minorHAnsi"/>
          <w:sz w:val="22"/>
          <w:szCs w:val="22"/>
          <w:lang w:val="en-US"/>
        </w:rPr>
        <w:t>.</w:t>
      </w:r>
      <w:r w:rsidR="78DA280D" w:rsidRPr="009E413D">
        <w:rPr>
          <w:rFonts w:eastAsia="Arial" w:cstheme="minorHAnsi"/>
          <w:sz w:val="22"/>
          <w:szCs w:val="22"/>
          <w:lang w:val="en-US"/>
        </w:rPr>
        <w:t xml:space="preserve"> However, incidence and outcomes vary across populations, reflecting wider social determinants of health such as deprivation, ethnicity and access to healthcare services (Marmot et al., 2020). Mortality rates also vary across countries due to differences in access to healthcare, screening and treatment, with higher mortality observed in lower-income settings (Arnold et al., 2022). The London Borough of Lambeth, characterised by ethnic diversity and socioeconomic inequality, provides a relevant case study for examining how epidemiological processes can inform targeted interventions (Lambeth Council, 2022)</w:t>
      </w:r>
    </w:p>
    <w:p w14:paraId="20412132" w14:textId="447A8147" w:rsidR="1F578C79" w:rsidRPr="009E413D" w:rsidRDefault="1F578C79" w:rsidP="009E413D">
      <w:pPr>
        <w:spacing w:before="240" w:after="240" w:line="360" w:lineRule="auto"/>
        <w:rPr>
          <w:rFonts w:eastAsia="Arial" w:cstheme="minorHAnsi"/>
          <w:sz w:val="22"/>
          <w:szCs w:val="22"/>
        </w:rPr>
      </w:pPr>
      <w:r w:rsidRPr="009E413D">
        <w:rPr>
          <w:rFonts w:eastAsia="Arial" w:cstheme="minorHAnsi"/>
          <w:sz w:val="22"/>
          <w:szCs w:val="22"/>
        </w:rPr>
        <w:lastRenderedPageBreak/>
        <w:t>Epidemiological approaches are valuable because they allow comparison across populations and time, enabling targeted interventions. However, these approaches are often reductionist, privileging measurable variables while overlooking lived experience. This suggests that epidemiology alone cannot fully explain health inequalities and must be integrated with broader social and behavioural perspectives (Rothman et al., 2021).</w:t>
      </w:r>
    </w:p>
    <w:p w14:paraId="1D665AF1" w14:textId="18828F80" w:rsidR="1BEFAC2A" w:rsidRPr="009E413D" w:rsidRDefault="1BEFAC2A" w:rsidP="009E413D">
      <w:pPr>
        <w:spacing w:line="360" w:lineRule="auto"/>
        <w:rPr>
          <w:rFonts w:cstheme="minorHAnsi"/>
          <w:sz w:val="22"/>
          <w:szCs w:val="22"/>
        </w:rPr>
      </w:pPr>
    </w:p>
    <w:p w14:paraId="495B4F4E" w14:textId="1DF0A8EA" w:rsidR="1F578C79" w:rsidRPr="009E413D" w:rsidRDefault="1F578C7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Public Health Measures: Prevention, Protection and Promotion</w:t>
      </w:r>
    </w:p>
    <w:p w14:paraId="0A339B7C" w14:textId="25A93094" w:rsidR="1F578C79" w:rsidRPr="009E413D" w:rsidRDefault="1F578C79" w:rsidP="009E413D">
      <w:pPr>
        <w:spacing w:before="240" w:after="240" w:line="360" w:lineRule="auto"/>
        <w:rPr>
          <w:rFonts w:eastAsia="Arial" w:cstheme="minorHAnsi"/>
          <w:sz w:val="22"/>
          <w:szCs w:val="22"/>
        </w:rPr>
      </w:pPr>
      <w:r w:rsidRPr="009E413D">
        <w:rPr>
          <w:rFonts w:eastAsia="Arial" w:cstheme="minorHAnsi"/>
          <w:sz w:val="22"/>
          <w:szCs w:val="22"/>
        </w:rPr>
        <w:t>Public health strategies for breast cancer are conceptualised through prevention, protection and health promotion (World Health Organization, 2023). Prevention focuses on reducing modifiable risk factors such as alcohol consumption, obesity and physical inactivity (Brown et al., 2018; Cancer Research UK, 2024). Protection is achieved through screening programmes such as the NHS Breast Screening Programme, which supports early detection and improves survival outcomes (NHS England, 2023). Health promotion aims to increase awareness and encourage timely healthcare engagement through campaigns and education (Public Health England, 2021).</w:t>
      </w:r>
    </w:p>
    <w:p w14:paraId="0524642F" w14:textId="1F78CB41" w:rsidR="1F578C79" w:rsidRPr="009E413D" w:rsidRDefault="6D12EA99"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While these strategies have improved survival rates, their effectiveness is uneven across populations</w:t>
      </w:r>
      <w:r w:rsidR="51A2EE42" w:rsidRPr="009E413D">
        <w:rPr>
          <w:rFonts w:eastAsia="Arial" w:cstheme="minorHAnsi"/>
          <w:sz w:val="22"/>
          <w:szCs w:val="22"/>
          <w:lang w:val="en-US"/>
        </w:rPr>
        <w:t xml:space="preserve"> (Marmot et al., 2020)</w:t>
      </w:r>
      <w:r w:rsidRPr="009E413D">
        <w:rPr>
          <w:rFonts w:eastAsia="Arial" w:cstheme="minorHAnsi"/>
          <w:sz w:val="22"/>
          <w:szCs w:val="22"/>
          <w:lang w:val="en-US"/>
        </w:rPr>
        <w:t>. Individuals from deprived or minority backgrounds may be less likely to engage with screening due to structural barriers, including access, cultural perceptions and health literacy (Marmot et al., 2020). This highlights that public health interventions may inadvertently reinforce inequalities if not implemented inclusively.</w:t>
      </w:r>
    </w:p>
    <w:p w14:paraId="48B35011" w14:textId="32C488FE" w:rsidR="266F13BD" w:rsidRPr="009E413D" w:rsidRDefault="37DF5A4F" w:rsidP="009E413D">
      <w:pPr>
        <w:spacing w:before="240" w:after="240" w:line="360" w:lineRule="auto"/>
        <w:rPr>
          <w:rFonts w:cstheme="minorHAnsi"/>
          <w:sz w:val="22"/>
          <w:szCs w:val="22"/>
        </w:rPr>
      </w:pPr>
      <w:r w:rsidRPr="009E413D">
        <w:rPr>
          <w:rFonts w:eastAsia="Arial" w:cstheme="minorHAnsi"/>
          <w:sz w:val="22"/>
          <w:szCs w:val="22"/>
          <w:lang w:val="en-US"/>
        </w:rPr>
        <w:t>Furthermore, reliance on screening reflects a predominantly biomedical approach, often neglecting upstream determinants such as poverty, housing and social inequality (Marmot et al., 2020; Public Health England, 2021). This suggests that current strategies are more reactive than preventative, limiting their long-term impact on incidence reduction (</w:t>
      </w:r>
      <w:r w:rsidR="576D0170" w:rsidRPr="009E413D">
        <w:rPr>
          <w:rFonts w:eastAsia="Arial" w:cstheme="minorHAnsi"/>
          <w:sz w:val="22"/>
          <w:szCs w:val="22"/>
          <w:lang w:val="en-US"/>
        </w:rPr>
        <w:t>NHS England, 2021</w:t>
      </w:r>
      <w:r w:rsidRPr="009E413D">
        <w:rPr>
          <w:rFonts w:eastAsia="Arial" w:cstheme="minorHAnsi"/>
          <w:sz w:val="22"/>
          <w:szCs w:val="22"/>
          <w:lang w:val="en-US"/>
        </w:rPr>
        <w:t>). Addressing these issues requires a shift towards more comprehensive approaches that incorporate both individual and structural determinants of health (World Health Organization, 202</w:t>
      </w:r>
      <w:r w:rsidR="3424B2A7" w:rsidRPr="009E413D">
        <w:rPr>
          <w:rFonts w:eastAsia="Arial" w:cstheme="minorHAnsi"/>
          <w:sz w:val="22"/>
          <w:szCs w:val="22"/>
          <w:lang w:val="en-US"/>
        </w:rPr>
        <w:t>5</w:t>
      </w:r>
      <w:r w:rsidRPr="009E413D">
        <w:rPr>
          <w:rFonts w:eastAsia="Arial" w:cstheme="minorHAnsi"/>
          <w:sz w:val="22"/>
          <w:szCs w:val="22"/>
          <w:lang w:val="en-US"/>
        </w:rPr>
        <w:t>; Marmot et al., 2020).</w:t>
      </w:r>
    </w:p>
    <w:p w14:paraId="091C3AB0" w14:textId="779C6158" w:rsidR="1BEFAC2A" w:rsidRPr="009E413D" w:rsidRDefault="1BEFAC2A" w:rsidP="009E413D">
      <w:pPr>
        <w:spacing w:line="360" w:lineRule="auto"/>
        <w:rPr>
          <w:rFonts w:cstheme="minorHAnsi"/>
          <w:sz w:val="22"/>
          <w:szCs w:val="22"/>
        </w:rPr>
      </w:pPr>
    </w:p>
    <w:p w14:paraId="3430F20C" w14:textId="76FBED6C" w:rsidR="1F578C79" w:rsidRPr="009E413D" w:rsidRDefault="1F578C7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Determinants and Risk Factors of Breast Cancer</w:t>
      </w:r>
    </w:p>
    <w:p w14:paraId="5D40A50B" w14:textId="7BE519C4" w:rsidR="1F578C79" w:rsidRPr="009E413D" w:rsidRDefault="6D12EA99"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 xml:space="preserve">Breast cancer is influenced by a complex interaction of biological, genetic and social factors (Cancer Research UK, 2024). Age is the most significant determinant, with </w:t>
      </w:r>
      <w:proofErr w:type="gramStart"/>
      <w:r w:rsidRPr="009E413D">
        <w:rPr>
          <w:rFonts w:eastAsia="Arial" w:cstheme="minorHAnsi"/>
          <w:sz w:val="22"/>
          <w:szCs w:val="22"/>
          <w:lang w:val="en-US"/>
        </w:rPr>
        <w:t xml:space="preserve">incidence </w:t>
      </w:r>
      <w:r w:rsidRPr="009E413D">
        <w:rPr>
          <w:rFonts w:eastAsia="Arial" w:cstheme="minorHAnsi"/>
          <w:sz w:val="22"/>
          <w:szCs w:val="22"/>
          <w:lang w:val="en-US"/>
        </w:rPr>
        <w:lastRenderedPageBreak/>
        <w:t>increasing</w:t>
      </w:r>
      <w:proofErr w:type="gramEnd"/>
      <w:r w:rsidRPr="009E413D">
        <w:rPr>
          <w:rFonts w:eastAsia="Arial" w:cstheme="minorHAnsi"/>
          <w:sz w:val="22"/>
          <w:szCs w:val="22"/>
          <w:lang w:val="en-US"/>
        </w:rPr>
        <w:t xml:space="preserve"> in older populations. Genetic mutations such as BRCA1 and BRCA2 significantly elevate risk (World Health Organization, 202</w:t>
      </w:r>
      <w:r w:rsidR="656F5F05" w:rsidRPr="009E413D">
        <w:rPr>
          <w:rFonts w:eastAsia="Arial" w:cstheme="minorHAnsi"/>
          <w:sz w:val="22"/>
          <w:szCs w:val="22"/>
          <w:lang w:val="en-US"/>
        </w:rPr>
        <w:t>5</w:t>
      </w:r>
      <w:r w:rsidRPr="009E413D">
        <w:rPr>
          <w:rFonts w:eastAsia="Arial" w:cstheme="minorHAnsi"/>
          <w:sz w:val="22"/>
          <w:szCs w:val="22"/>
          <w:lang w:val="en-US"/>
        </w:rPr>
        <w:t>). Lifestyle factors, including alcohol consumption, obesity and physical inactivity, are also strongly associated with increased risk (Reeves et al., 2022).</w:t>
      </w:r>
    </w:p>
    <w:p w14:paraId="397500A8" w14:textId="4691F3E0" w:rsidR="3D741DCE" w:rsidRPr="009E413D" w:rsidRDefault="3D741DCE"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However, these determinants do not operate independently. Socioeconomic factors influence both exposure to risk and access to healthcare (Marmot et al., 2020; Public Health England, 2021). For example, individuals in deprived communities may have higher exposure to risk factors and reduced access to preventative services (World Health Organization, 2023; Cancer Research UK, 2024). Epidemiological studies often isolate individual variables, adopting a reductionist perspective that may oversimplify complex causal pathways (Rothman et al., 2021, pp. 5–7; Gordis, 2020, pp. 140–145). This limits the ability to fully understand disease causation and develop comprehensive prevention strategies (Marmot et al., 2020). A more integrated, systems-based approach is therefore required (World Health Organization, 202</w:t>
      </w:r>
      <w:r w:rsidR="002D3A36" w:rsidRPr="009E413D">
        <w:rPr>
          <w:rFonts w:eastAsia="Arial" w:cstheme="minorHAnsi"/>
          <w:sz w:val="22"/>
          <w:szCs w:val="22"/>
          <w:lang w:val="en-US"/>
        </w:rPr>
        <w:t>5</w:t>
      </w:r>
      <w:r w:rsidRPr="009E413D">
        <w:rPr>
          <w:rFonts w:eastAsia="Arial" w:cstheme="minorHAnsi"/>
          <w:sz w:val="22"/>
          <w:szCs w:val="22"/>
          <w:lang w:val="en-US"/>
        </w:rPr>
        <w:t>; Public Health England, 2021).</w:t>
      </w:r>
    </w:p>
    <w:p w14:paraId="27FA9135" w14:textId="1E94647A" w:rsidR="1BEFAC2A" w:rsidRPr="009E413D" w:rsidRDefault="1BEFAC2A" w:rsidP="009E413D">
      <w:pPr>
        <w:spacing w:line="360" w:lineRule="auto"/>
        <w:rPr>
          <w:rFonts w:cstheme="minorHAnsi"/>
          <w:sz w:val="22"/>
          <w:szCs w:val="22"/>
        </w:rPr>
      </w:pPr>
    </w:p>
    <w:p w14:paraId="2F18A45B" w14:textId="58E1B2C4" w:rsidR="1F578C79" w:rsidRPr="009E413D" w:rsidRDefault="1F578C7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Epidemiological Studies and Health Needs Assessment</w:t>
      </w:r>
    </w:p>
    <w:p w14:paraId="2E64AB89" w14:textId="4242B391" w:rsidR="1F578C79" w:rsidRPr="009E413D" w:rsidRDefault="1F578C79" w:rsidP="009E413D">
      <w:pPr>
        <w:spacing w:before="240" w:after="240" w:line="360" w:lineRule="auto"/>
        <w:rPr>
          <w:rFonts w:eastAsia="Arial" w:cstheme="minorHAnsi"/>
          <w:sz w:val="22"/>
          <w:szCs w:val="22"/>
        </w:rPr>
      </w:pPr>
      <w:r w:rsidRPr="009E413D">
        <w:rPr>
          <w:rFonts w:eastAsia="Arial" w:cstheme="minorHAnsi"/>
          <w:sz w:val="22"/>
          <w:szCs w:val="22"/>
        </w:rPr>
        <w:t>Epidemiological research relies heavily on cohort and case-control studies to identify risk factors and disease patterns (Friis and Sellers, 2021; Gordis, 2020). Cohort studies provide longitudinal data, while case-control studies are useful for investigating rare outcomes (Rothman et al., 2021).</w:t>
      </w:r>
    </w:p>
    <w:p w14:paraId="631BCA2A" w14:textId="24ED591C" w:rsidR="1F578C79" w:rsidRPr="009E413D" w:rsidRDefault="6D12EA99" w:rsidP="009E413D">
      <w:pPr>
        <w:spacing w:before="240" w:after="240" w:line="360" w:lineRule="auto"/>
        <w:rPr>
          <w:rFonts w:eastAsia="Arial" w:cstheme="minorHAnsi"/>
          <w:sz w:val="22"/>
          <w:szCs w:val="22"/>
        </w:rPr>
      </w:pPr>
      <w:r w:rsidRPr="009E413D">
        <w:rPr>
          <w:rFonts w:eastAsia="Arial" w:cstheme="minorHAnsi"/>
          <w:sz w:val="22"/>
          <w:szCs w:val="22"/>
        </w:rPr>
        <w:t>The Million Women Study offers significant insight into breast cancer risk, particularly in relation to lifestyle factors (Reeves et al., 2022). However, such large-scale studies may be limited by representativeness, as participants are often more health-conscious than the general population. This introduces potential selection bias and may overestimate the effectiveness of behavioural interventions.</w:t>
      </w:r>
    </w:p>
    <w:p w14:paraId="02B872BF" w14:textId="6845AFF7" w:rsidR="220C8FE7" w:rsidRPr="009E413D" w:rsidRDefault="220C8FE7"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Health needs assessments and cancer registries, such as NCRAS, provide essential population-level data for planning interventions (NHS Digital, 2024; Public Health England, 2021). These data sources support the identification of disease patterns, high-risk groups and service needs within specific populations (</w:t>
      </w:r>
      <w:r w:rsidR="68DE8D63" w:rsidRPr="009E413D">
        <w:rPr>
          <w:rFonts w:eastAsia="Arial" w:cstheme="minorHAnsi"/>
          <w:sz w:val="22"/>
          <w:szCs w:val="22"/>
          <w:lang w:val="en-US"/>
        </w:rPr>
        <w:t>NHS Digital, 2024</w:t>
      </w:r>
      <w:r w:rsidRPr="009E413D">
        <w:rPr>
          <w:rFonts w:eastAsia="Arial" w:cstheme="minorHAnsi"/>
          <w:sz w:val="22"/>
          <w:szCs w:val="22"/>
          <w:lang w:val="en-US"/>
        </w:rPr>
        <w:t>; World Health Organization, 202</w:t>
      </w:r>
      <w:r w:rsidR="5EAA8CE5" w:rsidRPr="009E413D">
        <w:rPr>
          <w:rFonts w:eastAsia="Arial" w:cstheme="minorHAnsi"/>
          <w:sz w:val="22"/>
          <w:szCs w:val="22"/>
          <w:lang w:val="en-US"/>
        </w:rPr>
        <w:t>5</w:t>
      </w:r>
      <w:r w:rsidRPr="009E413D">
        <w:rPr>
          <w:rFonts w:eastAsia="Arial" w:cstheme="minorHAnsi"/>
          <w:sz w:val="22"/>
          <w:szCs w:val="22"/>
          <w:lang w:val="en-US"/>
        </w:rPr>
        <w:t>). However, methodological limitations, including confounding, bias and data gaps, require careful interpretation of findings (Gordis, 2020, pp. 150–155; Rothman et al., 2021, pp. 10–15)</w:t>
      </w:r>
      <w:r w:rsidR="002D3A36" w:rsidRPr="009E413D">
        <w:rPr>
          <w:rFonts w:eastAsia="Arial" w:cstheme="minorHAnsi"/>
          <w:sz w:val="22"/>
          <w:szCs w:val="22"/>
          <w:lang w:val="en-US"/>
        </w:rPr>
        <w:t>.</w:t>
      </w:r>
    </w:p>
    <w:p w14:paraId="3ADB79B4" w14:textId="52B8A6E1" w:rsidR="1BEFAC2A" w:rsidRPr="009E413D" w:rsidRDefault="1BEFAC2A" w:rsidP="009E413D">
      <w:pPr>
        <w:spacing w:line="360" w:lineRule="auto"/>
        <w:rPr>
          <w:rFonts w:cstheme="minorHAnsi"/>
          <w:sz w:val="22"/>
          <w:szCs w:val="22"/>
        </w:rPr>
      </w:pPr>
    </w:p>
    <w:p w14:paraId="304E56AD" w14:textId="2D8559C0" w:rsidR="1F578C79" w:rsidRPr="009E413D" w:rsidRDefault="1F578C7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Public Health Surveillance and Monitoring</w:t>
      </w:r>
    </w:p>
    <w:p w14:paraId="51EFBB79" w14:textId="2EC6B6F3" w:rsidR="1F578C79" w:rsidRPr="009E413D" w:rsidRDefault="6D12EA99" w:rsidP="009E413D">
      <w:pPr>
        <w:spacing w:before="240" w:after="240" w:line="360" w:lineRule="auto"/>
        <w:rPr>
          <w:rFonts w:eastAsia="Arial" w:cstheme="minorHAnsi"/>
          <w:sz w:val="22"/>
          <w:szCs w:val="22"/>
        </w:rPr>
      </w:pPr>
      <w:r w:rsidRPr="009E413D">
        <w:rPr>
          <w:rFonts w:eastAsia="Arial" w:cstheme="minorHAnsi"/>
          <w:sz w:val="22"/>
          <w:szCs w:val="22"/>
        </w:rPr>
        <w:t>Surveillance systems are essential for monitoring incidence, mortality and survival trends (</w:t>
      </w:r>
      <w:r w:rsidR="1CE35395" w:rsidRPr="009E413D">
        <w:rPr>
          <w:rFonts w:eastAsia="Arial" w:cstheme="minorHAnsi"/>
          <w:sz w:val="22"/>
          <w:szCs w:val="22"/>
        </w:rPr>
        <w:t>NHS Digital, 2024</w:t>
      </w:r>
      <w:r w:rsidRPr="009E413D">
        <w:rPr>
          <w:rFonts w:eastAsia="Arial" w:cstheme="minorHAnsi"/>
          <w:sz w:val="22"/>
          <w:szCs w:val="22"/>
        </w:rPr>
        <w:t>). National registries enable policymakers to track disease patterns and evaluate interventions (</w:t>
      </w:r>
      <w:r w:rsidR="3D880205" w:rsidRPr="009E413D">
        <w:rPr>
          <w:rFonts w:eastAsia="Arial" w:cstheme="minorHAnsi"/>
          <w:sz w:val="22"/>
          <w:szCs w:val="22"/>
        </w:rPr>
        <w:t>NHS Digital, 2024</w:t>
      </w:r>
      <w:r w:rsidRPr="009E413D">
        <w:rPr>
          <w:rFonts w:eastAsia="Arial" w:cstheme="minorHAnsi"/>
          <w:sz w:val="22"/>
          <w:szCs w:val="22"/>
        </w:rPr>
        <w:t>).</w:t>
      </w:r>
    </w:p>
    <w:p w14:paraId="375E491C" w14:textId="7244A139" w:rsidR="1BEFAC2A" w:rsidRPr="009E413D" w:rsidRDefault="1F578C79" w:rsidP="009E413D">
      <w:pPr>
        <w:spacing w:before="240" w:after="240" w:line="360" w:lineRule="auto"/>
        <w:rPr>
          <w:rFonts w:cstheme="minorHAnsi"/>
          <w:b/>
          <w:bCs/>
          <w:sz w:val="22"/>
          <w:szCs w:val="22"/>
        </w:rPr>
      </w:pPr>
      <w:r w:rsidRPr="009E413D">
        <w:rPr>
          <w:rFonts w:eastAsia="Arial" w:cstheme="minorHAnsi"/>
          <w:sz w:val="22"/>
          <w:szCs w:val="22"/>
        </w:rPr>
        <w:t xml:space="preserve">Geographical analysis supports targeted interventions by identifying high-risk areas (Public Health England, 2021). </w:t>
      </w:r>
      <w:r w:rsidR="002D3A36" w:rsidRPr="009E413D">
        <w:rPr>
          <w:rFonts w:cstheme="minorHAnsi"/>
          <w:sz w:val="22"/>
          <w:szCs w:val="22"/>
        </w:rPr>
        <w:t xml:space="preserve">However, surveillance systems are dependent on data accuracy. Underreporting, delays and inconsistencies may result in incomplete representations of disease burden, particularly among marginalised populations </w:t>
      </w:r>
      <w:r w:rsidR="002D3A36" w:rsidRPr="009E413D">
        <w:rPr>
          <w:rStyle w:val="Strong"/>
          <w:rFonts w:cstheme="minorHAnsi"/>
          <w:b w:val="0"/>
          <w:bCs w:val="0"/>
          <w:sz w:val="22"/>
          <w:szCs w:val="22"/>
        </w:rPr>
        <w:t>(NHS Digital, 2024; Public Health England, 2021)</w:t>
      </w:r>
      <w:r w:rsidR="002D3A36" w:rsidRPr="009E413D">
        <w:rPr>
          <w:rFonts w:cstheme="minorHAnsi"/>
          <w:b/>
          <w:bCs/>
          <w:sz w:val="22"/>
          <w:szCs w:val="22"/>
        </w:rPr>
        <w:t>.</w:t>
      </w:r>
      <w:r w:rsidR="002D3A36" w:rsidRPr="009E413D">
        <w:rPr>
          <w:rFonts w:cstheme="minorHAnsi"/>
          <w:sz w:val="22"/>
          <w:szCs w:val="22"/>
        </w:rPr>
        <w:t xml:space="preserve"> This highlights the need for continuous improvement in data systems and data collection methods </w:t>
      </w:r>
      <w:r w:rsidR="002D3A36" w:rsidRPr="009E413D">
        <w:rPr>
          <w:rStyle w:val="Strong"/>
          <w:rFonts w:cstheme="minorHAnsi"/>
          <w:b w:val="0"/>
          <w:bCs w:val="0"/>
          <w:sz w:val="22"/>
          <w:szCs w:val="22"/>
        </w:rPr>
        <w:t>(World Health Organization, 2023; Gordis, 2020, pp. 150–155)</w:t>
      </w:r>
      <w:r w:rsidR="002D3A36" w:rsidRPr="009E413D">
        <w:rPr>
          <w:rFonts w:cstheme="minorHAnsi"/>
          <w:b/>
          <w:bCs/>
          <w:sz w:val="22"/>
          <w:szCs w:val="22"/>
        </w:rPr>
        <w:t>.</w:t>
      </w:r>
    </w:p>
    <w:p w14:paraId="6154B2C7" w14:textId="1A58C94E" w:rsidR="1F578C79" w:rsidRPr="009E413D" w:rsidRDefault="1F578C7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Assessing Public Health Impact</w:t>
      </w:r>
    </w:p>
    <w:p w14:paraId="78E5B0C9" w14:textId="652641A8" w:rsidR="1F578C79" w:rsidRPr="009E413D" w:rsidRDefault="6D12EA99"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 xml:space="preserve">Breast cancer has significant physical, </w:t>
      </w:r>
      <w:r w:rsidR="6E15DE55" w:rsidRPr="009E413D">
        <w:rPr>
          <w:rFonts w:eastAsia="Arial" w:cstheme="minorHAnsi"/>
          <w:sz w:val="22"/>
          <w:szCs w:val="22"/>
          <w:lang w:val="en-US"/>
        </w:rPr>
        <w:t>psychological,</w:t>
      </w:r>
      <w:r w:rsidRPr="009E413D">
        <w:rPr>
          <w:rFonts w:eastAsia="Arial" w:cstheme="minorHAnsi"/>
          <w:sz w:val="22"/>
          <w:szCs w:val="22"/>
          <w:lang w:val="en-US"/>
        </w:rPr>
        <w:t xml:space="preserve"> and economic impacts (World Health Organization, 202</w:t>
      </w:r>
      <w:r w:rsidR="446D893E" w:rsidRPr="009E413D">
        <w:rPr>
          <w:rFonts w:eastAsia="Arial" w:cstheme="minorHAnsi"/>
          <w:sz w:val="22"/>
          <w:szCs w:val="22"/>
          <w:lang w:val="en-US"/>
        </w:rPr>
        <w:t>5</w:t>
      </w:r>
      <w:r w:rsidRPr="009E413D">
        <w:rPr>
          <w:rFonts w:eastAsia="Arial" w:cstheme="minorHAnsi"/>
          <w:sz w:val="22"/>
          <w:szCs w:val="22"/>
          <w:lang w:val="en-US"/>
        </w:rPr>
        <w:t>). Treatments can reduce quality of life, while emotional distress is common among patients (Macmillan Cancer Support, 202</w:t>
      </w:r>
      <w:r w:rsidR="4D7296C1" w:rsidRPr="009E413D">
        <w:rPr>
          <w:rFonts w:eastAsia="Arial" w:cstheme="minorHAnsi"/>
          <w:sz w:val="22"/>
          <w:szCs w:val="22"/>
          <w:lang w:val="en-US"/>
        </w:rPr>
        <w:t>5</w:t>
      </w:r>
      <w:r w:rsidRPr="009E413D">
        <w:rPr>
          <w:rFonts w:eastAsia="Arial" w:cstheme="minorHAnsi"/>
          <w:sz w:val="22"/>
          <w:szCs w:val="22"/>
          <w:lang w:val="en-US"/>
        </w:rPr>
        <w:t>).</w:t>
      </w:r>
    </w:p>
    <w:p w14:paraId="2AB16624" w14:textId="1C11664B" w:rsidR="4C5044D7" w:rsidRPr="009E413D" w:rsidRDefault="5AE64206" w:rsidP="009E413D">
      <w:pPr>
        <w:spacing w:before="240" w:after="240" w:line="360" w:lineRule="auto"/>
        <w:rPr>
          <w:rFonts w:cstheme="minorHAnsi"/>
          <w:sz w:val="22"/>
          <w:szCs w:val="22"/>
        </w:rPr>
      </w:pPr>
      <w:r w:rsidRPr="009E413D">
        <w:rPr>
          <w:rFonts w:eastAsia="Arial" w:cstheme="minorHAnsi"/>
          <w:sz w:val="22"/>
          <w:szCs w:val="22"/>
          <w:lang w:val="en-US"/>
        </w:rPr>
        <w:t>Although epidemiological indicators provide valuable insights, they do not capture the full patient experience (Marmot et al., 2020; Public Health England, 2021). This suggests that reliance on quantitative measures alone is insufficient, and qualitative data is needed to understand the broader impact of disease and patient wellbeing (World Health Organization, 202</w:t>
      </w:r>
      <w:r w:rsidR="03591E0B" w:rsidRPr="009E413D">
        <w:rPr>
          <w:rFonts w:eastAsia="Arial" w:cstheme="minorHAnsi"/>
          <w:sz w:val="22"/>
          <w:szCs w:val="22"/>
          <w:lang w:val="en-US"/>
        </w:rPr>
        <w:t>5</w:t>
      </w:r>
      <w:r w:rsidRPr="009E413D">
        <w:rPr>
          <w:rFonts w:eastAsia="Arial" w:cstheme="minorHAnsi"/>
          <w:sz w:val="22"/>
          <w:szCs w:val="22"/>
          <w:lang w:val="en-US"/>
        </w:rPr>
        <w:t>; Rothman et al., 2021).</w:t>
      </w:r>
    </w:p>
    <w:p w14:paraId="4C1A11E0" w14:textId="12AFF072" w:rsidR="1BEFAC2A" w:rsidRPr="009E413D" w:rsidRDefault="1BEFAC2A" w:rsidP="009E413D">
      <w:pPr>
        <w:spacing w:line="360" w:lineRule="auto"/>
        <w:rPr>
          <w:rFonts w:cstheme="minorHAnsi"/>
          <w:sz w:val="22"/>
          <w:szCs w:val="22"/>
        </w:rPr>
      </w:pPr>
    </w:p>
    <w:p w14:paraId="258B9A69" w14:textId="64D6795F" w:rsidR="1F578C79" w:rsidRPr="009E413D" w:rsidRDefault="1F578C7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Designing and Evaluating Public Health Interventions</w:t>
      </w:r>
    </w:p>
    <w:p w14:paraId="4EE8CB31" w14:textId="722FFA46" w:rsidR="1F578C79" w:rsidRPr="009E413D" w:rsidRDefault="1F578C79" w:rsidP="009E413D">
      <w:pPr>
        <w:spacing w:before="240" w:after="240" w:line="360" w:lineRule="auto"/>
        <w:rPr>
          <w:rFonts w:eastAsia="Arial" w:cstheme="minorHAnsi"/>
          <w:sz w:val="22"/>
          <w:szCs w:val="22"/>
        </w:rPr>
      </w:pPr>
      <w:r w:rsidRPr="009E413D">
        <w:rPr>
          <w:rFonts w:eastAsia="Arial" w:cstheme="minorHAnsi"/>
          <w:sz w:val="22"/>
          <w:szCs w:val="22"/>
        </w:rPr>
        <w:t>Epidemiological evidence informs the design of public health interventions (Friis and Sellers, 2021). These typically focus on screening and awareness (NHS England, 2023).</w:t>
      </w:r>
    </w:p>
    <w:p w14:paraId="4C98AEFA" w14:textId="6BAFEF34" w:rsidR="1F578C79" w:rsidRPr="009E413D" w:rsidRDefault="1F578C79" w:rsidP="009E413D">
      <w:pPr>
        <w:spacing w:before="240" w:after="240" w:line="360" w:lineRule="auto"/>
        <w:rPr>
          <w:rFonts w:eastAsia="Arial" w:cstheme="minorHAnsi"/>
          <w:sz w:val="22"/>
          <w:szCs w:val="22"/>
        </w:rPr>
      </w:pPr>
      <w:r w:rsidRPr="009E413D">
        <w:rPr>
          <w:rFonts w:eastAsia="Arial" w:cstheme="minorHAnsi"/>
          <w:sz w:val="22"/>
          <w:szCs w:val="22"/>
        </w:rPr>
        <w:t xml:space="preserve">Targeted interventions in Lambeth could address inequalities through culturally appropriate programmes (Lambeth Council, 2022). However, effectiveness depends on implementation and evaluation. Quantitative indicators such as screening uptake may not reflect long-term behavioural change or patient experience, highlighting the importance of qualitative </w:t>
      </w:r>
      <w:r w:rsidRPr="009E413D">
        <w:rPr>
          <w:rFonts w:eastAsia="Arial" w:cstheme="minorHAnsi"/>
          <w:sz w:val="22"/>
          <w:szCs w:val="22"/>
        </w:rPr>
        <w:lastRenderedPageBreak/>
        <w:t>evaluation and mixed-method approaches</w:t>
      </w:r>
      <w:r w:rsidR="002D3A36" w:rsidRPr="009E413D">
        <w:rPr>
          <w:rFonts w:eastAsia="Arial" w:cstheme="minorHAnsi"/>
          <w:sz w:val="22"/>
          <w:szCs w:val="22"/>
          <w:lang w:val="en-GB"/>
        </w:rPr>
        <w:t xml:space="preserve"> </w:t>
      </w:r>
      <w:r w:rsidR="002D3A36" w:rsidRPr="009E413D">
        <w:rPr>
          <w:rStyle w:val="Strong"/>
          <w:rFonts w:cstheme="minorHAnsi"/>
          <w:b w:val="0"/>
          <w:bCs w:val="0"/>
          <w:sz w:val="22"/>
          <w:szCs w:val="22"/>
        </w:rPr>
        <w:t>(Gordis, 2020, pp. 150–155; Rothman et al., 2021, pp. 10–15; Public Health England, 2021)</w:t>
      </w:r>
      <w:r w:rsidRPr="009E413D">
        <w:rPr>
          <w:rFonts w:eastAsia="Arial" w:cstheme="minorHAnsi"/>
          <w:b/>
          <w:bCs/>
          <w:sz w:val="22"/>
          <w:szCs w:val="22"/>
        </w:rPr>
        <w:t>.</w:t>
      </w:r>
    </w:p>
    <w:p w14:paraId="13CE5801" w14:textId="76378ACB" w:rsidR="1BEFAC2A" w:rsidRPr="009E413D" w:rsidRDefault="1BEFAC2A" w:rsidP="009E413D">
      <w:pPr>
        <w:spacing w:line="360" w:lineRule="auto"/>
        <w:rPr>
          <w:rFonts w:cstheme="minorHAnsi"/>
          <w:sz w:val="22"/>
          <w:szCs w:val="22"/>
        </w:rPr>
      </w:pPr>
    </w:p>
    <w:p w14:paraId="04A4E77C" w14:textId="3123E29C" w:rsidR="1F578C79" w:rsidRPr="009E413D" w:rsidRDefault="1F578C7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Strengths and Limitations of Epidemiology</w:t>
      </w:r>
    </w:p>
    <w:p w14:paraId="2AE3AC39" w14:textId="25D9854A" w:rsidR="0AB45FFA" w:rsidRPr="009E413D" w:rsidRDefault="14B857EC" w:rsidP="009E413D">
      <w:pPr>
        <w:spacing w:before="240" w:after="240" w:line="360" w:lineRule="auto"/>
        <w:rPr>
          <w:rFonts w:cstheme="minorHAnsi"/>
          <w:sz w:val="22"/>
          <w:szCs w:val="22"/>
        </w:rPr>
      </w:pPr>
      <w:r w:rsidRPr="009E413D">
        <w:rPr>
          <w:rFonts w:eastAsia="Arial" w:cstheme="minorHAnsi"/>
          <w:sz w:val="22"/>
          <w:szCs w:val="22"/>
          <w:lang w:val="en-US"/>
        </w:rPr>
        <w:t xml:space="preserve">Epidemiology constitutes a foundational pillar of public health, providing a systematic framework for understanding the distribution, determinants and consequences of disease within populations (Friis and Sellers, 2021; Rothman et al., 2021). Its principal strength lies in its ability to generate </w:t>
      </w:r>
      <w:r w:rsidRPr="009E413D">
        <w:rPr>
          <w:rFonts w:eastAsia="Arial" w:cstheme="minorHAnsi"/>
          <w:sz w:val="22"/>
          <w:szCs w:val="22"/>
          <w:lang w:val="en-GB"/>
        </w:rPr>
        <w:t>generalisable</w:t>
      </w:r>
      <w:r w:rsidRPr="009E413D">
        <w:rPr>
          <w:rFonts w:eastAsia="Arial" w:cstheme="minorHAnsi"/>
          <w:sz w:val="22"/>
          <w:szCs w:val="22"/>
          <w:lang w:val="en-US"/>
        </w:rPr>
        <w:t>, population-level evidence through the analysis of large datasets. This enables the identification of risk factors, temporal trends and disease patterns, supporting evidence-based interventions and policy decisions, particularly in breast cancer where early detection is critical (World Health Organization, 202</w:t>
      </w:r>
      <w:r w:rsidR="6C5F6B6A" w:rsidRPr="009E413D">
        <w:rPr>
          <w:rFonts w:eastAsia="Arial" w:cstheme="minorHAnsi"/>
          <w:sz w:val="22"/>
          <w:szCs w:val="22"/>
          <w:lang w:val="en-US"/>
        </w:rPr>
        <w:t>5</w:t>
      </w:r>
      <w:r w:rsidRPr="009E413D">
        <w:rPr>
          <w:rFonts w:eastAsia="Arial" w:cstheme="minorHAnsi"/>
          <w:sz w:val="22"/>
          <w:szCs w:val="22"/>
          <w:lang w:val="en-US"/>
        </w:rPr>
        <w:t>).</w:t>
      </w:r>
    </w:p>
    <w:p w14:paraId="1DBFEB2D" w14:textId="6418E792" w:rsidR="0AB45FFA" w:rsidRPr="009E413D" w:rsidRDefault="0AB45FFA" w:rsidP="009E413D">
      <w:pPr>
        <w:spacing w:before="240" w:after="240" w:line="360" w:lineRule="auto"/>
        <w:rPr>
          <w:rFonts w:cstheme="minorHAnsi"/>
          <w:sz w:val="22"/>
          <w:szCs w:val="22"/>
        </w:rPr>
      </w:pPr>
      <w:r w:rsidRPr="009E413D">
        <w:rPr>
          <w:rFonts w:eastAsia="Arial" w:cstheme="minorHAnsi"/>
          <w:sz w:val="22"/>
          <w:szCs w:val="22"/>
        </w:rPr>
        <w:t>However, epidemiology is not epistemologically neutral. It is largely grounded in positivist paradigms that prioritise quantifiable variables and statistical associations, often at the expense of subjective experience and contextual nuance. Consequently, complex social determinants such as cultural beliefs, structural inequalities and lived experiences may be underrepresented (Marmot et al., 2020). This is particularly relevant in breast cancer, where disparities in outcomes are influenced by socioeconomic and ethnic factors.</w:t>
      </w:r>
    </w:p>
    <w:p w14:paraId="04D5D1B6" w14:textId="02999FC8" w:rsidR="0AB45FFA" w:rsidRPr="009E413D" w:rsidRDefault="0AB45FFA" w:rsidP="009E413D">
      <w:pPr>
        <w:spacing w:before="240" w:after="240" w:line="360" w:lineRule="auto"/>
        <w:rPr>
          <w:rFonts w:cstheme="minorHAnsi"/>
          <w:sz w:val="22"/>
          <w:szCs w:val="22"/>
        </w:rPr>
      </w:pPr>
      <w:r w:rsidRPr="009E413D">
        <w:rPr>
          <w:rFonts w:eastAsia="Arial" w:cstheme="minorHAnsi"/>
          <w:sz w:val="22"/>
          <w:szCs w:val="22"/>
          <w:lang w:val="en-US"/>
        </w:rPr>
        <w:t>Methodological limitations further constrain epidemiology, including confounding, selection bias and issues of data completeness, which may compromise validity (Gordis, 2020). Although statistical methods aim to control these issues, residual confounding often remains, limiting causal inference. Epidemiology therefore frequently identifies associations rather than causation, requiring cautious interpretation (Rothman et al., 2021).</w:t>
      </w:r>
    </w:p>
    <w:p w14:paraId="20EB5B38" w14:textId="326F3464" w:rsidR="1BEFAC2A" w:rsidRPr="009E413D" w:rsidRDefault="1BEFAC2A" w:rsidP="009E413D">
      <w:pPr>
        <w:spacing w:before="240" w:after="240" w:line="360" w:lineRule="auto"/>
        <w:rPr>
          <w:rFonts w:eastAsia="Arial" w:cstheme="minorHAnsi"/>
          <w:sz w:val="22"/>
          <w:szCs w:val="22"/>
          <w:lang w:val="en-US"/>
        </w:rPr>
      </w:pPr>
    </w:p>
    <w:p w14:paraId="5F8F0BF5" w14:textId="2B036C59" w:rsidR="1BEFAC2A" w:rsidRPr="009E413D" w:rsidRDefault="1BEFAC2A" w:rsidP="009E413D">
      <w:pPr>
        <w:spacing w:before="240" w:after="240" w:line="360" w:lineRule="auto"/>
        <w:rPr>
          <w:rFonts w:eastAsia="Arial" w:cstheme="minorHAnsi"/>
          <w:sz w:val="22"/>
          <w:szCs w:val="22"/>
          <w:lang w:val="en-US"/>
        </w:rPr>
      </w:pPr>
    </w:p>
    <w:p w14:paraId="32513E23" w14:textId="446ACB72" w:rsidR="1F578C79" w:rsidRPr="009E413D" w:rsidRDefault="1F578C79" w:rsidP="009E413D">
      <w:pPr>
        <w:pStyle w:val="Heading2"/>
        <w:spacing w:before="299" w:after="299" w:line="360" w:lineRule="auto"/>
        <w:rPr>
          <w:rFonts w:asciiTheme="minorHAnsi" w:eastAsia="Arial" w:hAnsiTheme="minorHAnsi" w:cstheme="minorHAnsi"/>
          <w:b/>
          <w:bCs/>
          <w:color w:val="auto"/>
          <w:sz w:val="22"/>
          <w:szCs w:val="22"/>
        </w:rPr>
      </w:pPr>
      <w:r w:rsidRPr="009E413D">
        <w:rPr>
          <w:rFonts w:asciiTheme="minorHAnsi" w:eastAsia="Arial" w:hAnsiTheme="minorHAnsi" w:cstheme="minorHAnsi"/>
          <w:b/>
          <w:bCs/>
          <w:color w:val="auto"/>
          <w:sz w:val="22"/>
          <w:szCs w:val="22"/>
        </w:rPr>
        <w:t>Conclusion</w:t>
      </w:r>
    </w:p>
    <w:p w14:paraId="4F751239" w14:textId="6C1E77C7" w:rsidR="1F578C79" w:rsidRPr="009E413D" w:rsidRDefault="1F578C79" w:rsidP="009E413D">
      <w:pPr>
        <w:spacing w:before="240" w:after="240" w:line="360" w:lineRule="auto"/>
        <w:rPr>
          <w:rFonts w:eastAsia="Arial" w:cstheme="minorHAnsi"/>
          <w:sz w:val="22"/>
          <w:szCs w:val="22"/>
        </w:rPr>
      </w:pPr>
      <w:r w:rsidRPr="009E413D">
        <w:rPr>
          <w:rFonts w:eastAsia="Arial" w:cstheme="minorHAnsi"/>
          <w:sz w:val="22"/>
          <w:szCs w:val="22"/>
        </w:rPr>
        <w:t>Epidemiology plays a critical role in understanding and managing breast cancer, enabling identification of risk factors, monitoring of trends and evaluation of interventions. However, its limitations highlight the need for a more integrated approach that considers social, cultural and structural determinants of health.</w:t>
      </w:r>
    </w:p>
    <w:p w14:paraId="2D01F662" w14:textId="77777777" w:rsidR="002D3A36" w:rsidRPr="009E413D" w:rsidRDefault="1F578C79" w:rsidP="009E413D">
      <w:pPr>
        <w:spacing w:before="240" w:after="240" w:line="360" w:lineRule="auto"/>
        <w:rPr>
          <w:rFonts w:eastAsia="Arial" w:cstheme="minorHAnsi"/>
          <w:sz w:val="22"/>
          <w:szCs w:val="22"/>
          <w:lang w:val="en-GB"/>
        </w:rPr>
      </w:pPr>
      <w:r w:rsidRPr="009E413D">
        <w:rPr>
          <w:rFonts w:eastAsia="Arial" w:cstheme="minorHAnsi"/>
          <w:sz w:val="22"/>
          <w:szCs w:val="22"/>
        </w:rPr>
        <w:lastRenderedPageBreak/>
        <w:t>Ultimately, advancing breast cancer control requires a shift towards equity-focused, interdisciplinary strategies that extend beyond traditional epidemiological models. Only through such integration can public health interventions effectively address the complex and multifactorial nature of disease in diverse populations such as Lambeth</w:t>
      </w:r>
    </w:p>
    <w:p w14:paraId="55F8E37B" w14:textId="77777777" w:rsidR="009E413D" w:rsidRDefault="009E413D" w:rsidP="009E413D">
      <w:pPr>
        <w:spacing w:before="240" w:after="240" w:line="360" w:lineRule="auto"/>
        <w:rPr>
          <w:rFonts w:eastAsiaTheme="minorEastAsia" w:cstheme="minorHAnsi"/>
          <w:b/>
          <w:bCs/>
          <w:sz w:val="22"/>
          <w:szCs w:val="22"/>
          <w:lang w:val="en-GB"/>
        </w:rPr>
      </w:pPr>
    </w:p>
    <w:p w14:paraId="365D72CB" w14:textId="77777777" w:rsidR="009E413D" w:rsidRDefault="009E413D" w:rsidP="009E413D">
      <w:pPr>
        <w:spacing w:before="240" w:after="240" w:line="360" w:lineRule="auto"/>
        <w:rPr>
          <w:rFonts w:eastAsiaTheme="minorEastAsia" w:cstheme="minorHAnsi"/>
          <w:b/>
          <w:bCs/>
          <w:sz w:val="22"/>
          <w:szCs w:val="22"/>
          <w:lang w:val="en-GB"/>
        </w:rPr>
      </w:pPr>
    </w:p>
    <w:p w14:paraId="1FA7CA6B" w14:textId="77777777" w:rsidR="009E413D" w:rsidRDefault="009E413D" w:rsidP="009E413D">
      <w:pPr>
        <w:spacing w:before="240" w:after="240" w:line="360" w:lineRule="auto"/>
        <w:rPr>
          <w:rFonts w:eastAsiaTheme="minorEastAsia" w:cstheme="minorHAnsi"/>
          <w:b/>
          <w:bCs/>
          <w:sz w:val="22"/>
          <w:szCs w:val="22"/>
          <w:lang w:val="en-GB"/>
        </w:rPr>
      </w:pPr>
    </w:p>
    <w:p w14:paraId="2B3D97E4" w14:textId="77777777" w:rsidR="009E413D" w:rsidRDefault="009E413D" w:rsidP="009E413D">
      <w:pPr>
        <w:spacing w:before="240" w:after="240" w:line="360" w:lineRule="auto"/>
        <w:rPr>
          <w:rFonts w:eastAsiaTheme="minorEastAsia" w:cstheme="minorHAnsi"/>
          <w:b/>
          <w:bCs/>
          <w:sz w:val="22"/>
          <w:szCs w:val="22"/>
          <w:lang w:val="en-GB"/>
        </w:rPr>
      </w:pPr>
    </w:p>
    <w:p w14:paraId="08790505" w14:textId="77777777" w:rsidR="009E413D" w:rsidRDefault="009E413D" w:rsidP="009E413D">
      <w:pPr>
        <w:spacing w:before="240" w:after="240" w:line="360" w:lineRule="auto"/>
        <w:rPr>
          <w:rFonts w:eastAsiaTheme="minorEastAsia" w:cstheme="minorHAnsi"/>
          <w:b/>
          <w:bCs/>
          <w:sz w:val="22"/>
          <w:szCs w:val="22"/>
          <w:lang w:val="en-GB"/>
        </w:rPr>
      </w:pPr>
    </w:p>
    <w:p w14:paraId="270DD694" w14:textId="77777777" w:rsidR="009E413D" w:rsidRDefault="009E413D" w:rsidP="009E413D">
      <w:pPr>
        <w:spacing w:before="240" w:after="240" w:line="360" w:lineRule="auto"/>
        <w:rPr>
          <w:rFonts w:eastAsiaTheme="minorEastAsia" w:cstheme="minorHAnsi"/>
          <w:b/>
          <w:bCs/>
          <w:sz w:val="22"/>
          <w:szCs w:val="22"/>
          <w:lang w:val="en-GB"/>
        </w:rPr>
      </w:pPr>
    </w:p>
    <w:p w14:paraId="30D48A3F" w14:textId="77777777" w:rsidR="009E413D" w:rsidRDefault="009E413D" w:rsidP="009E413D">
      <w:pPr>
        <w:spacing w:before="240" w:after="240" w:line="360" w:lineRule="auto"/>
        <w:rPr>
          <w:rFonts w:eastAsiaTheme="minorEastAsia" w:cstheme="minorHAnsi"/>
          <w:b/>
          <w:bCs/>
          <w:sz w:val="22"/>
          <w:szCs w:val="22"/>
          <w:lang w:val="en-GB"/>
        </w:rPr>
      </w:pPr>
    </w:p>
    <w:p w14:paraId="759E88A8" w14:textId="77777777" w:rsidR="009E413D" w:rsidRDefault="009E413D" w:rsidP="009E413D">
      <w:pPr>
        <w:spacing w:before="240" w:after="240" w:line="360" w:lineRule="auto"/>
        <w:rPr>
          <w:rFonts w:eastAsiaTheme="minorEastAsia" w:cstheme="minorHAnsi"/>
          <w:b/>
          <w:bCs/>
          <w:sz w:val="22"/>
          <w:szCs w:val="22"/>
          <w:lang w:val="en-GB"/>
        </w:rPr>
      </w:pPr>
    </w:p>
    <w:p w14:paraId="7D244051" w14:textId="77777777" w:rsidR="009E413D" w:rsidRDefault="009E413D" w:rsidP="009E413D">
      <w:pPr>
        <w:spacing w:before="240" w:after="240" w:line="360" w:lineRule="auto"/>
        <w:rPr>
          <w:rFonts w:eastAsiaTheme="minorEastAsia" w:cstheme="minorHAnsi"/>
          <w:b/>
          <w:bCs/>
          <w:sz w:val="22"/>
          <w:szCs w:val="22"/>
          <w:lang w:val="en-GB"/>
        </w:rPr>
      </w:pPr>
    </w:p>
    <w:p w14:paraId="74C436EC" w14:textId="77777777" w:rsidR="009E413D" w:rsidRDefault="009E413D" w:rsidP="009E413D">
      <w:pPr>
        <w:spacing w:before="240" w:after="240" w:line="360" w:lineRule="auto"/>
        <w:rPr>
          <w:rFonts w:eastAsiaTheme="minorEastAsia" w:cstheme="minorHAnsi"/>
          <w:b/>
          <w:bCs/>
          <w:sz w:val="22"/>
          <w:szCs w:val="22"/>
          <w:lang w:val="en-GB"/>
        </w:rPr>
      </w:pPr>
    </w:p>
    <w:p w14:paraId="7C970247" w14:textId="77777777" w:rsidR="009E413D" w:rsidRDefault="009E413D" w:rsidP="009E413D">
      <w:pPr>
        <w:spacing w:before="240" w:after="240" w:line="360" w:lineRule="auto"/>
        <w:rPr>
          <w:rFonts w:eastAsiaTheme="minorEastAsia" w:cstheme="minorHAnsi"/>
          <w:b/>
          <w:bCs/>
          <w:sz w:val="22"/>
          <w:szCs w:val="22"/>
          <w:lang w:val="en-GB"/>
        </w:rPr>
      </w:pPr>
    </w:p>
    <w:p w14:paraId="40AA011B" w14:textId="77777777" w:rsidR="009E413D" w:rsidRDefault="009E413D" w:rsidP="009E413D">
      <w:pPr>
        <w:spacing w:before="240" w:after="240" w:line="360" w:lineRule="auto"/>
        <w:rPr>
          <w:rFonts w:eastAsiaTheme="minorEastAsia" w:cstheme="minorHAnsi"/>
          <w:b/>
          <w:bCs/>
          <w:sz w:val="22"/>
          <w:szCs w:val="22"/>
          <w:lang w:val="en-GB"/>
        </w:rPr>
      </w:pPr>
    </w:p>
    <w:p w14:paraId="7B8134D3" w14:textId="77777777" w:rsidR="009E413D" w:rsidRDefault="009E413D" w:rsidP="009E413D">
      <w:pPr>
        <w:spacing w:before="240" w:after="240" w:line="360" w:lineRule="auto"/>
        <w:rPr>
          <w:rFonts w:eastAsiaTheme="minorEastAsia" w:cstheme="minorHAnsi"/>
          <w:b/>
          <w:bCs/>
          <w:sz w:val="22"/>
          <w:szCs w:val="22"/>
          <w:lang w:val="en-GB"/>
        </w:rPr>
      </w:pPr>
    </w:p>
    <w:p w14:paraId="404B4D23" w14:textId="77777777" w:rsidR="009E413D" w:rsidRDefault="009E413D" w:rsidP="009E413D">
      <w:pPr>
        <w:spacing w:before="240" w:after="240" w:line="360" w:lineRule="auto"/>
        <w:rPr>
          <w:rFonts w:eastAsiaTheme="minorEastAsia" w:cstheme="minorHAnsi"/>
          <w:b/>
          <w:bCs/>
          <w:sz w:val="22"/>
          <w:szCs w:val="22"/>
          <w:lang w:val="en-GB"/>
        </w:rPr>
      </w:pPr>
    </w:p>
    <w:p w14:paraId="276558F0" w14:textId="77777777" w:rsidR="009E413D" w:rsidRDefault="009E413D" w:rsidP="009E413D">
      <w:pPr>
        <w:spacing w:before="240" w:after="240" w:line="360" w:lineRule="auto"/>
        <w:rPr>
          <w:rFonts w:eastAsiaTheme="minorEastAsia" w:cstheme="minorHAnsi"/>
          <w:b/>
          <w:bCs/>
          <w:sz w:val="22"/>
          <w:szCs w:val="22"/>
          <w:lang w:val="en-GB"/>
        </w:rPr>
      </w:pPr>
    </w:p>
    <w:p w14:paraId="22E9C843" w14:textId="77777777" w:rsidR="009E413D" w:rsidRDefault="009E413D" w:rsidP="009E413D">
      <w:pPr>
        <w:spacing w:before="240" w:after="240" w:line="360" w:lineRule="auto"/>
        <w:rPr>
          <w:rFonts w:eastAsiaTheme="minorEastAsia" w:cstheme="minorHAnsi"/>
          <w:b/>
          <w:bCs/>
          <w:sz w:val="22"/>
          <w:szCs w:val="22"/>
          <w:lang w:val="en-GB"/>
        </w:rPr>
      </w:pPr>
    </w:p>
    <w:p w14:paraId="0DBB48B4" w14:textId="77777777" w:rsidR="009E413D" w:rsidRDefault="009E413D" w:rsidP="009E413D">
      <w:pPr>
        <w:spacing w:before="240" w:after="240" w:line="360" w:lineRule="auto"/>
        <w:rPr>
          <w:rFonts w:eastAsiaTheme="minorEastAsia" w:cstheme="minorHAnsi"/>
          <w:b/>
          <w:bCs/>
          <w:sz w:val="22"/>
          <w:szCs w:val="22"/>
          <w:lang w:val="en-GB"/>
        </w:rPr>
      </w:pPr>
    </w:p>
    <w:p w14:paraId="20F41315" w14:textId="77777777" w:rsidR="009E413D" w:rsidRDefault="009E413D" w:rsidP="009E413D">
      <w:pPr>
        <w:spacing w:before="240" w:after="240" w:line="360" w:lineRule="auto"/>
        <w:rPr>
          <w:rFonts w:eastAsiaTheme="minorEastAsia" w:cstheme="minorHAnsi"/>
          <w:b/>
          <w:bCs/>
          <w:sz w:val="22"/>
          <w:szCs w:val="22"/>
          <w:lang w:val="en-GB"/>
        </w:rPr>
      </w:pPr>
    </w:p>
    <w:p w14:paraId="088A5F4B" w14:textId="77777777" w:rsidR="009E413D" w:rsidRDefault="009E413D" w:rsidP="009E413D">
      <w:pPr>
        <w:spacing w:before="240" w:after="240" w:line="360" w:lineRule="auto"/>
        <w:rPr>
          <w:rFonts w:eastAsiaTheme="minorEastAsia" w:cstheme="minorHAnsi"/>
          <w:b/>
          <w:bCs/>
          <w:sz w:val="22"/>
          <w:szCs w:val="22"/>
          <w:lang w:val="en-GB"/>
        </w:rPr>
      </w:pPr>
    </w:p>
    <w:p w14:paraId="7E3D4075" w14:textId="77777777" w:rsidR="009E413D" w:rsidRDefault="009E413D" w:rsidP="009E413D">
      <w:pPr>
        <w:spacing w:before="240" w:after="240" w:line="360" w:lineRule="auto"/>
        <w:rPr>
          <w:rFonts w:eastAsiaTheme="minorEastAsia" w:cstheme="minorHAnsi"/>
          <w:b/>
          <w:bCs/>
          <w:sz w:val="22"/>
          <w:szCs w:val="22"/>
          <w:lang w:val="en-GB"/>
        </w:rPr>
      </w:pPr>
    </w:p>
    <w:p w14:paraId="1E5CFC42" w14:textId="4D6D8968" w:rsidR="6C8FA7AD" w:rsidRPr="009E413D" w:rsidRDefault="6C8FA7AD" w:rsidP="009E413D">
      <w:pPr>
        <w:spacing w:before="240" w:after="240" w:line="360" w:lineRule="auto"/>
        <w:rPr>
          <w:rFonts w:eastAsia="Arial" w:cstheme="minorHAnsi"/>
          <w:sz w:val="22"/>
          <w:szCs w:val="22"/>
          <w:lang w:val="en-GB"/>
        </w:rPr>
      </w:pPr>
      <w:r w:rsidRPr="009E413D">
        <w:rPr>
          <w:rFonts w:eastAsiaTheme="minorEastAsia" w:cstheme="minorHAnsi"/>
          <w:b/>
          <w:bCs/>
          <w:sz w:val="22"/>
          <w:szCs w:val="22"/>
        </w:rPr>
        <w:lastRenderedPageBreak/>
        <w:t xml:space="preserve">Reference list </w:t>
      </w:r>
    </w:p>
    <w:p w14:paraId="59734064" w14:textId="107AD3F3" w:rsidR="1BEFAC2A" w:rsidRPr="009E413D" w:rsidRDefault="1BEFAC2A" w:rsidP="009E413D">
      <w:pPr>
        <w:spacing w:line="360" w:lineRule="auto"/>
        <w:rPr>
          <w:rFonts w:eastAsiaTheme="minorEastAsia" w:cstheme="minorHAnsi"/>
          <w:sz w:val="22"/>
          <w:szCs w:val="22"/>
        </w:rPr>
      </w:pPr>
    </w:p>
    <w:p w14:paraId="758F95DE" w14:textId="4411C620" w:rsidR="6C8FA7AD" w:rsidRPr="009E413D" w:rsidRDefault="6C8FA7AD" w:rsidP="009E413D">
      <w:pPr>
        <w:spacing w:line="360" w:lineRule="auto"/>
        <w:rPr>
          <w:rFonts w:eastAsia="Arial" w:cstheme="minorHAnsi"/>
          <w:b/>
          <w:bCs/>
          <w:sz w:val="22"/>
          <w:szCs w:val="22"/>
        </w:rPr>
      </w:pPr>
      <w:r w:rsidRPr="009E413D">
        <w:rPr>
          <w:rFonts w:eastAsia="Arial" w:cstheme="minorHAnsi"/>
          <w:b/>
          <w:bCs/>
          <w:sz w:val="22"/>
          <w:szCs w:val="22"/>
        </w:rPr>
        <w:t>Social Epidemiological Analysis</w:t>
      </w:r>
    </w:p>
    <w:p w14:paraId="07015918" w14:textId="5B424D5A" w:rsidR="6C8FA7AD" w:rsidRPr="009E413D" w:rsidRDefault="421DBE29" w:rsidP="009E413D">
      <w:pPr>
        <w:spacing w:before="240" w:after="240" w:line="360" w:lineRule="auto"/>
        <w:rPr>
          <w:rFonts w:eastAsia="Arial" w:cstheme="minorHAnsi"/>
          <w:sz w:val="22"/>
          <w:szCs w:val="22"/>
          <w:lang w:val="en-GB"/>
        </w:rPr>
      </w:pPr>
      <w:r w:rsidRPr="009E413D">
        <w:rPr>
          <w:rFonts w:eastAsia="Arial" w:cstheme="minorHAnsi"/>
          <w:sz w:val="22"/>
          <w:szCs w:val="22"/>
        </w:rPr>
        <w:t xml:space="preserve">Care Quality Commission (2022) </w:t>
      </w:r>
      <w:r w:rsidR="7414031E" w:rsidRPr="009E413D">
        <w:rPr>
          <w:rFonts w:eastAsia="Arial" w:cstheme="minorHAnsi"/>
          <w:i/>
          <w:iCs/>
          <w:sz w:val="22"/>
          <w:szCs w:val="22"/>
        </w:rPr>
        <w:t>Inequalities in care</w:t>
      </w:r>
      <w:r w:rsidRPr="009E413D">
        <w:rPr>
          <w:rFonts w:eastAsia="Arial" w:cstheme="minorHAnsi"/>
          <w:i/>
          <w:iCs/>
          <w:sz w:val="22"/>
          <w:szCs w:val="22"/>
        </w:rPr>
        <w:t>.</w:t>
      </w:r>
      <w:r w:rsidR="7695422B" w:rsidRPr="009E413D">
        <w:rPr>
          <w:rFonts w:eastAsia="Arial" w:cstheme="minorHAnsi"/>
          <w:sz w:val="22"/>
          <w:szCs w:val="22"/>
        </w:rPr>
        <w:t xml:space="preserve"> Available at: </w:t>
      </w:r>
      <w:hyperlink r:id="rId4">
        <w:r w:rsidR="7695422B" w:rsidRPr="009E413D">
          <w:rPr>
            <w:rStyle w:val="Hyperlink"/>
            <w:rFonts w:eastAsia="Arial" w:cstheme="minorHAnsi"/>
            <w:color w:val="auto"/>
            <w:sz w:val="22"/>
            <w:szCs w:val="22"/>
          </w:rPr>
          <w:t>https://www.cqc.org.uk/publication/state-care-202122/inequalities</w:t>
        </w:r>
      </w:hyperlink>
      <w:r w:rsidR="7695422B" w:rsidRPr="009E413D">
        <w:rPr>
          <w:rFonts w:eastAsia="Arial" w:cstheme="minorHAnsi"/>
          <w:sz w:val="22"/>
          <w:szCs w:val="22"/>
        </w:rPr>
        <w:t xml:space="preserve"> (Accessed: </w:t>
      </w:r>
      <w:r w:rsidR="07387BD7" w:rsidRPr="009E413D">
        <w:rPr>
          <w:rFonts w:eastAsia="Arial" w:cstheme="minorHAnsi"/>
          <w:sz w:val="22"/>
          <w:szCs w:val="22"/>
        </w:rPr>
        <w:t>16</w:t>
      </w:r>
      <w:r w:rsidR="7695422B" w:rsidRPr="009E413D">
        <w:rPr>
          <w:rFonts w:eastAsia="Arial" w:cstheme="minorHAnsi"/>
          <w:sz w:val="22"/>
          <w:szCs w:val="22"/>
        </w:rPr>
        <w:t xml:space="preserve"> March 2026).</w:t>
      </w:r>
    </w:p>
    <w:p w14:paraId="49819795" w14:textId="7DB2059A" w:rsidR="002666FA" w:rsidRPr="009E413D" w:rsidRDefault="002666FA" w:rsidP="009E413D">
      <w:pPr>
        <w:spacing w:before="240" w:after="240" w:line="360" w:lineRule="auto"/>
        <w:rPr>
          <w:rFonts w:cstheme="minorHAnsi"/>
          <w:sz w:val="22"/>
          <w:szCs w:val="22"/>
          <w:lang w:val="en-GB"/>
        </w:rPr>
      </w:pPr>
      <w:r w:rsidRPr="009E413D">
        <w:rPr>
          <w:rStyle w:val="Strong"/>
          <w:rFonts w:cstheme="minorHAnsi"/>
          <w:b w:val="0"/>
          <w:bCs w:val="0"/>
          <w:sz w:val="22"/>
          <w:szCs w:val="22"/>
        </w:rPr>
        <w:t>Heslop, P., Blair, P., Fleming, P. and Hoghton, M. (2021)</w:t>
      </w:r>
      <w:r w:rsidRPr="009E413D">
        <w:rPr>
          <w:rFonts w:cstheme="minorHAnsi"/>
          <w:sz w:val="22"/>
          <w:szCs w:val="22"/>
          <w:lang w:val="en-GB"/>
        </w:rPr>
        <w:t xml:space="preserve"> </w:t>
      </w:r>
      <w:r w:rsidRPr="009E413D">
        <w:rPr>
          <w:rStyle w:val="Emphasis"/>
          <w:rFonts w:cstheme="minorHAnsi"/>
          <w:sz w:val="22"/>
          <w:szCs w:val="22"/>
        </w:rPr>
        <w:t>Learning Disabilities Mortality Review (LeDeR) Programme Annual Report 2020</w:t>
      </w:r>
      <w:r w:rsidRPr="009E413D">
        <w:rPr>
          <w:rFonts w:cstheme="minorHAnsi"/>
          <w:sz w:val="22"/>
          <w:szCs w:val="22"/>
        </w:rPr>
        <w:t>.</w:t>
      </w:r>
      <w:r w:rsidRPr="009E413D">
        <w:rPr>
          <w:rFonts w:cstheme="minorHAnsi"/>
          <w:sz w:val="22"/>
          <w:szCs w:val="22"/>
        </w:rPr>
        <w:br/>
        <w:t xml:space="preserve">Available at: </w:t>
      </w:r>
      <w:hyperlink r:id="rId5" w:tgtFrame="_new" w:history="1">
        <w:r w:rsidRPr="009E413D">
          <w:rPr>
            <w:rStyle w:val="Hyperlink"/>
            <w:rFonts w:cstheme="minorHAnsi"/>
            <w:sz w:val="22"/>
            <w:szCs w:val="22"/>
          </w:rPr>
          <w:t>https://www.challengingbehaviour.org.uk/wp-content/uploads/2021/06/LeDeR-bristol-annual-report-2020.pdf</w:t>
        </w:r>
      </w:hyperlink>
      <w:r w:rsidRPr="009E413D">
        <w:rPr>
          <w:rFonts w:cstheme="minorHAnsi"/>
          <w:sz w:val="22"/>
          <w:szCs w:val="22"/>
        </w:rPr>
        <w:t xml:space="preserve"> (Accessed: </w:t>
      </w:r>
      <w:r w:rsidRPr="009E413D">
        <w:rPr>
          <w:rFonts w:cstheme="minorHAnsi"/>
          <w:sz w:val="22"/>
          <w:szCs w:val="22"/>
          <w:lang w:val="en-GB"/>
        </w:rPr>
        <w:t>13</w:t>
      </w:r>
      <w:r w:rsidRPr="009E413D">
        <w:rPr>
          <w:rFonts w:cstheme="minorHAnsi"/>
          <w:sz w:val="22"/>
          <w:szCs w:val="22"/>
        </w:rPr>
        <w:t xml:space="preserve"> March 2026).</w:t>
      </w:r>
    </w:p>
    <w:p w14:paraId="0904A644" w14:textId="31BA724C" w:rsidR="002666FA" w:rsidRPr="009E413D" w:rsidRDefault="002666FA" w:rsidP="009E413D">
      <w:pPr>
        <w:spacing w:before="240" w:after="240" w:line="360" w:lineRule="auto"/>
        <w:rPr>
          <w:rFonts w:cstheme="minorHAnsi"/>
          <w:sz w:val="22"/>
          <w:szCs w:val="22"/>
          <w:lang w:val="en-GB"/>
        </w:rPr>
      </w:pPr>
      <w:r w:rsidRPr="009E413D">
        <w:rPr>
          <w:rStyle w:val="Strong"/>
          <w:rFonts w:cstheme="minorHAnsi"/>
          <w:b w:val="0"/>
          <w:bCs w:val="0"/>
          <w:sz w:val="22"/>
          <w:szCs w:val="22"/>
        </w:rPr>
        <w:t>Holt-Lunstad, J., Smith, T.B., Baker, M., Harris, T. and Stephenson, D. (2015)</w:t>
      </w:r>
      <w:r w:rsidRPr="009E413D">
        <w:rPr>
          <w:rFonts w:cstheme="minorHAnsi"/>
          <w:b/>
          <w:bCs/>
          <w:sz w:val="22"/>
          <w:szCs w:val="22"/>
          <w:lang w:val="en-GB"/>
        </w:rPr>
        <w:t xml:space="preserve"> </w:t>
      </w:r>
      <w:r w:rsidRPr="009E413D">
        <w:rPr>
          <w:rFonts w:cstheme="minorHAnsi"/>
          <w:sz w:val="22"/>
          <w:szCs w:val="22"/>
        </w:rPr>
        <w:t xml:space="preserve">‘Loneliness and social isolation as risk factors for mortality’, </w:t>
      </w:r>
      <w:r w:rsidRPr="009E413D">
        <w:rPr>
          <w:rStyle w:val="Emphasis"/>
          <w:rFonts w:cstheme="minorHAnsi"/>
          <w:sz w:val="22"/>
          <w:szCs w:val="22"/>
        </w:rPr>
        <w:t>Perspectives on Psychological Science</w:t>
      </w:r>
      <w:r w:rsidRPr="009E413D">
        <w:rPr>
          <w:rFonts w:cstheme="minorHAnsi"/>
          <w:sz w:val="22"/>
          <w:szCs w:val="22"/>
        </w:rPr>
        <w:t>, 10(2), pp. 227–237.</w:t>
      </w:r>
      <w:r w:rsidRPr="009E413D">
        <w:rPr>
          <w:rFonts w:cstheme="minorHAnsi"/>
          <w:sz w:val="22"/>
          <w:szCs w:val="22"/>
        </w:rPr>
        <w:br/>
        <w:t xml:space="preserve">Available at: </w:t>
      </w:r>
      <w:hyperlink r:id="rId6" w:tgtFrame="_new" w:history="1">
        <w:r w:rsidRPr="009E413D">
          <w:rPr>
            <w:rStyle w:val="Hyperlink"/>
            <w:rFonts w:cstheme="minorHAnsi"/>
            <w:sz w:val="22"/>
            <w:szCs w:val="22"/>
          </w:rPr>
          <w:t>https://journals.sagepub.com/doi/10.1177/1745691614568352</w:t>
        </w:r>
      </w:hyperlink>
      <w:r w:rsidRPr="009E413D">
        <w:rPr>
          <w:rFonts w:cstheme="minorHAnsi"/>
          <w:sz w:val="22"/>
          <w:szCs w:val="22"/>
        </w:rPr>
        <w:t xml:space="preserve"> (Accessed: </w:t>
      </w:r>
      <w:r w:rsidRPr="009E413D">
        <w:rPr>
          <w:rFonts w:cstheme="minorHAnsi"/>
          <w:sz w:val="22"/>
          <w:szCs w:val="22"/>
          <w:lang w:val="en-GB"/>
        </w:rPr>
        <w:t>18</w:t>
      </w:r>
      <w:r w:rsidRPr="009E413D">
        <w:rPr>
          <w:rFonts w:cstheme="minorHAnsi"/>
          <w:sz w:val="22"/>
          <w:szCs w:val="22"/>
        </w:rPr>
        <w:t xml:space="preserve"> March 2026).</w:t>
      </w:r>
    </w:p>
    <w:p w14:paraId="63AA4F94" w14:textId="1A253BE4" w:rsidR="634412B7" w:rsidRPr="009E413D" w:rsidRDefault="053FA136" w:rsidP="009E413D">
      <w:pPr>
        <w:spacing w:before="240" w:after="240" w:line="360" w:lineRule="auto"/>
        <w:rPr>
          <w:rFonts w:eastAsia="Arial" w:cstheme="minorHAnsi"/>
          <w:sz w:val="22"/>
          <w:szCs w:val="22"/>
        </w:rPr>
      </w:pPr>
      <w:r w:rsidRPr="009E413D">
        <w:rPr>
          <w:rFonts w:eastAsia="Arial" w:cstheme="minorHAnsi"/>
          <w:sz w:val="22"/>
          <w:szCs w:val="22"/>
        </w:rPr>
        <w:t xml:space="preserve">Mencap (no date) </w:t>
      </w:r>
      <w:r w:rsidRPr="009E413D">
        <w:rPr>
          <w:rFonts w:eastAsia="Arial" w:cstheme="minorHAnsi"/>
          <w:i/>
          <w:iCs/>
          <w:sz w:val="22"/>
          <w:szCs w:val="22"/>
        </w:rPr>
        <w:t>Health inequalities for people with a learning disability</w:t>
      </w:r>
      <w:r w:rsidRPr="009E413D">
        <w:rPr>
          <w:rFonts w:eastAsia="Arial" w:cstheme="minorHAnsi"/>
          <w:sz w:val="22"/>
          <w:szCs w:val="22"/>
        </w:rPr>
        <w:t xml:space="preserve">. Available at: </w:t>
      </w:r>
      <w:hyperlink r:id="rId7">
        <w:r w:rsidRPr="009E413D">
          <w:rPr>
            <w:rStyle w:val="Hyperlink"/>
            <w:rFonts w:eastAsia="Arial" w:cstheme="minorHAnsi"/>
            <w:color w:val="auto"/>
            <w:sz w:val="22"/>
            <w:szCs w:val="22"/>
          </w:rPr>
          <w:t>https://www.mencap.org.uk/learning-disability-explained/research-and-statistics/health/health-inequalities</w:t>
        </w:r>
      </w:hyperlink>
      <w:r w:rsidRPr="009E413D">
        <w:rPr>
          <w:rFonts w:eastAsia="Arial" w:cstheme="minorHAnsi"/>
          <w:sz w:val="22"/>
          <w:szCs w:val="22"/>
        </w:rPr>
        <w:t xml:space="preserve"> (Accessed: 1</w:t>
      </w:r>
      <w:r w:rsidR="4C6C89C5" w:rsidRPr="009E413D">
        <w:rPr>
          <w:rFonts w:eastAsia="Arial" w:cstheme="minorHAnsi"/>
          <w:sz w:val="22"/>
          <w:szCs w:val="22"/>
        </w:rPr>
        <w:t>6</w:t>
      </w:r>
      <w:r w:rsidRPr="009E413D">
        <w:rPr>
          <w:rFonts w:eastAsia="Arial" w:cstheme="minorHAnsi"/>
          <w:sz w:val="22"/>
          <w:szCs w:val="22"/>
        </w:rPr>
        <w:t xml:space="preserve"> March 2026).</w:t>
      </w:r>
    </w:p>
    <w:p w14:paraId="58BE51E7" w14:textId="40E3DE1B" w:rsidR="634412B7" w:rsidRPr="009E413D" w:rsidRDefault="053FA136"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 xml:space="preserve">National Institute for Health and Care Excellence (NICE) (2023) </w:t>
      </w:r>
      <w:r w:rsidR="1C1DE81B" w:rsidRPr="009E413D">
        <w:rPr>
          <w:rFonts w:eastAsia="Arial" w:cstheme="minorHAnsi"/>
          <w:i/>
          <w:iCs/>
          <w:sz w:val="22"/>
          <w:szCs w:val="22"/>
          <w:lang w:val="en-US"/>
        </w:rPr>
        <w:t>Epilepsies in children, young people and adults</w:t>
      </w:r>
      <w:r w:rsidRPr="009E413D">
        <w:rPr>
          <w:rFonts w:eastAsia="Arial" w:cstheme="minorHAnsi"/>
          <w:i/>
          <w:iCs/>
          <w:sz w:val="22"/>
          <w:szCs w:val="22"/>
          <w:lang w:val="en-US"/>
        </w:rPr>
        <w:t xml:space="preserve"> (NG217)</w:t>
      </w:r>
      <w:r w:rsidRPr="009E413D">
        <w:rPr>
          <w:rFonts w:eastAsia="Arial" w:cstheme="minorHAnsi"/>
          <w:sz w:val="22"/>
          <w:szCs w:val="22"/>
          <w:lang w:val="en-US"/>
        </w:rPr>
        <w:t xml:space="preserve">. Available at: </w:t>
      </w:r>
      <w:hyperlink r:id="rId8">
        <w:r w:rsidRPr="009E413D">
          <w:rPr>
            <w:rStyle w:val="Hyperlink"/>
            <w:rFonts w:eastAsia="Arial" w:cstheme="minorHAnsi"/>
            <w:color w:val="auto"/>
            <w:sz w:val="22"/>
            <w:szCs w:val="22"/>
            <w:lang w:val="en-US"/>
          </w:rPr>
          <w:t>https://www.nice.org.uk/guidance/ng217</w:t>
        </w:r>
      </w:hyperlink>
      <w:r w:rsidRPr="009E413D">
        <w:rPr>
          <w:rFonts w:eastAsia="Arial" w:cstheme="minorHAnsi"/>
          <w:sz w:val="22"/>
          <w:szCs w:val="22"/>
          <w:lang w:val="en-US"/>
        </w:rPr>
        <w:t xml:space="preserve"> (Accessed: 1</w:t>
      </w:r>
      <w:r w:rsidR="2E71CED8" w:rsidRPr="009E413D">
        <w:rPr>
          <w:rFonts w:eastAsia="Arial" w:cstheme="minorHAnsi"/>
          <w:sz w:val="22"/>
          <w:szCs w:val="22"/>
          <w:lang w:val="en-US"/>
        </w:rPr>
        <w:t>6</w:t>
      </w:r>
      <w:r w:rsidRPr="009E413D">
        <w:rPr>
          <w:rFonts w:eastAsia="Arial" w:cstheme="minorHAnsi"/>
          <w:sz w:val="22"/>
          <w:szCs w:val="22"/>
          <w:lang w:val="en-US"/>
        </w:rPr>
        <w:t xml:space="preserve"> March 2026).</w:t>
      </w:r>
    </w:p>
    <w:p w14:paraId="33BD78DE" w14:textId="458752B4" w:rsidR="002666FA" w:rsidRPr="009E413D" w:rsidRDefault="002666FA" w:rsidP="009E413D">
      <w:pPr>
        <w:spacing w:before="240" w:after="240" w:line="360" w:lineRule="auto"/>
        <w:rPr>
          <w:rFonts w:eastAsia="Arial" w:cstheme="minorHAnsi"/>
          <w:sz w:val="22"/>
          <w:szCs w:val="22"/>
          <w:lang w:val="en-GB"/>
        </w:rPr>
      </w:pPr>
      <w:r w:rsidRPr="009E413D">
        <w:rPr>
          <w:rStyle w:val="Strong"/>
          <w:rFonts w:cstheme="minorHAnsi"/>
          <w:b w:val="0"/>
          <w:bCs w:val="0"/>
          <w:sz w:val="22"/>
          <w:szCs w:val="22"/>
        </w:rPr>
        <w:t>NHS England (2019)</w:t>
      </w:r>
      <w:r w:rsidRPr="009E413D">
        <w:rPr>
          <w:rStyle w:val="Strong"/>
          <w:rFonts w:cstheme="minorHAnsi"/>
          <w:b w:val="0"/>
          <w:bCs w:val="0"/>
          <w:sz w:val="22"/>
          <w:szCs w:val="22"/>
          <w:lang w:val="en-GB"/>
        </w:rPr>
        <w:t xml:space="preserve"> </w:t>
      </w:r>
      <w:r w:rsidRPr="009E413D">
        <w:rPr>
          <w:rStyle w:val="Emphasis"/>
          <w:rFonts w:cstheme="minorHAnsi"/>
          <w:sz w:val="22"/>
          <w:szCs w:val="22"/>
        </w:rPr>
        <w:t>The NHS Long Term Plan</w:t>
      </w:r>
      <w:r w:rsidRPr="009E413D">
        <w:rPr>
          <w:rFonts w:cstheme="minorHAnsi"/>
          <w:sz w:val="22"/>
          <w:szCs w:val="22"/>
        </w:rPr>
        <w:t>.</w:t>
      </w:r>
      <w:r w:rsidRPr="009E413D">
        <w:rPr>
          <w:rFonts w:cstheme="minorHAnsi"/>
          <w:sz w:val="22"/>
          <w:szCs w:val="22"/>
          <w:lang w:val="en-GB"/>
        </w:rPr>
        <w:t xml:space="preserve"> </w:t>
      </w:r>
      <w:r w:rsidRPr="009E413D">
        <w:rPr>
          <w:rFonts w:cstheme="minorHAnsi"/>
          <w:sz w:val="22"/>
          <w:szCs w:val="22"/>
        </w:rPr>
        <w:t>Available at:</w:t>
      </w:r>
      <w:r w:rsidRPr="009E413D">
        <w:rPr>
          <w:rFonts w:cstheme="minorHAnsi"/>
          <w:sz w:val="22"/>
          <w:szCs w:val="22"/>
          <w:lang w:val="en-GB"/>
        </w:rPr>
        <w:t xml:space="preserve"> </w:t>
      </w:r>
      <w:r w:rsidRPr="009E413D">
        <w:rPr>
          <w:rFonts w:cstheme="minorHAnsi"/>
          <w:sz w:val="22"/>
          <w:szCs w:val="22"/>
          <w:lang w:val="en-GB"/>
        </w:rPr>
        <w:t>https://webarchive.nationalarchives.gov.uk/ukgwa/20230418155402/https://www.longtermplan.nhs.uk/publication/nhs-long-term-plan/</w:t>
      </w:r>
      <w:r w:rsidRPr="009E413D">
        <w:rPr>
          <w:rFonts w:cstheme="minorHAnsi"/>
          <w:sz w:val="22"/>
          <w:szCs w:val="22"/>
          <w:lang w:val="en-GB"/>
        </w:rPr>
        <w:t xml:space="preserve"> </w:t>
      </w:r>
      <w:r w:rsidRPr="009E413D">
        <w:rPr>
          <w:rFonts w:eastAsia="Arial" w:cstheme="minorHAnsi"/>
          <w:sz w:val="22"/>
          <w:szCs w:val="22"/>
          <w:lang w:val="en-US"/>
        </w:rPr>
        <w:t>(Accessed: 16 March 2026).</w:t>
      </w:r>
    </w:p>
    <w:p w14:paraId="2BA58600" w14:textId="4DBB053A" w:rsidR="634412B7" w:rsidRPr="009E413D" w:rsidRDefault="053FA136" w:rsidP="009E413D">
      <w:pPr>
        <w:spacing w:before="240" w:after="240" w:line="360" w:lineRule="auto"/>
        <w:rPr>
          <w:rFonts w:eastAsia="Arial" w:cstheme="minorHAnsi"/>
          <w:sz w:val="22"/>
          <w:szCs w:val="22"/>
        </w:rPr>
      </w:pPr>
      <w:r w:rsidRPr="009E413D">
        <w:rPr>
          <w:rFonts w:eastAsia="Arial" w:cstheme="minorHAnsi"/>
          <w:sz w:val="22"/>
          <w:szCs w:val="22"/>
        </w:rPr>
        <w:t xml:space="preserve">NHS Digital (2023) </w:t>
      </w:r>
      <w:r w:rsidRPr="009E413D">
        <w:rPr>
          <w:rFonts w:eastAsia="Arial" w:cstheme="minorHAnsi"/>
          <w:i/>
          <w:iCs/>
          <w:sz w:val="22"/>
          <w:szCs w:val="22"/>
        </w:rPr>
        <w:t>Health and care of people with learning disabilities, England: 2022 to 2023</w:t>
      </w:r>
      <w:r w:rsidRPr="009E413D">
        <w:rPr>
          <w:rFonts w:eastAsia="Arial" w:cstheme="minorHAnsi"/>
          <w:sz w:val="22"/>
          <w:szCs w:val="22"/>
        </w:rPr>
        <w:t xml:space="preserve">. Available at: </w:t>
      </w:r>
      <w:hyperlink r:id="rId9">
        <w:r w:rsidR="121C1138" w:rsidRPr="009E413D">
          <w:rPr>
            <w:rStyle w:val="Hyperlink"/>
            <w:rFonts w:eastAsia="Arial" w:cstheme="minorHAnsi"/>
            <w:color w:val="auto"/>
            <w:sz w:val="22"/>
            <w:szCs w:val="22"/>
          </w:rPr>
          <w:t>https://digital.nhs.uk/data-and-information/publications/statistical/health-and-care-of-people-with-learning-disabilities/experimental-statistics-2022-to-2023</w:t>
        </w:r>
      </w:hyperlink>
      <w:r w:rsidR="121C1138" w:rsidRPr="009E413D">
        <w:rPr>
          <w:rFonts w:eastAsia="Arial" w:cstheme="minorHAnsi"/>
          <w:sz w:val="22"/>
          <w:szCs w:val="22"/>
        </w:rPr>
        <w:t xml:space="preserve">   </w:t>
      </w:r>
      <w:r w:rsidRPr="009E413D">
        <w:rPr>
          <w:rFonts w:eastAsia="Arial" w:cstheme="minorHAnsi"/>
          <w:sz w:val="22"/>
          <w:szCs w:val="22"/>
        </w:rPr>
        <w:t>(Accessed: 2</w:t>
      </w:r>
      <w:r w:rsidR="2B5A2BB9" w:rsidRPr="009E413D">
        <w:rPr>
          <w:rFonts w:eastAsia="Arial" w:cstheme="minorHAnsi"/>
          <w:sz w:val="22"/>
          <w:szCs w:val="22"/>
        </w:rPr>
        <w:t>0</w:t>
      </w:r>
      <w:r w:rsidRPr="009E413D">
        <w:rPr>
          <w:rFonts w:eastAsia="Arial" w:cstheme="minorHAnsi"/>
          <w:sz w:val="22"/>
          <w:szCs w:val="22"/>
        </w:rPr>
        <w:t xml:space="preserve"> March 2026).</w:t>
      </w:r>
    </w:p>
    <w:p w14:paraId="7E37208D" w14:textId="2A41609A" w:rsidR="16454167" w:rsidRPr="009E413D" w:rsidRDefault="11BBBDD8"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 xml:space="preserve">NHS England (2023) </w:t>
      </w:r>
      <w:r w:rsidRPr="009E413D">
        <w:rPr>
          <w:rFonts w:eastAsia="Arial" w:cstheme="minorHAnsi"/>
          <w:i/>
          <w:iCs/>
          <w:sz w:val="22"/>
          <w:szCs w:val="22"/>
          <w:lang w:val="en-US"/>
        </w:rPr>
        <w:t>Supporting people with a learning disability and autistic people to live happier, healthier, longer lives: bitesize guide for local systems</w:t>
      </w:r>
      <w:r w:rsidRPr="009E413D">
        <w:rPr>
          <w:rFonts w:eastAsia="Arial" w:cstheme="minorHAnsi"/>
          <w:sz w:val="22"/>
          <w:szCs w:val="22"/>
          <w:lang w:val="en-US"/>
        </w:rPr>
        <w:t>. Available at:</w:t>
      </w:r>
      <w:r w:rsidR="16454167" w:rsidRPr="009E413D">
        <w:rPr>
          <w:rFonts w:cstheme="minorHAnsi"/>
          <w:sz w:val="22"/>
          <w:szCs w:val="22"/>
        </w:rPr>
        <w:br/>
      </w:r>
      <w:r w:rsidRPr="009E413D">
        <w:rPr>
          <w:rFonts w:eastAsia="Arial" w:cstheme="minorHAnsi"/>
          <w:sz w:val="22"/>
          <w:szCs w:val="22"/>
          <w:lang w:val="en-US"/>
        </w:rPr>
        <w:t xml:space="preserve"> </w:t>
      </w:r>
      <w:hyperlink r:id="rId10">
        <w:r w:rsidRPr="009E413D">
          <w:rPr>
            <w:rStyle w:val="Hyperlink"/>
            <w:rFonts w:eastAsia="Arial" w:cstheme="minorHAnsi"/>
            <w:color w:val="auto"/>
            <w:sz w:val="22"/>
            <w:szCs w:val="22"/>
            <w:lang w:val="en-US"/>
          </w:rPr>
          <w:t>https://www.england.nhs.uk/long-read/supporting-people-with-a-learning-disability-and-</w:t>
        </w:r>
        <w:r w:rsidRPr="009E413D">
          <w:rPr>
            <w:rStyle w:val="Hyperlink"/>
            <w:rFonts w:eastAsia="Arial" w:cstheme="minorHAnsi"/>
            <w:color w:val="auto"/>
            <w:sz w:val="22"/>
            <w:szCs w:val="22"/>
            <w:lang w:val="en-US"/>
          </w:rPr>
          <w:lastRenderedPageBreak/>
          <w:t>autistic-people-to-live-happier-healthier-longer-lives-bitesize-guide-for-local-systems/</w:t>
        </w:r>
      </w:hyperlink>
      <w:r w:rsidRPr="009E413D">
        <w:rPr>
          <w:rFonts w:eastAsia="Arial" w:cstheme="minorHAnsi"/>
          <w:sz w:val="22"/>
          <w:szCs w:val="22"/>
          <w:lang w:val="en-US"/>
        </w:rPr>
        <w:t xml:space="preserve"> (Accessed: </w:t>
      </w:r>
      <w:r w:rsidR="28B73E6F" w:rsidRPr="009E413D">
        <w:rPr>
          <w:rFonts w:eastAsia="Arial" w:cstheme="minorHAnsi"/>
          <w:sz w:val="22"/>
          <w:szCs w:val="22"/>
          <w:lang w:val="en-US"/>
        </w:rPr>
        <w:t>1</w:t>
      </w:r>
      <w:r w:rsidR="4F55AADA" w:rsidRPr="009E413D">
        <w:rPr>
          <w:rFonts w:eastAsia="Arial" w:cstheme="minorHAnsi"/>
          <w:sz w:val="22"/>
          <w:szCs w:val="22"/>
          <w:lang w:val="en-US"/>
        </w:rPr>
        <w:t>6</w:t>
      </w:r>
      <w:r w:rsidRPr="009E413D">
        <w:rPr>
          <w:rFonts w:eastAsia="Arial" w:cstheme="minorHAnsi"/>
          <w:sz w:val="22"/>
          <w:szCs w:val="22"/>
          <w:lang w:val="en-US"/>
        </w:rPr>
        <w:t xml:space="preserve"> March 2026).</w:t>
      </w:r>
    </w:p>
    <w:p w14:paraId="7C3D5402" w14:textId="5AB9E868" w:rsidR="634412B7" w:rsidRPr="009E413D" w:rsidRDefault="053FA136"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 xml:space="preserve">NHS England (no date) </w:t>
      </w:r>
      <w:r w:rsidRPr="009E413D">
        <w:rPr>
          <w:rFonts w:eastAsia="Arial" w:cstheme="minorHAnsi"/>
          <w:i/>
          <w:iCs/>
          <w:sz w:val="22"/>
          <w:szCs w:val="22"/>
          <w:lang w:val="en-US"/>
        </w:rPr>
        <w:t>Learning from lives and deaths (LeDeR)</w:t>
      </w:r>
      <w:r w:rsidRPr="009E413D">
        <w:rPr>
          <w:rFonts w:eastAsia="Arial" w:cstheme="minorHAnsi"/>
          <w:sz w:val="22"/>
          <w:szCs w:val="22"/>
          <w:lang w:val="en-US"/>
        </w:rPr>
        <w:t xml:space="preserve">. Available at: </w:t>
      </w:r>
      <w:hyperlink r:id="rId11">
        <w:r w:rsidRPr="009E413D">
          <w:rPr>
            <w:rStyle w:val="Hyperlink"/>
            <w:rFonts w:eastAsia="Arial" w:cstheme="minorHAnsi"/>
            <w:color w:val="auto"/>
            <w:sz w:val="22"/>
            <w:szCs w:val="22"/>
            <w:lang w:val="en-US"/>
          </w:rPr>
          <w:t>https://www.england.nhs.uk/learning-disabilities/improving-health/learning-from-lives-and-deaths/</w:t>
        </w:r>
      </w:hyperlink>
      <w:r w:rsidRPr="009E413D">
        <w:rPr>
          <w:rFonts w:eastAsia="Arial" w:cstheme="minorHAnsi"/>
          <w:sz w:val="22"/>
          <w:szCs w:val="22"/>
          <w:lang w:val="en-US"/>
        </w:rPr>
        <w:t xml:space="preserve"> (Accessed: 1</w:t>
      </w:r>
      <w:r w:rsidR="6E256577" w:rsidRPr="009E413D">
        <w:rPr>
          <w:rFonts w:eastAsia="Arial" w:cstheme="minorHAnsi"/>
          <w:sz w:val="22"/>
          <w:szCs w:val="22"/>
          <w:lang w:val="en-US"/>
        </w:rPr>
        <w:t>9</w:t>
      </w:r>
      <w:r w:rsidRPr="009E413D">
        <w:rPr>
          <w:rFonts w:eastAsia="Arial" w:cstheme="minorHAnsi"/>
          <w:sz w:val="22"/>
          <w:szCs w:val="22"/>
          <w:lang w:val="en-US"/>
        </w:rPr>
        <w:t xml:space="preserve"> March 2026).</w:t>
      </w:r>
    </w:p>
    <w:p w14:paraId="793C9D58" w14:textId="3E99B3C6" w:rsidR="634412B7" w:rsidRPr="009E413D" w:rsidRDefault="053FA136"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 xml:space="preserve">Public Health England (2021) </w:t>
      </w:r>
      <w:r w:rsidRPr="009E413D">
        <w:rPr>
          <w:rFonts w:eastAsia="Arial" w:cstheme="minorHAnsi"/>
          <w:i/>
          <w:iCs/>
          <w:sz w:val="22"/>
          <w:szCs w:val="22"/>
          <w:lang w:val="en-US"/>
        </w:rPr>
        <w:t>Health profile for England 2021</w:t>
      </w:r>
      <w:r w:rsidRPr="009E413D">
        <w:rPr>
          <w:rFonts w:eastAsia="Arial" w:cstheme="minorHAnsi"/>
          <w:sz w:val="22"/>
          <w:szCs w:val="22"/>
          <w:lang w:val="en-US"/>
        </w:rPr>
        <w:t xml:space="preserve">. Available at: </w:t>
      </w:r>
      <w:hyperlink r:id="rId12">
        <w:r w:rsidR="3183DA76" w:rsidRPr="009E413D">
          <w:rPr>
            <w:rStyle w:val="Hyperlink"/>
            <w:rFonts w:eastAsia="Arial" w:cstheme="minorHAnsi"/>
            <w:color w:val="auto"/>
            <w:sz w:val="22"/>
            <w:szCs w:val="22"/>
            <w:lang w:val="en-US"/>
          </w:rPr>
          <w:t>https://fingertips.phe.org.uk/static-reports/health-profile-for-england/hpfe_report.html</w:t>
        </w:r>
      </w:hyperlink>
      <w:r w:rsidR="3183DA76" w:rsidRPr="009E413D">
        <w:rPr>
          <w:rFonts w:eastAsia="Arial" w:cstheme="minorHAnsi"/>
          <w:sz w:val="22"/>
          <w:szCs w:val="22"/>
          <w:lang w:val="en-US"/>
        </w:rPr>
        <w:t xml:space="preserve">    </w:t>
      </w:r>
      <w:r w:rsidRPr="009E413D">
        <w:rPr>
          <w:rFonts w:eastAsia="Arial" w:cstheme="minorHAnsi"/>
          <w:sz w:val="22"/>
          <w:szCs w:val="22"/>
          <w:lang w:val="en-US"/>
        </w:rPr>
        <w:t xml:space="preserve">(Accessed: </w:t>
      </w:r>
      <w:r w:rsidR="52FA81EF" w:rsidRPr="009E413D">
        <w:rPr>
          <w:rFonts w:eastAsia="Arial" w:cstheme="minorHAnsi"/>
          <w:sz w:val="22"/>
          <w:szCs w:val="22"/>
          <w:lang w:val="en-US"/>
        </w:rPr>
        <w:t>13</w:t>
      </w:r>
      <w:r w:rsidRPr="009E413D">
        <w:rPr>
          <w:rFonts w:eastAsia="Arial" w:cstheme="minorHAnsi"/>
          <w:sz w:val="22"/>
          <w:szCs w:val="22"/>
          <w:lang w:val="en-US"/>
        </w:rPr>
        <w:t xml:space="preserve"> March 2026).</w:t>
      </w:r>
    </w:p>
    <w:p w14:paraId="47B35F38" w14:textId="4F4FE600" w:rsidR="009E413D" w:rsidRPr="009E413D" w:rsidRDefault="009E413D" w:rsidP="009E413D">
      <w:pPr>
        <w:spacing w:before="240" w:after="240" w:line="360" w:lineRule="auto"/>
        <w:rPr>
          <w:rFonts w:eastAsia="Arial" w:cstheme="minorHAnsi"/>
          <w:sz w:val="22"/>
          <w:szCs w:val="22"/>
          <w:lang w:val="en-US"/>
        </w:rPr>
      </w:pPr>
      <w:r w:rsidRPr="009E413D">
        <w:rPr>
          <w:rStyle w:val="Strong"/>
          <w:rFonts w:cstheme="minorHAnsi"/>
          <w:b w:val="0"/>
          <w:bCs w:val="0"/>
          <w:sz w:val="22"/>
          <w:szCs w:val="22"/>
        </w:rPr>
        <w:t>Robertson, J., Hatton, C., Emerson, E. and Baines, S. (2015)</w:t>
      </w:r>
      <w:r w:rsidRPr="009E413D">
        <w:rPr>
          <w:rFonts w:cstheme="minorHAnsi"/>
          <w:sz w:val="22"/>
          <w:szCs w:val="22"/>
          <w:lang w:val="en-GB"/>
        </w:rPr>
        <w:t xml:space="preserve"> </w:t>
      </w:r>
      <w:r w:rsidRPr="009E413D">
        <w:rPr>
          <w:rFonts w:cstheme="minorHAnsi"/>
          <w:sz w:val="22"/>
          <w:szCs w:val="22"/>
        </w:rPr>
        <w:t xml:space="preserve">‘Prevalence of epilepsy among people with intellectual disabilities: a systematic review’, </w:t>
      </w:r>
      <w:r w:rsidRPr="009E413D">
        <w:rPr>
          <w:rStyle w:val="Emphasis"/>
          <w:rFonts w:cstheme="minorHAnsi"/>
          <w:sz w:val="22"/>
          <w:szCs w:val="22"/>
        </w:rPr>
        <w:t>Seizure</w:t>
      </w:r>
      <w:r w:rsidRPr="009E413D">
        <w:rPr>
          <w:rFonts w:cstheme="minorHAnsi"/>
          <w:sz w:val="22"/>
          <w:szCs w:val="22"/>
        </w:rPr>
        <w:t>, 29, pp. 46–62.</w:t>
      </w:r>
      <w:r w:rsidRPr="009E413D">
        <w:rPr>
          <w:rFonts w:cstheme="minorHAnsi"/>
          <w:sz w:val="22"/>
          <w:szCs w:val="22"/>
          <w:lang w:val="en-GB"/>
        </w:rPr>
        <w:t xml:space="preserve"> </w:t>
      </w:r>
      <w:r w:rsidRPr="009E413D">
        <w:rPr>
          <w:rFonts w:cstheme="minorHAnsi"/>
          <w:sz w:val="22"/>
          <w:szCs w:val="22"/>
        </w:rPr>
        <w:t xml:space="preserve">Available at: </w:t>
      </w:r>
      <w:hyperlink r:id="rId13" w:tgtFrame="_new" w:history="1">
        <w:r w:rsidRPr="009E413D">
          <w:rPr>
            <w:rStyle w:val="Hyperlink"/>
            <w:rFonts w:cstheme="minorHAnsi"/>
            <w:sz w:val="22"/>
            <w:szCs w:val="22"/>
          </w:rPr>
          <w:t>https://pubmed.ncbi.nlm.nih.gov/26076844/</w:t>
        </w:r>
      </w:hyperlink>
      <w:r w:rsidRPr="009E413D">
        <w:rPr>
          <w:rFonts w:cstheme="minorHAnsi"/>
          <w:sz w:val="22"/>
          <w:szCs w:val="22"/>
        </w:rPr>
        <w:t xml:space="preserve"> (Accessed: 21 March 2026).</w:t>
      </w:r>
    </w:p>
    <w:p w14:paraId="073690D0" w14:textId="411E8573" w:rsidR="634412B7" w:rsidRPr="009E413D" w:rsidRDefault="053FA136" w:rsidP="009E413D">
      <w:pPr>
        <w:spacing w:before="240" w:after="240" w:line="360" w:lineRule="auto"/>
        <w:rPr>
          <w:rFonts w:eastAsia="Arial" w:cstheme="minorHAnsi"/>
          <w:sz w:val="22"/>
          <w:szCs w:val="22"/>
        </w:rPr>
      </w:pPr>
      <w:r w:rsidRPr="009E413D">
        <w:rPr>
          <w:rFonts w:eastAsia="Arial" w:cstheme="minorHAnsi"/>
          <w:sz w:val="22"/>
          <w:szCs w:val="22"/>
        </w:rPr>
        <w:t xml:space="preserve">Women and Equalities Committee (2024) </w:t>
      </w:r>
      <w:r w:rsidRPr="009E413D">
        <w:rPr>
          <w:rFonts w:eastAsia="Arial" w:cstheme="minorHAnsi"/>
          <w:i/>
          <w:iCs/>
          <w:sz w:val="22"/>
          <w:szCs w:val="22"/>
        </w:rPr>
        <w:t>Inequalities in healthcare and employment for people with a learning disability and autistic people</w:t>
      </w:r>
      <w:r w:rsidRPr="009E413D">
        <w:rPr>
          <w:rFonts w:eastAsia="Arial" w:cstheme="minorHAnsi"/>
          <w:sz w:val="22"/>
          <w:szCs w:val="22"/>
        </w:rPr>
        <w:t xml:space="preserve">. Available at: </w:t>
      </w:r>
      <w:hyperlink r:id="rId14">
        <w:r w:rsidRPr="009E413D">
          <w:rPr>
            <w:rStyle w:val="Hyperlink"/>
            <w:rFonts w:eastAsia="Arial" w:cstheme="minorHAnsi"/>
            <w:color w:val="auto"/>
            <w:sz w:val="22"/>
            <w:szCs w:val="22"/>
          </w:rPr>
          <w:t>https://publications.parliament.uk/pa/cm5804/cmselect/cmwomeq/134/report.html</w:t>
        </w:r>
      </w:hyperlink>
      <w:r w:rsidRPr="009E413D">
        <w:rPr>
          <w:rFonts w:eastAsia="Arial" w:cstheme="minorHAnsi"/>
          <w:sz w:val="22"/>
          <w:szCs w:val="22"/>
        </w:rPr>
        <w:t xml:space="preserve"> (Accessed: </w:t>
      </w:r>
      <w:r w:rsidR="15C7A50F" w:rsidRPr="009E413D">
        <w:rPr>
          <w:rFonts w:eastAsia="Arial" w:cstheme="minorHAnsi"/>
          <w:sz w:val="22"/>
          <w:szCs w:val="22"/>
        </w:rPr>
        <w:t>10</w:t>
      </w:r>
      <w:r w:rsidRPr="009E413D">
        <w:rPr>
          <w:rFonts w:eastAsia="Arial" w:cstheme="minorHAnsi"/>
          <w:sz w:val="22"/>
          <w:szCs w:val="22"/>
        </w:rPr>
        <w:t xml:space="preserve"> March 2026).</w:t>
      </w:r>
    </w:p>
    <w:p w14:paraId="1D3DA772" w14:textId="2000342D" w:rsidR="1BEFAC2A" w:rsidRPr="009E413D" w:rsidRDefault="1BEFAC2A" w:rsidP="009E413D">
      <w:pPr>
        <w:spacing w:before="240" w:after="240" w:line="360" w:lineRule="auto"/>
        <w:rPr>
          <w:rFonts w:eastAsia="Arial" w:cstheme="minorHAnsi"/>
          <w:sz w:val="22"/>
          <w:szCs w:val="22"/>
        </w:rPr>
      </w:pPr>
    </w:p>
    <w:p w14:paraId="3247E1E7" w14:textId="46FD61E0" w:rsidR="41B6B784" w:rsidRPr="009E413D" w:rsidRDefault="41B6B784" w:rsidP="009E413D">
      <w:pPr>
        <w:spacing w:before="240" w:after="240" w:line="360" w:lineRule="auto"/>
        <w:rPr>
          <w:rFonts w:eastAsia="Arial" w:cstheme="minorHAnsi"/>
          <w:b/>
          <w:bCs/>
          <w:sz w:val="22"/>
          <w:szCs w:val="22"/>
        </w:rPr>
      </w:pPr>
      <w:r w:rsidRPr="009E413D">
        <w:rPr>
          <w:rFonts w:eastAsia="Arial" w:cstheme="minorHAnsi"/>
          <w:b/>
          <w:bCs/>
          <w:sz w:val="22"/>
          <w:szCs w:val="22"/>
        </w:rPr>
        <w:t>Epidemiological Processes in the Identification, Assessment and Management of Breast Cancer in the UK: A Focus on Women in the London Borough of Lambeth</w:t>
      </w:r>
    </w:p>
    <w:p w14:paraId="37D61265" w14:textId="63DC0102" w:rsidR="1CF56AFF" w:rsidRPr="009E413D" w:rsidRDefault="14FF9106" w:rsidP="009E413D">
      <w:pPr>
        <w:spacing w:before="240" w:after="240" w:line="360" w:lineRule="auto"/>
        <w:rPr>
          <w:rFonts w:cstheme="minorHAnsi"/>
          <w:sz w:val="22"/>
          <w:szCs w:val="22"/>
        </w:rPr>
      </w:pPr>
      <w:r w:rsidRPr="009E413D">
        <w:rPr>
          <w:rFonts w:eastAsia="Arial" w:cstheme="minorHAnsi"/>
          <w:sz w:val="22"/>
          <w:szCs w:val="22"/>
          <w:lang w:val="en-US"/>
        </w:rPr>
        <w:t xml:space="preserve">Arnold, M., Morgan, E., Rumgay, H., Mafra, A., Singh, D., Laversanne, M., Vignat, J., Gralow, J.R., Cardoso, F., Siesling, S. and Soerjomataram, I. (2022) ‘Global burden of breast cancer: </w:t>
      </w:r>
      <w:proofErr w:type="gramStart"/>
      <w:r w:rsidRPr="009E413D">
        <w:rPr>
          <w:rFonts w:eastAsia="Arial" w:cstheme="minorHAnsi"/>
          <w:sz w:val="22"/>
          <w:szCs w:val="22"/>
          <w:lang w:val="en-US"/>
        </w:rPr>
        <w:t>current status</w:t>
      </w:r>
      <w:proofErr w:type="gramEnd"/>
      <w:r w:rsidRPr="009E413D">
        <w:rPr>
          <w:rFonts w:eastAsia="Arial" w:cstheme="minorHAnsi"/>
          <w:sz w:val="22"/>
          <w:szCs w:val="22"/>
          <w:lang w:val="en-US"/>
        </w:rPr>
        <w:t xml:space="preserve"> and future projections’, </w:t>
      </w:r>
      <w:r w:rsidRPr="009E413D">
        <w:rPr>
          <w:rFonts w:eastAsia="Arial" w:cstheme="minorHAnsi"/>
          <w:i/>
          <w:iCs/>
          <w:sz w:val="22"/>
          <w:szCs w:val="22"/>
          <w:lang w:val="en-US"/>
        </w:rPr>
        <w:t>The Lancet Oncology</w:t>
      </w:r>
      <w:r w:rsidRPr="009E413D">
        <w:rPr>
          <w:rFonts w:eastAsia="Arial" w:cstheme="minorHAnsi"/>
          <w:sz w:val="22"/>
          <w:szCs w:val="22"/>
          <w:lang w:val="en-US"/>
        </w:rPr>
        <w:t xml:space="preserve">, 23(3), pp. 300–312. Available at: </w:t>
      </w:r>
      <w:hyperlink r:id="rId15">
        <w:r w:rsidRPr="009E413D">
          <w:rPr>
            <w:rStyle w:val="Hyperlink"/>
            <w:rFonts w:eastAsia="Arial" w:cstheme="minorHAnsi"/>
            <w:sz w:val="22"/>
            <w:szCs w:val="22"/>
            <w:lang w:val="en-US"/>
          </w:rPr>
          <w:t>https://pubmed.ncbi.nlm.nih.gov/36084384/</w:t>
        </w:r>
      </w:hyperlink>
      <w:r w:rsidRPr="009E413D">
        <w:rPr>
          <w:rFonts w:eastAsia="Arial" w:cstheme="minorHAnsi"/>
          <w:sz w:val="22"/>
          <w:szCs w:val="22"/>
          <w:lang w:val="en-US"/>
        </w:rPr>
        <w:t xml:space="preserve"> (Accessed: 1</w:t>
      </w:r>
      <w:r w:rsidR="47033F65" w:rsidRPr="009E413D">
        <w:rPr>
          <w:rFonts w:eastAsia="Arial" w:cstheme="minorHAnsi"/>
          <w:sz w:val="22"/>
          <w:szCs w:val="22"/>
          <w:lang w:val="en-US"/>
        </w:rPr>
        <w:t>8</w:t>
      </w:r>
      <w:r w:rsidRPr="009E413D">
        <w:rPr>
          <w:rFonts w:eastAsia="Arial" w:cstheme="minorHAnsi"/>
          <w:sz w:val="22"/>
          <w:szCs w:val="22"/>
          <w:lang w:val="en-US"/>
        </w:rPr>
        <w:t xml:space="preserve"> March 2026).</w:t>
      </w:r>
    </w:p>
    <w:p w14:paraId="7E031265" w14:textId="4E161274" w:rsidR="1CF56AFF" w:rsidRPr="009E413D" w:rsidRDefault="14FF9106" w:rsidP="009E413D">
      <w:pPr>
        <w:spacing w:before="240" w:after="240" w:line="360" w:lineRule="auto"/>
        <w:rPr>
          <w:rFonts w:cstheme="minorHAnsi"/>
          <w:sz w:val="22"/>
          <w:szCs w:val="22"/>
        </w:rPr>
      </w:pPr>
      <w:r w:rsidRPr="009E413D">
        <w:rPr>
          <w:rFonts w:eastAsia="Arial" w:cstheme="minorHAnsi"/>
          <w:sz w:val="22"/>
          <w:szCs w:val="22"/>
          <w:lang w:val="en-US"/>
        </w:rPr>
        <w:t xml:space="preserve">Bray, F., Laversanne, M., Sung, H., Ferlay, J., Siegel, R.L., Soerjomataram, I. and Jemal, A. (2024) ‘Global cancer statistics 2024: GLOBOCAN estimates of incidence and mortality worldwide’, </w:t>
      </w:r>
      <w:r w:rsidRPr="009E413D">
        <w:rPr>
          <w:rFonts w:eastAsia="Arial" w:cstheme="minorHAnsi"/>
          <w:i/>
          <w:iCs/>
          <w:sz w:val="22"/>
          <w:szCs w:val="22"/>
          <w:lang w:val="en-US"/>
        </w:rPr>
        <w:t>CA: A Cancer Journal for Clinicians</w:t>
      </w:r>
      <w:r w:rsidRPr="009E413D">
        <w:rPr>
          <w:rFonts w:eastAsia="Arial" w:cstheme="minorHAnsi"/>
          <w:sz w:val="22"/>
          <w:szCs w:val="22"/>
          <w:lang w:val="en-US"/>
        </w:rPr>
        <w:t xml:space="preserve">, 74(1), pp. 33–54. Available at: </w:t>
      </w:r>
      <w:hyperlink r:id="rId16">
        <w:r w:rsidRPr="009E413D">
          <w:rPr>
            <w:rStyle w:val="Hyperlink"/>
            <w:rFonts w:eastAsia="Arial" w:cstheme="minorHAnsi"/>
            <w:sz w:val="22"/>
            <w:szCs w:val="22"/>
            <w:lang w:val="en-US"/>
          </w:rPr>
          <w:t>https://acsjournals.onlinelibrary.wiley.com/doi/full/10.3322/caac.21834</w:t>
        </w:r>
      </w:hyperlink>
      <w:r w:rsidRPr="009E413D">
        <w:rPr>
          <w:rFonts w:eastAsia="Arial" w:cstheme="minorHAnsi"/>
          <w:sz w:val="22"/>
          <w:szCs w:val="22"/>
          <w:lang w:val="en-US"/>
        </w:rPr>
        <w:t xml:space="preserve"> (Accessed: 1</w:t>
      </w:r>
      <w:r w:rsidR="3BB8708C" w:rsidRPr="009E413D">
        <w:rPr>
          <w:rFonts w:eastAsia="Arial" w:cstheme="minorHAnsi"/>
          <w:sz w:val="22"/>
          <w:szCs w:val="22"/>
          <w:lang w:val="en-US"/>
        </w:rPr>
        <w:t>8</w:t>
      </w:r>
      <w:r w:rsidRPr="009E413D">
        <w:rPr>
          <w:rFonts w:eastAsia="Arial" w:cstheme="minorHAnsi"/>
          <w:sz w:val="22"/>
          <w:szCs w:val="22"/>
          <w:lang w:val="en-US"/>
        </w:rPr>
        <w:t xml:space="preserve"> March 2026).</w:t>
      </w:r>
    </w:p>
    <w:p w14:paraId="252F42CA" w14:textId="34EE017E" w:rsidR="1CF56AFF" w:rsidRPr="009E413D" w:rsidRDefault="14FF9106" w:rsidP="009E413D">
      <w:pPr>
        <w:spacing w:before="240" w:after="240" w:line="360" w:lineRule="auto"/>
        <w:rPr>
          <w:rFonts w:cstheme="minorHAnsi"/>
          <w:sz w:val="22"/>
          <w:szCs w:val="22"/>
        </w:rPr>
      </w:pPr>
      <w:r w:rsidRPr="009E413D">
        <w:rPr>
          <w:rFonts w:eastAsia="Arial" w:cstheme="minorHAnsi"/>
          <w:sz w:val="22"/>
          <w:szCs w:val="22"/>
          <w:lang w:val="en-US"/>
        </w:rPr>
        <w:t xml:space="preserve">Brown, K.F., Rumgay, H., Dunlop, C., Ryan, M., Quartly, F., Cox, A., Deas, A., Elliss-Brookes, L., Gavin, A., Hounsome, L. and Shelton, J. (2018) ‘The fraction of cancer attributable to modifiable risk factors in England’, </w:t>
      </w:r>
      <w:r w:rsidRPr="009E413D">
        <w:rPr>
          <w:rFonts w:eastAsia="Arial" w:cstheme="minorHAnsi"/>
          <w:i/>
          <w:iCs/>
          <w:sz w:val="22"/>
          <w:szCs w:val="22"/>
          <w:lang w:val="en-US"/>
        </w:rPr>
        <w:t>British Journal of Cancer</w:t>
      </w:r>
      <w:r w:rsidRPr="009E413D">
        <w:rPr>
          <w:rFonts w:eastAsia="Arial" w:cstheme="minorHAnsi"/>
          <w:sz w:val="22"/>
          <w:szCs w:val="22"/>
          <w:lang w:val="en-US"/>
        </w:rPr>
        <w:t xml:space="preserve">, 118(8), pp. </w:t>
      </w:r>
      <w:r w:rsidRPr="009E413D">
        <w:rPr>
          <w:rFonts w:eastAsia="Arial" w:cstheme="minorHAnsi"/>
          <w:sz w:val="22"/>
          <w:szCs w:val="22"/>
          <w:lang w:val="en-US"/>
        </w:rPr>
        <w:lastRenderedPageBreak/>
        <w:t xml:space="preserve">1130–1141. Available at: </w:t>
      </w:r>
      <w:hyperlink r:id="rId17">
        <w:r w:rsidRPr="009E413D">
          <w:rPr>
            <w:rStyle w:val="Hyperlink"/>
            <w:rFonts w:eastAsia="Arial" w:cstheme="minorHAnsi"/>
            <w:sz w:val="22"/>
            <w:szCs w:val="22"/>
            <w:lang w:val="en-US"/>
          </w:rPr>
          <w:t>https://www.nature.com/articles/s41416-018-0029-6</w:t>
        </w:r>
      </w:hyperlink>
      <w:r w:rsidRPr="009E413D">
        <w:rPr>
          <w:rFonts w:eastAsia="Arial" w:cstheme="minorHAnsi"/>
          <w:sz w:val="22"/>
          <w:szCs w:val="22"/>
          <w:lang w:val="en-US"/>
        </w:rPr>
        <w:t xml:space="preserve"> (Accessed: 1</w:t>
      </w:r>
      <w:r w:rsidR="32ACEB54" w:rsidRPr="009E413D">
        <w:rPr>
          <w:rFonts w:eastAsia="Arial" w:cstheme="minorHAnsi"/>
          <w:sz w:val="22"/>
          <w:szCs w:val="22"/>
          <w:lang w:val="en-US"/>
        </w:rPr>
        <w:t>8</w:t>
      </w:r>
      <w:r w:rsidRPr="009E413D">
        <w:rPr>
          <w:rFonts w:eastAsia="Arial" w:cstheme="minorHAnsi"/>
          <w:sz w:val="22"/>
          <w:szCs w:val="22"/>
          <w:lang w:val="en-US"/>
        </w:rPr>
        <w:t xml:space="preserve"> March 2026).</w:t>
      </w:r>
    </w:p>
    <w:p w14:paraId="66DBEFE2" w14:textId="5880997D" w:rsidR="1CF56AFF" w:rsidRPr="009E413D" w:rsidRDefault="1CF56AFF"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 xml:space="preserve">Cancer Research UK (2024) </w:t>
      </w:r>
      <w:r w:rsidRPr="009E413D">
        <w:rPr>
          <w:rFonts w:eastAsia="Arial" w:cstheme="minorHAnsi"/>
          <w:i/>
          <w:iCs/>
          <w:sz w:val="22"/>
          <w:szCs w:val="22"/>
          <w:lang w:val="en-US"/>
        </w:rPr>
        <w:t>Breast cancer statistics</w:t>
      </w:r>
      <w:r w:rsidRPr="009E413D">
        <w:rPr>
          <w:rFonts w:eastAsia="Arial" w:cstheme="minorHAnsi"/>
          <w:sz w:val="22"/>
          <w:szCs w:val="22"/>
          <w:lang w:val="en-US"/>
        </w:rPr>
        <w:t xml:space="preserve">. Available at: </w:t>
      </w:r>
      <w:r w:rsidR="679A0080" w:rsidRPr="009E413D">
        <w:rPr>
          <w:rFonts w:eastAsia="Arial" w:cstheme="minorHAnsi"/>
          <w:sz w:val="22"/>
          <w:szCs w:val="22"/>
          <w:lang w:val="en-US"/>
        </w:rPr>
        <w:t xml:space="preserve">https://www.cancerresearchuk.org/health-professional/cancer-statistics/statistics-by-cancer-type/breast-cancer?utm_source=chatgpt.com </w:t>
      </w:r>
      <w:r w:rsidRPr="009E413D">
        <w:rPr>
          <w:rFonts w:eastAsia="Arial" w:cstheme="minorHAnsi"/>
          <w:sz w:val="22"/>
          <w:szCs w:val="22"/>
          <w:lang w:val="en-US"/>
        </w:rPr>
        <w:t>(Accessed: 21 March 2026).</w:t>
      </w:r>
    </w:p>
    <w:p w14:paraId="7716D474" w14:textId="3A56BD58" w:rsidR="1CF56AFF" w:rsidRPr="009E413D" w:rsidRDefault="1CF56AFF" w:rsidP="009E413D">
      <w:pPr>
        <w:spacing w:before="240" w:after="240" w:line="360" w:lineRule="auto"/>
        <w:rPr>
          <w:rFonts w:cstheme="minorHAnsi"/>
          <w:sz w:val="22"/>
          <w:szCs w:val="22"/>
        </w:rPr>
      </w:pPr>
      <w:r w:rsidRPr="009E413D">
        <w:rPr>
          <w:rFonts w:eastAsia="Arial" w:cstheme="minorHAnsi"/>
          <w:sz w:val="22"/>
          <w:szCs w:val="22"/>
        </w:rPr>
        <w:t xml:space="preserve">Friis, R.H. and Sellers, T.A. (2021) </w:t>
      </w:r>
      <w:r w:rsidRPr="009E413D">
        <w:rPr>
          <w:rFonts w:eastAsia="Arial" w:cstheme="minorHAnsi"/>
          <w:i/>
          <w:iCs/>
          <w:sz w:val="22"/>
          <w:szCs w:val="22"/>
        </w:rPr>
        <w:t>Epidemiology for public health practice</w:t>
      </w:r>
      <w:r w:rsidRPr="009E413D">
        <w:rPr>
          <w:rFonts w:eastAsia="Arial" w:cstheme="minorHAnsi"/>
          <w:sz w:val="22"/>
          <w:szCs w:val="22"/>
        </w:rPr>
        <w:t>. 6th edn. Burlington: Jones &amp; Bartlett Learning.</w:t>
      </w:r>
    </w:p>
    <w:p w14:paraId="275AA299" w14:textId="0B3A7604" w:rsidR="1CF56AFF" w:rsidRPr="009E413D" w:rsidRDefault="1CF56AFF" w:rsidP="009E413D">
      <w:pPr>
        <w:spacing w:before="240" w:after="240" w:line="360" w:lineRule="auto"/>
        <w:rPr>
          <w:rFonts w:cstheme="minorHAnsi"/>
          <w:sz w:val="22"/>
          <w:szCs w:val="22"/>
        </w:rPr>
      </w:pPr>
      <w:r w:rsidRPr="009E413D">
        <w:rPr>
          <w:rFonts w:eastAsia="Arial" w:cstheme="minorHAnsi"/>
          <w:sz w:val="22"/>
          <w:szCs w:val="22"/>
        </w:rPr>
        <w:t xml:space="preserve">Gordis, L. (2020) </w:t>
      </w:r>
      <w:r w:rsidRPr="009E413D">
        <w:rPr>
          <w:rFonts w:eastAsia="Arial" w:cstheme="minorHAnsi"/>
          <w:i/>
          <w:iCs/>
          <w:sz w:val="22"/>
          <w:szCs w:val="22"/>
        </w:rPr>
        <w:t>Epidemiology</w:t>
      </w:r>
      <w:r w:rsidRPr="009E413D">
        <w:rPr>
          <w:rFonts w:eastAsia="Arial" w:cstheme="minorHAnsi"/>
          <w:sz w:val="22"/>
          <w:szCs w:val="22"/>
        </w:rPr>
        <w:t>. 6th edn. Philadelphia: Elsevier.</w:t>
      </w:r>
    </w:p>
    <w:p w14:paraId="39823ADF" w14:textId="5E8E3A2F" w:rsidR="1CF56AFF" w:rsidRPr="009E413D" w:rsidRDefault="14FF9106" w:rsidP="009E413D">
      <w:pPr>
        <w:spacing w:before="240" w:after="240" w:line="360" w:lineRule="auto"/>
        <w:rPr>
          <w:rFonts w:eastAsia="Arial" w:cstheme="minorHAnsi"/>
          <w:sz w:val="22"/>
          <w:szCs w:val="22"/>
        </w:rPr>
      </w:pPr>
      <w:r w:rsidRPr="009E413D">
        <w:rPr>
          <w:rFonts w:eastAsia="Arial" w:cstheme="minorHAnsi"/>
          <w:sz w:val="22"/>
          <w:szCs w:val="22"/>
        </w:rPr>
        <w:t xml:space="preserve">Lambeth Council (2022) </w:t>
      </w:r>
      <w:r w:rsidR="592C2DE4" w:rsidRPr="009E413D">
        <w:rPr>
          <w:rFonts w:eastAsia="Arial" w:cstheme="minorHAnsi"/>
          <w:i/>
          <w:iCs/>
          <w:sz w:val="22"/>
          <w:szCs w:val="22"/>
          <w:lang w:val="en-US"/>
        </w:rPr>
        <w:t>Health profile for Lambeth:demography</w:t>
      </w:r>
      <w:r w:rsidR="592C2DE4" w:rsidRPr="009E413D">
        <w:rPr>
          <w:rFonts w:eastAsia="Arial" w:cstheme="minorHAnsi"/>
          <w:sz w:val="22"/>
          <w:szCs w:val="22"/>
          <w:lang w:val="en-US"/>
        </w:rPr>
        <w:t xml:space="preserve">. Available at: </w:t>
      </w:r>
      <w:hyperlink r:id="rId18">
        <w:r w:rsidR="592C2DE4" w:rsidRPr="009E413D">
          <w:rPr>
            <w:rStyle w:val="Hyperlink"/>
            <w:rFonts w:eastAsia="Arial" w:cstheme="minorHAnsi"/>
            <w:sz w:val="22"/>
            <w:szCs w:val="22"/>
            <w:lang w:val="en-US"/>
          </w:rPr>
          <w:t>https://www.lambeth.gov.uk/adult-social-care-and-health/health-and-wellbeing/lambeth-health-profile/health-wellbeing-profile/demography</w:t>
        </w:r>
      </w:hyperlink>
      <w:r w:rsidR="592C2DE4" w:rsidRPr="009E413D">
        <w:rPr>
          <w:rFonts w:eastAsia="Arial" w:cstheme="minorHAnsi"/>
          <w:sz w:val="22"/>
          <w:szCs w:val="22"/>
          <w:lang w:val="en-US"/>
        </w:rPr>
        <w:t xml:space="preserve"> (Accessed: 1</w:t>
      </w:r>
      <w:r w:rsidR="633BB8AB" w:rsidRPr="009E413D">
        <w:rPr>
          <w:rFonts w:eastAsia="Arial" w:cstheme="minorHAnsi"/>
          <w:sz w:val="22"/>
          <w:szCs w:val="22"/>
          <w:lang w:val="en-US"/>
        </w:rPr>
        <w:t>8</w:t>
      </w:r>
      <w:r w:rsidR="592C2DE4" w:rsidRPr="009E413D">
        <w:rPr>
          <w:rFonts w:eastAsia="Arial" w:cstheme="minorHAnsi"/>
          <w:sz w:val="22"/>
          <w:szCs w:val="22"/>
          <w:lang w:val="en-US"/>
        </w:rPr>
        <w:t xml:space="preserve"> March 2026).</w:t>
      </w:r>
    </w:p>
    <w:p w14:paraId="51095918" w14:textId="616E2188" w:rsidR="1CF56AFF" w:rsidRPr="009E413D" w:rsidRDefault="14FF9106" w:rsidP="009E413D">
      <w:pPr>
        <w:spacing w:before="240" w:after="240" w:line="360" w:lineRule="auto"/>
        <w:rPr>
          <w:rFonts w:cstheme="minorHAnsi"/>
          <w:sz w:val="22"/>
          <w:szCs w:val="22"/>
        </w:rPr>
      </w:pPr>
      <w:r w:rsidRPr="009E413D">
        <w:rPr>
          <w:rFonts w:eastAsia="Arial" w:cstheme="minorHAnsi"/>
          <w:sz w:val="22"/>
          <w:szCs w:val="22"/>
        </w:rPr>
        <w:t>Macmillan Cancer Support (202</w:t>
      </w:r>
      <w:r w:rsidR="006BA53F" w:rsidRPr="009E413D">
        <w:rPr>
          <w:rFonts w:eastAsia="Arial" w:cstheme="minorHAnsi"/>
          <w:sz w:val="22"/>
          <w:szCs w:val="22"/>
        </w:rPr>
        <w:t>5</w:t>
      </w:r>
      <w:r w:rsidRPr="009E413D">
        <w:rPr>
          <w:rFonts w:eastAsia="Arial" w:cstheme="minorHAnsi"/>
          <w:sz w:val="22"/>
          <w:szCs w:val="22"/>
        </w:rPr>
        <w:t xml:space="preserve">) </w:t>
      </w:r>
      <w:r w:rsidR="3A4C3C42" w:rsidRPr="009E413D">
        <w:rPr>
          <w:rFonts w:eastAsia="Arial" w:cstheme="minorHAnsi"/>
          <w:i/>
          <w:iCs/>
          <w:sz w:val="22"/>
          <w:szCs w:val="22"/>
        </w:rPr>
        <w:t>Cancer statistics fact sheet</w:t>
      </w:r>
      <w:r w:rsidR="3A4C3C42" w:rsidRPr="009E413D">
        <w:rPr>
          <w:rFonts w:eastAsia="Arial" w:cstheme="minorHAnsi"/>
          <w:sz w:val="22"/>
          <w:szCs w:val="22"/>
        </w:rPr>
        <w:t>.</w:t>
      </w:r>
      <w:r w:rsidR="5DD24C50" w:rsidRPr="009E413D">
        <w:rPr>
          <w:rFonts w:eastAsia="Arial" w:cstheme="minorHAnsi"/>
          <w:sz w:val="22"/>
          <w:szCs w:val="22"/>
        </w:rPr>
        <w:t xml:space="preserve"> </w:t>
      </w:r>
      <w:r w:rsidR="3A4C3C42" w:rsidRPr="009E413D">
        <w:rPr>
          <w:rFonts w:eastAsia="Arial" w:cstheme="minorHAnsi"/>
          <w:sz w:val="22"/>
          <w:szCs w:val="22"/>
        </w:rPr>
        <w:t xml:space="preserve">Available at: </w:t>
      </w:r>
      <w:hyperlink r:id="rId19">
        <w:r w:rsidR="3A4C3C42" w:rsidRPr="009E413D">
          <w:rPr>
            <w:rStyle w:val="Hyperlink"/>
            <w:rFonts w:eastAsia="Arial" w:cstheme="minorHAnsi"/>
            <w:sz w:val="22"/>
            <w:szCs w:val="22"/>
          </w:rPr>
          <w:t>https://www.macmillan.org.uk/about-us/what-we-do/research/cancer-statistics-fact-sheet</w:t>
        </w:r>
      </w:hyperlink>
      <w:r w:rsidR="3A4C3C42" w:rsidRPr="009E413D">
        <w:rPr>
          <w:rFonts w:eastAsia="Arial" w:cstheme="minorHAnsi"/>
          <w:sz w:val="22"/>
          <w:szCs w:val="22"/>
        </w:rPr>
        <w:t xml:space="preserve"> (Accessed: 1</w:t>
      </w:r>
      <w:r w:rsidR="10FBE61D" w:rsidRPr="009E413D">
        <w:rPr>
          <w:rFonts w:eastAsia="Arial" w:cstheme="minorHAnsi"/>
          <w:sz w:val="22"/>
          <w:szCs w:val="22"/>
        </w:rPr>
        <w:t>4</w:t>
      </w:r>
      <w:r w:rsidR="3A4C3C42" w:rsidRPr="009E413D">
        <w:rPr>
          <w:rFonts w:eastAsia="Arial" w:cstheme="minorHAnsi"/>
          <w:sz w:val="22"/>
          <w:szCs w:val="22"/>
        </w:rPr>
        <w:t xml:space="preserve"> March 2026).</w:t>
      </w:r>
    </w:p>
    <w:p w14:paraId="4AD0441E" w14:textId="59140DC7" w:rsidR="1CF56AFF" w:rsidRPr="009E413D" w:rsidRDefault="14FF9106" w:rsidP="009E413D">
      <w:pPr>
        <w:spacing w:before="240" w:after="240" w:line="360" w:lineRule="auto"/>
        <w:rPr>
          <w:rFonts w:eastAsia="Arial" w:cstheme="minorHAnsi"/>
          <w:sz w:val="22"/>
          <w:szCs w:val="22"/>
          <w:lang w:val="en-US"/>
        </w:rPr>
      </w:pPr>
      <w:r w:rsidRPr="009E413D">
        <w:rPr>
          <w:rFonts w:eastAsia="Arial" w:cstheme="minorHAnsi"/>
          <w:sz w:val="22"/>
          <w:szCs w:val="22"/>
          <w:lang w:val="en-US"/>
        </w:rPr>
        <w:t xml:space="preserve">Marmot, M., Allen, J., Boyce, T., Goldblatt, P. and Morrison, J. (2020) </w:t>
      </w:r>
      <w:r w:rsidRPr="009E413D">
        <w:rPr>
          <w:rFonts w:eastAsia="Arial" w:cstheme="minorHAnsi"/>
          <w:i/>
          <w:iCs/>
          <w:sz w:val="22"/>
          <w:szCs w:val="22"/>
          <w:lang w:val="en-US"/>
        </w:rPr>
        <w:t xml:space="preserve">Health equity in England: </w:t>
      </w:r>
      <w:proofErr w:type="gramStart"/>
      <w:r w:rsidRPr="009E413D">
        <w:rPr>
          <w:rFonts w:eastAsia="Arial" w:cstheme="minorHAnsi"/>
          <w:i/>
          <w:iCs/>
          <w:sz w:val="22"/>
          <w:szCs w:val="22"/>
          <w:lang w:val="en-US"/>
        </w:rPr>
        <w:t>the</w:t>
      </w:r>
      <w:proofErr w:type="gramEnd"/>
      <w:r w:rsidRPr="009E413D">
        <w:rPr>
          <w:rFonts w:eastAsia="Arial" w:cstheme="minorHAnsi"/>
          <w:i/>
          <w:iCs/>
          <w:sz w:val="22"/>
          <w:szCs w:val="22"/>
          <w:lang w:val="en-US"/>
        </w:rPr>
        <w:t xml:space="preserve"> Marmot review 10 years on</w:t>
      </w:r>
      <w:r w:rsidRPr="009E413D">
        <w:rPr>
          <w:rFonts w:eastAsia="Arial" w:cstheme="minorHAnsi"/>
          <w:sz w:val="22"/>
          <w:szCs w:val="22"/>
          <w:lang w:val="en-US"/>
        </w:rPr>
        <w:t xml:space="preserve">. Available at: </w:t>
      </w:r>
      <w:hyperlink r:id="rId20">
        <w:r w:rsidRPr="009E413D">
          <w:rPr>
            <w:rStyle w:val="Hyperlink"/>
            <w:rFonts w:eastAsia="Arial" w:cstheme="minorHAnsi"/>
            <w:sz w:val="22"/>
            <w:szCs w:val="22"/>
            <w:lang w:val="en-US"/>
          </w:rPr>
          <w:t>https://www.instituteofhealthequity.org/resources-reports/marmot-review-10-years-on</w:t>
        </w:r>
      </w:hyperlink>
      <w:r w:rsidRPr="009E413D">
        <w:rPr>
          <w:rFonts w:eastAsia="Arial" w:cstheme="minorHAnsi"/>
          <w:sz w:val="22"/>
          <w:szCs w:val="22"/>
          <w:lang w:val="en-US"/>
        </w:rPr>
        <w:t xml:space="preserve"> (Accessed: 1</w:t>
      </w:r>
      <w:r w:rsidR="252E4008" w:rsidRPr="009E413D">
        <w:rPr>
          <w:rFonts w:eastAsia="Arial" w:cstheme="minorHAnsi"/>
          <w:sz w:val="22"/>
          <w:szCs w:val="22"/>
          <w:lang w:val="en-US"/>
        </w:rPr>
        <w:t>0</w:t>
      </w:r>
      <w:r w:rsidRPr="009E413D">
        <w:rPr>
          <w:rFonts w:eastAsia="Arial" w:cstheme="minorHAnsi"/>
          <w:sz w:val="22"/>
          <w:szCs w:val="22"/>
          <w:lang w:val="en-US"/>
        </w:rPr>
        <w:t xml:space="preserve"> March 2026).</w:t>
      </w:r>
    </w:p>
    <w:p w14:paraId="4682BA2A" w14:textId="4F6A5EE9" w:rsidR="3EEA9573" w:rsidRPr="009E413D" w:rsidRDefault="1355FEDA" w:rsidP="009E413D">
      <w:pPr>
        <w:spacing w:before="240" w:after="240" w:line="360" w:lineRule="auto"/>
        <w:rPr>
          <w:rFonts w:cstheme="minorHAnsi"/>
          <w:sz w:val="22"/>
          <w:szCs w:val="22"/>
        </w:rPr>
      </w:pPr>
      <w:r w:rsidRPr="009E413D">
        <w:rPr>
          <w:rFonts w:eastAsia="Arial" w:cstheme="minorHAnsi"/>
          <w:sz w:val="22"/>
          <w:szCs w:val="22"/>
          <w:lang w:val="en-US"/>
        </w:rPr>
        <w:t>NHS Digital (2024)</w:t>
      </w:r>
      <w:r w:rsidRPr="009E413D">
        <w:rPr>
          <w:rFonts w:eastAsia="Arial" w:cstheme="minorHAnsi"/>
          <w:i/>
          <w:iCs/>
          <w:sz w:val="22"/>
          <w:szCs w:val="22"/>
          <w:lang w:val="en-US"/>
        </w:rPr>
        <w:t xml:space="preserve"> Cancer registration statistics, England 2022</w:t>
      </w:r>
      <w:r w:rsidRPr="009E413D">
        <w:rPr>
          <w:rFonts w:eastAsia="Arial" w:cstheme="minorHAnsi"/>
          <w:sz w:val="22"/>
          <w:szCs w:val="22"/>
          <w:lang w:val="en-US"/>
        </w:rPr>
        <w:t xml:space="preserve">. Available at: </w:t>
      </w:r>
      <w:hyperlink r:id="rId21">
        <w:r w:rsidRPr="009E413D">
          <w:rPr>
            <w:rStyle w:val="Hyperlink"/>
            <w:rFonts w:eastAsia="Arial" w:cstheme="minorHAnsi"/>
            <w:sz w:val="22"/>
            <w:szCs w:val="22"/>
            <w:lang w:val="en-US"/>
          </w:rPr>
          <w:t>https://digital.nhs.uk/data-and-information/publications/statistical/cancer-registration-statistics/england-2022</w:t>
        </w:r>
      </w:hyperlink>
      <w:r w:rsidRPr="009E413D">
        <w:rPr>
          <w:rFonts w:eastAsia="Arial" w:cstheme="minorHAnsi"/>
          <w:sz w:val="22"/>
          <w:szCs w:val="22"/>
          <w:lang w:val="en-US"/>
        </w:rPr>
        <w:t xml:space="preserve"> (Accessed: 1</w:t>
      </w:r>
      <w:r w:rsidR="75481CA5" w:rsidRPr="009E413D">
        <w:rPr>
          <w:rFonts w:eastAsia="Arial" w:cstheme="minorHAnsi"/>
          <w:sz w:val="22"/>
          <w:szCs w:val="22"/>
          <w:lang w:val="en-US"/>
        </w:rPr>
        <w:t>1</w:t>
      </w:r>
      <w:r w:rsidRPr="009E413D">
        <w:rPr>
          <w:rFonts w:eastAsia="Arial" w:cstheme="minorHAnsi"/>
          <w:sz w:val="22"/>
          <w:szCs w:val="22"/>
          <w:lang w:val="en-US"/>
        </w:rPr>
        <w:t xml:space="preserve"> March 2026)</w:t>
      </w:r>
    </w:p>
    <w:p w14:paraId="0827D77A" w14:textId="34CBD1EF" w:rsidR="5DD460C5" w:rsidRPr="009E413D" w:rsidRDefault="5736DF07" w:rsidP="009E413D">
      <w:pPr>
        <w:spacing w:before="240" w:after="240" w:line="360" w:lineRule="auto"/>
        <w:rPr>
          <w:rFonts w:cstheme="minorHAnsi"/>
          <w:sz w:val="22"/>
          <w:szCs w:val="22"/>
        </w:rPr>
      </w:pPr>
      <w:r w:rsidRPr="009E413D">
        <w:rPr>
          <w:rFonts w:eastAsia="Arial" w:cstheme="minorHAnsi"/>
          <w:sz w:val="22"/>
          <w:szCs w:val="22"/>
          <w:lang w:val="en-US"/>
        </w:rPr>
        <w:t xml:space="preserve">NHS England (2021) </w:t>
      </w:r>
      <w:r w:rsidRPr="009E413D">
        <w:rPr>
          <w:rFonts w:eastAsia="Arial" w:cstheme="minorHAnsi"/>
          <w:i/>
          <w:iCs/>
          <w:sz w:val="22"/>
          <w:szCs w:val="22"/>
          <w:lang w:val="en-US"/>
        </w:rPr>
        <w:t>Breast screening: identifying and reducing inequalities</w:t>
      </w:r>
      <w:r w:rsidRPr="009E413D">
        <w:rPr>
          <w:rFonts w:eastAsia="Arial" w:cstheme="minorHAnsi"/>
          <w:sz w:val="22"/>
          <w:szCs w:val="22"/>
          <w:lang w:val="en-US"/>
        </w:rPr>
        <w:t xml:space="preserve">. </w:t>
      </w:r>
      <w:r w:rsidRPr="009E413D">
        <w:rPr>
          <w:rFonts w:eastAsia="Arial" w:cstheme="minorHAnsi"/>
          <w:sz w:val="22"/>
          <w:szCs w:val="22"/>
        </w:rPr>
        <w:t xml:space="preserve">Available at: </w:t>
      </w:r>
      <w:hyperlink r:id="rId22">
        <w:r w:rsidRPr="009E413D">
          <w:rPr>
            <w:rStyle w:val="Hyperlink"/>
            <w:rFonts w:eastAsia="Arial" w:cstheme="minorHAnsi"/>
            <w:sz w:val="22"/>
            <w:szCs w:val="22"/>
          </w:rPr>
          <w:t>https://www.gov.uk/government/publications/breast-screening-identifying-and-reducing-inequalities</w:t>
        </w:r>
      </w:hyperlink>
      <w:r w:rsidRPr="009E413D">
        <w:rPr>
          <w:rFonts w:eastAsia="Arial" w:cstheme="minorHAnsi"/>
          <w:sz w:val="22"/>
          <w:szCs w:val="22"/>
        </w:rPr>
        <w:t xml:space="preserve"> (Accessed: </w:t>
      </w:r>
      <w:r w:rsidR="3F08457C" w:rsidRPr="009E413D">
        <w:rPr>
          <w:rFonts w:eastAsia="Arial" w:cstheme="minorHAnsi"/>
          <w:sz w:val="22"/>
          <w:szCs w:val="22"/>
        </w:rPr>
        <w:t>1</w:t>
      </w:r>
      <w:r w:rsidRPr="009E413D">
        <w:rPr>
          <w:rFonts w:eastAsia="Arial" w:cstheme="minorHAnsi"/>
          <w:sz w:val="22"/>
          <w:szCs w:val="22"/>
        </w:rPr>
        <w:t>1 March 2026).</w:t>
      </w:r>
    </w:p>
    <w:p w14:paraId="27E6151D" w14:textId="46849BB4" w:rsidR="1CF56AFF" w:rsidRPr="009E413D" w:rsidRDefault="14FF9106" w:rsidP="009E413D">
      <w:pPr>
        <w:spacing w:before="240" w:after="240" w:line="360" w:lineRule="auto"/>
        <w:rPr>
          <w:rFonts w:eastAsia="Arial" w:cstheme="minorHAnsi"/>
          <w:sz w:val="22"/>
          <w:szCs w:val="22"/>
        </w:rPr>
      </w:pPr>
      <w:r w:rsidRPr="009E413D">
        <w:rPr>
          <w:rFonts w:eastAsia="Arial" w:cstheme="minorHAnsi"/>
          <w:sz w:val="22"/>
          <w:szCs w:val="22"/>
          <w:lang w:val="en-US"/>
        </w:rPr>
        <w:t xml:space="preserve">NHS </w:t>
      </w:r>
      <w:r w:rsidR="2CAE71EC" w:rsidRPr="009E413D">
        <w:rPr>
          <w:rFonts w:eastAsia="Arial" w:cstheme="minorHAnsi"/>
          <w:sz w:val="22"/>
          <w:szCs w:val="22"/>
          <w:lang w:val="en-US"/>
        </w:rPr>
        <w:t xml:space="preserve">England </w:t>
      </w:r>
      <w:r w:rsidRPr="009E413D">
        <w:rPr>
          <w:rFonts w:eastAsia="Arial" w:cstheme="minorHAnsi"/>
          <w:sz w:val="22"/>
          <w:szCs w:val="22"/>
          <w:lang w:val="en-US"/>
        </w:rPr>
        <w:t>(2023)</w:t>
      </w:r>
      <w:r w:rsidR="71D0DD1B" w:rsidRPr="009E413D">
        <w:rPr>
          <w:rFonts w:eastAsia="Arial" w:cstheme="minorHAnsi"/>
          <w:sz w:val="22"/>
          <w:szCs w:val="22"/>
          <w:lang w:val="en-US"/>
        </w:rPr>
        <w:t xml:space="preserve"> </w:t>
      </w:r>
      <w:r w:rsidR="7E03EE59" w:rsidRPr="009E413D">
        <w:rPr>
          <w:rFonts w:eastAsia="Arial" w:cstheme="minorHAnsi"/>
          <w:i/>
          <w:iCs/>
          <w:sz w:val="22"/>
          <w:szCs w:val="22"/>
          <w:lang w:val="en-US"/>
        </w:rPr>
        <w:t>Breast screening: programme overview</w:t>
      </w:r>
      <w:r w:rsidR="7E03EE59" w:rsidRPr="009E413D">
        <w:rPr>
          <w:rFonts w:eastAsia="Arial" w:cstheme="minorHAnsi"/>
          <w:sz w:val="22"/>
          <w:szCs w:val="22"/>
          <w:lang w:val="en-US"/>
        </w:rPr>
        <w:t>.</w:t>
      </w:r>
      <w:r w:rsidR="1CF56AFF" w:rsidRPr="009E413D">
        <w:rPr>
          <w:rFonts w:cstheme="minorHAnsi"/>
          <w:sz w:val="22"/>
          <w:szCs w:val="22"/>
        </w:rPr>
        <w:br/>
      </w:r>
      <w:r w:rsidR="7E03EE59" w:rsidRPr="009E413D">
        <w:rPr>
          <w:rFonts w:eastAsia="Arial" w:cstheme="minorHAnsi"/>
          <w:sz w:val="22"/>
          <w:szCs w:val="22"/>
          <w:lang w:val="en-US"/>
        </w:rPr>
        <w:t xml:space="preserve"> Available at: </w:t>
      </w:r>
      <w:hyperlink r:id="rId23">
        <w:r w:rsidR="7E03EE59" w:rsidRPr="009E413D">
          <w:rPr>
            <w:rStyle w:val="Hyperlink"/>
            <w:rFonts w:eastAsia="Arial" w:cstheme="minorHAnsi"/>
            <w:sz w:val="22"/>
            <w:szCs w:val="22"/>
            <w:lang w:val="en-US"/>
          </w:rPr>
          <w:t>https://www.gov.uk/guidance/breast-screening-programme-overview</w:t>
        </w:r>
      </w:hyperlink>
      <w:r w:rsidR="7E03EE59" w:rsidRPr="009E413D">
        <w:rPr>
          <w:rFonts w:eastAsia="Arial" w:cstheme="minorHAnsi"/>
          <w:sz w:val="22"/>
          <w:szCs w:val="22"/>
          <w:lang w:val="en-US"/>
        </w:rPr>
        <w:t xml:space="preserve"> (Accessed: 1</w:t>
      </w:r>
      <w:r w:rsidR="614FB71A" w:rsidRPr="009E413D">
        <w:rPr>
          <w:rFonts w:eastAsia="Arial" w:cstheme="minorHAnsi"/>
          <w:sz w:val="22"/>
          <w:szCs w:val="22"/>
          <w:lang w:val="en-US"/>
        </w:rPr>
        <w:t>5</w:t>
      </w:r>
      <w:r w:rsidR="7E03EE59" w:rsidRPr="009E413D">
        <w:rPr>
          <w:rFonts w:eastAsia="Arial" w:cstheme="minorHAnsi"/>
          <w:sz w:val="22"/>
          <w:szCs w:val="22"/>
          <w:lang w:val="en-US"/>
        </w:rPr>
        <w:t xml:space="preserve"> March 2026).</w:t>
      </w:r>
    </w:p>
    <w:p w14:paraId="2348B1F7" w14:textId="4CBB0778" w:rsidR="716C203B" w:rsidRPr="009E413D" w:rsidRDefault="716C203B" w:rsidP="009E413D">
      <w:pPr>
        <w:spacing w:before="240" w:after="240" w:line="360" w:lineRule="auto"/>
        <w:rPr>
          <w:rFonts w:eastAsia="Arial" w:cstheme="minorHAnsi"/>
          <w:sz w:val="22"/>
          <w:szCs w:val="22"/>
        </w:rPr>
      </w:pPr>
      <w:r w:rsidRPr="009E413D">
        <w:rPr>
          <w:rFonts w:cstheme="minorHAnsi"/>
          <w:sz w:val="22"/>
          <w:szCs w:val="22"/>
        </w:rPr>
        <w:br/>
      </w:r>
      <w:r w:rsidR="0697AD99" w:rsidRPr="009E413D">
        <w:rPr>
          <w:rFonts w:eastAsia="Arial" w:cstheme="minorHAnsi"/>
          <w:sz w:val="22"/>
          <w:szCs w:val="22"/>
          <w:lang w:val="en-US"/>
        </w:rPr>
        <w:t xml:space="preserve">Public Health England (2021) </w:t>
      </w:r>
      <w:r w:rsidR="0697AD99" w:rsidRPr="009E413D">
        <w:rPr>
          <w:rFonts w:eastAsia="Arial" w:cstheme="minorHAnsi"/>
          <w:i/>
          <w:iCs/>
          <w:sz w:val="22"/>
          <w:szCs w:val="22"/>
          <w:lang w:val="en-US"/>
        </w:rPr>
        <w:t>Health profile for England: 2021</w:t>
      </w:r>
      <w:r w:rsidR="0697AD99" w:rsidRPr="009E413D">
        <w:rPr>
          <w:rFonts w:eastAsia="Arial" w:cstheme="minorHAnsi"/>
          <w:sz w:val="22"/>
          <w:szCs w:val="22"/>
          <w:lang w:val="en-US"/>
        </w:rPr>
        <w:t>.</w:t>
      </w:r>
      <w:r w:rsidRPr="009E413D">
        <w:rPr>
          <w:rFonts w:cstheme="minorHAnsi"/>
          <w:sz w:val="22"/>
          <w:szCs w:val="22"/>
        </w:rPr>
        <w:br/>
      </w:r>
      <w:r w:rsidR="0697AD99" w:rsidRPr="009E413D">
        <w:rPr>
          <w:rFonts w:eastAsia="Arial" w:cstheme="minorHAnsi"/>
          <w:sz w:val="22"/>
          <w:szCs w:val="22"/>
          <w:lang w:val="en-US"/>
        </w:rPr>
        <w:lastRenderedPageBreak/>
        <w:t xml:space="preserve"> Available at: </w:t>
      </w:r>
      <w:hyperlink r:id="rId24">
        <w:r w:rsidR="0697AD99" w:rsidRPr="009E413D">
          <w:rPr>
            <w:rStyle w:val="Hyperlink"/>
            <w:rFonts w:eastAsia="Arial" w:cstheme="minorHAnsi"/>
            <w:sz w:val="22"/>
            <w:szCs w:val="22"/>
            <w:lang w:val="en-US"/>
          </w:rPr>
          <w:t>https://www.gov.uk/government/publications/health-profile-for-england-2021</w:t>
        </w:r>
      </w:hyperlink>
      <w:r w:rsidR="0697AD99" w:rsidRPr="009E413D">
        <w:rPr>
          <w:rFonts w:eastAsia="Arial" w:cstheme="minorHAnsi"/>
          <w:sz w:val="22"/>
          <w:szCs w:val="22"/>
          <w:lang w:val="en-US"/>
        </w:rPr>
        <w:t xml:space="preserve"> (Accessed: 1</w:t>
      </w:r>
      <w:r w:rsidR="084CD9B3" w:rsidRPr="009E413D">
        <w:rPr>
          <w:rFonts w:eastAsia="Arial" w:cstheme="minorHAnsi"/>
          <w:sz w:val="22"/>
          <w:szCs w:val="22"/>
          <w:lang w:val="en-US"/>
        </w:rPr>
        <w:t>4</w:t>
      </w:r>
      <w:r w:rsidR="0697AD99" w:rsidRPr="009E413D">
        <w:rPr>
          <w:rFonts w:eastAsia="Arial" w:cstheme="minorHAnsi"/>
          <w:sz w:val="22"/>
          <w:szCs w:val="22"/>
          <w:lang w:val="en-US"/>
        </w:rPr>
        <w:t xml:space="preserve"> March 2026).</w:t>
      </w:r>
    </w:p>
    <w:p w14:paraId="2B811F65" w14:textId="541839ED" w:rsidR="1CF56AFF" w:rsidRPr="009E413D" w:rsidRDefault="1CF56AFF" w:rsidP="009E413D">
      <w:pPr>
        <w:spacing w:before="240" w:after="240" w:line="360" w:lineRule="auto"/>
        <w:rPr>
          <w:rFonts w:cstheme="minorHAnsi"/>
          <w:sz w:val="22"/>
          <w:szCs w:val="22"/>
        </w:rPr>
      </w:pPr>
      <w:r w:rsidRPr="009E413D">
        <w:rPr>
          <w:rFonts w:eastAsia="Arial" w:cstheme="minorHAnsi"/>
          <w:sz w:val="22"/>
          <w:szCs w:val="22"/>
        </w:rPr>
        <w:t xml:space="preserve">Porta, M. (2020) </w:t>
      </w:r>
      <w:r w:rsidRPr="009E413D">
        <w:rPr>
          <w:rFonts w:eastAsia="Arial" w:cstheme="minorHAnsi"/>
          <w:i/>
          <w:iCs/>
          <w:sz w:val="22"/>
          <w:szCs w:val="22"/>
        </w:rPr>
        <w:t>A dictionary of epidemiology</w:t>
      </w:r>
      <w:r w:rsidRPr="009E413D">
        <w:rPr>
          <w:rFonts w:eastAsia="Arial" w:cstheme="minorHAnsi"/>
          <w:sz w:val="22"/>
          <w:szCs w:val="22"/>
        </w:rPr>
        <w:t>. 6th edn. Oxford: Oxford University Press.</w:t>
      </w:r>
    </w:p>
    <w:p w14:paraId="5E6C9D06" w14:textId="295D37FB" w:rsidR="1CF56AFF" w:rsidRPr="009E413D" w:rsidRDefault="14FF9106" w:rsidP="009E413D">
      <w:pPr>
        <w:spacing w:before="240" w:after="240" w:line="360" w:lineRule="auto"/>
        <w:rPr>
          <w:rFonts w:cstheme="minorHAnsi"/>
          <w:sz w:val="22"/>
          <w:szCs w:val="22"/>
        </w:rPr>
      </w:pPr>
      <w:r w:rsidRPr="009E413D">
        <w:rPr>
          <w:rFonts w:eastAsia="Arial" w:cstheme="minorHAnsi"/>
          <w:sz w:val="22"/>
          <w:szCs w:val="22"/>
          <w:lang w:val="en-US"/>
        </w:rPr>
        <w:t xml:space="preserve">Reeves, G.K., Pirie, K., Green, J., Bull, D., Beral, V. and Million Women Study Collaborators (2022) ‘Comparison of genetic and environmental risk factors on breast cancer incidence’, </w:t>
      </w:r>
      <w:r w:rsidRPr="009E413D">
        <w:rPr>
          <w:rFonts w:eastAsia="Arial" w:cstheme="minorHAnsi"/>
          <w:i/>
          <w:iCs/>
          <w:sz w:val="22"/>
          <w:szCs w:val="22"/>
          <w:lang w:val="en-US"/>
        </w:rPr>
        <w:t>British Journal of Cancer</w:t>
      </w:r>
      <w:r w:rsidRPr="009E413D">
        <w:rPr>
          <w:rFonts w:eastAsia="Arial" w:cstheme="minorHAnsi"/>
          <w:sz w:val="22"/>
          <w:szCs w:val="22"/>
          <w:lang w:val="en-US"/>
        </w:rPr>
        <w:t xml:space="preserve">, 126(5), pp. 1–10. Available at: </w:t>
      </w:r>
      <w:hyperlink r:id="rId25">
        <w:r w:rsidRPr="009E413D">
          <w:rPr>
            <w:rStyle w:val="Hyperlink"/>
            <w:rFonts w:eastAsia="Arial" w:cstheme="minorHAnsi"/>
            <w:sz w:val="22"/>
            <w:szCs w:val="22"/>
            <w:lang w:val="en-US"/>
          </w:rPr>
          <w:t>https://www.ceu.ox.ac.uk/research/the-million-women-study</w:t>
        </w:r>
      </w:hyperlink>
      <w:r w:rsidRPr="009E413D">
        <w:rPr>
          <w:rFonts w:eastAsia="Arial" w:cstheme="minorHAnsi"/>
          <w:sz w:val="22"/>
          <w:szCs w:val="22"/>
          <w:lang w:val="en-US"/>
        </w:rPr>
        <w:t xml:space="preserve"> (Accessed: 1</w:t>
      </w:r>
      <w:r w:rsidR="6ECB333F" w:rsidRPr="009E413D">
        <w:rPr>
          <w:rFonts w:eastAsia="Arial" w:cstheme="minorHAnsi"/>
          <w:sz w:val="22"/>
          <w:szCs w:val="22"/>
          <w:lang w:val="en-US"/>
        </w:rPr>
        <w:t>7</w:t>
      </w:r>
      <w:r w:rsidRPr="009E413D">
        <w:rPr>
          <w:rFonts w:eastAsia="Arial" w:cstheme="minorHAnsi"/>
          <w:sz w:val="22"/>
          <w:szCs w:val="22"/>
          <w:lang w:val="en-US"/>
        </w:rPr>
        <w:t xml:space="preserve"> March 2026).</w:t>
      </w:r>
    </w:p>
    <w:p w14:paraId="7A30F096" w14:textId="544C477C" w:rsidR="1CF56AFF" w:rsidRPr="009E413D" w:rsidRDefault="1CF56AFF" w:rsidP="009E413D">
      <w:pPr>
        <w:spacing w:before="240" w:after="240" w:line="360" w:lineRule="auto"/>
        <w:rPr>
          <w:rFonts w:cstheme="minorHAnsi"/>
          <w:sz w:val="22"/>
          <w:szCs w:val="22"/>
        </w:rPr>
      </w:pPr>
      <w:r w:rsidRPr="009E413D">
        <w:rPr>
          <w:rFonts w:eastAsia="Arial" w:cstheme="minorHAnsi"/>
          <w:sz w:val="22"/>
          <w:szCs w:val="22"/>
        </w:rPr>
        <w:t xml:space="preserve">Rothman, K.J., Greenland, S. and Lash, T.L. (2021) </w:t>
      </w:r>
      <w:r w:rsidRPr="009E413D">
        <w:rPr>
          <w:rFonts w:eastAsia="Arial" w:cstheme="minorHAnsi"/>
          <w:i/>
          <w:iCs/>
          <w:sz w:val="22"/>
          <w:szCs w:val="22"/>
        </w:rPr>
        <w:t>Modern epidemiology</w:t>
      </w:r>
      <w:r w:rsidRPr="009E413D">
        <w:rPr>
          <w:rFonts w:eastAsia="Arial" w:cstheme="minorHAnsi"/>
          <w:sz w:val="22"/>
          <w:szCs w:val="22"/>
        </w:rPr>
        <w:t>. 4th edn. Philadelphia: Wolters Kluwer.</w:t>
      </w:r>
    </w:p>
    <w:p w14:paraId="48DFF4D4" w14:textId="0F68A778" w:rsidR="1CF56AFF" w:rsidRPr="009E413D" w:rsidRDefault="14FF9106" w:rsidP="009E413D">
      <w:pPr>
        <w:spacing w:before="240" w:after="240" w:line="360" w:lineRule="auto"/>
        <w:rPr>
          <w:rFonts w:cstheme="minorHAnsi"/>
          <w:sz w:val="22"/>
          <w:szCs w:val="22"/>
        </w:rPr>
      </w:pPr>
      <w:r w:rsidRPr="009E413D">
        <w:rPr>
          <w:rFonts w:eastAsia="Arial" w:cstheme="minorHAnsi"/>
          <w:sz w:val="22"/>
          <w:szCs w:val="22"/>
          <w:lang w:val="en-US"/>
        </w:rPr>
        <w:t xml:space="preserve">Sung, H., Ferlay, J., Siegel, R.L., Laversanne, M., Soerjomataram, I., Jemal, A. and Bray, F. (2021) ‘Global cancer statistics 2020: GLOBOCAN estimates’, </w:t>
      </w:r>
      <w:r w:rsidRPr="009E413D">
        <w:rPr>
          <w:rFonts w:eastAsia="Arial" w:cstheme="minorHAnsi"/>
          <w:i/>
          <w:iCs/>
          <w:sz w:val="22"/>
          <w:szCs w:val="22"/>
          <w:lang w:val="en-US"/>
        </w:rPr>
        <w:t>CA: A Cancer Journal for Clinicians</w:t>
      </w:r>
      <w:r w:rsidRPr="009E413D">
        <w:rPr>
          <w:rFonts w:eastAsia="Arial" w:cstheme="minorHAnsi"/>
          <w:sz w:val="22"/>
          <w:szCs w:val="22"/>
          <w:lang w:val="en-US"/>
        </w:rPr>
        <w:t xml:space="preserve">, 71(3), pp. 209–249. Available at: </w:t>
      </w:r>
      <w:hyperlink r:id="rId26">
        <w:r w:rsidRPr="009E413D">
          <w:rPr>
            <w:rStyle w:val="Hyperlink"/>
            <w:rFonts w:eastAsia="Arial" w:cstheme="minorHAnsi"/>
            <w:sz w:val="22"/>
            <w:szCs w:val="22"/>
            <w:lang w:val="en-US"/>
          </w:rPr>
          <w:t>https://acsjournals.onlinelibrary.wiley.com/doi/full/10.3322/caac.21660</w:t>
        </w:r>
      </w:hyperlink>
      <w:r w:rsidRPr="009E413D">
        <w:rPr>
          <w:rFonts w:eastAsia="Arial" w:cstheme="minorHAnsi"/>
          <w:sz w:val="22"/>
          <w:szCs w:val="22"/>
          <w:lang w:val="en-US"/>
        </w:rPr>
        <w:t xml:space="preserve"> (Accessed: </w:t>
      </w:r>
      <w:r w:rsidR="0C2A2BC2" w:rsidRPr="009E413D">
        <w:rPr>
          <w:rFonts w:eastAsia="Arial" w:cstheme="minorHAnsi"/>
          <w:sz w:val="22"/>
          <w:szCs w:val="22"/>
          <w:lang w:val="en-US"/>
        </w:rPr>
        <w:t>17</w:t>
      </w:r>
      <w:r w:rsidRPr="009E413D">
        <w:rPr>
          <w:rFonts w:eastAsia="Arial" w:cstheme="minorHAnsi"/>
          <w:sz w:val="22"/>
          <w:szCs w:val="22"/>
          <w:lang w:val="en-US"/>
        </w:rPr>
        <w:t xml:space="preserve"> March 2026).</w:t>
      </w:r>
    </w:p>
    <w:p w14:paraId="60D9C327" w14:textId="16364B30" w:rsidR="1CF56AFF" w:rsidRPr="009E413D" w:rsidRDefault="14FF9106" w:rsidP="009E413D">
      <w:pPr>
        <w:spacing w:before="240" w:after="240" w:line="360" w:lineRule="auto"/>
        <w:rPr>
          <w:rFonts w:cstheme="minorHAnsi"/>
          <w:sz w:val="22"/>
          <w:szCs w:val="22"/>
        </w:rPr>
      </w:pPr>
      <w:r w:rsidRPr="009E413D">
        <w:rPr>
          <w:rFonts w:eastAsia="Arial" w:cstheme="minorHAnsi"/>
          <w:sz w:val="22"/>
          <w:szCs w:val="22"/>
        </w:rPr>
        <w:t>World Health Organization (202</w:t>
      </w:r>
      <w:r w:rsidR="29225621" w:rsidRPr="009E413D">
        <w:rPr>
          <w:rFonts w:eastAsia="Arial" w:cstheme="minorHAnsi"/>
          <w:sz w:val="22"/>
          <w:szCs w:val="22"/>
        </w:rPr>
        <w:t>5</w:t>
      </w:r>
      <w:r w:rsidRPr="009E413D">
        <w:rPr>
          <w:rFonts w:eastAsia="Arial" w:cstheme="minorHAnsi"/>
          <w:sz w:val="22"/>
          <w:szCs w:val="22"/>
        </w:rPr>
        <w:t xml:space="preserve">) </w:t>
      </w:r>
      <w:r w:rsidRPr="009E413D">
        <w:rPr>
          <w:rFonts w:eastAsia="Arial" w:cstheme="minorHAnsi"/>
          <w:i/>
          <w:iCs/>
          <w:sz w:val="22"/>
          <w:szCs w:val="22"/>
        </w:rPr>
        <w:t>Breast cancer</w:t>
      </w:r>
      <w:r w:rsidRPr="009E413D">
        <w:rPr>
          <w:rFonts w:eastAsia="Arial" w:cstheme="minorHAnsi"/>
          <w:sz w:val="22"/>
          <w:szCs w:val="22"/>
        </w:rPr>
        <w:t xml:space="preserve">. Available at: </w:t>
      </w:r>
      <w:hyperlink r:id="rId27">
        <w:r w:rsidRPr="009E413D">
          <w:rPr>
            <w:rStyle w:val="Hyperlink"/>
            <w:rFonts w:eastAsia="Arial" w:cstheme="minorHAnsi"/>
            <w:sz w:val="22"/>
            <w:szCs w:val="22"/>
          </w:rPr>
          <w:t>https://www.who.int/news-room/fact-sheets/detail/breast-cancer</w:t>
        </w:r>
      </w:hyperlink>
      <w:r w:rsidRPr="009E413D">
        <w:rPr>
          <w:rFonts w:eastAsia="Arial" w:cstheme="minorHAnsi"/>
          <w:sz w:val="22"/>
          <w:szCs w:val="22"/>
        </w:rPr>
        <w:t xml:space="preserve"> (Accessed: 1</w:t>
      </w:r>
      <w:r w:rsidR="022DB466" w:rsidRPr="009E413D">
        <w:rPr>
          <w:rFonts w:eastAsia="Arial" w:cstheme="minorHAnsi"/>
          <w:sz w:val="22"/>
          <w:szCs w:val="22"/>
        </w:rPr>
        <w:t>4</w:t>
      </w:r>
      <w:r w:rsidRPr="009E413D">
        <w:rPr>
          <w:rFonts w:eastAsia="Arial" w:cstheme="minorHAnsi"/>
          <w:sz w:val="22"/>
          <w:szCs w:val="22"/>
        </w:rPr>
        <w:t xml:space="preserve"> March 2026).</w:t>
      </w:r>
    </w:p>
    <w:p w14:paraId="1203B9D0" w14:textId="259D9D6B" w:rsidR="1BEFAC2A" w:rsidRPr="009E413D" w:rsidRDefault="1BEFAC2A" w:rsidP="009E413D">
      <w:pPr>
        <w:spacing w:before="240" w:after="240" w:line="360" w:lineRule="auto"/>
        <w:rPr>
          <w:rFonts w:eastAsia="Arial" w:cstheme="minorHAnsi"/>
          <w:sz w:val="22"/>
          <w:szCs w:val="22"/>
        </w:rPr>
      </w:pPr>
    </w:p>
    <w:p w14:paraId="5057D8D5" w14:textId="02618AE8" w:rsidR="1BEFAC2A" w:rsidRPr="009E413D" w:rsidRDefault="1BEFAC2A" w:rsidP="009E413D">
      <w:pPr>
        <w:spacing w:before="240" w:after="240" w:line="360" w:lineRule="auto"/>
        <w:rPr>
          <w:rFonts w:eastAsia="Arial" w:cstheme="minorHAnsi"/>
          <w:sz w:val="22"/>
          <w:szCs w:val="22"/>
        </w:rPr>
      </w:pPr>
    </w:p>
    <w:p w14:paraId="7D239479" w14:textId="15146747" w:rsidR="1BEFAC2A" w:rsidRPr="009E413D" w:rsidRDefault="1BEFAC2A" w:rsidP="009E413D">
      <w:pPr>
        <w:spacing w:before="240" w:after="240" w:line="360" w:lineRule="auto"/>
        <w:rPr>
          <w:rFonts w:eastAsia="Arial" w:cstheme="minorHAnsi"/>
          <w:sz w:val="22"/>
          <w:szCs w:val="22"/>
        </w:rPr>
      </w:pPr>
    </w:p>
    <w:p w14:paraId="51EDB8D4" w14:textId="1A0150E0" w:rsidR="1BEFAC2A" w:rsidRPr="009E413D" w:rsidRDefault="1BEFAC2A" w:rsidP="009E413D">
      <w:pPr>
        <w:spacing w:line="360" w:lineRule="auto"/>
        <w:rPr>
          <w:rFonts w:eastAsia="Arial" w:cstheme="minorHAnsi"/>
          <w:b/>
          <w:bCs/>
          <w:sz w:val="22"/>
          <w:szCs w:val="22"/>
        </w:rPr>
      </w:pPr>
    </w:p>
    <w:p w14:paraId="19B053BA" w14:textId="0FECD5F7" w:rsidR="6FCAF703" w:rsidRPr="009E413D" w:rsidRDefault="6FCAF703" w:rsidP="009E413D">
      <w:pPr>
        <w:spacing w:line="360" w:lineRule="auto"/>
        <w:rPr>
          <w:rFonts w:eastAsiaTheme="minorEastAsia" w:cstheme="minorHAnsi"/>
          <w:sz w:val="22"/>
          <w:szCs w:val="22"/>
        </w:rPr>
      </w:pPr>
    </w:p>
    <w:p w14:paraId="1072076E" w14:textId="6CE73863" w:rsidR="6FCAF703" w:rsidRPr="009E413D" w:rsidRDefault="6FCAF703" w:rsidP="009E413D">
      <w:pPr>
        <w:spacing w:line="360" w:lineRule="auto"/>
        <w:rPr>
          <w:rFonts w:eastAsiaTheme="minorEastAsia" w:cstheme="minorHAnsi"/>
          <w:sz w:val="22"/>
          <w:szCs w:val="22"/>
        </w:rPr>
      </w:pPr>
    </w:p>
    <w:p w14:paraId="40F70C0E" w14:textId="300ED414" w:rsidR="6FCAF703" w:rsidRPr="009E413D" w:rsidRDefault="6FCAF703" w:rsidP="009E413D">
      <w:pPr>
        <w:spacing w:line="360" w:lineRule="auto"/>
        <w:rPr>
          <w:rFonts w:eastAsiaTheme="minorEastAsia" w:cstheme="minorHAnsi"/>
          <w:sz w:val="22"/>
          <w:szCs w:val="22"/>
        </w:rPr>
      </w:pPr>
    </w:p>
    <w:p w14:paraId="40DD0EDB" w14:textId="01B355BA" w:rsidR="6FCAF703" w:rsidRPr="009E413D" w:rsidRDefault="6FCAF703" w:rsidP="009E413D">
      <w:pPr>
        <w:spacing w:line="360" w:lineRule="auto"/>
        <w:rPr>
          <w:rFonts w:eastAsiaTheme="minorEastAsia" w:cstheme="minorHAnsi"/>
          <w:sz w:val="22"/>
          <w:szCs w:val="22"/>
        </w:rPr>
      </w:pPr>
    </w:p>
    <w:p w14:paraId="01111D2D" w14:textId="152537F1" w:rsidR="6FCAF703" w:rsidRPr="009E413D" w:rsidRDefault="6FCAF703" w:rsidP="009E413D">
      <w:pPr>
        <w:spacing w:line="360" w:lineRule="auto"/>
        <w:rPr>
          <w:rFonts w:eastAsiaTheme="minorEastAsia" w:cstheme="minorHAnsi"/>
          <w:sz w:val="22"/>
          <w:szCs w:val="22"/>
        </w:rPr>
      </w:pPr>
    </w:p>
    <w:p w14:paraId="7571ED8E" w14:textId="324091AC" w:rsidR="6FCAF703" w:rsidRPr="009E413D" w:rsidRDefault="6FCAF703" w:rsidP="009E413D">
      <w:pPr>
        <w:spacing w:line="360" w:lineRule="auto"/>
        <w:rPr>
          <w:rFonts w:eastAsiaTheme="minorEastAsia" w:cstheme="minorHAnsi"/>
          <w:sz w:val="22"/>
          <w:szCs w:val="22"/>
        </w:rPr>
      </w:pPr>
    </w:p>
    <w:p w14:paraId="7D68DF07" w14:textId="62275849" w:rsidR="6FCAF703" w:rsidRPr="009E413D" w:rsidRDefault="6FCAF703" w:rsidP="009E413D">
      <w:pPr>
        <w:spacing w:line="360" w:lineRule="auto"/>
        <w:rPr>
          <w:rFonts w:eastAsiaTheme="minorEastAsia" w:cstheme="minorHAnsi"/>
          <w:sz w:val="22"/>
          <w:szCs w:val="22"/>
        </w:rPr>
      </w:pPr>
    </w:p>
    <w:p w14:paraId="0D5C4EB4" w14:textId="1A7A8921" w:rsidR="6FCAF703" w:rsidRPr="009E413D" w:rsidRDefault="6FCAF703" w:rsidP="009E413D">
      <w:pPr>
        <w:spacing w:line="360" w:lineRule="auto"/>
        <w:rPr>
          <w:rFonts w:eastAsiaTheme="minorEastAsia" w:cstheme="minorHAnsi"/>
          <w:sz w:val="22"/>
          <w:szCs w:val="22"/>
        </w:rPr>
      </w:pPr>
    </w:p>
    <w:p w14:paraId="10459622" w14:textId="52E5B4D5" w:rsidR="6FCAF703" w:rsidRPr="009E413D" w:rsidRDefault="6FCAF703" w:rsidP="009E413D">
      <w:pPr>
        <w:spacing w:line="360" w:lineRule="auto"/>
        <w:rPr>
          <w:rFonts w:eastAsiaTheme="minorEastAsia" w:cstheme="minorHAnsi"/>
          <w:sz w:val="22"/>
          <w:szCs w:val="22"/>
        </w:rPr>
      </w:pPr>
    </w:p>
    <w:p w14:paraId="0A5610DF" w14:textId="6FB9CF8D" w:rsidR="6FCAF703" w:rsidRPr="009E413D" w:rsidRDefault="6FCAF703" w:rsidP="009E413D">
      <w:pPr>
        <w:spacing w:line="360" w:lineRule="auto"/>
        <w:rPr>
          <w:rFonts w:eastAsiaTheme="minorEastAsia" w:cstheme="minorHAnsi"/>
          <w:sz w:val="22"/>
          <w:szCs w:val="22"/>
        </w:rPr>
      </w:pPr>
    </w:p>
    <w:p w14:paraId="317DB3BE" w14:textId="5674188C" w:rsidR="6FCAF703" w:rsidRPr="009E413D" w:rsidRDefault="6FCAF703" w:rsidP="009E413D">
      <w:pPr>
        <w:spacing w:line="360" w:lineRule="auto"/>
        <w:rPr>
          <w:rFonts w:eastAsiaTheme="minorEastAsia" w:cstheme="minorHAnsi"/>
          <w:sz w:val="22"/>
          <w:szCs w:val="22"/>
        </w:rPr>
      </w:pPr>
    </w:p>
    <w:sectPr w:rsidR="6FCAF703" w:rsidRPr="009E4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1C114B"/>
    <w:rsid w:val="002666FA"/>
    <w:rsid w:val="00274E66"/>
    <w:rsid w:val="002D3A36"/>
    <w:rsid w:val="006BA53F"/>
    <w:rsid w:val="00922BF2"/>
    <w:rsid w:val="009E413D"/>
    <w:rsid w:val="00A07495"/>
    <w:rsid w:val="010911D2"/>
    <w:rsid w:val="022DB466"/>
    <w:rsid w:val="0249E411"/>
    <w:rsid w:val="027192DB"/>
    <w:rsid w:val="028B72C7"/>
    <w:rsid w:val="028E9633"/>
    <w:rsid w:val="031F89CA"/>
    <w:rsid w:val="0328E713"/>
    <w:rsid w:val="03591E0B"/>
    <w:rsid w:val="04068D3B"/>
    <w:rsid w:val="049F9FD3"/>
    <w:rsid w:val="04AFFAAD"/>
    <w:rsid w:val="053FA136"/>
    <w:rsid w:val="05419F77"/>
    <w:rsid w:val="0598A3DD"/>
    <w:rsid w:val="05EA14F6"/>
    <w:rsid w:val="06302254"/>
    <w:rsid w:val="064166E7"/>
    <w:rsid w:val="0697AD99"/>
    <w:rsid w:val="06BE458C"/>
    <w:rsid w:val="06C7CEF4"/>
    <w:rsid w:val="07387BD7"/>
    <w:rsid w:val="0744986B"/>
    <w:rsid w:val="07C33641"/>
    <w:rsid w:val="08004BF4"/>
    <w:rsid w:val="080BBE59"/>
    <w:rsid w:val="084CD9B3"/>
    <w:rsid w:val="08840494"/>
    <w:rsid w:val="09CB106B"/>
    <w:rsid w:val="0A71D949"/>
    <w:rsid w:val="0AB45FFA"/>
    <w:rsid w:val="0C2A2BC2"/>
    <w:rsid w:val="0C945B7E"/>
    <w:rsid w:val="0CCFAE46"/>
    <w:rsid w:val="0D1AE91C"/>
    <w:rsid w:val="0DE97E16"/>
    <w:rsid w:val="0E311CF0"/>
    <w:rsid w:val="0E3ACDF5"/>
    <w:rsid w:val="0EDB3CE1"/>
    <w:rsid w:val="1050AC87"/>
    <w:rsid w:val="108BCD18"/>
    <w:rsid w:val="10FBE61D"/>
    <w:rsid w:val="11BBBDD8"/>
    <w:rsid w:val="121C1138"/>
    <w:rsid w:val="121C31A6"/>
    <w:rsid w:val="1355FEDA"/>
    <w:rsid w:val="14B857EC"/>
    <w:rsid w:val="14FF9106"/>
    <w:rsid w:val="15373A94"/>
    <w:rsid w:val="15C7A50F"/>
    <w:rsid w:val="16454167"/>
    <w:rsid w:val="16B648D1"/>
    <w:rsid w:val="16E7FF85"/>
    <w:rsid w:val="16EEB558"/>
    <w:rsid w:val="17B099F9"/>
    <w:rsid w:val="19024990"/>
    <w:rsid w:val="191C21B1"/>
    <w:rsid w:val="19E898F0"/>
    <w:rsid w:val="1AC1D901"/>
    <w:rsid w:val="1AEBA747"/>
    <w:rsid w:val="1AEFF733"/>
    <w:rsid w:val="1B1FF8EB"/>
    <w:rsid w:val="1B5F4B9B"/>
    <w:rsid w:val="1BEFAC2A"/>
    <w:rsid w:val="1C1DE81B"/>
    <w:rsid w:val="1C414A02"/>
    <w:rsid w:val="1C535D3D"/>
    <w:rsid w:val="1CAB0140"/>
    <w:rsid w:val="1CE35395"/>
    <w:rsid w:val="1CF56AFF"/>
    <w:rsid w:val="1D265B1D"/>
    <w:rsid w:val="1D7D785D"/>
    <w:rsid w:val="1ED8CC33"/>
    <w:rsid w:val="1EFC0C73"/>
    <w:rsid w:val="1F578C79"/>
    <w:rsid w:val="1F64AE35"/>
    <w:rsid w:val="220C8FE7"/>
    <w:rsid w:val="2282365D"/>
    <w:rsid w:val="2295B20D"/>
    <w:rsid w:val="230518B3"/>
    <w:rsid w:val="23370A26"/>
    <w:rsid w:val="2369E395"/>
    <w:rsid w:val="252E4008"/>
    <w:rsid w:val="2582C4FC"/>
    <w:rsid w:val="266F13BD"/>
    <w:rsid w:val="27C05192"/>
    <w:rsid w:val="27F1CD44"/>
    <w:rsid w:val="283E9B78"/>
    <w:rsid w:val="28B73E6F"/>
    <w:rsid w:val="28DE805F"/>
    <w:rsid w:val="2905AF54"/>
    <w:rsid w:val="29225621"/>
    <w:rsid w:val="29DB7DEF"/>
    <w:rsid w:val="2AEC87BA"/>
    <w:rsid w:val="2B586998"/>
    <w:rsid w:val="2B5A2BB9"/>
    <w:rsid w:val="2B67EBCC"/>
    <w:rsid w:val="2C35526E"/>
    <w:rsid w:val="2C58F560"/>
    <w:rsid w:val="2C59ABC4"/>
    <w:rsid w:val="2CAE71EC"/>
    <w:rsid w:val="2D5718D5"/>
    <w:rsid w:val="2D976721"/>
    <w:rsid w:val="2E71CED8"/>
    <w:rsid w:val="2E92EF1A"/>
    <w:rsid w:val="3183DA76"/>
    <w:rsid w:val="32ACEB54"/>
    <w:rsid w:val="32BE099C"/>
    <w:rsid w:val="34017704"/>
    <w:rsid w:val="3424B2A7"/>
    <w:rsid w:val="345BCF8E"/>
    <w:rsid w:val="35A88AAA"/>
    <w:rsid w:val="35D6F4F9"/>
    <w:rsid w:val="361CB676"/>
    <w:rsid w:val="369DC1EB"/>
    <w:rsid w:val="36CA9ED6"/>
    <w:rsid w:val="37159675"/>
    <w:rsid w:val="37DF5A4F"/>
    <w:rsid w:val="38003318"/>
    <w:rsid w:val="381C114B"/>
    <w:rsid w:val="3858C562"/>
    <w:rsid w:val="3924F865"/>
    <w:rsid w:val="3A061ADC"/>
    <w:rsid w:val="3A38088A"/>
    <w:rsid w:val="3A4C3C42"/>
    <w:rsid w:val="3ABFD748"/>
    <w:rsid w:val="3BB8708C"/>
    <w:rsid w:val="3BCAC0A1"/>
    <w:rsid w:val="3CA1B4F1"/>
    <w:rsid w:val="3CFE0C22"/>
    <w:rsid w:val="3D741DCE"/>
    <w:rsid w:val="3D880205"/>
    <w:rsid w:val="3E5BB780"/>
    <w:rsid w:val="3E769C20"/>
    <w:rsid w:val="3EEA9573"/>
    <w:rsid w:val="3F08457C"/>
    <w:rsid w:val="3F1A411E"/>
    <w:rsid w:val="3F209155"/>
    <w:rsid w:val="3F63EBE9"/>
    <w:rsid w:val="3F7F022B"/>
    <w:rsid w:val="4015938F"/>
    <w:rsid w:val="403839F8"/>
    <w:rsid w:val="40A00B38"/>
    <w:rsid w:val="4109175A"/>
    <w:rsid w:val="41890693"/>
    <w:rsid w:val="41B6B784"/>
    <w:rsid w:val="421DBE29"/>
    <w:rsid w:val="433E29CC"/>
    <w:rsid w:val="43755D8A"/>
    <w:rsid w:val="445DFF29"/>
    <w:rsid w:val="446D893E"/>
    <w:rsid w:val="44A06575"/>
    <w:rsid w:val="47033F65"/>
    <w:rsid w:val="472541E8"/>
    <w:rsid w:val="473D568B"/>
    <w:rsid w:val="48CA2B0F"/>
    <w:rsid w:val="48D5C9E6"/>
    <w:rsid w:val="48F981FA"/>
    <w:rsid w:val="4923AC19"/>
    <w:rsid w:val="493384DF"/>
    <w:rsid w:val="49444BF8"/>
    <w:rsid w:val="498E9DC4"/>
    <w:rsid w:val="4A3022C3"/>
    <w:rsid w:val="4A52E18E"/>
    <w:rsid w:val="4A5D8C59"/>
    <w:rsid w:val="4AC148E1"/>
    <w:rsid w:val="4B6485FD"/>
    <w:rsid w:val="4BC4BBD6"/>
    <w:rsid w:val="4BFA3D45"/>
    <w:rsid w:val="4C5044D7"/>
    <w:rsid w:val="4C6C89C5"/>
    <w:rsid w:val="4C72ADA4"/>
    <w:rsid w:val="4D15B0BD"/>
    <w:rsid w:val="4D7296C1"/>
    <w:rsid w:val="4E6F52F5"/>
    <w:rsid w:val="4F00C79D"/>
    <w:rsid w:val="4F55AADA"/>
    <w:rsid w:val="4F57D81F"/>
    <w:rsid w:val="5054ED92"/>
    <w:rsid w:val="50E158C9"/>
    <w:rsid w:val="51A2EE42"/>
    <w:rsid w:val="51CF23E5"/>
    <w:rsid w:val="52FA81EF"/>
    <w:rsid w:val="53BDE3AE"/>
    <w:rsid w:val="53C32909"/>
    <w:rsid w:val="545047B7"/>
    <w:rsid w:val="547CC7A6"/>
    <w:rsid w:val="55710892"/>
    <w:rsid w:val="55CBE5F7"/>
    <w:rsid w:val="5736DF07"/>
    <w:rsid w:val="576D0170"/>
    <w:rsid w:val="57AB5728"/>
    <w:rsid w:val="58105048"/>
    <w:rsid w:val="58A82C98"/>
    <w:rsid w:val="592C2DE4"/>
    <w:rsid w:val="59BD4115"/>
    <w:rsid w:val="5AE64206"/>
    <w:rsid w:val="5C0B0337"/>
    <w:rsid w:val="5C5240FB"/>
    <w:rsid w:val="5C95A385"/>
    <w:rsid w:val="5DD24C50"/>
    <w:rsid w:val="5DD460C5"/>
    <w:rsid w:val="5E61A730"/>
    <w:rsid w:val="5EAA8CE5"/>
    <w:rsid w:val="5F352359"/>
    <w:rsid w:val="5FA87BBD"/>
    <w:rsid w:val="5FC4A30E"/>
    <w:rsid w:val="614FB71A"/>
    <w:rsid w:val="6191B574"/>
    <w:rsid w:val="62FCFF1A"/>
    <w:rsid w:val="631F1569"/>
    <w:rsid w:val="633BB8AB"/>
    <w:rsid w:val="634412B7"/>
    <w:rsid w:val="64713D9F"/>
    <w:rsid w:val="64B4450F"/>
    <w:rsid w:val="6556B7ED"/>
    <w:rsid w:val="656F5F05"/>
    <w:rsid w:val="65746E79"/>
    <w:rsid w:val="660A6C22"/>
    <w:rsid w:val="6749E0E0"/>
    <w:rsid w:val="675D653C"/>
    <w:rsid w:val="677B92AE"/>
    <w:rsid w:val="679A0080"/>
    <w:rsid w:val="67A72CC7"/>
    <w:rsid w:val="684359BA"/>
    <w:rsid w:val="6864A8C3"/>
    <w:rsid w:val="68DE8D63"/>
    <w:rsid w:val="69111C86"/>
    <w:rsid w:val="6B0F625B"/>
    <w:rsid w:val="6B34311C"/>
    <w:rsid w:val="6B877793"/>
    <w:rsid w:val="6B92AACB"/>
    <w:rsid w:val="6C5F6B6A"/>
    <w:rsid w:val="6C8CD2B8"/>
    <w:rsid w:val="6C8FA7AD"/>
    <w:rsid w:val="6D12EA99"/>
    <w:rsid w:val="6E15DE55"/>
    <w:rsid w:val="6E256577"/>
    <w:rsid w:val="6ECB333F"/>
    <w:rsid w:val="6ED58CDA"/>
    <w:rsid w:val="6FCAF703"/>
    <w:rsid w:val="7083A938"/>
    <w:rsid w:val="716C203B"/>
    <w:rsid w:val="71D0DD1B"/>
    <w:rsid w:val="721DA0BA"/>
    <w:rsid w:val="7344D762"/>
    <w:rsid w:val="7414031E"/>
    <w:rsid w:val="74FAEB0E"/>
    <w:rsid w:val="75481CA5"/>
    <w:rsid w:val="7695422B"/>
    <w:rsid w:val="788C567F"/>
    <w:rsid w:val="78DA280D"/>
    <w:rsid w:val="7A287499"/>
    <w:rsid w:val="7A9B5E6B"/>
    <w:rsid w:val="7DCF49E4"/>
    <w:rsid w:val="7E03EE59"/>
    <w:rsid w:val="7E848301"/>
    <w:rsid w:val="7EE1B49F"/>
    <w:rsid w:val="7F55DE0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436EE"/>
  <w15:chartTrackingRefBased/>
  <w15:docId w15:val="{8EF70492-FF27-4173-9C09-0A048CFA8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bg-BG"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BEFAC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BEFAC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BEFAC2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BEFAC2A"/>
    <w:rPr>
      <w:color w:val="467886"/>
      <w:u w:val="single"/>
    </w:rPr>
  </w:style>
  <w:style w:type="character" w:styleId="Strong">
    <w:name w:val="Strong"/>
    <w:basedOn w:val="DefaultParagraphFont"/>
    <w:uiPriority w:val="22"/>
    <w:qFormat/>
    <w:rsid w:val="002D3A36"/>
    <w:rPr>
      <w:b/>
      <w:bCs/>
    </w:rPr>
  </w:style>
  <w:style w:type="character" w:styleId="Emphasis">
    <w:name w:val="Emphasis"/>
    <w:basedOn w:val="DefaultParagraphFont"/>
    <w:uiPriority w:val="20"/>
    <w:qFormat/>
    <w:rsid w:val="00266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17" TargetMode="External"/><Relationship Id="rId13" Type="http://schemas.openxmlformats.org/officeDocument/2006/relationships/hyperlink" Target="https://pubmed.ncbi.nlm.nih.gov/26076844/" TargetMode="External"/><Relationship Id="rId18" Type="http://schemas.openxmlformats.org/officeDocument/2006/relationships/hyperlink" Target="https://www.lambeth.gov.uk/adult-social-care-and-health/health-and-wellbeing/lambeth-health-profile/health-wellbeing-profile/demography?utm_source=chatgpt.com" TargetMode="External"/><Relationship Id="rId26" Type="http://schemas.openxmlformats.org/officeDocument/2006/relationships/hyperlink" Target="https://acsjournals.onlinelibrary.wiley.com/doi/full/10.3322/caac.21660" TargetMode="External"/><Relationship Id="rId3" Type="http://schemas.openxmlformats.org/officeDocument/2006/relationships/webSettings" Target="webSettings.xml"/><Relationship Id="rId21" Type="http://schemas.openxmlformats.org/officeDocument/2006/relationships/hyperlink" Target="https://digital.nhs.uk/data-and-information/publications/statistical/cancer-registration-statistics/england-2022" TargetMode="External"/><Relationship Id="rId7" Type="http://schemas.openxmlformats.org/officeDocument/2006/relationships/hyperlink" Target="https://www.mencap.org.uk/learning-disability-explained/research-and-statistics/health/health-inequalities" TargetMode="External"/><Relationship Id="rId12" Type="http://schemas.openxmlformats.org/officeDocument/2006/relationships/hyperlink" Target="https://fingertips.phe.org.uk/static-reports/health-profile-for-england/hpfe_report.html" TargetMode="External"/><Relationship Id="rId17" Type="http://schemas.openxmlformats.org/officeDocument/2006/relationships/hyperlink" Target="https://www.nature.com/articles/s41416-018-0029-6" TargetMode="External"/><Relationship Id="rId25" Type="http://schemas.openxmlformats.org/officeDocument/2006/relationships/hyperlink" Target="https://www.ceu.ox.ac.uk/research/the-million-women-study" TargetMode="External"/><Relationship Id="rId2" Type="http://schemas.openxmlformats.org/officeDocument/2006/relationships/settings" Target="settings.xml"/><Relationship Id="rId16" Type="http://schemas.openxmlformats.org/officeDocument/2006/relationships/hyperlink" Target="https://acsjournals.onlinelibrary.wiley.com/doi/full/10.3322/caac.21834" TargetMode="External"/><Relationship Id="rId20" Type="http://schemas.openxmlformats.org/officeDocument/2006/relationships/hyperlink" Target="https://www.instituteofhealthequity.org/resources-reports/marmot-review-10-years-on"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journals.sagepub.com/doi/10.1177/1745691614568352" TargetMode="External"/><Relationship Id="rId11" Type="http://schemas.openxmlformats.org/officeDocument/2006/relationships/hyperlink" Target="https://www.england.nhs.uk/learning-disabilities/improving-health/learning-from-lives-and-deaths/?utm_source=chatgpt.com" TargetMode="External"/><Relationship Id="rId24" Type="http://schemas.openxmlformats.org/officeDocument/2006/relationships/hyperlink" Target="https://www.gov.uk/government/publications/health-profile-for-england-2021" TargetMode="External"/><Relationship Id="rId5" Type="http://schemas.openxmlformats.org/officeDocument/2006/relationships/hyperlink" Target="https://www.challengingbehaviour.org.uk/wp-content/uploads/2021/06/LeDeR-bristol-annual-report-2020.pdf" TargetMode="External"/><Relationship Id="rId15" Type="http://schemas.openxmlformats.org/officeDocument/2006/relationships/hyperlink" Target="https://pubmed.ncbi.nlm.nih.gov/36084384/" TargetMode="External"/><Relationship Id="rId23" Type="http://schemas.openxmlformats.org/officeDocument/2006/relationships/hyperlink" Target="https://www.gov.uk/guidance/breast-screening-programme-overview" TargetMode="External"/><Relationship Id="rId28" Type="http://schemas.openxmlformats.org/officeDocument/2006/relationships/fontTable" Target="fontTable.xml"/><Relationship Id="rId10" Type="http://schemas.openxmlformats.org/officeDocument/2006/relationships/hyperlink" Target="https://www.england.nhs.uk/long-read/supporting-people-with-a-learning-disability-and-autistic-people-to-live-happier-healthier-longer-lives-bitesize-guide-for-local-systems/?utm_source=chatgpt.com" TargetMode="External"/><Relationship Id="rId19" Type="http://schemas.openxmlformats.org/officeDocument/2006/relationships/hyperlink" Target="https://www.macmillan.org.uk/about-us/what-we-do/research/cancer-statistics-fact-sheet" TargetMode="External"/><Relationship Id="rId4" Type="http://schemas.openxmlformats.org/officeDocument/2006/relationships/hyperlink" Target="https://www.cqc.org.uk/publication/state-care-202122/inequalities" TargetMode="External"/><Relationship Id="rId9" Type="http://schemas.openxmlformats.org/officeDocument/2006/relationships/hyperlink" Target="https://digital.nhs.uk/data-and-information/publications/statistical/health-and-care-of-people-with-learning-disabilities/experimental-statistics-2022-to-2023" TargetMode="External"/><Relationship Id="rId14" Type="http://schemas.openxmlformats.org/officeDocument/2006/relationships/hyperlink" Target="https://publications.parliament.uk/pa/cm5804/cmselect/cmwomeq/134/report.html?utm_source=chatgpt.com" TargetMode="External"/><Relationship Id="rId22" Type="http://schemas.openxmlformats.org/officeDocument/2006/relationships/hyperlink" Target="https://www.gov.uk/government/publications/breast-screening-identifying-and-reducing-inequalities" TargetMode="External"/><Relationship Id="rId27" Type="http://schemas.openxmlformats.org/officeDocument/2006/relationships/hyperlink" Target="https://www.who.int/news-room/fact-sheets/detail/breast-ca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17</Pages>
  <Words>4805</Words>
  <Characters>27390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Markova (2512936)</dc:creator>
  <cp:keywords/>
  <dc:description/>
  <cp:lastModifiedBy>Desi Markova</cp:lastModifiedBy>
  <cp:revision>2</cp:revision>
  <dcterms:created xsi:type="dcterms:W3CDTF">2026-03-03T11:39:00Z</dcterms:created>
  <dcterms:modified xsi:type="dcterms:W3CDTF">2026-03-22T20:34:00Z</dcterms:modified>
</cp:coreProperties>
</file>