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FE1E7" w14:textId="77777777" w:rsidR="00132E7E" w:rsidRPr="00E746E3" w:rsidRDefault="000E7EE7" w:rsidP="00E746E3">
      <w:pPr>
        <w:jc w:val="center"/>
        <w:rPr>
          <w:u w:val="single"/>
        </w:rPr>
      </w:pPr>
      <w:r w:rsidRPr="00E746E3">
        <w:rPr>
          <w:u w:val="single"/>
        </w:rPr>
        <w:t>Petronius, Satyricon 32 Gobbet</w:t>
      </w:r>
    </w:p>
    <w:p w14:paraId="3BEA1823" w14:textId="77777777" w:rsidR="000E7EE7" w:rsidRDefault="000E7EE7"/>
    <w:p w14:paraId="69316E58" w14:textId="77777777" w:rsidR="00E746E3" w:rsidRDefault="00E746E3"/>
    <w:p w14:paraId="28631431" w14:textId="77777777" w:rsidR="00584D00" w:rsidRDefault="00584D00" w:rsidP="00584D00"/>
    <w:p w14:paraId="3385AD54" w14:textId="26712F99" w:rsidR="00167817" w:rsidRDefault="00001B38" w:rsidP="00584D00">
      <w:r>
        <w:t xml:space="preserve">This gobbet will discuss </w:t>
      </w:r>
      <w:r w:rsidR="00E27BA2">
        <w:t xml:space="preserve">Petronius’ Satyricon 32. </w:t>
      </w:r>
      <w:r w:rsidR="005E6993">
        <w:t xml:space="preserve">The different literary devices </w:t>
      </w:r>
      <w:r w:rsidR="005B035E">
        <w:t>such as imagery, structure</w:t>
      </w:r>
      <w:r w:rsidR="00264F7C">
        <w:t xml:space="preserve">, satire will be assessed, as well as the purpose of the work. </w:t>
      </w:r>
      <w:r w:rsidR="007439C7">
        <w:t xml:space="preserve">This extract of Satyricon is predominately descriptive. </w:t>
      </w:r>
      <w:r w:rsidR="00871B87">
        <w:t>The work shines the truth on this apparently wealthy freedman</w:t>
      </w:r>
      <w:r w:rsidR="007B06FF">
        <w:t xml:space="preserve"> with its descriptions.</w:t>
      </w:r>
      <w:r w:rsidR="002607A3">
        <w:t xml:space="preserve"> Satyricon is a satire dated from the 1</w:t>
      </w:r>
      <w:r w:rsidR="002607A3" w:rsidRPr="002607A3">
        <w:rPr>
          <w:vertAlign w:val="superscript"/>
        </w:rPr>
        <w:t>st</w:t>
      </w:r>
      <w:r w:rsidR="002607A3">
        <w:t xml:space="preserve"> century AD</w:t>
      </w:r>
      <w:r w:rsidR="00F65D4C">
        <w:t xml:space="preserve">, specifically during the rule of Nero. </w:t>
      </w:r>
    </w:p>
    <w:p w14:paraId="42AB67D6" w14:textId="77777777" w:rsidR="0075379C" w:rsidRDefault="0075379C" w:rsidP="0075379C"/>
    <w:p w14:paraId="22032093" w14:textId="69B86F02" w:rsidR="0075379C" w:rsidRDefault="0075379C" w:rsidP="0075379C">
      <w:r>
        <w:t xml:space="preserve">The character was often secondary to the plot in Ancient literature. Petronius moved away from this by </w:t>
      </w:r>
      <w:r w:rsidR="006C5EC8">
        <w:t xml:space="preserve">his development of </w:t>
      </w:r>
      <w:r>
        <w:t xml:space="preserve">his characters such as Trimalchio. </w:t>
      </w:r>
      <w:r w:rsidR="001B2DD8">
        <w:t xml:space="preserve">Trimalchio is a freedman who has </w:t>
      </w:r>
      <w:r w:rsidR="009D5D58">
        <w:t>gained</w:t>
      </w:r>
      <w:r w:rsidR="000A3F0B">
        <w:t xml:space="preserve"> apparent </w:t>
      </w:r>
      <w:r w:rsidR="009D5D58">
        <w:t xml:space="preserve">great wealth after </w:t>
      </w:r>
      <w:r w:rsidR="00724683">
        <w:t xml:space="preserve">being freed from slavery </w:t>
      </w:r>
      <w:r w:rsidR="001A1CA9">
        <w:t>and wished to flaunt it as a result of his former status.</w:t>
      </w:r>
      <w:r w:rsidR="00087477">
        <w:t xml:space="preserve"> </w:t>
      </w:r>
      <w:r w:rsidR="00271DB5">
        <w:t xml:space="preserve">There is no apparent plot in </w:t>
      </w:r>
      <w:r w:rsidR="00FD6221">
        <w:t>Satyricon 32 as it is mostly describing his appearance, however it does take place during an event held by Trimalchio with other characters from Satyricon in attendance but not mentioned directly in this part</w:t>
      </w:r>
      <w:r w:rsidR="00342FDA">
        <w:rPr>
          <w:rStyle w:val="FootnoteReference"/>
        </w:rPr>
        <w:footnoteReference w:id="1"/>
      </w:r>
      <w:r w:rsidR="00FD6221">
        <w:t xml:space="preserve">. </w:t>
      </w:r>
    </w:p>
    <w:p w14:paraId="2CC63759" w14:textId="4B462B2C" w:rsidR="00167817" w:rsidRDefault="00167817" w:rsidP="0075379C"/>
    <w:p w14:paraId="4F9FEE6C" w14:textId="7C71B256" w:rsidR="00167817" w:rsidRDefault="00167817" w:rsidP="00C2575B">
      <w:r>
        <w:t>The extract takes place when Trimalchio, a freedman, hosts a dinner party to flaunt his apparent wealth. It describes in detain the clothing that Trimalchio wears as well as his adornments of rings and bangles. These adornments try further his display of wealth as they’re described as appearing to be made of precious metals like gold and other valuable materials such as ivory</w:t>
      </w:r>
      <w:r>
        <w:rPr>
          <w:rStyle w:val="FootnoteReference"/>
        </w:rPr>
        <w:footnoteReference w:id="2"/>
      </w:r>
      <w:r>
        <w:t xml:space="preserve">. All is an affectation of a rich, powerful person, however he only “appeared” rich as the gold is really fake “gilt”. He _ with “this display of wealth”. Though he thinks it is a grand parade to show himself off, in reality his company or audience is trying not to laugh at the sight of him – “a laugh escaped the unwary”. This style is appealing as the imagery clearly shows Trimalchio’s appearance, both how he wishes to be seen as well as the reality that he looks ridiculous as he unsuccessfully poses to be a rich, nobleman. This ridiculousness is shown by the description of his clothing – a “scarlet cloak”, “heavy clothes” and “a napkin with a broad stripe and fringes” over his clothes. The colour used furthers the imagery style as the scarlet cloak shows how Trimalchio looks garish and very much like the plebeian he is as he strives to appear rich. </w:t>
      </w:r>
    </w:p>
    <w:p w14:paraId="30D395B0" w14:textId="77777777" w:rsidR="00F321CA" w:rsidRDefault="00F321CA" w:rsidP="00C2575B"/>
    <w:p w14:paraId="5DF308A8" w14:textId="500A0BC2" w:rsidR="00167817" w:rsidRDefault="00167817" w:rsidP="0075379C">
      <w:r>
        <w:t xml:space="preserve">The style of writing in Satyricon 32 is especially descriptive with four long sentences solely describing Trimalchio at the event he is hosting. The second sentence is the only short one, consisting of only five words. This sentence is also the only sentence that mentions the guests at the event. The line “a laugh escaped the unwary” is the only clue we have in Satyricon 32 of how Trimalchio was perceived by others, surrounded by long descriptions of his appearance. </w:t>
      </w:r>
    </w:p>
    <w:p w14:paraId="024E11F9" w14:textId="77777777" w:rsidR="0075379C" w:rsidRDefault="0075379C" w:rsidP="0075379C"/>
    <w:p w14:paraId="6D4D8289" w14:textId="11343FDA" w:rsidR="0045673C" w:rsidRDefault="0045673C" w:rsidP="0075379C">
      <w:r>
        <w:t xml:space="preserve">The purpose of his work seems to be to entertain rather than to focus on morals which was typical in literature at the time. </w:t>
      </w:r>
      <w:r w:rsidR="007B06FF">
        <w:t xml:space="preserve">This work </w:t>
      </w:r>
      <w:r w:rsidR="00676B43">
        <w:t xml:space="preserve">attempts to entertain with descriptions of an </w:t>
      </w:r>
      <w:r w:rsidR="000617D5">
        <w:t>overeager former slave trying to appear wea</w:t>
      </w:r>
      <w:r w:rsidR="008D06EB">
        <w:t xml:space="preserve">lthy. This was likely aimed at the nobles in the court where Petronius was in attendance as it seems to denigrate </w:t>
      </w:r>
      <w:r w:rsidR="00AE4FF5">
        <w:t xml:space="preserve">up-starter lower classes </w:t>
      </w:r>
      <w:r w:rsidR="003B3ECA">
        <w:t xml:space="preserve">who aspire to wealth an status of the </w:t>
      </w:r>
      <w:r w:rsidR="00C157B5">
        <w:t>patricians</w:t>
      </w:r>
      <w:r w:rsidR="006C1BAC">
        <w:t xml:space="preserve">. </w:t>
      </w:r>
      <w:r w:rsidR="00C157B5">
        <w:t xml:space="preserve"> </w:t>
      </w:r>
      <w:r w:rsidR="008D06EB">
        <w:t xml:space="preserve"> </w:t>
      </w:r>
    </w:p>
    <w:p w14:paraId="75682B6E" w14:textId="77777777" w:rsidR="0045673C" w:rsidRDefault="0045673C" w:rsidP="0075379C"/>
    <w:p w14:paraId="7D96787C" w14:textId="7F94BBAC" w:rsidR="00361D1B" w:rsidRDefault="00D04671" w:rsidP="0075379C">
      <w:r>
        <w:t>Satyricon 32 s</w:t>
      </w:r>
      <w:r w:rsidR="00AF3DB4">
        <w:t xml:space="preserve">hows </w:t>
      </w:r>
      <w:r w:rsidR="0033635D">
        <w:t xml:space="preserve">accurately how Rome was at the time as Petronius strives to </w:t>
      </w:r>
      <w:r w:rsidR="00361D1B">
        <w:t xml:space="preserve">maintain accuracy in his writing. </w:t>
      </w:r>
      <w:r w:rsidR="001A1CA9">
        <w:t xml:space="preserve">The work </w:t>
      </w:r>
      <w:r w:rsidR="00434AE5">
        <w:t xml:space="preserve">is believed to written in the same period it was set. This period is thought to </w:t>
      </w:r>
      <w:r w:rsidR="00A85A19">
        <w:t xml:space="preserve">be during the reign of the emperor Nero in the </w:t>
      </w:r>
      <w:r w:rsidR="00F65D4C">
        <w:t>1</w:t>
      </w:r>
      <w:r w:rsidR="00F65D4C" w:rsidRPr="00F65D4C">
        <w:rPr>
          <w:vertAlign w:val="superscript"/>
        </w:rPr>
        <w:t>st</w:t>
      </w:r>
      <w:r w:rsidR="00F65D4C">
        <w:t xml:space="preserve"> </w:t>
      </w:r>
      <w:r w:rsidR="00A85A19">
        <w:t xml:space="preserve">century </w:t>
      </w:r>
      <w:r w:rsidR="00CE75C5">
        <w:t>AD</w:t>
      </w:r>
      <w:r w:rsidR="002415E4">
        <w:rPr>
          <w:rStyle w:val="FootnoteReference"/>
        </w:rPr>
        <w:footnoteReference w:id="3"/>
      </w:r>
      <w:r w:rsidR="00CE75C5">
        <w:t>.</w:t>
      </w:r>
      <w:r>
        <w:t xml:space="preserve"> The Roman Empire and the republic before it was divided between the rich patricians and the poor plebeians. </w:t>
      </w:r>
    </w:p>
    <w:p w14:paraId="5F10A5EE" w14:textId="77777777" w:rsidR="00361D1B" w:rsidRDefault="00361D1B" w:rsidP="0075379C"/>
    <w:p w14:paraId="302F9ACE" w14:textId="3C0CD7D1" w:rsidR="00AE7043" w:rsidRDefault="001C7582" w:rsidP="0075379C">
      <w:r>
        <w:t xml:space="preserve">The work is a </w:t>
      </w:r>
      <w:proofErr w:type="spellStart"/>
      <w:r>
        <w:t>Me</w:t>
      </w:r>
      <w:r w:rsidR="006C4C0C">
        <w:t>nippe</w:t>
      </w:r>
      <w:r w:rsidR="00E63CBF">
        <w:t>an</w:t>
      </w:r>
      <w:proofErr w:type="spellEnd"/>
      <w:r w:rsidR="00E63CBF">
        <w:t xml:space="preserve"> satire, as the title </w:t>
      </w:r>
      <w:r w:rsidR="00AE7043">
        <w:rPr>
          <w:i/>
        </w:rPr>
        <w:t>Satyricon</w:t>
      </w:r>
      <w:r w:rsidR="00AE7043">
        <w:t xml:space="preserve"> implies. </w:t>
      </w:r>
      <w:r w:rsidR="00277C66">
        <w:t>This extract that is satirical</w:t>
      </w:r>
      <w:r w:rsidR="00EA45FD">
        <w:t xml:space="preserve"> as it describes Trimalchio in ridiculous attire which </w:t>
      </w:r>
      <w:r w:rsidR="00713692">
        <w:t xml:space="preserve">caused the </w:t>
      </w:r>
      <w:r w:rsidR="00C40C05">
        <w:t xml:space="preserve">secondary characters in the work to laugh at him. The satire seems to be directed at the plebeians who </w:t>
      </w:r>
      <w:r w:rsidR="00066FC3">
        <w:t xml:space="preserve">were climbing the social ranks with their gained wealth. This work alludes to said plebeians like Trimalchio appearing foolish as they try to fit in with the noblemen. </w:t>
      </w:r>
    </w:p>
    <w:p w14:paraId="5468232E" w14:textId="30AB410E" w:rsidR="00AE7043" w:rsidRDefault="00AE7043" w:rsidP="0075379C"/>
    <w:p w14:paraId="34EB7C72" w14:textId="0738A1F4" w:rsidR="00A477F8" w:rsidRDefault="00A23D4C" w:rsidP="0075379C">
      <w:r>
        <w:t xml:space="preserve">To conclude, </w:t>
      </w:r>
      <w:r w:rsidR="00946733">
        <w:t xml:space="preserve">in Satyricon 32 </w:t>
      </w:r>
      <w:r>
        <w:t>P</w:t>
      </w:r>
      <w:r w:rsidR="00AE2B45">
        <w:t>etronius</w:t>
      </w:r>
      <w:r w:rsidR="00946733">
        <w:t xml:space="preserve"> uses </w:t>
      </w:r>
      <w:r w:rsidR="00930DBE">
        <w:t xml:space="preserve">several literary devices. </w:t>
      </w:r>
      <w:r w:rsidR="00213D46">
        <w:t xml:space="preserve">Imagery is </w:t>
      </w:r>
      <w:r w:rsidR="00862CAB">
        <w:t>an important device used as it describes the appearance of the only character in this section of the work. Another literary device used is the sentence structure. Long descriptive sentences are used to describe the main character in the extract, while a very short sentence mentions the background characters of the work and their view of the main character. The work was written contemporary to the author in the 1</w:t>
      </w:r>
      <w:r w:rsidR="00862CAB" w:rsidRPr="00862CAB">
        <w:rPr>
          <w:vertAlign w:val="superscript"/>
        </w:rPr>
        <w:t>st</w:t>
      </w:r>
      <w:r w:rsidR="00862CAB">
        <w:t xml:space="preserve"> century AD and shows the </w:t>
      </w:r>
      <w:r w:rsidR="001B4ECA">
        <w:t xml:space="preserve">social climate </w:t>
      </w:r>
      <w:r w:rsidR="002F7941">
        <w:t>in the period. A further literary device is that of satire</w:t>
      </w:r>
      <w:r w:rsidR="00A16BCF">
        <w:t xml:space="preserve">, making the </w:t>
      </w:r>
      <w:r w:rsidR="00DA2F8E">
        <w:t xml:space="preserve">main character of the extract </w:t>
      </w:r>
      <w:r w:rsidR="0061379A">
        <w:t xml:space="preserve">appear ridiculous to both his audience in the work and the audience reading the work. </w:t>
      </w:r>
    </w:p>
    <w:p w14:paraId="6B39EF7D" w14:textId="1B1D964A" w:rsidR="00023DA3" w:rsidRDefault="00023DA3" w:rsidP="0075379C"/>
    <w:p w14:paraId="447D8FFE" w14:textId="77777777" w:rsidR="008F6C5C" w:rsidRDefault="008F6C5C" w:rsidP="0075379C"/>
    <w:p w14:paraId="3D7E4C16" w14:textId="0C31DD77" w:rsidR="00584D00" w:rsidRDefault="00AE676A" w:rsidP="0075379C">
      <w:r>
        <w:br w:type="page"/>
      </w:r>
      <w:bookmarkStart w:id="0" w:name="_GoBack"/>
      <w:bookmarkEnd w:id="0"/>
    </w:p>
    <w:p w14:paraId="3139ADAD" w14:textId="77777777" w:rsidR="00AE676A" w:rsidRDefault="00AE676A" w:rsidP="00AE676A">
      <w:r>
        <w:lastRenderedPageBreak/>
        <w:t>Bibliography:</w:t>
      </w:r>
    </w:p>
    <w:p w14:paraId="0735B987" w14:textId="77777777" w:rsidR="00233A64" w:rsidRDefault="00233A64" w:rsidP="00AE676A"/>
    <w:p w14:paraId="3395F255" w14:textId="77777777" w:rsidR="00AB1BFA" w:rsidRDefault="00AB1BFA" w:rsidP="00AE676A"/>
    <w:p w14:paraId="53A4368F" w14:textId="1285FA87" w:rsidR="00050520" w:rsidRPr="00754FE8" w:rsidRDefault="00943ACE" w:rsidP="00943ACE">
      <w:pPr>
        <w:pStyle w:val="FootnoteText"/>
        <w:rPr>
          <w:sz w:val="22"/>
          <w:szCs w:val="22"/>
        </w:rPr>
      </w:pPr>
      <w:r w:rsidRPr="00754FE8">
        <w:rPr>
          <w:sz w:val="22"/>
          <w:szCs w:val="22"/>
        </w:rPr>
        <w:t xml:space="preserve">Browning, R (May 1949). "The Date of Petronius". Classical Quarterly. 63 (1): 12–14. [online] </w:t>
      </w:r>
      <w:hyperlink r:id="rId7" w:history="1">
        <w:r w:rsidRPr="00754FE8">
          <w:rPr>
            <w:rStyle w:val="Hyperlink"/>
            <w:sz w:val="22"/>
            <w:szCs w:val="22"/>
          </w:rPr>
          <w:t>https://doi.org/10.1017/S0009840X00094270Published</w:t>
        </w:r>
      </w:hyperlink>
      <w:r w:rsidRPr="00754FE8">
        <w:rPr>
          <w:sz w:val="22"/>
          <w:szCs w:val="22"/>
        </w:rPr>
        <w:t xml:space="preserve"> </w:t>
      </w:r>
      <w:r w:rsidR="00075914">
        <w:rPr>
          <w:sz w:val="22"/>
          <w:szCs w:val="22"/>
        </w:rPr>
        <w:t xml:space="preserve">Accessed: December </w:t>
      </w:r>
      <w:r w:rsidR="00152381">
        <w:rPr>
          <w:sz w:val="22"/>
          <w:szCs w:val="22"/>
        </w:rPr>
        <w:t>19, 2018.</w:t>
      </w:r>
    </w:p>
    <w:p w14:paraId="7AB745AA" w14:textId="77777777" w:rsidR="00F3727C" w:rsidRPr="00754FE8" w:rsidRDefault="00F3727C" w:rsidP="00792FC2">
      <w:pPr>
        <w:pStyle w:val="FootnoteText"/>
        <w:rPr>
          <w:sz w:val="22"/>
          <w:szCs w:val="22"/>
        </w:rPr>
      </w:pPr>
    </w:p>
    <w:p w14:paraId="63F88D48" w14:textId="77777777" w:rsidR="00F3727C" w:rsidRPr="006534E8" w:rsidRDefault="00F3727C" w:rsidP="00792FC2">
      <w:pPr>
        <w:pStyle w:val="p1"/>
        <w:rPr>
          <w:rFonts w:asciiTheme="minorHAnsi" w:hAnsiTheme="minorHAnsi"/>
          <w:i/>
          <w:sz w:val="22"/>
          <w:szCs w:val="22"/>
        </w:rPr>
      </w:pPr>
      <w:proofErr w:type="spellStart"/>
      <w:r w:rsidRPr="00EA6E40">
        <w:rPr>
          <w:rFonts w:asciiTheme="minorHAnsi" w:hAnsiTheme="minorHAnsi"/>
          <w:sz w:val="22"/>
          <w:szCs w:val="22"/>
        </w:rPr>
        <w:t>Kenney</w:t>
      </w:r>
      <w:proofErr w:type="spellEnd"/>
      <w:r>
        <w:rPr>
          <w:rFonts w:asciiTheme="minorHAnsi" w:hAnsiTheme="minorHAnsi"/>
          <w:sz w:val="22"/>
          <w:szCs w:val="22"/>
        </w:rPr>
        <w:t xml:space="preserve">, E. J.,  </w:t>
      </w:r>
      <w:r>
        <w:rPr>
          <w:rFonts w:asciiTheme="minorHAnsi" w:hAnsiTheme="minorHAnsi"/>
          <w:i/>
          <w:sz w:val="22"/>
          <w:szCs w:val="22"/>
        </w:rPr>
        <w:t>‘</w:t>
      </w:r>
      <w:r w:rsidRPr="00275919">
        <w:rPr>
          <w:rFonts w:asciiTheme="minorHAnsi" w:hAnsiTheme="minorHAnsi"/>
          <w:i/>
          <w:sz w:val="22"/>
          <w:szCs w:val="22"/>
        </w:rPr>
        <w:t>Gaius Petronius Arbiter</w:t>
      </w:r>
      <w:r>
        <w:rPr>
          <w:rFonts w:asciiTheme="minorHAnsi" w:hAnsiTheme="minorHAnsi"/>
          <w:i/>
          <w:sz w:val="22"/>
          <w:szCs w:val="22"/>
        </w:rPr>
        <w:t xml:space="preserve">’. </w:t>
      </w:r>
      <w:proofErr w:type="spellStart"/>
      <w:r w:rsidRPr="00EA6E40">
        <w:rPr>
          <w:rFonts w:asciiTheme="minorHAnsi" w:hAnsiTheme="minorHAnsi"/>
          <w:sz w:val="22"/>
          <w:szCs w:val="22"/>
        </w:rPr>
        <w:t>Encyclopædia</w:t>
      </w:r>
      <w:proofErr w:type="spellEnd"/>
      <w:r w:rsidRPr="00EA6E40">
        <w:rPr>
          <w:rFonts w:asciiTheme="minorHAnsi" w:hAnsiTheme="minorHAnsi"/>
          <w:sz w:val="22"/>
          <w:szCs w:val="22"/>
        </w:rPr>
        <w:t xml:space="preserve"> Britannica</w:t>
      </w:r>
      <w:r>
        <w:rPr>
          <w:rFonts w:asciiTheme="minorHAnsi" w:hAnsiTheme="minorHAnsi"/>
          <w:sz w:val="22"/>
          <w:szCs w:val="22"/>
        </w:rPr>
        <w:t xml:space="preserve">, </w:t>
      </w:r>
      <w:proofErr w:type="spellStart"/>
      <w:r w:rsidRPr="00EA6E40">
        <w:rPr>
          <w:rFonts w:asciiTheme="minorHAnsi" w:hAnsiTheme="minorHAnsi"/>
          <w:sz w:val="22"/>
          <w:szCs w:val="22"/>
        </w:rPr>
        <w:t>Encyclopædia</w:t>
      </w:r>
      <w:proofErr w:type="spellEnd"/>
      <w:r w:rsidRPr="00EA6E40">
        <w:rPr>
          <w:rFonts w:asciiTheme="minorHAnsi" w:hAnsiTheme="minorHAnsi"/>
          <w:sz w:val="22"/>
          <w:szCs w:val="22"/>
        </w:rPr>
        <w:t xml:space="preserve"> Britannica, inc.</w:t>
      </w:r>
      <w:r>
        <w:rPr>
          <w:rFonts w:asciiTheme="minorHAnsi" w:hAnsiTheme="minorHAnsi"/>
          <w:sz w:val="22"/>
          <w:szCs w:val="22"/>
        </w:rPr>
        <w:t xml:space="preserve"> (</w:t>
      </w:r>
      <w:r w:rsidRPr="00EA6E40">
        <w:rPr>
          <w:rFonts w:asciiTheme="minorHAnsi" w:hAnsiTheme="minorHAnsi"/>
          <w:sz w:val="22"/>
          <w:szCs w:val="22"/>
        </w:rPr>
        <w:t>May 26, 2015</w:t>
      </w:r>
      <w:r>
        <w:rPr>
          <w:rFonts w:asciiTheme="minorHAnsi" w:hAnsiTheme="minorHAnsi"/>
          <w:sz w:val="22"/>
          <w:szCs w:val="22"/>
        </w:rPr>
        <w:t xml:space="preserve">) [online] </w:t>
      </w:r>
      <w:r w:rsidRPr="00EA6E40">
        <w:rPr>
          <w:rFonts w:asciiTheme="minorHAnsi" w:hAnsiTheme="minorHAnsi"/>
          <w:sz w:val="22"/>
          <w:szCs w:val="22"/>
        </w:rPr>
        <w:t>https://www.britannica.com/biography/Gaius-Petronius-Arbiter</w:t>
      </w:r>
      <w:r>
        <w:rPr>
          <w:rFonts w:asciiTheme="minorHAnsi" w:hAnsiTheme="minorHAnsi"/>
          <w:sz w:val="22"/>
          <w:szCs w:val="22"/>
        </w:rPr>
        <w:t xml:space="preserve"> </w:t>
      </w:r>
    </w:p>
    <w:p w14:paraId="5150ED2E" w14:textId="38E8CE4E" w:rsidR="00F3727C" w:rsidRPr="006534E8" w:rsidRDefault="00F3727C" w:rsidP="00792FC2">
      <w:pPr>
        <w:pStyle w:val="p1"/>
        <w:rPr>
          <w:rFonts w:asciiTheme="minorHAnsi" w:hAnsiTheme="minorHAnsi"/>
          <w:sz w:val="22"/>
          <w:szCs w:val="22"/>
        </w:rPr>
      </w:pPr>
      <w:r w:rsidRPr="00EA6E40">
        <w:rPr>
          <w:rFonts w:asciiTheme="minorHAnsi" w:hAnsiTheme="minorHAnsi"/>
          <w:sz w:val="22"/>
          <w:szCs w:val="22"/>
        </w:rPr>
        <w:t>Access</w:t>
      </w:r>
      <w:r>
        <w:rPr>
          <w:rFonts w:asciiTheme="minorHAnsi" w:hAnsiTheme="minorHAnsi"/>
          <w:sz w:val="22"/>
          <w:szCs w:val="22"/>
        </w:rPr>
        <w:t xml:space="preserve">ed: </w:t>
      </w:r>
      <w:r w:rsidRPr="00EA6E40">
        <w:rPr>
          <w:rFonts w:asciiTheme="minorHAnsi" w:hAnsiTheme="minorHAnsi"/>
          <w:sz w:val="22"/>
          <w:szCs w:val="22"/>
        </w:rPr>
        <w:t>December</w:t>
      </w:r>
      <w:r w:rsidR="00075914">
        <w:rPr>
          <w:rFonts w:asciiTheme="minorHAnsi" w:hAnsiTheme="minorHAnsi"/>
          <w:sz w:val="22"/>
          <w:szCs w:val="22"/>
        </w:rPr>
        <w:t xml:space="preserve"> 17</w:t>
      </w:r>
      <w:r w:rsidRPr="00EA6E40">
        <w:rPr>
          <w:rFonts w:asciiTheme="minorHAnsi" w:hAnsiTheme="minorHAnsi"/>
          <w:sz w:val="22"/>
          <w:szCs w:val="22"/>
        </w:rPr>
        <w:t>, 2018</w:t>
      </w:r>
      <w:r w:rsidR="00152381">
        <w:rPr>
          <w:rFonts w:asciiTheme="minorHAnsi" w:hAnsiTheme="minorHAnsi"/>
          <w:sz w:val="22"/>
          <w:szCs w:val="22"/>
        </w:rPr>
        <w:t>.</w:t>
      </w:r>
    </w:p>
    <w:p w14:paraId="3CBFB51C" w14:textId="28A7D860" w:rsidR="00FF4A77" w:rsidRDefault="00FF4A77" w:rsidP="00943ACE">
      <w:pPr>
        <w:pStyle w:val="FootnoteText"/>
      </w:pPr>
    </w:p>
    <w:p w14:paraId="4A24AC79" w14:textId="331C033F" w:rsidR="00F3727C" w:rsidRDefault="00F3727C" w:rsidP="00F3727C">
      <w:r w:rsidRPr="00FF24D1">
        <w:t xml:space="preserve">Petronius, Seneca. Satyricon. </w:t>
      </w:r>
      <w:proofErr w:type="spellStart"/>
      <w:r w:rsidRPr="00FF24D1">
        <w:t>Apocolocyntosis</w:t>
      </w:r>
      <w:proofErr w:type="spellEnd"/>
      <w:r w:rsidRPr="00FF24D1">
        <w:t xml:space="preserve">. Translated by Michael </w:t>
      </w:r>
      <w:proofErr w:type="spellStart"/>
      <w:r w:rsidRPr="00FF24D1">
        <w:t>Heseltine</w:t>
      </w:r>
      <w:proofErr w:type="spellEnd"/>
      <w:r w:rsidRPr="00FF24D1">
        <w:t xml:space="preserve">, W. H. D. Rouse. Revised by E. H. </w:t>
      </w:r>
      <w:proofErr w:type="spellStart"/>
      <w:r w:rsidRPr="00FF24D1">
        <w:t>Warmington</w:t>
      </w:r>
      <w:proofErr w:type="spellEnd"/>
      <w:r w:rsidRPr="00FF24D1">
        <w:t>. Loeb Classical Library 15. Cambridge, MA: Harvard University Press, 1913.</w:t>
      </w:r>
    </w:p>
    <w:p w14:paraId="6972F894" w14:textId="77777777" w:rsidR="00F3727C" w:rsidRDefault="00F3727C" w:rsidP="00943ACE">
      <w:pPr>
        <w:pStyle w:val="FootnoteText"/>
      </w:pPr>
    </w:p>
    <w:p w14:paraId="421743F9" w14:textId="5E189DAE" w:rsidR="00050520" w:rsidRPr="00754FE8" w:rsidRDefault="00050520" w:rsidP="00943ACE">
      <w:pPr>
        <w:pStyle w:val="FootnoteText"/>
        <w:rPr>
          <w:sz w:val="22"/>
          <w:szCs w:val="22"/>
        </w:rPr>
      </w:pPr>
      <w:r w:rsidRPr="00754FE8">
        <w:rPr>
          <w:sz w:val="22"/>
          <w:szCs w:val="22"/>
        </w:rPr>
        <w:t xml:space="preserve">Rowell, Henry T. “The Gladiator </w:t>
      </w:r>
      <w:proofErr w:type="spellStart"/>
      <w:r w:rsidRPr="00754FE8">
        <w:rPr>
          <w:sz w:val="22"/>
          <w:szCs w:val="22"/>
        </w:rPr>
        <w:t>Petraites</w:t>
      </w:r>
      <w:proofErr w:type="spellEnd"/>
      <w:r w:rsidRPr="00754FE8">
        <w:rPr>
          <w:sz w:val="22"/>
          <w:szCs w:val="22"/>
        </w:rPr>
        <w:t xml:space="preserve"> and the Date of the Satyricon.” Transactions and Proceedings of the American Philological Association, vol. 89, 1958, pp. 14–24. JSTOR, JSTOR, </w:t>
      </w:r>
      <w:hyperlink r:id="rId8" w:history="1">
        <w:r w:rsidRPr="00754FE8">
          <w:rPr>
            <w:rStyle w:val="Hyperlink"/>
            <w:sz w:val="22"/>
            <w:szCs w:val="22"/>
          </w:rPr>
          <w:t>www.jstor.org/stable/283660</w:t>
        </w:r>
      </w:hyperlink>
      <w:r w:rsidRPr="00754FE8">
        <w:rPr>
          <w:sz w:val="22"/>
          <w:szCs w:val="22"/>
        </w:rPr>
        <w:t xml:space="preserve">. </w:t>
      </w:r>
      <w:r w:rsidR="00152381">
        <w:rPr>
          <w:sz w:val="22"/>
          <w:szCs w:val="22"/>
        </w:rPr>
        <w:t xml:space="preserve">Accessed: December </w:t>
      </w:r>
      <w:r w:rsidR="00286FE0">
        <w:rPr>
          <w:sz w:val="22"/>
          <w:szCs w:val="22"/>
        </w:rPr>
        <w:t>16, 2018.</w:t>
      </w:r>
    </w:p>
    <w:sectPr w:rsidR="00050520" w:rsidRPr="00754F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F4135" w14:textId="77777777" w:rsidR="006202EC" w:rsidRDefault="006202EC" w:rsidP="00DC2DAA">
      <w:r>
        <w:separator/>
      </w:r>
    </w:p>
  </w:endnote>
  <w:endnote w:type="continuationSeparator" w:id="0">
    <w:p w14:paraId="11FB9E1B" w14:textId="77777777" w:rsidR="006202EC" w:rsidRDefault="006202EC" w:rsidP="00DC2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802088" w14:textId="77777777" w:rsidR="006202EC" w:rsidRDefault="006202EC" w:rsidP="00DC2DAA">
      <w:r>
        <w:separator/>
      </w:r>
    </w:p>
  </w:footnote>
  <w:footnote w:type="continuationSeparator" w:id="0">
    <w:p w14:paraId="5B8578A7" w14:textId="77777777" w:rsidR="006202EC" w:rsidRDefault="006202EC" w:rsidP="00DC2DAA">
      <w:r>
        <w:continuationSeparator/>
      </w:r>
    </w:p>
  </w:footnote>
  <w:footnote w:id="1">
    <w:p w14:paraId="63878E78" w14:textId="4BF87FC7" w:rsidR="00342FDA" w:rsidRPr="00077386" w:rsidRDefault="00342FDA" w:rsidP="00065845">
      <w:pPr>
        <w:pStyle w:val="p1"/>
        <w:divId w:val="280039202"/>
        <w:rPr>
          <w:rFonts w:asciiTheme="minorHAnsi" w:hAnsiTheme="minorHAnsi"/>
          <w:i/>
          <w:sz w:val="22"/>
          <w:szCs w:val="22"/>
        </w:rPr>
      </w:pPr>
      <w:r>
        <w:rPr>
          <w:rStyle w:val="FootnoteReference"/>
        </w:rPr>
        <w:footnoteRef/>
      </w:r>
      <w:r>
        <w:t xml:space="preserve"> </w:t>
      </w:r>
      <w:proofErr w:type="spellStart"/>
      <w:r w:rsidR="00EA6E40" w:rsidRPr="00EA6E40">
        <w:rPr>
          <w:rFonts w:asciiTheme="minorHAnsi" w:hAnsiTheme="minorHAnsi"/>
          <w:sz w:val="22"/>
          <w:szCs w:val="22"/>
        </w:rPr>
        <w:t>Kenney</w:t>
      </w:r>
      <w:proofErr w:type="spellEnd"/>
      <w:r w:rsidR="009C56FE">
        <w:rPr>
          <w:rFonts w:asciiTheme="minorHAnsi" w:hAnsiTheme="minorHAnsi"/>
          <w:sz w:val="22"/>
          <w:szCs w:val="22"/>
        </w:rPr>
        <w:t xml:space="preserve">, E. J., </w:t>
      </w:r>
      <w:r w:rsidR="00275919">
        <w:rPr>
          <w:rFonts w:asciiTheme="minorHAnsi" w:hAnsiTheme="minorHAnsi"/>
          <w:sz w:val="22"/>
          <w:szCs w:val="22"/>
        </w:rPr>
        <w:t xml:space="preserve"> </w:t>
      </w:r>
      <w:r w:rsidR="00275919">
        <w:rPr>
          <w:rFonts w:asciiTheme="minorHAnsi" w:hAnsiTheme="minorHAnsi"/>
          <w:i/>
          <w:sz w:val="22"/>
          <w:szCs w:val="22"/>
        </w:rPr>
        <w:t>‘</w:t>
      </w:r>
      <w:r w:rsidR="00EA6E40" w:rsidRPr="00275919">
        <w:rPr>
          <w:rFonts w:asciiTheme="minorHAnsi" w:hAnsiTheme="minorHAnsi"/>
          <w:i/>
          <w:sz w:val="22"/>
          <w:szCs w:val="22"/>
        </w:rPr>
        <w:t>Gaius Petronius Arbiter</w:t>
      </w:r>
      <w:r w:rsidR="00275919">
        <w:rPr>
          <w:rFonts w:asciiTheme="minorHAnsi" w:hAnsiTheme="minorHAnsi"/>
          <w:i/>
          <w:sz w:val="22"/>
          <w:szCs w:val="22"/>
        </w:rPr>
        <w:t>’</w:t>
      </w:r>
      <w:r w:rsidR="006534E8">
        <w:rPr>
          <w:rFonts w:asciiTheme="minorHAnsi" w:hAnsiTheme="minorHAnsi"/>
          <w:i/>
          <w:sz w:val="22"/>
          <w:szCs w:val="22"/>
        </w:rPr>
        <w:t xml:space="preserve">. </w:t>
      </w:r>
      <w:proofErr w:type="spellStart"/>
      <w:r w:rsidR="00EA6E40" w:rsidRPr="00EA6E40">
        <w:rPr>
          <w:rFonts w:asciiTheme="minorHAnsi" w:hAnsiTheme="minorHAnsi"/>
          <w:sz w:val="22"/>
          <w:szCs w:val="22"/>
        </w:rPr>
        <w:t>Encyclopædia</w:t>
      </w:r>
      <w:proofErr w:type="spellEnd"/>
      <w:r w:rsidR="00EA6E40" w:rsidRPr="00EA6E40">
        <w:rPr>
          <w:rFonts w:asciiTheme="minorHAnsi" w:hAnsiTheme="minorHAnsi"/>
          <w:sz w:val="22"/>
          <w:szCs w:val="22"/>
        </w:rPr>
        <w:t xml:space="preserve"> Britannica</w:t>
      </w:r>
      <w:r w:rsidR="006534E8">
        <w:rPr>
          <w:rFonts w:asciiTheme="minorHAnsi" w:hAnsiTheme="minorHAnsi"/>
          <w:sz w:val="22"/>
          <w:szCs w:val="22"/>
        </w:rPr>
        <w:t xml:space="preserve">, </w:t>
      </w:r>
      <w:proofErr w:type="spellStart"/>
      <w:r w:rsidR="00EA6E40" w:rsidRPr="00EA6E40">
        <w:rPr>
          <w:rFonts w:asciiTheme="minorHAnsi" w:hAnsiTheme="minorHAnsi"/>
          <w:sz w:val="22"/>
          <w:szCs w:val="22"/>
        </w:rPr>
        <w:t>Encyclopædia</w:t>
      </w:r>
      <w:proofErr w:type="spellEnd"/>
      <w:r w:rsidR="00EA6E40" w:rsidRPr="00EA6E40">
        <w:rPr>
          <w:rFonts w:asciiTheme="minorHAnsi" w:hAnsiTheme="minorHAnsi"/>
          <w:sz w:val="22"/>
          <w:szCs w:val="22"/>
        </w:rPr>
        <w:t xml:space="preserve"> Britannica, inc.</w:t>
      </w:r>
      <w:r w:rsidR="00940886">
        <w:rPr>
          <w:rFonts w:asciiTheme="minorHAnsi" w:hAnsiTheme="minorHAnsi"/>
          <w:sz w:val="22"/>
          <w:szCs w:val="22"/>
        </w:rPr>
        <w:t xml:space="preserve"> (</w:t>
      </w:r>
      <w:r w:rsidR="00EA6E40" w:rsidRPr="00EA6E40">
        <w:rPr>
          <w:rFonts w:asciiTheme="minorHAnsi" w:hAnsiTheme="minorHAnsi"/>
          <w:sz w:val="22"/>
          <w:szCs w:val="22"/>
        </w:rPr>
        <w:t>May 26, 2015</w:t>
      </w:r>
      <w:r w:rsidR="00940886">
        <w:rPr>
          <w:rFonts w:asciiTheme="minorHAnsi" w:hAnsiTheme="minorHAnsi"/>
          <w:sz w:val="22"/>
          <w:szCs w:val="22"/>
        </w:rPr>
        <w:t xml:space="preserve">) [online] </w:t>
      </w:r>
      <w:r w:rsidR="00EA6E40" w:rsidRPr="00EA6E40">
        <w:rPr>
          <w:rFonts w:asciiTheme="minorHAnsi" w:hAnsiTheme="minorHAnsi"/>
          <w:sz w:val="22"/>
          <w:szCs w:val="22"/>
        </w:rPr>
        <w:t>https://www.britannica.com/biography/Gaius-Petronius-Arbiter</w:t>
      </w:r>
    </w:p>
  </w:footnote>
  <w:footnote w:id="2">
    <w:p w14:paraId="6B7C419E" w14:textId="77777777" w:rsidR="00167817" w:rsidRDefault="00167817">
      <w:pPr>
        <w:pStyle w:val="FootnoteText"/>
      </w:pPr>
      <w:r>
        <w:rPr>
          <w:rStyle w:val="FootnoteReference"/>
        </w:rPr>
        <w:footnoteRef/>
      </w:r>
      <w:r>
        <w:t xml:space="preserve"> Petr. 32.</w:t>
      </w:r>
    </w:p>
  </w:footnote>
  <w:footnote w:id="3">
    <w:p w14:paraId="560BF101" w14:textId="293EF7CA" w:rsidR="002415E4" w:rsidRPr="00754FE8" w:rsidRDefault="002415E4">
      <w:pPr>
        <w:pStyle w:val="FootnoteText"/>
        <w:rPr>
          <w:sz w:val="22"/>
          <w:szCs w:val="22"/>
        </w:rPr>
      </w:pPr>
      <w:r>
        <w:rPr>
          <w:rStyle w:val="FootnoteReference"/>
        </w:rPr>
        <w:footnoteRef/>
      </w:r>
      <w:r>
        <w:t xml:space="preserve"> </w:t>
      </w:r>
      <w:r w:rsidRPr="00754FE8">
        <w:rPr>
          <w:sz w:val="22"/>
          <w:szCs w:val="22"/>
        </w:rPr>
        <w:t>Browning, R (May 1949). "The Date of Petronius". Classical</w:t>
      </w:r>
      <w:r w:rsidR="00434BCD" w:rsidRPr="00754FE8">
        <w:rPr>
          <w:sz w:val="22"/>
          <w:szCs w:val="22"/>
        </w:rPr>
        <w:t xml:space="preserve"> Quarterly. 63 (1): 12–14.</w:t>
      </w:r>
      <w:r w:rsidR="003E74DB" w:rsidRPr="00754FE8">
        <w:rPr>
          <w:sz w:val="22"/>
          <w:szCs w:val="22"/>
        </w:rPr>
        <w:t xml:space="preserve"> [online]</w:t>
      </w:r>
      <w:r w:rsidR="00250DEE" w:rsidRPr="00754FE8">
        <w:rPr>
          <w:sz w:val="22"/>
          <w:szCs w:val="22"/>
        </w:rPr>
        <w:t xml:space="preserve"> </w:t>
      </w:r>
      <w:hyperlink r:id="rId1" w:history="1">
        <w:r w:rsidR="00250DEE" w:rsidRPr="00754FE8">
          <w:rPr>
            <w:rStyle w:val="Hyperlink"/>
            <w:sz w:val="22"/>
            <w:szCs w:val="22"/>
          </w:rPr>
          <w:t>https://doi.org/10.1017/S0009840X00094270Published</w:t>
        </w:r>
      </w:hyperlink>
      <w:r w:rsidR="00250DEE" w:rsidRPr="00754FE8">
        <w:rPr>
          <w:sz w:val="22"/>
          <w:szCs w:val="22"/>
        </w:rPr>
        <w:t xml:space="preserve"> </w:t>
      </w:r>
    </w:p>
    <w:p w14:paraId="6FB4D7E5" w14:textId="02C40DF1" w:rsidR="00D82C2B" w:rsidRPr="00754FE8" w:rsidRDefault="00FF4A77">
      <w:pPr>
        <w:pStyle w:val="FootnoteText"/>
        <w:rPr>
          <w:sz w:val="22"/>
          <w:szCs w:val="22"/>
        </w:rPr>
      </w:pPr>
      <w:r w:rsidRPr="00754FE8">
        <w:rPr>
          <w:sz w:val="22"/>
          <w:szCs w:val="22"/>
        </w:rPr>
        <w:t xml:space="preserve">Rowell, Henry T. “The Gladiator </w:t>
      </w:r>
      <w:proofErr w:type="spellStart"/>
      <w:r w:rsidRPr="00754FE8">
        <w:rPr>
          <w:sz w:val="22"/>
          <w:szCs w:val="22"/>
        </w:rPr>
        <w:t>Petraites</w:t>
      </w:r>
      <w:proofErr w:type="spellEnd"/>
      <w:r w:rsidRPr="00754FE8">
        <w:rPr>
          <w:sz w:val="22"/>
          <w:szCs w:val="22"/>
        </w:rPr>
        <w:t xml:space="preserve"> and the Date of the Satyricon.” Transactions and Proceedings of the American Philological Association, vol. 89, 1958, pp. 14–24. JSTOR, JSTOR, </w:t>
      </w:r>
      <w:hyperlink r:id="rId2" w:history="1">
        <w:r w:rsidRPr="00754FE8">
          <w:rPr>
            <w:rStyle w:val="Hyperlink"/>
            <w:sz w:val="22"/>
            <w:szCs w:val="22"/>
          </w:rPr>
          <w:t>www.jstor.org/stable/283660</w:t>
        </w:r>
      </w:hyperlink>
      <w:r w:rsidRPr="00754FE8">
        <w:rPr>
          <w:sz w:val="22"/>
          <w:szCs w:val="2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E9720B"/>
    <w:multiLevelType w:val="hybridMultilevel"/>
    <w:tmpl w:val="B5389F02"/>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E55384"/>
    <w:multiLevelType w:val="hybridMultilevel"/>
    <w:tmpl w:val="58CE4906"/>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E7E"/>
    <w:rsid w:val="00001B38"/>
    <w:rsid w:val="00023DA3"/>
    <w:rsid w:val="00041B25"/>
    <w:rsid w:val="00050520"/>
    <w:rsid w:val="000617D5"/>
    <w:rsid w:val="00065845"/>
    <w:rsid w:val="00066FC3"/>
    <w:rsid w:val="00074BE3"/>
    <w:rsid w:val="00075914"/>
    <w:rsid w:val="00077386"/>
    <w:rsid w:val="00087477"/>
    <w:rsid w:val="000A3F0B"/>
    <w:rsid w:val="000E7EE7"/>
    <w:rsid w:val="00132E7E"/>
    <w:rsid w:val="00152381"/>
    <w:rsid w:val="00167817"/>
    <w:rsid w:val="001A1CA9"/>
    <w:rsid w:val="001B2DD8"/>
    <w:rsid w:val="001B4ECA"/>
    <w:rsid w:val="001C7582"/>
    <w:rsid w:val="001D54F9"/>
    <w:rsid w:val="00213D46"/>
    <w:rsid w:val="00233A64"/>
    <w:rsid w:val="002415E4"/>
    <w:rsid w:val="00250DEE"/>
    <w:rsid w:val="002607A3"/>
    <w:rsid w:val="00261635"/>
    <w:rsid w:val="00264F7C"/>
    <w:rsid w:val="00271DB5"/>
    <w:rsid w:val="00275919"/>
    <w:rsid w:val="00277C66"/>
    <w:rsid w:val="00281130"/>
    <w:rsid w:val="00286FE0"/>
    <w:rsid w:val="002C296C"/>
    <w:rsid w:val="002F7941"/>
    <w:rsid w:val="0033635D"/>
    <w:rsid w:val="00342FDA"/>
    <w:rsid w:val="00361D1B"/>
    <w:rsid w:val="00375C5B"/>
    <w:rsid w:val="003A49EC"/>
    <w:rsid w:val="003B3ECA"/>
    <w:rsid w:val="003C0F03"/>
    <w:rsid w:val="003E74DB"/>
    <w:rsid w:val="0041025E"/>
    <w:rsid w:val="00430E41"/>
    <w:rsid w:val="00434AE5"/>
    <w:rsid w:val="00434BCD"/>
    <w:rsid w:val="004541A8"/>
    <w:rsid w:val="0045673C"/>
    <w:rsid w:val="004638A9"/>
    <w:rsid w:val="00476EA1"/>
    <w:rsid w:val="004E3EE7"/>
    <w:rsid w:val="00507D23"/>
    <w:rsid w:val="00584D00"/>
    <w:rsid w:val="005B035E"/>
    <w:rsid w:val="005B37DD"/>
    <w:rsid w:val="005E6993"/>
    <w:rsid w:val="0061379A"/>
    <w:rsid w:val="006202EC"/>
    <w:rsid w:val="006534E8"/>
    <w:rsid w:val="00676B43"/>
    <w:rsid w:val="006A1B5C"/>
    <w:rsid w:val="006C1BAC"/>
    <w:rsid w:val="006C4C0C"/>
    <w:rsid w:val="006C5EC8"/>
    <w:rsid w:val="006E58DB"/>
    <w:rsid w:val="006F2529"/>
    <w:rsid w:val="00713692"/>
    <w:rsid w:val="00724683"/>
    <w:rsid w:val="007439C7"/>
    <w:rsid w:val="0075379C"/>
    <w:rsid w:val="00754FE8"/>
    <w:rsid w:val="00770464"/>
    <w:rsid w:val="007B06FF"/>
    <w:rsid w:val="007D2371"/>
    <w:rsid w:val="007E1DDB"/>
    <w:rsid w:val="00862CAB"/>
    <w:rsid w:val="00871B87"/>
    <w:rsid w:val="00874E15"/>
    <w:rsid w:val="008825A9"/>
    <w:rsid w:val="008D06EB"/>
    <w:rsid w:val="008E5459"/>
    <w:rsid w:val="008F6C5C"/>
    <w:rsid w:val="00930DBE"/>
    <w:rsid w:val="00940886"/>
    <w:rsid w:val="00943ACE"/>
    <w:rsid w:val="00946733"/>
    <w:rsid w:val="00991889"/>
    <w:rsid w:val="009A47E2"/>
    <w:rsid w:val="009C56FE"/>
    <w:rsid w:val="009D5D58"/>
    <w:rsid w:val="009E4EF9"/>
    <w:rsid w:val="00A16BCF"/>
    <w:rsid w:val="00A23D4C"/>
    <w:rsid w:val="00A477F8"/>
    <w:rsid w:val="00A53B8C"/>
    <w:rsid w:val="00A85A19"/>
    <w:rsid w:val="00AB1BFA"/>
    <w:rsid w:val="00AD1F5A"/>
    <w:rsid w:val="00AE2B45"/>
    <w:rsid w:val="00AE4FF5"/>
    <w:rsid w:val="00AE676A"/>
    <w:rsid w:val="00AE7043"/>
    <w:rsid w:val="00AF3DB4"/>
    <w:rsid w:val="00B076EC"/>
    <w:rsid w:val="00B36F99"/>
    <w:rsid w:val="00B80B78"/>
    <w:rsid w:val="00BD31EF"/>
    <w:rsid w:val="00C12837"/>
    <w:rsid w:val="00C157B5"/>
    <w:rsid w:val="00C40C05"/>
    <w:rsid w:val="00C43FC0"/>
    <w:rsid w:val="00C87371"/>
    <w:rsid w:val="00CA044B"/>
    <w:rsid w:val="00CB39B0"/>
    <w:rsid w:val="00CE75C5"/>
    <w:rsid w:val="00D04671"/>
    <w:rsid w:val="00D625FC"/>
    <w:rsid w:val="00D82C2B"/>
    <w:rsid w:val="00D82F64"/>
    <w:rsid w:val="00DA1FB2"/>
    <w:rsid w:val="00DA2F8E"/>
    <w:rsid w:val="00DC2DAA"/>
    <w:rsid w:val="00DD1B86"/>
    <w:rsid w:val="00E24670"/>
    <w:rsid w:val="00E27BA2"/>
    <w:rsid w:val="00E4059C"/>
    <w:rsid w:val="00E47398"/>
    <w:rsid w:val="00E56E51"/>
    <w:rsid w:val="00E63CBF"/>
    <w:rsid w:val="00E746E3"/>
    <w:rsid w:val="00E77827"/>
    <w:rsid w:val="00EA45FD"/>
    <w:rsid w:val="00EA5D71"/>
    <w:rsid w:val="00EA6E40"/>
    <w:rsid w:val="00F128D2"/>
    <w:rsid w:val="00F321CA"/>
    <w:rsid w:val="00F3727C"/>
    <w:rsid w:val="00F65D4C"/>
    <w:rsid w:val="00F664FB"/>
    <w:rsid w:val="00FB1FA4"/>
    <w:rsid w:val="00FD05E4"/>
    <w:rsid w:val="00FD342A"/>
    <w:rsid w:val="00FD6221"/>
    <w:rsid w:val="00FE76B5"/>
    <w:rsid w:val="00FF24D1"/>
    <w:rsid w:val="00FF4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5C73DB"/>
  <w15:chartTrackingRefBased/>
  <w15:docId w15:val="{D42F2786-496D-4043-90E5-F41CBFF3F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025E"/>
    <w:pPr>
      <w:ind w:left="720"/>
      <w:contextualSpacing/>
    </w:pPr>
  </w:style>
  <w:style w:type="paragraph" w:styleId="FootnoteText">
    <w:name w:val="footnote text"/>
    <w:basedOn w:val="Normal"/>
    <w:link w:val="FootnoteTextChar"/>
    <w:uiPriority w:val="99"/>
    <w:unhideWhenUsed/>
    <w:rsid w:val="00DC2DAA"/>
    <w:rPr>
      <w:sz w:val="20"/>
      <w:szCs w:val="20"/>
    </w:rPr>
  </w:style>
  <w:style w:type="character" w:customStyle="1" w:styleId="FootnoteTextChar">
    <w:name w:val="Footnote Text Char"/>
    <w:basedOn w:val="DefaultParagraphFont"/>
    <w:link w:val="FootnoteText"/>
    <w:uiPriority w:val="99"/>
    <w:rsid w:val="00DC2DAA"/>
    <w:rPr>
      <w:sz w:val="20"/>
      <w:szCs w:val="20"/>
    </w:rPr>
  </w:style>
  <w:style w:type="character" w:styleId="FootnoteReference">
    <w:name w:val="footnote reference"/>
    <w:basedOn w:val="DefaultParagraphFont"/>
    <w:uiPriority w:val="99"/>
    <w:semiHidden/>
    <w:unhideWhenUsed/>
    <w:rsid w:val="00DC2DAA"/>
    <w:rPr>
      <w:vertAlign w:val="superscript"/>
    </w:rPr>
  </w:style>
  <w:style w:type="character" w:styleId="Hyperlink">
    <w:name w:val="Hyperlink"/>
    <w:basedOn w:val="DefaultParagraphFont"/>
    <w:uiPriority w:val="99"/>
    <w:unhideWhenUsed/>
    <w:rsid w:val="00250DEE"/>
    <w:rPr>
      <w:color w:val="0563C1" w:themeColor="hyperlink"/>
      <w:u w:val="single"/>
    </w:rPr>
  </w:style>
  <w:style w:type="character" w:styleId="UnresolvedMention">
    <w:name w:val="Unresolved Mention"/>
    <w:basedOn w:val="DefaultParagraphFont"/>
    <w:uiPriority w:val="99"/>
    <w:semiHidden/>
    <w:unhideWhenUsed/>
    <w:rsid w:val="00250DEE"/>
    <w:rPr>
      <w:color w:val="605E5C"/>
      <w:shd w:val="clear" w:color="auto" w:fill="E1DFDD"/>
    </w:rPr>
  </w:style>
  <w:style w:type="paragraph" w:customStyle="1" w:styleId="p1">
    <w:name w:val="p1"/>
    <w:basedOn w:val="Normal"/>
    <w:rsid w:val="00065845"/>
    <w:rPr>
      <w:rFonts w:ascii="Times New Roman" w:hAnsi="Times New Roman" w:cs="Times New Roman"/>
      <w:sz w:val="24"/>
      <w:szCs w:val="24"/>
    </w:rPr>
  </w:style>
  <w:style w:type="character" w:customStyle="1" w:styleId="s1">
    <w:name w:val="s1"/>
    <w:basedOn w:val="DefaultParagraphFont"/>
    <w:rsid w:val="00065845"/>
    <w:rPr>
      <w:rFonts w:ascii="Helvetica" w:hAnsi="Helvetica" w:hint="default"/>
      <w:b w:val="0"/>
      <w:bCs w:val="0"/>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039202">
      <w:bodyDiv w:val="1"/>
      <w:marLeft w:val="0"/>
      <w:marRight w:val="0"/>
      <w:marTop w:val="0"/>
      <w:marBottom w:val="0"/>
      <w:divBdr>
        <w:top w:val="none" w:sz="0" w:space="0" w:color="auto"/>
        <w:left w:val="none" w:sz="0" w:space="0" w:color="auto"/>
        <w:bottom w:val="none" w:sz="0" w:space="0" w:color="auto"/>
        <w:right w:val="none" w:sz="0" w:space="0" w:color="auto"/>
      </w:divBdr>
    </w:div>
    <w:div w:id="147733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83660" TargetMode="External"/><Relationship Id="rId3" Type="http://schemas.openxmlformats.org/officeDocument/2006/relationships/settings" Target="settings.xml"/><Relationship Id="rId7" Type="http://schemas.openxmlformats.org/officeDocument/2006/relationships/hyperlink" Target="https://doi.org/10.1017/S0009840X00094270Publish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jstor.org/stable/283660" TargetMode="External"/><Relationship Id="rId1" Type="http://schemas.openxmlformats.org/officeDocument/2006/relationships/hyperlink" Target="https://doi.org/10.1017/S0009840X00094270Publish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840</Words>
  <Characters>4788</Characters>
  <Application>Microsoft Office Word</Application>
  <DocSecurity>0</DocSecurity>
  <Lines>39</Lines>
  <Paragraphs>11</Paragraphs>
  <ScaleCrop>false</ScaleCrop>
  <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 (1801719)</dc:creator>
  <cp:keywords/>
  <dc:description/>
  <cp:lastModifiedBy>Rebecca Smith (1801719)</cp:lastModifiedBy>
  <cp:revision>2</cp:revision>
  <dcterms:created xsi:type="dcterms:W3CDTF">2018-12-22T23:05:00Z</dcterms:created>
  <dcterms:modified xsi:type="dcterms:W3CDTF">2018-12-22T23:05:00Z</dcterms:modified>
</cp:coreProperties>
</file>