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181FC1" w14:textId="5990CC47" w:rsidR="00FC1A5C" w:rsidRDefault="00337915">
      <w:pPr>
        <w:rPr>
          <w:rFonts w:ascii="Arial" w:hAnsi="Arial" w:cs="Arial"/>
        </w:rPr>
      </w:pPr>
      <w:r w:rsidRPr="00E90B2B">
        <w:rPr>
          <w:rFonts w:ascii="Arial" w:hAnsi="Arial"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275687FD" w14:textId="77777777" w:rsidR="00337915" w:rsidRDefault="00337915">
      <w:pPr>
        <w:rPr>
          <w:rFonts w:ascii="Arial" w:hAnsi="Arial" w:cs="Arial"/>
        </w:rPr>
      </w:pPr>
    </w:p>
    <w:p w14:paraId="149B6BDB" w14:textId="77777777" w:rsidR="0034647B" w:rsidRPr="0034647B" w:rsidRDefault="0034647B" w:rsidP="0034647B">
      <w:hyperlink r:id="rId7" w:history="1">
        <w:r w:rsidRPr="0034647B">
          <w:rPr>
            <w:rStyle w:val="Hyperlink"/>
          </w:rPr>
          <w:t>ECEY4010 - P</w:t>
        </w:r>
        <w:r w:rsidRPr="0034647B">
          <w:rPr>
            <w:rStyle w:val="Hyperlink"/>
          </w:rPr>
          <w:t>a</w:t>
        </w:r>
        <w:r w:rsidRPr="0034647B">
          <w:rPr>
            <w:rStyle w:val="Hyperlink"/>
          </w:rPr>
          <w:t>rt 1 - The Recorded Activity.mov</w:t>
        </w:r>
      </w:hyperlink>
    </w:p>
    <w:p w14:paraId="526FAB7B" w14:textId="5C4B38EF" w:rsidR="00337915" w:rsidRDefault="00337915" w:rsidP="00337915"/>
    <w:p w14:paraId="17452380" w14:textId="5DDA6628" w:rsidR="00337915" w:rsidRDefault="00337915">
      <w:pPr>
        <w:rPr>
          <w:rFonts w:ascii="Arial" w:hAnsi="Arial" w:cs="Arial"/>
        </w:rPr>
      </w:pPr>
    </w:p>
    <w:p w14:paraId="7EBDC03E" w14:textId="77777777" w:rsidR="00337915" w:rsidRDefault="00337915">
      <w:pPr>
        <w:rPr>
          <w:rFonts w:ascii="Arial" w:hAnsi="Arial" w:cs="Arial"/>
        </w:rPr>
      </w:pPr>
    </w:p>
    <w:p w14:paraId="1C2725AA" w14:textId="77777777" w:rsidR="00337915" w:rsidRDefault="00337915">
      <w:pPr>
        <w:rPr>
          <w:rFonts w:ascii="Arial" w:hAnsi="Arial" w:cs="Arial"/>
        </w:rPr>
      </w:pPr>
    </w:p>
    <w:p w14:paraId="42C2A686" w14:textId="77777777" w:rsidR="00337915" w:rsidRDefault="00337915">
      <w:pPr>
        <w:rPr>
          <w:rFonts w:ascii="Arial" w:hAnsi="Arial" w:cs="Arial"/>
        </w:rPr>
      </w:pPr>
    </w:p>
    <w:p w14:paraId="52C4EC60" w14:textId="77777777" w:rsidR="00337915" w:rsidRDefault="00337915">
      <w:pPr>
        <w:rPr>
          <w:rFonts w:ascii="Arial" w:hAnsi="Arial" w:cs="Arial"/>
        </w:rPr>
      </w:pPr>
    </w:p>
    <w:p w14:paraId="73976196" w14:textId="77777777" w:rsidR="00337915" w:rsidRDefault="00337915">
      <w:pPr>
        <w:rPr>
          <w:rFonts w:ascii="Arial" w:hAnsi="Arial" w:cs="Arial"/>
        </w:rPr>
      </w:pPr>
    </w:p>
    <w:p w14:paraId="1E17DF6B" w14:textId="77777777" w:rsidR="00337915" w:rsidRDefault="00337915">
      <w:pPr>
        <w:rPr>
          <w:rFonts w:ascii="Arial" w:hAnsi="Arial" w:cs="Arial"/>
        </w:rPr>
      </w:pPr>
    </w:p>
    <w:p w14:paraId="5A0A288C" w14:textId="77777777" w:rsidR="00337915" w:rsidRDefault="00337915">
      <w:pPr>
        <w:rPr>
          <w:rFonts w:ascii="Arial" w:hAnsi="Arial" w:cs="Arial"/>
        </w:rPr>
      </w:pPr>
    </w:p>
    <w:p w14:paraId="051D7432" w14:textId="77777777" w:rsidR="00337915" w:rsidRDefault="00337915">
      <w:pPr>
        <w:rPr>
          <w:rFonts w:ascii="Arial" w:hAnsi="Arial" w:cs="Arial"/>
        </w:rPr>
      </w:pPr>
    </w:p>
    <w:p w14:paraId="3EE16D9F" w14:textId="77777777" w:rsidR="00337915" w:rsidRDefault="00337915">
      <w:pPr>
        <w:rPr>
          <w:rFonts w:ascii="Arial" w:hAnsi="Arial" w:cs="Arial"/>
        </w:rPr>
      </w:pPr>
    </w:p>
    <w:p w14:paraId="09402C40" w14:textId="77777777" w:rsidR="00337915" w:rsidRDefault="00337915">
      <w:pPr>
        <w:rPr>
          <w:rFonts w:ascii="Arial" w:hAnsi="Arial" w:cs="Arial"/>
        </w:rPr>
      </w:pPr>
    </w:p>
    <w:p w14:paraId="3855C82B" w14:textId="77777777" w:rsidR="00337915" w:rsidRDefault="00337915">
      <w:pPr>
        <w:rPr>
          <w:rFonts w:ascii="Arial" w:hAnsi="Arial" w:cs="Arial"/>
        </w:rPr>
      </w:pPr>
    </w:p>
    <w:p w14:paraId="12D52F1E" w14:textId="77777777" w:rsidR="00337915" w:rsidRDefault="00337915">
      <w:pPr>
        <w:rPr>
          <w:rFonts w:ascii="Arial" w:hAnsi="Arial" w:cs="Arial"/>
        </w:rPr>
      </w:pPr>
    </w:p>
    <w:p w14:paraId="3B0C4EDC" w14:textId="77777777" w:rsidR="00337915" w:rsidRDefault="00337915">
      <w:pPr>
        <w:rPr>
          <w:rFonts w:ascii="Arial" w:hAnsi="Arial" w:cs="Arial"/>
        </w:rPr>
      </w:pPr>
    </w:p>
    <w:p w14:paraId="6A7C07E0" w14:textId="77777777" w:rsidR="00337915" w:rsidRDefault="00337915">
      <w:pPr>
        <w:rPr>
          <w:rFonts w:ascii="Arial" w:hAnsi="Arial" w:cs="Arial"/>
        </w:rPr>
      </w:pPr>
    </w:p>
    <w:p w14:paraId="45C4DD9E" w14:textId="77777777" w:rsidR="00337915" w:rsidRDefault="00337915">
      <w:pPr>
        <w:rPr>
          <w:rFonts w:ascii="Arial" w:hAnsi="Arial" w:cs="Arial"/>
        </w:rPr>
      </w:pPr>
    </w:p>
    <w:p w14:paraId="6336DBD1" w14:textId="77777777" w:rsidR="00337915" w:rsidRDefault="00337915">
      <w:pPr>
        <w:rPr>
          <w:rFonts w:ascii="Arial" w:hAnsi="Arial" w:cs="Arial"/>
        </w:rPr>
      </w:pPr>
    </w:p>
    <w:p w14:paraId="54C8B252" w14:textId="77777777" w:rsidR="00337915" w:rsidRDefault="00337915">
      <w:pPr>
        <w:rPr>
          <w:rFonts w:ascii="Arial" w:hAnsi="Arial" w:cs="Arial"/>
        </w:rPr>
      </w:pPr>
    </w:p>
    <w:p w14:paraId="3AD51B62" w14:textId="77777777" w:rsidR="00337915" w:rsidRDefault="00337915">
      <w:pPr>
        <w:rPr>
          <w:rFonts w:ascii="Arial" w:hAnsi="Arial" w:cs="Arial"/>
        </w:rPr>
      </w:pPr>
    </w:p>
    <w:p w14:paraId="3509407C" w14:textId="77777777" w:rsidR="00337915" w:rsidRDefault="00337915">
      <w:pPr>
        <w:rPr>
          <w:rFonts w:ascii="Arial" w:hAnsi="Arial" w:cs="Arial"/>
        </w:rPr>
      </w:pPr>
    </w:p>
    <w:p w14:paraId="552F71A4" w14:textId="77777777" w:rsidR="00337915" w:rsidRDefault="00337915">
      <w:pPr>
        <w:rPr>
          <w:rFonts w:ascii="Arial" w:hAnsi="Arial" w:cs="Arial"/>
        </w:rPr>
      </w:pPr>
    </w:p>
    <w:p w14:paraId="0E2632F5" w14:textId="7DF3DC08" w:rsidR="00FD0804" w:rsidRDefault="00FD0804" w:rsidP="00FC1A5C">
      <w:pPr>
        <w:spacing w:line="360" w:lineRule="auto"/>
        <w:rPr>
          <w:rFonts w:ascii="Arial" w:hAnsi="Arial" w:cs="Arial"/>
        </w:rPr>
      </w:pPr>
    </w:p>
    <w:p w14:paraId="7D3A96FE" w14:textId="00245D91" w:rsidR="00FC1A5C" w:rsidRPr="00FC1A5C" w:rsidRDefault="00FC1A5C" w:rsidP="00FC1A5C">
      <w:pPr>
        <w:spacing w:line="360" w:lineRule="auto"/>
        <w:rPr>
          <w:rFonts w:ascii="Arial" w:hAnsi="Arial" w:cs="Arial"/>
        </w:rPr>
      </w:pPr>
      <w:r w:rsidRPr="00FC1A5C">
        <w:rPr>
          <w:rFonts w:ascii="Arial" w:hAnsi="Arial" w:cs="Arial"/>
        </w:rPr>
        <w:lastRenderedPageBreak/>
        <w:t>Multilingual practice in the early years is an important part of supporting children’s development. Bilingualism and multilingualism help children develop communication, thinking skills and a sense of identity. Research by the National Literacy Trust (2022) shows that learning more than one language supports children’s social and cognitive development.</w:t>
      </w:r>
    </w:p>
    <w:p w14:paraId="76E34C94" w14:textId="4351284E" w:rsidR="00FC1A5C" w:rsidRPr="00FC1A5C" w:rsidRDefault="00FC1A5C" w:rsidP="00FC1A5C">
      <w:pPr>
        <w:spacing w:line="360" w:lineRule="auto"/>
        <w:rPr>
          <w:rFonts w:ascii="Arial" w:hAnsi="Arial" w:cs="Arial"/>
        </w:rPr>
      </w:pPr>
      <w:r w:rsidRPr="00FC1A5C">
        <w:rPr>
          <w:rFonts w:ascii="Arial" w:hAnsi="Arial" w:cs="Arial"/>
        </w:rPr>
        <w:t>Bilingualism is the ability to use two languages, although it does not have a fixed definition and can range from basic communication to high levels of proficiency (Wei, 2018). Rather than being seen as a simple yes</w:t>
      </w:r>
      <w:r>
        <w:rPr>
          <w:rFonts w:ascii="Arial" w:hAnsi="Arial" w:cs="Arial"/>
        </w:rPr>
        <w:t xml:space="preserve"> </w:t>
      </w:r>
      <w:r w:rsidRPr="00FC1A5C">
        <w:rPr>
          <w:rFonts w:ascii="Arial" w:hAnsi="Arial" w:cs="Arial"/>
        </w:rPr>
        <w:t>or</w:t>
      </w:r>
      <w:r>
        <w:rPr>
          <w:rFonts w:ascii="Arial" w:hAnsi="Arial" w:cs="Arial"/>
        </w:rPr>
        <w:t xml:space="preserve"> </w:t>
      </w:r>
      <w:r w:rsidRPr="00FC1A5C">
        <w:rPr>
          <w:rFonts w:ascii="Arial" w:hAnsi="Arial" w:cs="Arial"/>
        </w:rPr>
        <w:t xml:space="preserve">no concept, bilingualism is more accurately understood as a continuum, where individuals use languages differently depending on their experiences, environments and daily practices (De </w:t>
      </w:r>
      <w:proofErr w:type="spellStart"/>
      <w:r w:rsidRPr="00FC1A5C">
        <w:rPr>
          <w:rFonts w:ascii="Arial" w:hAnsi="Arial" w:cs="Arial"/>
        </w:rPr>
        <w:t>Houwer</w:t>
      </w:r>
      <w:proofErr w:type="spellEnd"/>
      <w:r w:rsidRPr="00FC1A5C">
        <w:rPr>
          <w:rFonts w:ascii="Arial" w:hAnsi="Arial" w:cs="Arial"/>
        </w:rPr>
        <w:t>, 2021). For example, some children may understand two languages but mainly speak one, while others may switch between languages depending on context. Similarly, multilingualism refers to the use of more than one language, either by individuals or within wider societies, and focuses on how languages are used in real-life situations rather than levels of proficiency alone (</w:t>
      </w:r>
      <w:proofErr w:type="spellStart"/>
      <w:r w:rsidRPr="00FC1A5C">
        <w:rPr>
          <w:rFonts w:ascii="Arial" w:hAnsi="Arial" w:cs="Arial"/>
        </w:rPr>
        <w:t>Cenoz</w:t>
      </w:r>
      <w:proofErr w:type="spellEnd"/>
      <w:r w:rsidRPr="00FC1A5C">
        <w:rPr>
          <w:rFonts w:ascii="Arial" w:hAnsi="Arial" w:cs="Arial"/>
        </w:rPr>
        <w:t>, 2013). This highlights that language use is flexible and shaped by social interaction, cultural context and individual experience, particularly in early childhood.</w:t>
      </w:r>
    </w:p>
    <w:p w14:paraId="08FDC088" w14:textId="35CB2DBC" w:rsidR="00FC1A5C" w:rsidRPr="00FC1A5C" w:rsidRDefault="00FC1A5C" w:rsidP="00FC1A5C">
      <w:pPr>
        <w:spacing w:line="360" w:lineRule="auto"/>
        <w:rPr>
          <w:rFonts w:ascii="Arial" w:hAnsi="Arial" w:cs="Arial"/>
        </w:rPr>
      </w:pPr>
      <w:r w:rsidRPr="00FC1A5C">
        <w:rPr>
          <w:rFonts w:ascii="Arial" w:hAnsi="Arial" w:cs="Arial"/>
        </w:rPr>
        <w:t xml:space="preserve">Bilingualism provides important cognitive and social benefits for young children. Cummins’ threshold hypothesis suggests that children must reach a certain level of competence in both languages </w:t>
      </w:r>
      <w:r w:rsidRPr="00FC1A5C">
        <w:rPr>
          <w:rFonts w:ascii="Arial" w:hAnsi="Arial" w:cs="Arial"/>
        </w:rPr>
        <w:t>to</w:t>
      </w:r>
      <w:r w:rsidRPr="00FC1A5C">
        <w:rPr>
          <w:rFonts w:ascii="Arial" w:hAnsi="Arial" w:cs="Arial"/>
        </w:rPr>
        <w:t xml:space="preserve"> gain cognitive advantages, such as improved memory, problem-solving skills and mental flexibility (Daller and </w:t>
      </w:r>
      <w:proofErr w:type="spellStart"/>
      <w:r w:rsidRPr="00FC1A5C">
        <w:rPr>
          <w:rFonts w:ascii="Arial" w:hAnsi="Arial" w:cs="Arial"/>
        </w:rPr>
        <w:t>Ongun</w:t>
      </w:r>
      <w:proofErr w:type="spellEnd"/>
      <w:r w:rsidRPr="00FC1A5C">
        <w:rPr>
          <w:rFonts w:ascii="Arial" w:hAnsi="Arial" w:cs="Arial"/>
        </w:rPr>
        <w:t>, 2017). This suggests that simply being exposed to two languages is not enough; children need meaningful opportunities to develop both languages. In addition, Lev Vygotsky’s sociocultural theory highlights the importance of social interaction in learning, arguing that children learn through communication and engagement with others. From this perspective, using more than one language can enhance communication skills and cultural understanding, as children are exposed to different ways of expressing meaning. Contemporary research supports this view, showing that interaction and play are key to supporting language development and identity formation in early years settings (Chen, 2025). However, it is important to recognise that the benefits of bilingualism depend on the quality of interaction and support children receive, rather than simply the presence of multiple languages.</w:t>
      </w:r>
    </w:p>
    <w:p w14:paraId="09CFD124" w14:textId="77777777" w:rsidR="00FC1A5C" w:rsidRPr="00FC1A5C" w:rsidRDefault="00FC1A5C" w:rsidP="00FC1A5C">
      <w:pPr>
        <w:spacing w:line="360" w:lineRule="auto"/>
        <w:rPr>
          <w:rFonts w:ascii="Arial" w:hAnsi="Arial" w:cs="Arial"/>
        </w:rPr>
      </w:pPr>
      <w:r w:rsidRPr="00FC1A5C">
        <w:rPr>
          <w:rFonts w:ascii="Arial" w:hAnsi="Arial" w:cs="Arial"/>
        </w:rPr>
        <w:lastRenderedPageBreak/>
        <w:t>Bilingualism has also been shown to support the development of metalinguistic awareness, which refers to the ability to reflect on and analyse language (Bialystok, 2017). This means that bilingual children may become more aware of how language works, including grammar, vocabulary and meaning. In practice, this was evident during storytelling and singing activities. When reading stories, speaking clearly and repeating key words allowed children to process and understand language more effectively. It also enabled them to respond in the language they felt most confident using. Similarly, singing songs that included repetition, rhythm and actions helped reinforce understanding and supported memory. These approaches are particularly effective in early years settings because they provide structure and predictability, which helps children feel more confident when using language. These activities demonstrate how children naturally adapt their language use in different situations and show how supportive environments can enhance communication and comprehension.</w:t>
      </w:r>
    </w:p>
    <w:p w14:paraId="0496FA3E" w14:textId="7982A8C6" w:rsidR="00FC1A5C" w:rsidRPr="00FC1A5C" w:rsidRDefault="00FC1A5C" w:rsidP="00FC1A5C">
      <w:pPr>
        <w:spacing w:line="360" w:lineRule="auto"/>
        <w:rPr>
          <w:rFonts w:ascii="Arial" w:hAnsi="Arial" w:cs="Arial"/>
        </w:rPr>
      </w:pPr>
      <w:r w:rsidRPr="00FC1A5C">
        <w:rPr>
          <w:rFonts w:ascii="Arial" w:hAnsi="Arial" w:cs="Arial"/>
        </w:rPr>
        <w:t>Supporting Welsh and English as additional languages in early years settings requires an approach that focuses on meaningful, real-life experiences rather than isolated. Early language learning theory suggests that young children learn languages best through interaction, play and everyday routines, rather than through repetitive drills (CWLWM, 2025). This aligns with communicative and immersion-based approaches, where children are surrounded by language in natural contexts and learn through participation. In Wales, the curriculum supports bilingual practice by recognising the equal importance of Welsh and English and encouraging both languages to be embedded across all areas of learning (Early Years Wales, 2023). This helps children to develop confidence and understanding in both languages from an early age.</w:t>
      </w:r>
    </w:p>
    <w:p w14:paraId="2F0ADDCA" w14:textId="77777777" w:rsidR="00FC1A5C" w:rsidRPr="00FC1A5C" w:rsidRDefault="00FC1A5C" w:rsidP="00FC1A5C">
      <w:pPr>
        <w:spacing w:line="360" w:lineRule="auto"/>
        <w:rPr>
          <w:rFonts w:ascii="Arial" w:hAnsi="Arial" w:cs="Arial"/>
        </w:rPr>
      </w:pPr>
      <w:r w:rsidRPr="00FC1A5C">
        <w:rPr>
          <w:rFonts w:ascii="Arial" w:hAnsi="Arial" w:cs="Arial"/>
        </w:rPr>
        <w:t xml:space="preserve">Children are also supported through immersion programmes, particularly when entering Welsh-medium education. These programmes provide intensive exposure to Welsh for learners who may have little or no prior experience of the language, helping them to develop their skills quickly through everyday interaction (Welsh Government, 2024). For example, activities such as storytelling can play a key role in this process. In practice, using The Very Hungry Caterpillar allowed children to hear repeated language patterns, supported by clear speech and visual aids. The </w:t>
      </w:r>
      <w:r w:rsidRPr="00FC1A5C">
        <w:rPr>
          <w:rFonts w:ascii="Arial" w:hAnsi="Arial" w:cs="Arial"/>
        </w:rPr>
        <w:lastRenderedPageBreak/>
        <w:t>structure of the story helped children understand meaning through context, even if they were unfamiliar with some vocabulary. This demonstrates how meaningful activities can create supportive environments for children learning Welsh and English as additional languages. However, the effectiveness of these approaches depends on consistent use and practitioner confidence in delivering them.</w:t>
      </w:r>
    </w:p>
    <w:p w14:paraId="4EEB49E0" w14:textId="77777777" w:rsidR="00FC1A5C" w:rsidRPr="00FC1A5C" w:rsidRDefault="00FC1A5C" w:rsidP="00FC1A5C">
      <w:pPr>
        <w:spacing w:line="360" w:lineRule="auto"/>
        <w:rPr>
          <w:rFonts w:ascii="Arial" w:hAnsi="Arial" w:cs="Arial"/>
        </w:rPr>
      </w:pPr>
      <w:r w:rsidRPr="00FC1A5C">
        <w:rPr>
          <w:rFonts w:ascii="Arial" w:hAnsi="Arial" w:cs="Arial"/>
        </w:rPr>
        <w:t>Early childhood brain development also plays a significant role in how children learn language and understand the world around them. During the early years, the brain develops rapidly, forming and strengthening neural connections through interaction and meaningful experiences. Research using MRI scans shows that children who are exposed to more language develop stronger connections in areas of the brain linked to communication (Romeo et al., 2018). This highlights the importance of providing rich language environments during early childhood. However, research also shows that the quality of interaction is just as important as the quantity. Active engagement, such as conversation and responsive communication, has a greater impact on language development than passive listening (Finders, Wilson and Duncan, 2023). This suggests that practitioners play a crucial role in supporting children’s development through meaningful interaction.</w:t>
      </w:r>
    </w:p>
    <w:p w14:paraId="337DF8C2" w14:textId="7E77CCA9" w:rsidR="00FC1A5C" w:rsidRPr="00FC1A5C" w:rsidRDefault="00FC1A5C" w:rsidP="00FC1A5C">
      <w:pPr>
        <w:spacing w:line="360" w:lineRule="auto"/>
        <w:rPr>
          <w:rFonts w:ascii="Arial" w:hAnsi="Arial" w:cs="Arial"/>
        </w:rPr>
      </w:pPr>
      <w:r w:rsidRPr="00FC1A5C">
        <w:rPr>
          <w:rFonts w:ascii="Arial" w:hAnsi="Arial" w:cs="Arial"/>
        </w:rPr>
        <w:t>Activities such as reading stories and singing songs provide valuable opportunities for children to hear language patterns, develop listening skills and build vocabulary. These experiences are particularly important for children learning Welsh or English as additional languages, as they provide repeated exposure to new words in meaningful contexts (Department for Education, 2021). However, for these activities to be effective, children need to be actively involved rather than simply listening. This reinforces the idea that language development is most successful when children are engaged in interactive and meaningful experiences.</w:t>
      </w:r>
    </w:p>
    <w:p w14:paraId="02BCF0EA" w14:textId="621F9236" w:rsidR="00FC1A5C" w:rsidRPr="00FC1A5C" w:rsidRDefault="00FC1A5C" w:rsidP="00FC1A5C">
      <w:pPr>
        <w:spacing w:line="360" w:lineRule="auto"/>
        <w:rPr>
          <w:rFonts w:ascii="Arial" w:hAnsi="Arial" w:cs="Arial"/>
        </w:rPr>
      </w:pPr>
      <w:r w:rsidRPr="00FC1A5C">
        <w:rPr>
          <w:rFonts w:ascii="Arial" w:hAnsi="Arial" w:cs="Arial"/>
        </w:rPr>
        <w:t>Divergent thinking is another important aspect of early childhood development. It refers to the ability to generate multiple ideas</w:t>
      </w:r>
      <w:r w:rsidR="00337915">
        <w:rPr>
          <w:rFonts w:ascii="Arial" w:hAnsi="Arial" w:cs="Arial"/>
        </w:rPr>
        <w:t xml:space="preserve"> or </w:t>
      </w:r>
      <w:r w:rsidRPr="00FC1A5C">
        <w:rPr>
          <w:rFonts w:ascii="Arial" w:hAnsi="Arial" w:cs="Arial"/>
        </w:rPr>
        <w:t xml:space="preserve">answers rather than focusing on a single correct response (Runco and Acar, 2019). This type of thinking supports creativity, imagination and problem-solving skills. Research suggests that encouraging creativity in early years settings helps children become more independent and confident learners (Lucas and Spencer, 2017), while also </w:t>
      </w:r>
      <w:r w:rsidRPr="00FC1A5C">
        <w:rPr>
          <w:rFonts w:ascii="Arial" w:hAnsi="Arial" w:cs="Arial"/>
        </w:rPr>
        <w:lastRenderedPageBreak/>
        <w:t>supporting overall cognitive development (Leggett, 2024). Bilingualism can further support divergent thinking by encouraging cognitive flexibility. When children switch between languages, they learn to think in different ways and consider multiple perspectives (Bialystok et al., 2021). However, these benefits depend on active use of language and meaningful interaction, rather than simply being exposed to more than one language.</w:t>
      </w:r>
    </w:p>
    <w:p w14:paraId="2572EA98" w14:textId="1160DD10" w:rsidR="00FC1A5C" w:rsidRPr="00FC1A5C" w:rsidRDefault="00FC1A5C" w:rsidP="00FC1A5C">
      <w:pPr>
        <w:spacing w:line="360" w:lineRule="auto"/>
        <w:rPr>
          <w:rFonts w:ascii="Arial" w:hAnsi="Arial" w:cs="Arial"/>
        </w:rPr>
      </w:pPr>
      <w:r w:rsidRPr="00FC1A5C">
        <w:rPr>
          <w:rFonts w:ascii="Arial" w:hAnsi="Arial" w:cs="Arial"/>
        </w:rPr>
        <w:t>Play and exploration are strongly linked to the development of divergent thinking. Open-ended, child-led activities allow children to experiment, take risks and explore different ideas without the pressure of a single correct answer</w:t>
      </w:r>
      <w:r w:rsidR="00337915">
        <w:rPr>
          <w:rFonts w:ascii="Arial" w:hAnsi="Arial" w:cs="Arial"/>
        </w:rPr>
        <w:t xml:space="preserve"> </w:t>
      </w:r>
      <w:r w:rsidR="00337915" w:rsidRPr="00337915">
        <w:rPr>
          <w:rFonts w:ascii="Arial" w:hAnsi="Arial" w:cs="Arial"/>
        </w:rPr>
        <w:t>(</w:t>
      </w:r>
      <w:proofErr w:type="spellStart"/>
      <w:r w:rsidR="00337915" w:rsidRPr="00337915">
        <w:rPr>
          <w:rFonts w:ascii="Arial" w:hAnsi="Arial" w:cs="Arial"/>
        </w:rPr>
        <w:t>Cankaya</w:t>
      </w:r>
      <w:proofErr w:type="spellEnd"/>
      <w:r w:rsidR="00337915" w:rsidRPr="00337915">
        <w:rPr>
          <w:rFonts w:ascii="Arial" w:hAnsi="Arial" w:cs="Arial"/>
        </w:rPr>
        <w:t>, 2023)</w:t>
      </w:r>
      <w:r w:rsidRPr="00FC1A5C">
        <w:rPr>
          <w:rFonts w:ascii="Arial" w:hAnsi="Arial" w:cs="Arial"/>
        </w:rPr>
        <w:t xml:space="preserve">. </w:t>
      </w:r>
      <w:r w:rsidR="00337915">
        <w:rPr>
          <w:rFonts w:ascii="Arial" w:hAnsi="Arial" w:cs="Arial"/>
        </w:rPr>
        <w:t>T</w:t>
      </w:r>
      <w:r w:rsidRPr="00FC1A5C">
        <w:rPr>
          <w:rFonts w:ascii="Arial" w:hAnsi="Arial" w:cs="Arial"/>
        </w:rPr>
        <w:t>hat children who engage in exploratory play demonstrate higher levels of creativity and problem-solving (Evans et al., 2021). Storytelling and singing can also support this process by providing opportunities for children to imagine, predict and create their own ideas. For example, children may suggest alternative endings to stories or retell narratives in their own words, supporting both language development and creative thinking.</w:t>
      </w:r>
    </w:p>
    <w:p w14:paraId="449E9BCB" w14:textId="77777777" w:rsidR="00FC1A5C" w:rsidRPr="00FC1A5C" w:rsidRDefault="00FC1A5C" w:rsidP="00FC1A5C">
      <w:pPr>
        <w:spacing w:line="360" w:lineRule="auto"/>
        <w:rPr>
          <w:rFonts w:ascii="Arial" w:hAnsi="Arial" w:cs="Arial"/>
        </w:rPr>
      </w:pPr>
      <w:r w:rsidRPr="00FC1A5C">
        <w:rPr>
          <w:rFonts w:ascii="Arial" w:hAnsi="Arial" w:cs="Arial"/>
        </w:rPr>
        <w:t>In Wales, multilingual practice in early years settings is supported through national strategies and programmes that promote the use of Welsh alongside English. The Welsh Government’s Cymraeg 2050 strategy aims to increase the number of Welsh speakers and encourage everyday use of the language from an early age. This includes support for families through initiatives such as Cymraeg for Kids, which helps parents introduce Welsh into daily routines (Welsh Government, 2025). This reflects a strong commitment to promoting bilingualism; however, its success depends on how consistently it is implemented and the level of engagement from families. Early Years Wales also provides support through resources and guidance to help practitioners embed Welsh into everyday practice (Early Years Wales, 2025). While this support is valuable, some practitioners may lack confidence in using Welsh, which can affect how effectively it is implemented.</w:t>
      </w:r>
    </w:p>
    <w:p w14:paraId="13CB8BAC" w14:textId="77777777" w:rsidR="00FC1A5C" w:rsidRPr="00FC1A5C" w:rsidRDefault="00FC1A5C" w:rsidP="00FC1A5C">
      <w:pPr>
        <w:spacing w:line="360" w:lineRule="auto"/>
        <w:rPr>
          <w:rFonts w:ascii="Arial" w:hAnsi="Arial" w:cs="Arial"/>
        </w:rPr>
      </w:pPr>
      <w:r w:rsidRPr="00FC1A5C">
        <w:rPr>
          <w:rFonts w:ascii="Arial" w:hAnsi="Arial" w:cs="Arial"/>
        </w:rPr>
        <w:t xml:space="preserve">In addition, the Welsh Medium Childcare Qualifications Programme Grant Scheme supports workforce development by funding training for practitioners, helping to improve confidence and skills in delivering bilingual education (Welsh Government, 2025). These frameworks and programmes are important because they create </w:t>
      </w:r>
      <w:r w:rsidRPr="00FC1A5C">
        <w:rPr>
          <w:rFonts w:ascii="Arial" w:hAnsi="Arial" w:cs="Arial"/>
        </w:rPr>
        <w:lastRenderedPageBreak/>
        <w:t>language-rich environments, support children’s bilingual development and promote cultural identity and inclusion. However, their effectiveness depends on ongoing training, support and consistent practice within early years settings. This highlights the importance of not only having strong policies but also ensuring they are effectively applied in practice.</w:t>
      </w:r>
    </w:p>
    <w:p w14:paraId="02B9FF8F" w14:textId="77777777" w:rsidR="00FC1A5C" w:rsidRPr="00FC1A5C" w:rsidRDefault="00FC1A5C" w:rsidP="00FC1A5C">
      <w:pPr>
        <w:spacing w:line="360" w:lineRule="auto"/>
        <w:rPr>
          <w:rFonts w:ascii="Arial" w:hAnsi="Arial" w:cs="Arial"/>
        </w:rPr>
      </w:pPr>
      <w:r w:rsidRPr="00FC1A5C">
        <w:rPr>
          <w:rFonts w:ascii="Arial" w:hAnsi="Arial" w:cs="Arial"/>
        </w:rPr>
        <w:t>In conclusion, this assignment has demonstrated that bilingualism and multilingual practice play a vital role in early years education. Bilingualism is a flexible and developing process shaped by children’s experiences (Wei, 2018), and research shows that children learn language best through interaction, play and meaningful activities (Chen, 2025). Theories such as Vygotsky’s sociocultural theory and Cummins’ threshold hypothesis help explain how language development is supported through both social interaction and proficiency. In Wales, frameworks such as Cymraeg 2050 and support from Early Years Wales promote the use of both Welsh and English, helping to create inclusive and supportive learning environments (Welsh Government, 2025). Overall, providing rich, interactive and supportive language experiences enables children to develop confidence, communication skills and a strong sense of identity.</w:t>
      </w:r>
    </w:p>
    <w:p w14:paraId="6204AB3A" w14:textId="77777777" w:rsidR="000E5E5B" w:rsidRPr="00FC1A5C" w:rsidRDefault="000E5E5B" w:rsidP="00FC1A5C">
      <w:pPr>
        <w:spacing w:line="360" w:lineRule="auto"/>
        <w:rPr>
          <w:rFonts w:ascii="Arial" w:hAnsi="Arial" w:cs="Arial"/>
        </w:rPr>
      </w:pPr>
    </w:p>
    <w:p w14:paraId="607D5493" w14:textId="77777777" w:rsidR="00FC1A5C" w:rsidRDefault="00FC1A5C"/>
    <w:p w14:paraId="1A73031C" w14:textId="77777777" w:rsidR="00FC1A5C" w:rsidRDefault="00FC1A5C"/>
    <w:p w14:paraId="604C15A0" w14:textId="77777777" w:rsidR="00FC1A5C" w:rsidRDefault="00FC1A5C"/>
    <w:p w14:paraId="6705BD82" w14:textId="77777777" w:rsidR="00337915" w:rsidRDefault="00337915"/>
    <w:p w14:paraId="669EB686" w14:textId="77777777" w:rsidR="00337915" w:rsidRDefault="00337915"/>
    <w:p w14:paraId="67B5BED1" w14:textId="77777777" w:rsidR="00337915" w:rsidRDefault="00337915"/>
    <w:p w14:paraId="669871FA" w14:textId="77777777" w:rsidR="00337915" w:rsidRDefault="00337915"/>
    <w:p w14:paraId="3BDBFA31" w14:textId="77777777" w:rsidR="00F1382C" w:rsidRDefault="00F1382C"/>
    <w:p w14:paraId="5FAB497F" w14:textId="77777777" w:rsidR="00F1382C" w:rsidRDefault="00F1382C"/>
    <w:p w14:paraId="5D062715" w14:textId="77777777" w:rsidR="00337915" w:rsidRDefault="00337915"/>
    <w:p w14:paraId="7E7C0E50" w14:textId="77777777" w:rsidR="00337915" w:rsidRDefault="00337915"/>
    <w:p w14:paraId="730D30E4" w14:textId="768CEA89" w:rsidR="00F975E9" w:rsidRDefault="00F975E9" w:rsidP="00337915">
      <w:pPr>
        <w:jc w:val="center"/>
      </w:pPr>
      <w:r>
        <w:lastRenderedPageBreak/>
        <w:t>References</w:t>
      </w:r>
    </w:p>
    <w:p w14:paraId="0BF22CDF" w14:textId="77777777" w:rsidR="00337915" w:rsidRDefault="00337915"/>
    <w:p w14:paraId="4EB49A53" w14:textId="77777777" w:rsidR="00FD0804" w:rsidRDefault="00FD0804">
      <w:r w:rsidRPr="000E5E5B">
        <w:t xml:space="preserve">Bialystok, E., Luk, G., Peets, K.F. and Yang, S. (2018) ‘Receptive vocabulary differences in monolingual and bilingual children’, </w:t>
      </w:r>
      <w:r w:rsidRPr="000E5E5B">
        <w:rPr>
          <w:i/>
          <w:iCs/>
        </w:rPr>
        <w:t>Frontiers in Psychology</w:t>
      </w:r>
      <w:r w:rsidRPr="000E5E5B">
        <w:t xml:space="preserve">, 9, p. 1953. Available at: https://www.frontiersin.org/articles/10.3389/fpsyg.2018.01953/full (Accessed: </w:t>
      </w:r>
      <w:r>
        <w:t>25</w:t>
      </w:r>
      <w:r w:rsidRPr="000E5E5B">
        <w:rPr>
          <w:vertAlign w:val="superscript"/>
        </w:rPr>
        <w:t>th</w:t>
      </w:r>
      <w:r>
        <w:t xml:space="preserve"> March </w:t>
      </w:r>
      <w:r w:rsidRPr="000E5E5B">
        <w:t>2026)</w:t>
      </w:r>
    </w:p>
    <w:p w14:paraId="0191388C" w14:textId="77777777" w:rsidR="00FD0804" w:rsidRDefault="00FD0804">
      <w:proofErr w:type="spellStart"/>
      <w:r w:rsidRPr="00337915">
        <w:t>Cankaya</w:t>
      </w:r>
      <w:proofErr w:type="spellEnd"/>
      <w:r w:rsidRPr="00337915">
        <w:t xml:space="preserve">, O. (2023) ‘Preschool children’s loose parts play and the relationship to divergent thinking and flexibility in problem-solving approaches’, </w:t>
      </w:r>
      <w:r w:rsidRPr="00337915">
        <w:rPr>
          <w:i/>
          <w:iCs/>
        </w:rPr>
        <w:t>PMC Articles</w:t>
      </w:r>
      <w:r w:rsidRPr="00337915">
        <w:t>, 2023. Available at: https://www.ncbi.nlm.nih.gov/articles/PMC10456023/ (Accessed: 3 April 2026).</w:t>
      </w:r>
    </w:p>
    <w:p w14:paraId="3B3316E5" w14:textId="77777777" w:rsidR="00FD0804" w:rsidRDefault="00FD0804">
      <w:proofErr w:type="spellStart"/>
      <w:r w:rsidRPr="005D5FF9">
        <w:t>Cenoz</w:t>
      </w:r>
      <w:proofErr w:type="spellEnd"/>
      <w:r w:rsidRPr="005D5FF9">
        <w:t xml:space="preserve">, J. (2013) ‘Defining Multilingualism’, </w:t>
      </w:r>
      <w:r w:rsidRPr="005D5FF9">
        <w:rPr>
          <w:i/>
          <w:iCs/>
        </w:rPr>
        <w:t>Annual Review of Applied Linguistics</w:t>
      </w:r>
      <w:r w:rsidRPr="005D5FF9">
        <w:t>, 33, pp. 3–18. DOI:10.1017/S026719051300007X</w:t>
      </w:r>
    </w:p>
    <w:p w14:paraId="32022656" w14:textId="77777777" w:rsidR="00FD0804" w:rsidRDefault="00FD0804">
      <w:r w:rsidRPr="000E5E5B">
        <w:t xml:space="preserve">CWLWM (2025) </w:t>
      </w:r>
      <w:r w:rsidRPr="000E5E5B">
        <w:rPr>
          <w:i/>
          <w:iCs/>
        </w:rPr>
        <w:t>Using bilingualism in English medium early year, childcare and play settings</w:t>
      </w:r>
      <w:r w:rsidRPr="000E5E5B">
        <w:t xml:space="preserve">. Available at: </w:t>
      </w:r>
      <w:hyperlink r:id="rId8" w:tgtFrame="_new" w:history="1">
        <w:r w:rsidRPr="000E5E5B">
          <w:rPr>
            <w:rStyle w:val="Hyperlink"/>
          </w:rPr>
          <w:t>https://cwlwm.org.uk/blog/using-bilingualism-english-medium-early-year-childcare-and-play-settings</w:t>
        </w:r>
      </w:hyperlink>
      <w:r w:rsidRPr="000E5E5B">
        <w:t xml:space="preserve"> (Accessed: </w:t>
      </w:r>
      <w:r>
        <w:t>25</w:t>
      </w:r>
      <w:r w:rsidRPr="000E5E5B">
        <w:rPr>
          <w:vertAlign w:val="superscript"/>
        </w:rPr>
        <w:t>th</w:t>
      </w:r>
      <w:r>
        <w:t xml:space="preserve"> March</w:t>
      </w:r>
      <w:r w:rsidRPr="000E5E5B">
        <w:t xml:space="preserve"> 2026)</w:t>
      </w:r>
    </w:p>
    <w:p w14:paraId="178579B3" w14:textId="77777777" w:rsidR="00FD0804" w:rsidRDefault="00FD0804">
      <w:r w:rsidRPr="000E5E5B">
        <w:t xml:space="preserve">Daller, M. and </w:t>
      </w:r>
      <w:proofErr w:type="spellStart"/>
      <w:r w:rsidRPr="000E5E5B">
        <w:t>Ongun</w:t>
      </w:r>
      <w:proofErr w:type="spellEnd"/>
      <w:r w:rsidRPr="000E5E5B">
        <w:t xml:space="preserve">, Z. (2017) ‘The threshold hypothesis revisited: Bilingual lexical knowledge and non-verbal IQ development’, </w:t>
      </w:r>
      <w:r w:rsidRPr="000E5E5B">
        <w:rPr>
          <w:i/>
          <w:iCs/>
        </w:rPr>
        <w:t>International Journal of Bilingualism</w:t>
      </w:r>
      <w:r w:rsidRPr="000E5E5B">
        <w:t>, 22(6), pp. 675–694</w:t>
      </w:r>
    </w:p>
    <w:p w14:paraId="769A944D" w14:textId="77777777" w:rsidR="00FD0804" w:rsidRDefault="00FD0804">
      <w:r w:rsidRPr="00F975E9">
        <w:t xml:space="preserve">De </w:t>
      </w:r>
      <w:proofErr w:type="spellStart"/>
      <w:r w:rsidRPr="00F975E9">
        <w:t>Houwer</w:t>
      </w:r>
      <w:proofErr w:type="spellEnd"/>
      <w:r w:rsidRPr="00F975E9">
        <w:t xml:space="preserve">, A. (2021) </w:t>
      </w:r>
      <w:r w:rsidRPr="00F975E9">
        <w:rPr>
          <w:i/>
          <w:iCs/>
        </w:rPr>
        <w:t>Bilingual Development in Childhood</w:t>
      </w:r>
      <w:r w:rsidRPr="00F975E9">
        <w:t>. Cambridge: Cambridge University Press</w:t>
      </w:r>
    </w:p>
    <w:p w14:paraId="23384ABB" w14:textId="77777777" w:rsidR="00FD0804" w:rsidRPr="000E5E5B" w:rsidRDefault="00FD0804" w:rsidP="000E5E5B">
      <w:r w:rsidRPr="000E5E5B">
        <w:t xml:space="preserve">Department for Education (2021) </w:t>
      </w:r>
      <w:r w:rsidRPr="000E5E5B">
        <w:rPr>
          <w:i/>
          <w:iCs/>
        </w:rPr>
        <w:t>English as an additional language (EAL): guidance for early years providers</w:t>
      </w:r>
      <w:r w:rsidRPr="000E5E5B">
        <w:t xml:space="preserve">. Available at: </w:t>
      </w:r>
      <w:hyperlink r:id="rId9" w:tgtFrame="_new" w:history="1">
        <w:r w:rsidRPr="000E5E5B">
          <w:rPr>
            <w:rStyle w:val="Hyperlink"/>
          </w:rPr>
          <w:t>https://help-for-early-years-providers.education.gov.uk/support-for-practitioners/english-as-an-additional-language-eal</w:t>
        </w:r>
      </w:hyperlink>
      <w:r w:rsidRPr="000E5E5B">
        <w:t xml:space="preserve"> (Accessed: </w:t>
      </w:r>
      <w:r>
        <w:t>26</w:t>
      </w:r>
      <w:r w:rsidRPr="000E5E5B">
        <w:rPr>
          <w:vertAlign w:val="superscript"/>
        </w:rPr>
        <w:t>th</w:t>
      </w:r>
      <w:r>
        <w:t xml:space="preserve"> March</w:t>
      </w:r>
      <w:r w:rsidRPr="000E5E5B">
        <w:t xml:space="preserve"> 2026)</w:t>
      </w:r>
    </w:p>
    <w:p w14:paraId="4197AC0B" w14:textId="77777777" w:rsidR="00FD0804" w:rsidRDefault="00FD0804">
      <w:r w:rsidRPr="000E5E5B">
        <w:t xml:space="preserve">Early Years Wales (2023) </w:t>
      </w:r>
      <w:r w:rsidRPr="000E5E5B">
        <w:rPr>
          <w:i/>
          <w:iCs/>
        </w:rPr>
        <w:t>Welsh Language Support</w:t>
      </w:r>
      <w:r w:rsidRPr="000E5E5B">
        <w:t xml:space="preserve">. Available at: </w:t>
      </w:r>
      <w:hyperlink r:id="rId10" w:tgtFrame="_new" w:history="1">
        <w:r w:rsidRPr="000E5E5B">
          <w:rPr>
            <w:rStyle w:val="Hyperlink"/>
          </w:rPr>
          <w:t>https://www.earlyyears.wales/en/welsh-language-support</w:t>
        </w:r>
      </w:hyperlink>
      <w:r w:rsidRPr="000E5E5B">
        <w:t xml:space="preserve"> (Accessed: </w:t>
      </w:r>
      <w:r>
        <w:t>25</w:t>
      </w:r>
      <w:r w:rsidRPr="000E5E5B">
        <w:rPr>
          <w:vertAlign w:val="superscript"/>
        </w:rPr>
        <w:t>th</w:t>
      </w:r>
      <w:r>
        <w:t xml:space="preserve"> March </w:t>
      </w:r>
      <w:r w:rsidRPr="000E5E5B">
        <w:t>2026)</w:t>
      </w:r>
    </w:p>
    <w:p w14:paraId="72B0001A" w14:textId="77777777" w:rsidR="00FD0804" w:rsidRDefault="00FD0804" w:rsidP="000E5E5B">
      <w:r w:rsidRPr="00956B7C">
        <w:t xml:space="preserve">Early Years Wales (2025) </w:t>
      </w:r>
      <w:r w:rsidRPr="00956B7C">
        <w:rPr>
          <w:i/>
          <w:iCs/>
        </w:rPr>
        <w:t>Welsh Language Support</w:t>
      </w:r>
      <w:r w:rsidRPr="00956B7C">
        <w:t xml:space="preserve">. Available at: </w:t>
      </w:r>
      <w:hyperlink r:id="rId11" w:tgtFrame="_new" w:history="1">
        <w:r w:rsidRPr="00956B7C">
          <w:rPr>
            <w:rStyle w:val="Hyperlink"/>
          </w:rPr>
          <w:t>https://www.earlyyears.wales/en/welsh-language-support</w:t>
        </w:r>
      </w:hyperlink>
      <w:r w:rsidRPr="00956B7C">
        <w:t xml:space="preserve"> (Accessed: 3 April 2026)</w:t>
      </w:r>
    </w:p>
    <w:p w14:paraId="6500EB0A" w14:textId="77777777" w:rsidR="00FD0804" w:rsidRDefault="00FD0804">
      <w:r w:rsidRPr="000E5E5B">
        <w:t xml:space="preserve">Education Gov UK (2021) </w:t>
      </w:r>
      <w:r w:rsidRPr="000E5E5B">
        <w:rPr>
          <w:i/>
          <w:iCs/>
        </w:rPr>
        <w:t>English as an additional language (EAL)</w:t>
      </w:r>
      <w:r w:rsidRPr="000E5E5B">
        <w:t xml:space="preserve">. Available at: </w:t>
      </w:r>
      <w:hyperlink r:id="rId12" w:tgtFrame="_new" w:history="1">
        <w:r w:rsidRPr="000E5E5B">
          <w:rPr>
            <w:rStyle w:val="Hyperlink"/>
          </w:rPr>
          <w:t>https://help-for-early-years-providers.education.gov.uk/support-for-practitioners/english-as-an-additional-language-eal</w:t>
        </w:r>
      </w:hyperlink>
      <w:r w:rsidRPr="000E5E5B">
        <w:t xml:space="preserve"> (Accessed: </w:t>
      </w:r>
      <w:r>
        <w:t>25</w:t>
      </w:r>
      <w:r w:rsidRPr="000E5E5B">
        <w:rPr>
          <w:vertAlign w:val="superscript"/>
        </w:rPr>
        <w:t>th</w:t>
      </w:r>
      <w:r>
        <w:t xml:space="preserve"> March</w:t>
      </w:r>
      <w:r w:rsidRPr="000E5E5B">
        <w:t xml:space="preserve"> 2026)</w:t>
      </w:r>
    </w:p>
    <w:p w14:paraId="6F45D9BD" w14:textId="77777777" w:rsidR="00FD0804" w:rsidRDefault="00FD0804" w:rsidP="000E5E5B">
      <w:r w:rsidRPr="000E5E5B">
        <w:t xml:space="preserve">Evans, N.S., Todaro, R.D., Schlesinger, M.A., Golinkoff, R.M. and Hirsh-Pasek, K. (2021) ‘Examining the impact of children’s exploration </w:t>
      </w:r>
      <w:r w:rsidRPr="000E5E5B">
        <w:t>behaviours</w:t>
      </w:r>
      <w:r w:rsidRPr="000E5E5B">
        <w:t xml:space="preserve"> on creativity’, </w:t>
      </w:r>
      <w:r w:rsidRPr="000E5E5B">
        <w:rPr>
          <w:i/>
          <w:iCs/>
        </w:rPr>
        <w:t>Journal of Experimental Child Psychology</w:t>
      </w:r>
      <w:r w:rsidRPr="000E5E5B">
        <w:t>, 207, p. 105091. doi:10.1016/j.jecp.2021.105091</w:t>
      </w:r>
    </w:p>
    <w:p w14:paraId="65BF1235" w14:textId="77777777" w:rsidR="00FD0804" w:rsidRDefault="00FD0804" w:rsidP="000E5E5B">
      <w:r w:rsidRPr="000E5E5B">
        <w:lastRenderedPageBreak/>
        <w:t xml:space="preserve">Finders, J., Wilson, E. and Duncan, R. (2023) </w:t>
      </w:r>
      <w:r w:rsidRPr="000E5E5B">
        <w:rPr>
          <w:i/>
          <w:iCs/>
        </w:rPr>
        <w:t>Early childhood education language environments: considerations for research and practice</w:t>
      </w:r>
      <w:r w:rsidRPr="000E5E5B">
        <w:t xml:space="preserve">. </w:t>
      </w:r>
      <w:r w:rsidRPr="000E5E5B">
        <w:rPr>
          <w:i/>
          <w:iCs/>
        </w:rPr>
        <w:t>Frontiers in Psychology</w:t>
      </w:r>
      <w:r w:rsidRPr="000E5E5B">
        <w:t>, 14:1202819</w:t>
      </w:r>
    </w:p>
    <w:p w14:paraId="6E2A607B" w14:textId="77777777" w:rsidR="00FD0804" w:rsidRDefault="00FD0804" w:rsidP="000E5E5B">
      <w:r w:rsidRPr="00956B7C">
        <w:br/>
        <w:t xml:space="preserve">Hwb (Curriculum for Wales guidance) (n.d.) </w:t>
      </w:r>
      <w:r w:rsidRPr="00956B7C">
        <w:rPr>
          <w:i/>
          <w:iCs/>
        </w:rPr>
        <w:t>Curriculum for Wales</w:t>
      </w:r>
      <w:r w:rsidRPr="00956B7C">
        <w:t xml:space="preserve">. Available at: </w:t>
      </w:r>
      <w:hyperlink r:id="rId13" w:tgtFrame="_new" w:history="1">
        <w:r w:rsidRPr="00956B7C">
          <w:rPr>
            <w:rStyle w:val="Hyperlink"/>
          </w:rPr>
          <w:t>https://hwb.gov.wales/curriculum-for-wales</w:t>
        </w:r>
      </w:hyperlink>
      <w:r w:rsidRPr="00956B7C">
        <w:t xml:space="preserve"> (Accessed: 3 April 2026)</w:t>
      </w:r>
    </w:p>
    <w:p w14:paraId="6AC437BB" w14:textId="77777777" w:rsidR="00FD0804" w:rsidRDefault="00FD0804">
      <w:r w:rsidRPr="000E5E5B">
        <w:t xml:space="preserve">Incredible Years (2025) </w:t>
      </w:r>
      <w:r w:rsidRPr="000E5E5B">
        <w:rPr>
          <w:i/>
          <w:iCs/>
        </w:rPr>
        <w:t>The importance of language in child development</w:t>
      </w:r>
      <w:r w:rsidRPr="000E5E5B">
        <w:t xml:space="preserve">. Available at: </w:t>
      </w:r>
      <w:hyperlink r:id="rId14" w:tgtFrame="_new" w:history="1">
        <w:r w:rsidRPr="000E5E5B">
          <w:rPr>
            <w:rStyle w:val="Hyperlink"/>
          </w:rPr>
          <w:t>https://www.incredibleyears.com/blog/language-in-child-development</w:t>
        </w:r>
      </w:hyperlink>
      <w:r w:rsidRPr="000E5E5B">
        <w:t xml:space="preserve"> (Accessed: </w:t>
      </w:r>
      <w:r>
        <w:t>25</w:t>
      </w:r>
      <w:r w:rsidRPr="000E5E5B">
        <w:rPr>
          <w:vertAlign w:val="superscript"/>
        </w:rPr>
        <w:t>th</w:t>
      </w:r>
      <w:r>
        <w:t xml:space="preserve"> </w:t>
      </w:r>
      <w:r w:rsidRPr="000E5E5B">
        <w:t>April 2026)</w:t>
      </w:r>
    </w:p>
    <w:p w14:paraId="049AF441" w14:textId="77777777" w:rsidR="00FD0804" w:rsidRDefault="00FD0804">
      <w:r w:rsidRPr="000E5E5B">
        <w:t xml:space="preserve">Lawton, W. (2023) </w:t>
      </w:r>
      <w:r w:rsidRPr="000E5E5B">
        <w:rPr>
          <w:i/>
          <w:iCs/>
        </w:rPr>
        <w:t>Language environment and infants’ brain structure</w:t>
      </w:r>
      <w:r w:rsidRPr="000E5E5B">
        <w:t xml:space="preserve">. Available at: </w:t>
      </w:r>
      <w:hyperlink r:id="rId15" w:tgtFrame="_new" w:history="1">
        <w:r w:rsidRPr="000E5E5B">
          <w:rPr>
            <w:rStyle w:val="Hyperlink"/>
          </w:rPr>
          <w:t>https://pmc.ncbi.nlm.nih.gov/articles/PMC10342219/</w:t>
        </w:r>
      </w:hyperlink>
      <w:r w:rsidRPr="000E5E5B">
        <w:t xml:space="preserve"> (Accessed: </w:t>
      </w:r>
      <w:r>
        <w:t>26</w:t>
      </w:r>
      <w:r w:rsidRPr="000E5E5B">
        <w:rPr>
          <w:vertAlign w:val="superscript"/>
        </w:rPr>
        <w:t>th</w:t>
      </w:r>
      <w:r>
        <w:t xml:space="preserve"> April </w:t>
      </w:r>
      <w:r w:rsidRPr="000E5E5B">
        <w:t xml:space="preserve"> 2026)</w:t>
      </w:r>
    </w:p>
    <w:p w14:paraId="479903B5" w14:textId="77777777" w:rsidR="00FD0804" w:rsidRPr="000E5E5B" w:rsidRDefault="00FD0804" w:rsidP="000E5E5B">
      <w:r w:rsidRPr="00FD0804">
        <w:t xml:space="preserve">National Literacy Trust (2022) </w:t>
      </w:r>
      <w:r w:rsidRPr="00FD0804">
        <w:rPr>
          <w:i/>
          <w:iCs/>
        </w:rPr>
        <w:t>Understanding multilingualism in the early years</w:t>
      </w:r>
      <w:r w:rsidRPr="00FD0804">
        <w:t xml:space="preserve">. Available at: </w:t>
      </w:r>
      <w:hyperlink r:id="rId16" w:tgtFrame="_new" w:history="1">
        <w:r w:rsidRPr="00FD0804">
          <w:rPr>
            <w:rStyle w:val="Hyperlink"/>
          </w:rPr>
          <w:t>https://literacytrust.org.uk</w:t>
        </w:r>
      </w:hyperlink>
      <w:r w:rsidRPr="00FD0804">
        <w:t xml:space="preserve"> (Accessed: 3 April 2026)</w:t>
      </w:r>
    </w:p>
    <w:p w14:paraId="54300308" w14:textId="77777777" w:rsidR="00FD0804" w:rsidRDefault="00FD0804" w:rsidP="000E5E5B">
      <w:r w:rsidRPr="000E5E5B">
        <w:t xml:space="preserve">Romeo, R.R. </w:t>
      </w:r>
      <w:r w:rsidRPr="000E5E5B">
        <w:rPr>
          <w:i/>
          <w:iCs/>
        </w:rPr>
        <w:t>et al.</w:t>
      </w:r>
      <w:r w:rsidRPr="000E5E5B">
        <w:t xml:space="preserve"> (2018) </w:t>
      </w:r>
      <w:r w:rsidRPr="000E5E5B">
        <w:rPr>
          <w:i/>
          <w:iCs/>
        </w:rPr>
        <w:t>Language exposure relates to structural neural connectivity in childhood</w:t>
      </w:r>
      <w:r w:rsidRPr="000E5E5B">
        <w:t>. Journal of Neuroscience, 38(36), pp. 7870–7877</w:t>
      </w:r>
    </w:p>
    <w:p w14:paraId="50F1204C" w14:textId="77777777" w:rsidR="00FD0804" w:rsidRDefault="00FD0804">
      <w:r w:rsidRPr="00F975E9">
        <w:t xml:space="preserve">Wei, L. (ed.) (2018) </w:t>
      </w:r>
      <w:r w:rsidRPr="00F975E9">
        <w:rPr>
          <w:i/>
          <w:iCs/>
        </w:rPr>
        <w:t>The Routledge Handbook of Multilingualism</w:t>
      </w:r>
      <w:r w:rsidRPr="00F975E9">
        <w:t>. London: Routledge</w:t>
      </w:r>
    </w:p>
    <w:p w14:paraId="4D70EE02" w14:textId="77777777" w:rsidR="00FD0804" w:rsidRDefault="00FD0804">
      <w:r w:rsidRPr="000E5E5B">
        <w:t xml:space="preserve">Welsh Government (2024) </w:t>
      </w:r>
      <w:r w:rsidRPr="000E5E5B">
        <w:rPr>
          <w:i/>
          <w:iCs/>
        </w:rPr>
        <w:t>How we immerse children in the Welsh language: the unique approach in Wales</w:t>
      </w:r>
      <w:r w:rsidRPr="000E5E5B">
        <w:t xml:space="preserve">. Available at: </w:t>
      </w:r>
      <w:hyperlink r:id="rId17" w:tgtFrame="_new" w:history="1">
        <w:r w:rsidRPr="000E5E5B">
          <w:rPr>
            <w:rStyle w:val="Hyperlink"/>
          </w:rPr>
          <w:t>https://www.gov.wales/how-we-immerse-children-welsh-language-unique-us-wales</w:t>
        </w:r>
      </w:hyperlink>
      <w:r w:rsidRPr="000E5E5B">
        <w:t xml:space="preserve"> (Accessed: </w:t>
      </w:r>
      <w:r>
        <w:t>25</w:t>
      </w:r>
      <w:r w:rsidRPr="000E5E5B">
        <w:rPr>
          <w:vertAlign w:val="superscript"/>
        </w:rPr>
        <w:t>th</w:t>
      </w:r>
      <w:r>
        <w:t xml:space="preserve"> March</w:t>
      </w:r>
      <w:r w:rsidRPr="000E5E5B">
        <w:t xml:space="preserve"> 2026)</w:t>
      </w:r>
    </w:p>
    <w:p w14:paraId="006799DF" w14:textId="77777777" w:rsidR="00FD0804" w:rsidRDefault="00FD0804" w:rsidP="000E5E5B">
      <w:r w:rsidRPr="00956B7C">
        <w:br/>
        <w:t xml:space="preserve">Welsh Government (2025) </w:t>
      </w:r>
      <w:r w:rsidRPr="00956B7C">
        <w:rPr>
          <w:i/>
          <w:iCs/>
        </w:rPr>
        <w:t>Cymraeg 2050: Welsh language strategy action plan 2025 to 2026</w:t>
      </w:r>
      <w:r w:rsidRPr="00956B7C">
        <w:t xml:space="preserve">. Available at: </w:t>
      </w:r>
      <w:hyperlink r:id="rId18" w:tgtFrame="_new" w:history="1">
        <w:r w:rsidRPr="00956B7C">
          <w:rPr>
            <w:rStyle w:val="Hyperlink"/>
          </w:rPr>
          <w:t>https://www.gov.wales/cymraeg-2050-welsh-language-strategy-action-plan-2025-2026-html</w:t>
        </w:r>
      </w:hyperlink>
      <w:r w:rsidRPr="00956B7C">
        <w:t xml:space="preserve"> (Accessed: 3 April 2026)</w:t>
      </w:r>
    </w:p>
    <w:p w14:paraId="2186BD01" w14:textId="77777777" w:rsidR="00FD0804" w:rsidRDefault="00FD0804" w:rsidP="000E5E5B">
      <w:r w:rsidRPr="00956B7C">
        <w:br/>
        <w:t xml:space="preserve">Welsh Government (2025) </w:t>
      </w:r>
      <w:r w:rsidRPr="00956B7C">
        <w:rPr>
          <w:i/>
          <w:iCs/>
        </w:rPr>
        <w:t>Welsh Medium Childcare Qualifications Programme Grant Scheme guidance</w:t>
      </w:r>
      <w:r w:rsidRPr="00956B7C">
        <w:t xml:space="preserve">. Available at: </w:t>
      </w:r>
      <w:hyperlink r:id="rId19" w:tgtFrame="_new" w:history="1">
        <w:r w:rsidRPr="00956B7C">
          <w:rPr>
            <w:rStyle w:val="Hyperlink"/>
          </w:rPr>
          <w:t>https://www.gov.wales/welsh-medium-childcare-qualifications-programme-grant-scheme-guidance-html</w:t>
        </w:r>
      </w:hyperlink>
      <w:r w:rsidRPr="00956B7C">
        <w:t xml:space="preserve"> (Accessed: 3 April 2026)</w:t>
      </w:r>
    </w:p>
    <w:sectPr w:rsidR="00FD0804">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66D522" w14:textId="77777777" w:rsidR="00396FEC" w:rsidRDefault="00396FEC" w:rsidP="00337915">
      <w:pPr>
        <w:spacing w:after="0" w:line="240" w:lineRule="auto"/>
      </w:pPr>
      <w:r>
        <w:separator/>
      </w:r>
    </w:p>
  </w:endnote>
  <w:endnote w:type="continuationSeparator" w:id="0">
    <w:p w14:paraId="02AF1C94" w14:textId="77777777" w:rsidR="00396FEC" w:rsidRDefault="00396FEC" w:rsidP="003379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973839" w14:textId="77777777" w:rsidR="00396FEC" w:rsidRDefault="00396FEC" w:rsidP="00337915">
      <w:pPr>
        <w:spacing w:after="0" w:line="240" w:lineRule="auto"/>
      </w:pPr>
      <w:r>
        <w:separator/>
      </w:r>
    </w:p>
  </w:footnote>
  <w:footnote w:type="continuationSeparator" w:id="0">
    <w:p w14:paraId="77F6465A" w14:textId="77777777" w:rsidR="00396FEC" w:rsidRDefault="00396FEC" w:rsidP="003379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098E57" w14:textId="77777777" w:rsidR="00337915" w:rsidRPr="001026D1" w:rsidRDefault="00337915" w:rsidP="00337915">
    <w:pPr>
      <w:pStyle w:val="Header"/>
      <w:rPr>
        <w:rFonts w:ascii="Arial" w:hAnsi="Arial" w:cs="Arial"/>
      </w:rPr>
    </w:pPr>
    <w:r w:rsidRPr="001026D1">
      <w:rPr>
        <w:rFonts w:ascii="Arial" w:hAnsi="Arial" w:cs="Arial"/>
      </w:rPr>
      <w:t xml:space="preserve">Student number: 2518138 </w:t>
    </w:r>
  </w:p>
  <w:p w14:paraId="4DA6631E" w14:textId="4091F724" w:rsidR="00337915" w:rsidRPr="001026D1" w:rsidRDefault="00337915" w:rsidP="00337915">
    <w:pPr>
      <w:pStyle w:val="Header"/>
      <w:rPr>
        <w:rFonts w:ascii="Arial" w:hAnsi="Arial" w:cs="Arial"/>
      </w:rPr>
    </w:pPr>
    <w:r w:rsidRPr="001026D1">
      <w:rPr>
        <w:rFonts w:ascii="Arial" w:hAnsi="Arial" w:cs="Arial"/>
      </w:rPr>
      <w:t xml:space="preserve">Word count –  </w:t>
    </w:r>
    <w:r>
      <w:rPr>
        <w:rFonts w:ascii="Arial" w:hAnsi="Arial" w:cs="Arial"/>
      </w:rPr>
      <w:t>1,540</w:t>
    </w:r>
  </w:p>
  <w:p w14:paraId="033542A1" w14:textId="76683DE0" w:rsidR="00337915" w:rsidRPr="001026D1" w:rsidRDefault="00337915" w:rsidP="00337915">
    <w:pPr>
      <w:pStyle w:val="Header"/>
      <w:rPr>
        <w:rFonts w:ascii="Arial" w:hAnsi="Arial" w:cs="Arial"/>
      </w:rPr>
    </w:pPr>
    <w:r w:rsidRPr="001026D1">
      <w:rPr>
        <w:rFonts w:ascii="Arial" w:hAnsi="Arial" w:cs="Arial"/>
      </w:rPr>
      <w:t>Module Code: EC</w:t>
    </w:r>
    <w:r>
      <w:rPr>
        <w:rFonts w:ascii="Arial" w:hAnsi="Arial" w:cs="Arial"/>
      </w:rPr>
      <w:t>EY</w:t>
    </w:r>
    <w:r w:rsidRPr="001026D1">
      <w:rPr>
        <w:rFonts w:ascii="Arial" w:hAnsi="Arial" w:cs="Arial"/>
      </w:rPr>
      <w:t>4</w:t>
    </w:r>
    <w:r>
      <w:rPr>
        <w:rFonts w:ascii="Arial" w:hAnsi="Arial" w:cs="Arial"/>
      </w:rPr>
      <w:t>010</w:t>
    </w:r>
  </w:p>
  <w:p w14:paraId="2FF2CA6A" w14:textId="7D0A6D21" w:rsidR="00337915" w:rsidRPr="00337915" w:rsidRDefault="00337915" w:rsidP="0033791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0491"/>
    <w:rsid w:val="0005392D"/>
    <w:rsid w:val="000E5E5B"/>
    <w:rsid w:val="00200F0C"/>
    <w:rsid w:val="00337915"/>
    <w:rsid w:val="0034647B"/>
    <w:rsid w:val="003708C0"/>
    <w:rsid w:val="00396FEC"/>
    <w:rsid w:val="00427DB6"/>
    <w:rsid w:val="004C67D0"/>
    <w:rsid w:val="005D5FF9"/>
    <w:rsid w:val="006A0491"/>
    <w:rsid w:val="006D55E6"/>
    <w:rsid w:val="0083622A"/>
    <w:rsid w:val="00920011"/>
    <w:rsid w:val="00956B7C"/>
    <w:rsid w:val="00964642"/>
    <w:rsid w:val="00DF1E6F"/>
    <w:rsid w:val="00DF25AD"/>
    <w:rsid w:val="00F1382C"/>
    <w:rsid w:val="00F975E9"/>
    <w:rsid w:val="00FA0D2B"/>
    <w:rsid w:val="00FC1A5C"/>
    <w:rsid w:val="00FD08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72477"/>
  <w15:chartTrackingRefBased/>
  <w15:docId w15:val="{BBDF79CB-2C41-4A22-A72A-4F58916863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04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A04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A04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A04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A04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A04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04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04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04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04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A04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A04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A04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04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04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04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04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0491"/>
    <w:rPr>
      <w:rFonts w:eastAsiaTheme="majorEastAsia" w:cstheme="majorBidi"/>
      <w:color w:val="272727" w:themeColor="text1" w:themeTint="D8"/>
    </w:rPr>
  </w:style>
  <w:style w:type="paragraph" w:styleId="Title">
    <w:name w:val="Title"/>
    <w:basedOn w:val="Normal"/>
    <w:next w:val="Normal"/>
    <w:link w:val="TitleChar"/>
    <w:uiPriority w:val="10"/>
    <w:qFormat/>
    <w:rsid w:val="006A04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04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04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04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0491"/>
    <w:pPr>
      <w:spacing w:before="160"/>
      <w:jc w:val="center"/>
    </w:pPr>
    <w:rPr>
      <w:i/>
      <w:iCs/>
      <w:color w:val="404040" w:themeColor="text1" w:themeTint="BF"/>
    </w:rPr>
  </w:style>
  <w:style w:type="character" w:customStyle="1" w:styleId="QuoteChar">
    <w:name w:val="Quote Char"/>
    <w:basedOn w:val="DefaultParagraphFont"/>
    <w:link w:val="Quote"/>
    <w:uiPriority w:val="29"/>
    <w:rsid w:val="006A0491"/>
    <w:rPr>
      <w:i/>
      <w:iCs/>
      <w:color w:val="404040" w:themeColor="text1" w:themeTint="BF"/>
    </w:rPr>
  </w:style>
  <w:style w:type="paragraph" w:styleId="ListParagraph">
    <w:name w:val="List Paragraph"/>
    <w:basedOn w:val="Normal"/>
    <w:uiPriority w:val="34"/>
    <w:qFormat/>
    <w:rsid w:val="006A0491"/>
    <w:pPr>
      <w:ind w:left="720"/>
      <w:contextualSpacing/>
    </w:pPr>
  </w:style>
  <w:style w:type="character" w:styleId="IntenseEmphasis">
    <w:name w:val="Intense Emphasis"/>
    <w:basedOn w:val="DefaultParagraphFont"/>
    <w:uiPriority w:val="21"/>
    <w:qFormat/>
    <w:rsid w:val="006A0491"/>
    <w:rPr>
      <w:i/>
      <w:iCs/>
      <w:color w:val="0F4761" w:themeColor="accent1" w:themeShade="BF"/>
    </w:rPr>
  </w:style>
  <w:style w:type="paragraph" w:styleId="IntenseQuote">
    <w:name w:val="Intense Quote"/>
    <w:basedOn w:val="Normal"/>
    <w:next w:val="Normal"/>
    <w:link w:val="IntenseQuoteChar"/>
    <w:uiPriority w:val="30"/>
    <w:qFormat/>
    <w:rsid w:val="006A04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A0491"/>
    <w:rPr>
      <w:i/>
      <w:iCs/>
      <w:color w:val="0F4761" w:themeColor="accent1" w:themeShade="BF"/>
    </w:rPr>
  </w:style>
  <w:style w:type="character" w:styleId="IntenseReference">
    <w:name w:val="Intense Reference"/>
    <w:basedOn w:val="DefaultParagraphFont"/>
    <w:uiPriority w:val="32"/>
    <w:qFormat/>
    <w:rsid w:val="006A0491"/>
    <w:rPr>
      <w:b/>
      <w:bCs/>
      <w:smallCaps/>
      <w:color w:val="0F4761" w:themeColor="accent1" w:themeShade="BF"/>
      <w:spacing w:val="5"/>
    </w:rPr>
  </w:style>
  <w:style w:type="character" w:styleId="Hyperlink">
    <w:name w:val="Hyperlink"/>
    <w:basedOn w:val="DefaultParagraphFont"/>
    <w:uiPriority w:val="99"/>
    <w:unhideWhenUsed/>
    <w:rsid w:val="000E5E5B"/>
    <w:rPr>
      <w:color w:val="467886" w:themeColor="hyperlink"/>
      <w:u w:val="single"/>
    </w:rPr>
  </w:style>
  <w:style w:type="character" w:styleId="UnresolvedMention">
    <w:name w:val="Unresolved Mention"/>
    <w:basedOn w:val="DefaultParagraphFont"/>
    <w:uiPriority w:val="99"/>
    <w:semiHidden/>
    <w:unhideWhenUsed/>
    <w:rsid w:val="000E5E5B"/>
    <w:rPr>
      <w:color w:val="605E5C"/>
      <w:shd w:val="clear" w:color="auto" w:fill="E1DFDD"/>
    </w:rPr>
  </w:style>
  <w:style w:type="paragraph" w:styleId="Header">
    <w:name w:val="header"/>
    <w:basedOn w:val="Normal"/>
    <w:link w:val="HeaderChar"/>
    <w:unhideWhenUsed/>
    <w:rsid w:val="003379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7915"/>
  </w:style>
  <w:style w:type="paragraph" w:styleId="Footer">
    <w:name w:val="footer"/>
    <w:basedOn w:val="Normal"/>
    <w:link w:val="FooterChar"/>
    <w:uiPriority w:val="99"/>
    <w:unhideWhenUsed/>
    <w:rsid w:val="003379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7915"/>
  </w:style>
  <w:style w:type="paragraph" w:styleId="NormalWeb">
    <w:name w:val="Normal (Web)"/>
    <w:basedOn w:val="Normal"/>
    <w:uiPriority w:val="99"/>
    <w:semiHidden/>
    <w:unhideWhenUsed/>
    <w:rsid w:val="00200F0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34647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wlwm.org.uk/blog/using-bilingualism-english-medium-early-year-childcare-and-play-settings" TargetMode="External"/><Relationship Id="rId13" Type="http://schemas.openxmlformats.org/officeDocument/2006/relationships/hyperlink" Target="https://hwb.gov.wales/curriculum-for-wales?utm_source=chatgpt.com" TargetMode="External"/><Relationship Id="rId18" Type="http://schemas.openxmlformats.org/officeDocument/2006/relationships/hyperlink" Target="https://www.gov.wales/cymraeg-2050-welsh-language-strategy-action-plan-2025-2026-html?utm_source=chatgpt.com"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uowtsd-my.sharepoint.com/:v:/r/personal/2518138_student_uwtsd_ac_uk/Documents/ECEY4010%20-%20Part%201%20-%20The%20Recorded%20Activity.mov?csf=1&amp;web=1&amp;nav=eyJyZWZlcnJhbEluZm8iOnsicmVmZXJyYWxBcHAiOiJPbmVEcml2ZUZvckJ1c2luZXNzIiwicmVmZXJyYWxBcHBQbGF0Zm9ybSI6IldlYiIsInJlZmVycmFsTW9kZSI6InZpZXciLCJyZWZlcnJhbFZpZXciOiJNeUZpbGVzTGlua0NvcHkifX0&amp;e=QLXGfF" TargetMode="External"/><Relationship Id="rId12" Type="http://schemas.openxmlformats.org/officeDocument/2006/relationships/hyperlink" Target="https://help-for-early-years-providers.education.gov.uk/support-for-practitioners/english-as-an-additional-language-eal?utm_source=chatgpt.com" TargetMode="External"/><Relationship Id="rId17" Type="http://schemas.openxmlformats.org/officeDocument/2006/relationships/hyperlink" Target="https://www.gov.wales/how-we-immerse-children-welsh-language-unique-us-wales" TargetMode="External"/><Relationship Id="rId2" Type="http://schemas.openxmlformats.org/officeDocument/2006/relationships/styles" Target="styles.xml"/><Relationship Id="rId16" Type="http://schemas.openxmlformats.org/officeDocument/2006/relationships/hyperlink" Target="https://literacytrust.org.uk"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arlyyears.wales/en/welsh-language-support?utm_source=chatgpt.com" TargetMode="External"/><Relationship Id="rId5" Type="http://schemas.openxmlformats.org/officeDocument/2006/relationships/footnotes" Target="footnotes.xml"/><Relationship Id="rId15" Type="http://schemas.openxmlformats.org/officeDocument/2006/relationships/hyperlink" Target="https://pmc.ncbi.nlm.nih.gov/articles/PMC10342219/" TargetMode="External"/><Relationship Id="rId10" Type="http://schemas.openxmlformats.org/officeDocument/2006/relationships/hyperlink" Target="https://www.earlyyears.wales/en/welsh-language-support?utm_source=chatgpt.com" TargetMode="External"/><Relationship Id="rId19" Type="http://schemas.openxmlformats.org/officeDocument/2006/relationships/hyperlink" Target="https://www.gov.wales/welsh-medium-childcare-qualifications-programme-grant-scheme-guidance-html?utm_source=chatgpt.com" TargetMode="External"/><Relationship Id="rId4" Type="http://schemas.openxmlformats.org/officeDocument/2006/relationships/webSettings" Target="webSettings.xml"/><Relationship Id="rId9" Type="http://schemas.openxmlformats.org/officeDocument/2006/relationships/hyperlink" Target="https://help-for-early-years-providers.education.gov.uk/support-for-practitioners/english-as-an-additional-language-eal?utm_source=chatgpt.com" TargetMode="External"/><Relationship Id="rId14" Type="http://schemas.openxmlformats.org/officeDocument/2006/relationships/hyperlink" Target="https://www.incredibleyears.com/blog/language-in-child-developmen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DACC0B-603C-4280-B0DA-2F5EA8FC49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8</Pages>
  <Words>2550</Words>
  <Characters>14538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Nasima Begum</dc:creator>
  <cp:keywords/>
  <dc:description/>
  <cp:lastModifiedBy>Nasima Begum</cp:lastModifiedBy>
  <cp:revision>2</cp:revision>
  <dcterms:created xsi:type="dcterms:W3CDTF">2026-04-03T21:50:00Z</dcterms:created>
  <dcterms:modified xsi:type="dcterms:W3CDTF">2026-04-03T21:50:00Z</dcterms:modified>
</cp:coreProperties>
</file>