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F9A" w:rsidRDefault="008A2F9A">
      <w:pPr>
        <w:pStyle w:val="BodyA"/>
        <w:rPr>
          <w:b/>
          <w:bCs/>
          <w:sz w:val="50"/>
          <w:szCs w:val="50"/>
        </w:rPr>
      </w:pPr>
    </w:p>
    <w:p w:rsidR="008A2F9A" w:rsidRDefault="008A2F9A">
      <w:pPr>
        <w:pStyle w:val="BodyA"/>
        <w:rPr>
          <w:b/>
          <w:bCs/>
          <w:sz w:val="50"/>
          <w:szCs w:val="50"/>
        </w:rPr>
      </w:pPr>
    </w:p>
    <w:p w:rsidR="008A2F9A" w:rsidRDefault="008A2F9A">
      <w:pPr>
        <w:pStyle w:val="BodyA"/>
        <w:rPr>
          <w:b/>
          <w:bCs/>
          <w:sz w:val="50"/>
          <w:szCs w:val="50"/>
        </w:rPr>
      </w:pPr>
    </w:p>
    <w:p w:rsidR="008A2F9A" w:rsidRDefault="008A2F9A">
      <w:pPr>
        <w:pStyle w:val="BodyA"/>
        <w:rPr>
          <w:b/>
          <w:bCs/>
          <w:sz w:val="50"/>
          <w:szCs w:val="50"/>
        </w:rPr>
      </w:pPr>
    </w:p>
    <w:p w:rsidR="008A2F9A" w:rsidRDefault="001F73AF">
      <w:pPr>
        <w:pStyle w:val="BodyA"/>
        <w:rPr>
          <w:b/>
          <w:bCs/>
          <w:sz w:val="50"/>
          <w:szCs w:val="50"/>
        </w:rPr>
      </w:pPr>
      <w:r>
        <w:rPr>
          <w:b/>
          <w:bCs/>
          <w:sz w:val="50"/>
          <w:szCs w:val="50"/>
        </w:rPr>
        <w:t xml:space="preserve">Property Law and Practice </w:t>
      </w:r>
    </w:p>
    <w:p w:rsidR="008A2F9A" w:rsidRDefault="001F73AF">
      <w:pPr>
        <w:pStyle w:val="BodyA"/>
        <w:rPr>
          <w:sz w:val="40"/>
          <w:szCs w:val="40"/>
        </w:rPr>
      </w:pPr>
      <w:r>
        <w:rPr>
          <w:rFonts w:ascii="Arial Unicode MS" w:eastAsia="Arial Unicode MS" w:hAnsi="Arial Unicode MS" w:cs="Arial Unicode MS"/>
          <w:sz w:val="40"/>
          <w:szCs w:val="40"/>
        </w:rPr>
        <w:br/>
      </w:r>
      <w:proofErr w:type="spellStart"/>
      <w:r w:rsidR="005744A7">
        <w:rPr>
          <w:sz w:val="40"/>
          <w:szCs w:val="40"/>
        </w:rPr>
        <w:t>Sangw</w:t>
      </w:r>
      <w:r w:rsidR="00284B1D">
        <w:rPr>
          <w:sz w:val="40"/>
          <w:szCs w:val="40"/>
        </w:rPr>
        <w:t>a</w:t>
      </w:r>
      <w:r w:rsidR="005744A7">
        <w:rPr>
          <w:sz w:val="40"/>
          <w:szCs w:val="40"/>
        </w:rPr>
        <w:t>n</w:t>
      </w:r>
      <w:r w:rsidR="00284B1D">
        <w:rPr>
          <w:sz w:val="40"/>
          <w:szCs w:val="40"/>
        </w:rPr>
        <w:t>i</w:t>
      </w:r>
      <w:proofErr w:type="spellEnd"/>
      <w:r>
        <w:rPr>
          <w:sz w:val="40"/>
          <w:szCs w:val="40"/>
        </w:rPr>
        <w:t xml:space="preserve"> Mwenya</w:t>
      </w:r>
      <w:r>
        <w:rPr>
          <w:b/>
          <w:bCs/>
          <w:sz w:val="40"/>
          <w:szCs w:val="40"/>
        </w:rPr>
        <w:t xml:space="preserve"> </w:t>
      </w:r>
    </w:p>
    <w:p w:rsidR="008A2F9A" w:rsidRDefault="008A2F9A">
      <w:pPr>
        <w:pStyle w:val="BodyA"/>
      </w:pPr>
    </w:p>
    <w:p w:rsidR="008A2F9A" w:rsidRDefault="001F73AF">
      <w:pPr>
        <w:pStyle w:val="BodyA"/>
      </w:pPr>
      <w:r>
        <w:t>2019</w:t>
      </w:r>
    </w:p>
    <w:p w:rsidR="008A2F9A" w:rsidRDefault="008A2F9A">
      <w:pPr>
        <w:pStyle w:val="BodyA"/>
      </w:pPr>
    </w:p>
    <w:p w:rsidR="008A2F9A" w:rsidRDefault="008A2F9A">
      <w:pPr>
        <w:pStyle w:val="BodyA"/>
      </w:pPr>
      <w:bookmarkStart w:id="0" w:name="_GoBack"/>
      <w:bookmarkEnd w:id="0"/>
    </w:p>
    <w:p w:rsidR="008A2F9A" w:rsidRDefault="008A2F9A">
      <w:pPr>
        <w:pStyle w:val="BodyA"/>
      </w:pPr>
    </w:p>
    <w:p w:rsidR="008A2F9A" w:rsidRDefault="008A2F9A">
      <w:pPr>
        <w:pStyle w:val="BodyA"/>
        <w:rPr>
          <w:sz w:val="60"/>
          <w:szCs w:val="60"/>
        </w:rPr>
      </w:pPr>
    </w:p>
    <w:p w:rsidR="008A2F9A" w:rsidRDefault="008A2F9A">
      <w:pPr>
        <w:pStyle w:val="BodyA"/>
        <w:rPr>
          <w:sz w:val="60"/>
          <w:szCs w:val="60"/>
        </w:rPr>
      </w:pPr>
    </w:p>
    <w:p w:rsidR="008A2F9A" w:rsidRDefault="008A2F9A">
      <w:pPr>
        <w:pStyle w:val="BodyA"/>
        <w:rPr>
          <w:sz w:val="60"/>
          <w:szCs w:val="60"/>
        </w:rPr>
      </w:pPr>
    </w:p>
    <w:p w:rsidR="008A2F9A" w:rsidRDefault="001F73AF">
      <w:pPr>
        <w:pStyle w:val="BodyA"/>
        <w:rPr>
          <w:b/>
          <w:bCs/>
          <w:sz w:val="48"/>
          <w:szCs w:val="48"/>
        </w:rPr>
      </w:pPr>
      <w:r>
        <w:rPr>
          <w:b/>
          <w:bCs/>
          <w:sz w:val="48"/>
          <w:szCs w:val="48"/>
        </w:rPr>
        <w:t>The application of property &amp; land law</w:t>
      </w:r>
    </w:p>
    <w:p w:rsidR="008A2F9A" w:rsidRDefault="008A2F9A">
      <w:pPr>
        <w:pStyle w:val="BodyA"/>
      </w:pPr>
    </w:p>
    <w:p w:rsidR="008A2F9A" w:rsidRDefault="008A2F9A">
      <w:pPr>
        <w:pStyle w:val="BodyA"/>
      </w:pPr>
    </w:p>
    <w:p w:rsidR="008A2F9A" w:rsidRDefault="008A2F9A">
      <w:pPr>
        <w:pStyle w:val="BodyA"/>
      </w:pPr>
    </w:p>
    <w:p w:rsidR="008A2F9A" w:rsidRDefault="008A2F9A">
      <w:pPr>
        <w:pStyle w:val="BodyA"/>
      </w:pPr>
    </w:p>
    <w:p w:rsidR="008A2F9A" w:rsidRDefault="008A2F9A">
      <w:pPr>
        <w:pStyle w:val="BodyA"/>
      </w:pPr>
    </w:p>
    <w:p w:rsidR="008A2F9A" w:rsidRDefault="008A2F9A">
      <w:pPr>
        <w:pStyle w:val="BodyA"/>
      </w:pPr>
    </w:p>
    <w:p w:rsidR="008A2F9A" w:rsidRDefault="008A2F9A">
      <w:pPr>
        <w:pStyle w:val="BodyA"/>
      </w:pPr>
    </w:p>
    <w:p w:rsidR="008A2F9A" w:rsidRDefault="008A2F9A">
      <w:pPr>
        <w:pStyle w:val="BodyA"/>
      </w:pPr>
    </w:p>
    <w:p w:rsidR="008A2F9A" w:rsidRDefault="001F73AF">
      <w:pPr>
        <w:pStyle w:val="BodyA"/>
      </w:pPr>
      <w:r>
        <w:rPr>
          <w:b/>
          <w:bCs/>
        </w:rPr>
        <w:t xml:space="preserve">Assignment 1 of </w:t>
      </w:r>
      <w:proofErr w:type="gramStart"/>
      <w:r>
        <w:rPr>
          <w:b/>
          <w:bCs/>
        </w:rPr>
        <w:t>1</w:t>
      </w:r>
      <w:proofErr w:type="gramEnd"/>
    </w:p>
    <w:p w:rsidR="008A2F9A" w:rsidRDefault="008A2F9A">
      <w:pPr>
        <w:pStyle w:val="BodyA"/>
      </w:pPr>
    </w:p>
    <w:p w:rsidR="008A2F9A" w:rsidRDefault="001F73AF">
      <w:pPr>
        <w:pStyle w:val="BodyA"/>
      </w:pPr>
      <w:r>
        <w:t>1703016</w:t>
      </w:r>
    </w:p>
    <w:p w:rsidR="008A2F9A" w:rsidRDefault="001F73AF">
      <w:pPr>
        <w:pStyle w:val="BodyA"/>
      </w:pPr>
      <w:r>
        <w:t xml:space="preserve">M5X01902 </w:t>
      </w:r>
    </w:p>
    <w:p w:rsidR="008A2F9A" w:rsidRDefault="001F73AF">
      <w:pPr>
        <w:pStyle w:val="BodyA"/>
      </w:pPr>
      <w:r>
        <w:t>UWTSD</w:t>
      </w:r>
      <w:r>
        <w:rPr>
          <w:rFonts w:ascii="Arial Unicode MS" w:eastAsia="Arial Unicode MS" w:hAnsi="Arial Unicode MS" w:cs="Arial Unicode MS"/>
        </w:rPr>
        <w:br/>
      </w:r>
      <w:r>
        <w:rPr>
          <w:lang w:val="it-IT"/>
        </w:rPr>
        <w:t xml:space="preserve">SA1 Swansea Metropolitan </w:t>
      </w:r>
      <w:r>
        <w:rPr>
          <w:rFonts w:ascii="Arial Unicode MS" w:eastAsia="Arial Unicode MS" w:hAnsi="Arial Unicode MS" w:cs="Arial Unicode MS"/>
        </w:rPr>
        <w:br/>
      </w:r>
      <w:r>
        <w:t>7</w:t>
      </w:r>
      <w:r>
        <w:rPr>
          <w:vertAlign w:val="superscript"/>
        </w:rPr>
        <w:t>th</w:t>
      </w:r>
      <w:r>
        <w:t xml:space="preserve"> May 2019</w:t>
      </w:r>
    </w:p>
    <w:p w:rsidR="008A2F9A" w:rsidRDefault="008A2F9A">
      <w:pPr>
        <w:pStyle w:val="BodyA"/>
        <w:jc w:val="left"/>
      </w:pPr>
    </w:p>
    <w:p w:rsidR="008A2F9A" w:rsidRDefault="008A2F9A">
      <w:pPr>
        <w:pStyle w:val="BodyA"/>
        <w:jc w:val="left"/>
      </w:pPr>
    </w:p>
    <w:p w:rsidR="008A2F9A" w:rsidRDefault="008A2F9A">
      <w:pPr>
        <w:pStyle w:val="BodyA"/>
        <w:jc w:val="left"/>
      </w:pPr>
    </w:p>
    <w:p w:rsidR="008A2F9A" w:rsidRDefault="008A2F9A">
      <w:pPr>
        <w:pStyle w:val="BodyA"/>
        <w:jc w:val="left"/>
      </w:pPr>
    </w:p>
    <w:p w:rsidR="008A2F9A" w:rsidRDefault="008A2F9A">
      <w:pPr>
        <w:pStyle w:val="BodyA"/>
        <w:jc w:val="left"/>
      </w:pPr>
    </w:p>
    <w:p w:rsidR="008A2F9A" w:rsidRDefault="008A2F9A">
      <w:pPr>
        <w:pStyle w:val="BodyA"/>
        <w:jc w:val="left"/>
      </w:pPr>
    </w:p>
    <w:p w:rsidR="008A2F9A" w:rsidRDefault="008A2F9A">
      <w:pPr>
        <w:pStyle w:val="BodyA"/>
        <w:jc w:val="left"/>
      </w:pPr>
    </w:p>
    <w:p w:rsidR="008A2F9A" w:rsidRDefault="008A2F9A">
      <w:pPr>
        <w:pStyle w:val="BodyA"/>
        <w:jc w:val="left"/>
        <w:rPr>
          <w:spacing w:val="-2"/>
          <w:sz w:val="24"/>
          <w:szCs w:val="24"/>
        </w:rPr>
      </w:pPr>
    </w:p>
    <w:p w:rsidR="008A2F9A" w:rsidRDefault="008A2F9A">
      <w:pPr>
        <w:pStyle w:val="BodyA"/>
        <w:jc w:val="left"/>
      </w:pPr>
    </w:p>
    <w:sdt>
      <w:sdtPr>
        <w:id w:val="229975862"/>
        <w:docPartObj>
          <w:docPartGallery w:val="Table of Contents"/>
          <w:docPartUnique/>
        </w:docPartObj>
      </w:sdtPr>
      <w:sdtEndPr>
        <w:rPr>
          <w:rFonts w:ascii="Times New Roman" w:hAnsi="Times New Roman" w:cs="Times New Roman"/>
          <w:b/>
          <w:bCs/>
          <w:noProof/>
          <w:color w:val="auto"/>
          <w:lang w:eastAsia="en-US"/>
        </w:rPr>
      </w:sdtEndPr>
      <w:sdtContent>
        <w:p w:rsidR="00705423" w:rsidRDefault="00705423">
          <w:pPr>
            <w:pStyle w:val="TOCHeading"/>
          </w:pPr>
          <w:r>
            <w:t>Contents</w:t>
          </w:r>
        </w:p>
        <w:p w:rsidR="00705423" w:rsidRDefault="00705423">
          <w:pPr>
            <w:pStyle w:val="TOC1"/>
            <w:rPr>
              <w:rFonts w:asciiTheme="minorHAnsi" w:eastAsiaTheme="minorEastAsia" w:hAnsiTheme="minorHAnsi" w:cstheme="minorBidi"/>
              <w:noProof/>
              <w:color w:val="auto"/>
              <w:bdr w:val="none" w:sz="0" w:space="0" w:color="auto"/>
              <w:lang w:val="en-GB"/>
            </w:rPr>
          </w:pPr>
          <w:r>
            <w:fldChar w:fldCharType="begin"/>
          </w:r>
          <w:r>
            <w:instrText xml:space="preserve"> TOC \o "1-3" \h \z \u </w:instrText>
          </w:r>
          <w:r>
            <w:fldChar w:fldCharType="separate"/>
          </w:r>
          <w:hyperlink w:anchor="_Toc8116523" w:history="1">
            <w:r w:rsidRPr="00FC5E82">
              <w:rPr>
                <w:rStyle w:val="Hyperlink"/>
                <w:b/>
                <w:bCs/>
                <w:noProof/>
                <w:lang w:val="fr-FR"/>
              </w:rPr>
              <w:t>Introduction</w:t>
            </w:r>
            <w:r>
              <w:rPr>
                <w:noProof/>
                <w:webHidden/>
              </w:rPr>
              <w:tab/>
            </w:r>
            <w:r>
              <w:rPr>
                <w:noProof/>
                <w:webHidden/>
              </w:rPr>
              <w:fldChar w:fldCharType="begin"/>
            </w:r>
            <w:r>
              <w:rPr>
                <w:noProof/>
                <w:webHidden/>
              </w:rPr>
              <w:instrText xml:space="preserve"> PAGEREF _Toc8116523 \h </w:instrText>
            </w:r>
            <w:r>
              <w:rPr>
                <w:noProof/>
                <w:webHidden/>
              </w:rPr>
            </w:r>
            <w:r>
              <w:rPr>
                <w:noProof/>
                <w:webHidden/>
              </w:rPr>
              <w:fldChar w:fldCharType="separate"/>
            </w:r>
            <w:r>
              <w:rPr>
                <w:noProof/>
                <w:webHidden/>
              </w:rPr>
              <w:t>3</w:t>
            </w:r>
            <w:r>
              <w:rPr>
                <w:noProof/>
                <w:webHidden/>
              </w:rPr>
              <w:fldChar w:fldCharType="end"/>
            </w:r>
          </w:hyperlink>
        </w:p>
        <w:p w:rsidR="00705423" w:rsidRDefault="00705423">
          <w:pPr>
            <w:pStyle w:val="TOC1"/>
            <w:rPr>
              <w:rFonts w:asciiTheme="minorHAnsi" w:eastAsiaTheme="minorEastAsia" w:hAnsiTheme="minorHAnsi" w:cstheme="minorBidi"/>
              <w:noProof/>
              <w:color w:val="auto"/>
              <w:bdr w:val="none" w:sz="0" w:space="0" w:color="auto"/>
              <w:lang w:val="en-GB"/>
            </w:rPr>
          </w:pPr>
          <w:hyperlink w:anchor="_Toc8116524" w:history="1">
            <w:r w:rsidRPr="00FC5E82">
              <w:rPr>
                <w:rStyle w:val="Hyperlink"/>
                <w:b/>
                <w:bCs/>
                <w:noProof/>
              </w:rPr>
              <w:t>Land Law Considerations</w:t>
            </w:r>
            <w:r>
              <w:rPr>
                <w:noProof/>
                <w:webHidden/>
              </w:rPr>
              <w:tab/>
            </w:r>
            <w:r>
              <w:rPr>
                <w:noProof/>
                <w:webHidden/>
              </w:rPr>
              <w:fldChar w:fldCharType="begin"/>
            </w:r>
            <w:r>
              <w:rPr>
                <w:noProof/>
                <w:webHidden/>
              </w:rPr>
              <w:instrText xml:space="preserve"> PAGEREF _Toc8116524 \h </w:instrText>
            </w:r>
            <w:r>
              <w:rPr>
                <w:noProof/>
                <w:webHidden/>
              </w:rPr>
            </w:r>
            <w:r>
              <w:rPr>
                <w:noProof/>
                <w:webHidden/>
              </w:rPr>
              <w:fldChar w:fldCharType="separate"/>
            </w:r>
            <w:r>
              <w:rPr>
                <w:noProof/>
                <w:webHidden/>
              </w:rPr>
              <w:t>4</w:t>
            </w:r>
            <w:r>
              <w:rPr>
                <w:noProof/>
                <w:webHidden/>
              </w:rPr>
              <w:fldChar w:fldCharType="end"/>
            </w:r>
          </w:hyperlink>
        </w:p>
        <w:p w:rsidR="00705423" w:rsidRDefault="00705423">
          <w:pPr>
            <w:pStyle w:val="TOC1"/>
            <w:rPr>
              <w:rFonts w:asciiTheme="minorHAnsi" w:eastAsiaTheme="minorEastAsia" w:hAnsiTheme="minorHAnsi" w:cstheme="minorBidi"/>
              <w:noProof/>
              <w:color w:val="auto"/>
              <w:bdr w:val="none" w:sz="0" w:space="0" w:color="auto"/>
              <w:lang w:val="en-GB"/>
            </w:rPr>
          </w:pPr>
          <w:hyperlink w:anchor="_Toc8116525" w:history="1">
            <w:r w:rsidRPr="00FC5E82">
              <w:rPr>
                <w:rStyle w:val="Hyperlink"/>
                <w:b/>
                <w:bCs/>
                <w:noProof/>
                <w:lang w:val="de-DE"/>
              </w:rPr>
              <w:t>Land Registration</w:t>
            </w:r>
            <w:r>
              <w:rPr>
                <w:noProof/>
                <w:webHidden/>
              </w:rPr>
              <w:tab/>
            </w:r>
            <w:r>
              <w:rPr>
                <w:noProof/>
                <w:webHidden/>
              </w:rPr>
              <w:fldChar w:fldCharType="begin"/>
            </w:r>
            <w:r>
              <w:rPr>
                <w:noProof/>
                <w:webHidden/>
              </w:rPr>
              <w:instrText xml:space="preserve"> PAGEREF _Toc8116525 \h </w:instrText>
            </w:r>
            <w:r>
              <w:rPr>
                <w:noProof/>
                <w:webHidden/>
              </w:rPr>
            </w:r>
            <w:r>
              <w:rPr>
                <w:noProof/>
                <w:webHidden/>
              </w:rPr>
              <w:fldChar w:fldCharType="separate"/>
            </w:r>
            <w:r>
              <w:rPr>
                <w:noProof/>
                <w:webHidden/>
              </w:rPr>
              <w:t>4</w:t>
            </w:r>
            <w:r>
              <w:rPr>
                <w:noProof/>
                <w:webHidden/>
              </w:rPr>
              <w:fldChar w:fldCharType="end"/>
            </w:r>
          </w:hyperlink>
        </w:p>
        <w:p w:rsidR="00705423" w:rsidRDefault="00705423">
          <w:pPr>
            <w:pStyle w:val="TOC1"/>
            <w:rPr>
              <w:rFonts w:asciiTheme="minorHAnsi" w:eastAsiaTheme="minorEastAsia" w:hAnsiTheme="minorHAnsi" w:cstheme="minorBidi"/>
              <w:noProof/>
              <w:color w:val="auto"/>
              <w:bdr w:val="none" w:sz="0" w:space="0" w:color="auto"/>
              <w:lang w:val="en-GB"/>
            </w:rPr>
          </w:pPr>
          <w:hyperlink w:anchor="_Toc8116526" w:history="1">
            <w:r w:rsidRPr="00FC5E82">
              <w:rPr>
                <w:rStyle w:val="Hyperlink"/>
                <w:b/>
                <w:bCs/>
                <w:noProof/>
              </w:rPr>
              <w:t>Planning Permission</w:t>
            </w:r>
            <w:r>
              <w:rPr>
                <w:noProof/>
                <w:webHidden/>
              </w:rPr>
              <w:tab/>
            </w:r>
            <w:r>
              <w:rPr>
                <w:noProof/>
                <w:webHidden/>
              </w:rPr>
              <w:fldChar w:fldCharType="begin"/>
            </w:r>
            <w:r>
              <w:rPr>
                <w:noProof/>
                <w:webHidden/>
              </w:rPr>
              <w:instrText xml:space="preserve"> PAGEREF _Toc8116526 \h </w:instrText>
            </w:r>
            <w:r>
              <w:rPr>
                <w:noProof/>
                <w:webHidden/>
              </w:rPr>
            </w:r>
            <w:r>
              <w:rPr>
                <w:noProof/>
                <w:webHidden/>
              </w:rPr>
              <w:fldChar w:fldCharType="separate"/>
            </w:r>
            <w:r>
              <w:rPr>
                <w:noProof/>
                <w:webHidden/>
              </w:rPr>
              <w:t>6</w:t>
            </w:r>
            <w:r>
              <w:rPr>
                <w:noProof/>
                <w:webHidden/>
              </w:rPr>
              <w:fldChar w:fldCharType="end"/>
            </w:r>
          </w:hyperlink>
        </w:p>
        <w:p w:rsidR="00705423" w:rsidRDefault="00705423">
          <w:pPr>
            <w:pStyle w:val="TOC1"/>
            <w:rPr>
              <w:rFonts w:asciiTheme="minorHAnsi" w:eastAsiaTheme="minorEastAsia" w:hAnsiTheme="minorHAnsi" w:cstheme="minorBidi"/>
              <w:noProof/>
              <w:color w:val="auto"/>
              <w:bdr w:val="none" w:sz="0" w:space="0" w:color="auto"/>
              <w:lang w:val="en-GB"/>
            </w:rPr>
          </w:pPr>
          <w:hyperlink w:anchor="_Toc8116527" w:history="1">
            <w:r w:rsidRPr="00FC5E82">
              <w:rPr>
                <w:rStyle w:val="Hyperlink"/>
                <w:b/>
                <w:bCs/>
                <w:noProof/>
              </w:rPr>
              <w:t>Building Regulations</w:t>
            </w:r>
            <w:r>
              <w:rPr>
                <w:noProof/>
                <w:webHidden/>
              </w:rPr>
              <w:tab/>
            </w:r>
            <w:r>
              <w:rPr>
                <w:noProof/>
                <w:webHidden/>
              </w:rPr>
              <w:fldChar w:fldCharType="begin"/>
            </w:r>
            <w:r>
              <w:rPr>
                <w:noProof/>
                <w:webHidden/>
              </w:rPr>
              <w:instrText xml:space="preserve"> PAGEREF _Toc8116527 \h </w:instrText>
            </w:r>
            <w:r>
              <w:rPr>
                <w:noProof/>
                <w:webHidden/>
              </w:rPr>
            </w:r>
            <w:r>
              <w:rPr>
                <w:noProof/>
                <w:webHidden/>
              </w:rPr>
              <w:fldChar w:fldCharType="separate"/>
            </w:r>
            <w:r>
              <w:rPr>
                <w:noProof/>
                <w:webHidden/>
              </w:rPr>
              <w:t>7</w:t>
            </w:r>
            <w:r>
              <w:rPr>
                <w:noProof/>
                <w:webHidden/>
              </w:rPr>
              <w:fldChar w:fldCharType="end"/>
            </w:r>
          </w:hyperlink>
        </w:p>
        <w:p w:rsidR="00705423" w:rsidRDefault="00705423">
          <w:pPr>
            <w:pStyle w:val="TOC1"/>
            <w:rPr>
              <w:rFonts w:asciiTheme="minorHAnsi" w:eastAsiaTheme="minorEastAsia" w:hAnsiTheme="minorHAnsi" w:cstheme="minorBidi"/>
              <w:noProof/>
              <w:color w:val="auto"/>
              <w:bdr w:val="none" w:sz="0" w:space="0" w:color="auto"/>
              <w:lang w:val="en-GB"/>
            </w:rPr>
          </w:pPr>
          <w:hyperlink w:anchor="_Toc8116529" w:history="1">
            <w:r w:rsidRPr="00FC5E82">
              <w:rPr>
                <w:rStyle w:val="Hyperlink"/>
                <w:b/>
                <w:bCs/>
                <w:noProof/>
              </w:rPr>
              <w:t>Health and Safety</w:t>
            </w:r>
            <w:r>
              <w:rPr>
                <w:noProof/>
                <w:webHidden/>
              </w:rPr>
              <w:tab/>
            </w:r>
            <w:r>
              <w:rPr>
                <w:noProof/>
                <w:webHidden/>
              </w:rPr>
              <w:fldChar w:fldCharType="begin"/>
            </w:r>
            <w:r>
              <w:rPr>
                <w:noProof/>
                <w:webHidden/>
              </w:rPr>
              <w:instrText xml:space="preserve"> PAGEREF _Toc8116529 \h </w:instrText>
            </w:r>
            <w:r>
              <w:rPr>
                <w:noProof/>
                <w:webHidden/>
              </w:rPr>
            </w:r>
            <w:r>
              <w:rPr>
                <w:noProof/>
                <w:webHidden/>
              </w:rPr>
              <w:fldChar w:fldCharType="separate"/>
            </w:r>
            <w:r>
              <w:rPr>
                <w:noProof/>
                <w:webHidden/>
              </w:rPr>
              <w:t>8</w:t>
            </w:r>
            <w:r>
              <w:rPr>
                <w:noProof/>
                <w:webHidden/>
              </w:rPr>
              <w:fldChar w:fldCharType="end"/>
            </w:r>
          </w:hyperlink>
        </w:p>
        <w:p w:rsidR="00705423" w:rsidRDefault="00705423">
          <w:pPr>
            <w:pStyle w:val="TOC1"/>
            <w:rPr>
              <w:rFonts w:asciiTheme="minorHAnsi" w:eastAsiaTheme="minorEastAsia" w:hAnsiTheme="minorHAnsi" w:cstheme="minorBidi"/>
              <w:noProof/>
              <w:color w:val="auto"/>
              <w:bdr w:val="none" w:sz="0" w:space="0" w:color="auto"/>
              <w:lang w:val="en-GB"/>
            </w:rPr>
          </w:pPr>
          <w:hyperlink w:anchor="_Toc8116530" w:history="1">
            <w:r w:rsidRPr="00FC5E82">
              <w:rPr>
                <w:rStyle w:val="Hyperlink"/>
                <w:b/>
                <w:bCs/>
                <w:noProof/>
              </w:rPr>
              <w:t>Insurance</w:t>
            </w:r>
            <w:r>
              <w:rPr>
                <w:noProof/>
                <w:webHidden/>
              </w:rPr>
              <w:tab/>
            </w:r>
            <w:r>
              <w:rPr>
                <w:noProof/>
                <w:webHidden/>
              </w:rPr>
              <w:fldChar w:fldCharType="begin"/>
            </w:r>
            <w:r>
              <w:rPr>
                <w:noProof/>
                <w:webHidden/>
              </w:rPr>
              <w:instrText xml:space="preserve"> PAGEREF _Toc8116530 \h </w:instrText>
            </w:r>
            <w:r>
              <w:rPr>
                <w:noProof/>
                <w:webHidden/>
              </w:rPr>
            </w:r>
            <w:r>
              <w:rPr>
                <w:noProof/>
                <w:webHidden/>
              </w:rPr>
              <w:fldChar w:fldCharType="separate"/>
            </w:r>
            <w:r>
              <w:rPr>
                <w:noProof/>
                <w:webHidden/>
              </w:rPr>
              <w:t>8</w:t>
            </w:r>
            <w:r>
              <w:rPr>
                <w:noProof/>
                <w:webHidden/>
              </w:rPr>
              <w:fldChar w:fldCharType="end"/>
            </w:r>
          </w:hyperlink>
        </w:p>
        <w:p w:rsidR="00705423" w:rsidRDefault="00705423">
          <w:pPr>
            <w:pStyle w:val="TOC1"/>
            <w:rPr>
              <w:rFonts w:asciiTheme="minorHAnsi" w:eastAsiaTheme="minorEastAsia" w:hAnsiTheme="minorHAnsi" w:cstheme="minorBidi"/>
              <w:noProof/>
              <w:color w:val="auto"/>
              <w:bdr w:val="none" w:sz="0" w:space="0" w:color="auto"/>
              <w:lang w:val="en-GB"/>
            </w:rPr>
          </w:pPr>
          <w:hyperlink w:anchor="_Toc8116531" w:history="1">
            <w:r w:rsidRPr="00FC5E82">
              <w:rPr>
                <w:rStyle w:val="Hyperlink"/>
                <w:b/>
                <w:bCs/>
                <w:noProof/>
              </w:rPr>
              <w:t>Leasing and dilapidation</w:t>
            </w:r>
            <w:r>
              <w:rPr>
                <w:noProof/>
                <w:webHidden/>
              </w:rPr>
              <w:tab/>
            </w:r>
            <w:r>
              <w:rPr>
                <w:noProof/>
                <w:webHidden/>
              </w:rPr>
              <w:fldChar w:fldCharType="begin"/>
            </w:r>
            <w:r>
              <w:rPr>
                <w:noProof/>
                <w:webHidden/>
              </w:rPr>
              <w:instrText xml:space="preserve"> PAGEREF _Toc8116531 \h </w:instrText>
            </w:r>
            <w:r>
              <w:rPr>
                <w:noProof/>
                <w:webHidden/>
              </w:rPr>
            </w:r>
            <w:r>
              <w:rPr>
                <w:noProof/>
                <w:webHidden/>
              </w:rPr>
              <w:fldChar w:fldCharType="separate"/>
            </w:r>
            <w:r>
              <w:rPr>
                <w:noProof/>
                <w:webHidden/>
              </w:rPr>
              <w:t>9</w:t>
            </w:r>
            <w:r>
              <w:rPr>
                <w:noProof/>
                <w:webHidden/>
              </w:rPr>
              <w:fldChar w:fldCharType="end"/>
            </w:r>
          </w:hyperlink>
        </w:p>
        <w:p w:rsidR="00705423" w:rsidRDefault="00705423">
          <w:r>
            <w:rPr>
              <w:b/>
              <w:bCs/>
              <w:noProof/>
            </w:rPr>
            <w:fldChar w:fldCharType="end"/>
          </w:r>
        </w:p>
      </w:sdtContent>
    </w:sdt>
    <w:p w:rsidR="008A2F9A" w:rsidRDefault="008A2F9A">
      <w:pPr>
        <w:pStyle w:val="BodyA"/>
        <w:jc w:val="left"/>
      </w:pPr>
    </w:p>
    <w:p w:rsidR="008A2F9A" w:rsidRDefault="008A2F9A">
      <w:pPr>
        <w:pStyle w:val="BodyA"/>
        <w:jc w:val="left"/>
      </w:pPr>
    </w:p>
    <w:p w:rsidR="008A2F9A" w:rsidRDefault="008A2F9A">
      <w:pPr>
        <w:pStyle w:val="BodyA"/>
        <w:jc w:val="left"/>
      </w:pPr>
    </w:p>
    <w:p w:rsidR="008A2F9A" w:rsidRDefault="008A2F9A">
      <w:pPr>
        <w:pStyle w:val="BodyA"/>
        <w:jc w:val="left"/>
      </w:pPr>
    </w:p>
    <w:p w:rsidR="008A2F9A" w:rsidRDefault="008A2F9A">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705423" w:rsidRDefault="00705423">
      <w:pPr>
        <w:pStyle w:val="BodyA"/>
        <w:jc w:val="left"/>
      </w:pPr>
    </w:p>
    <w:p w:rsidR="008A2F9A" w:rsidRDefault="008A2F9A">
      <w:pPr>
        <w:pStyle w:val="BodyA"/>
        <w:jc w:val="left"/>
      </w:pPr>
    </w:p>
    <w:p w:rsidR="008A2F9A" w:rsidRDefault="001F73AF">
      <w:pPr>
        <w:pStyle w:val="Heading"/>
        <w:jc w:val="left"/>
        <w:rPr>
          <w:b/>
          <w:bCs/>
        </w:rPr>
      </w:pPr>
      <w:bookmarkStart w:id="1" w:name="_Toc8116523"/>
      <w:r>
        <w:rPr>
          <w:b/>
          <w:bCs/>
          <w:lang w:val="fr-FR"/>
        </w:rPr>
        <w:lastRenderedPageBreak/>
        <w:t>Introduction</w:t>
      </w:r>
      <w:bookmarkEnd w:id="1"/>
      <w:r>
        <w:rPr>
          <w:b/>
          <w:bCs/>
          <w:lang w:val="fr-FR"/>
        </w:rPr>
        <w:t xml:space="preserve"> </w:t>
      </w:r>
    </w:p>
    <w:p w:rsidR="008A2F9A" w:rsidRDefault="008A2F9A">
      <w:pPr>
        <w:pStyle w:val="BodyA"/>
        <w:jc w:val="left"/>
        <w:rPr>
          <w:sz w:val="24"/>
          <w:szCs w:val="24"/>
        </w:rPr>
      </w:pPr>
    </w:p>
    <w:p w:rsidR="008A2F9A" w:rsidRDefault="001F73AF">
      <w:pPr>
        <w:pStyle w:val="BodyA"/>
        <w:jc w:val="both"/>
        <w:rPr>
          <w:sz w:val="22"/>
          <w:szCs w:val="22"/>
        </w:rPr>
      </w:pPr>
      <w:r>
        <w:rPr>
          <w:sz w:val="22"/>
          <w:szCs w:val="22"/>
        </w:rPr>
        <w:t xml:space="preserve">Property and land laws are very complex and complicated laws that need to be understood before purchasing property or land. A client wishes to develop property on a plot of land within a busy area of the city </w:t>
      </w:r>
      <w:r>
        <w:rPr>
          <w:sz w:val="22"/>
          <w:szCs w:val="22"/>
        </w:rPr>
        <w:t xml:space="preserve">and is seeking advice on the procedures and steps to take to acquire a plot of land for serviced offices spaces. The aim of this report is to help the client understand the different components linked to property and land law in order for the client to be </w:t>
      </w:r>
      <w:r>
        <w:rPr>
          <w:sz w:val="22"/>
          <w:szCs w:val="22"/>
        </w:rPr>
        <w:t>advised</w:t>
      </w:r>
      <w:r>
        <w:rPr>
          <w:sz w:val="22"/>
          <w:szCs w:val="22"/>
        </w:rPr>
        <w:t xml:space="preserve"> before taking on large projects. The property that will be built on the plot of land will be serviced office spaces for leasing purposes. The land is bound on two sides by existing properties and by a communal park on a third side. The client needs</w:t>
      </w:r>
      <w:r>
        <w:rPr>
          <w:sz w:val="22"/>
          <w:szCs w:val="22"/>
        </w:rPr>
        <w:t xml:space="preserve"> to understand the implications that could delay and prolong the process of the building being erected. This report will identify the various laws that would need to be in place and the various procedures that would need to be in place prior purchasing the</w:t>
      </w:r>
      <w:r>
        <w:rPr>
          <w:sz w:val="22"/>
          <w:szCs w:val="22"/>
        </w:rPr>
        <w:t xml:space="preserve"> plot of land and building the property. </w:t>
      </w:r>
      <w:r w:rsidR="00705423">
        <w:rPr>
          <w:sz w:val="22"/>
          <w:szCs w:val="22"/>
        </w:rPr>
        <w:t>It is</w:t>
      </w:r>
      <w:r>
        <w:rPr>
          <w:sz w:val="22"/>
          <w:szCs w:val="22"/>
        </w:rPr>
        <w:t xml:space="preserve"> important for the client to understand the meaning of land, how to purchase land and what they can do with the land.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 xml:space="preserve">This report will also identify the different parts land law that would need to be in place </w:t>
      </w:r>
      <w:r>
        <w:rPr>
          <w:sz w:val="22"/>
          <w:szCs w:val="22"/>
        </w:rPr>
        <w:t xml:space="preserve">before carrying out and building work on any land. Constructing such a building in a city would have its own building regulations </w:t>
      </w:r>
      <w:r w:rsidR="00705423">
        <w:rPr>
          <w:sz w:val="22"/>
          <w:szCs w:val="22"/>
        </w:rPr>
        <w:t xml:space="preserve">that should be followed and </w:t>
      </w:r>
      <w:r>
        <w:rPr>
          <w:sz w:val="22"/>
          <w:szCs w:val="22"/>
        </w:rPr>
        <w:t>satisfy the local council of the type of work being carried out before commencing. Planning p</w:t>
      </w:r>
      <w:r>
        <w:rPr>
          <w:sz w:val="22"/>
          <w:szCs w:val="22"/>
        </w:rPr>
        <w:t>ermi</w:t>
      </w:r>
      <w:r w:rsidR="00705423">
        <w:rPr>
          <w:sz w:val="22"/>
          <w:szCs w:val="22"/>
        </w:rPr>
        <w:t>ssion would be needed before</w:t>
      </w:r>
      <w:r>
        <w:rPr>
          <w:sz w:val="22"/>
          <w:szCs w:val="22"/>
        </w:rPr>
        <w:t xml:space="preserve"> work can be undertake</w:t>
      </w:r>
      <w:r w:rsidR="00705423">
        <w:rPr>
          <w:sz w:val="22"/>
          <w:szCs w:val="22"/>
        </w:rPr>
        <w:t>n</w:t>
      </w:r>
      <w:r>
        <w:rPr>
          <w:sz w:val="22"/>
          <w:szCs w:val="22"/>
        </w:rPr>
        <w:t xml:space="preserve"> on the plot after being purchased. </w:t>
      </w:r>
    </w:p>
    <w:p w:rsidR="008A2F9A" w:rsidRDefault="001F73AF">
      <w:pPr>
        <w:pStyle w:val="Heading"/>
        <w:jc w:val="left"/>
        <w:rPr>
          <w:b/>
          <w:bCs/>
        </w:rPr>
      </w:pPr>
      <w:bookmarkStart w:id="2" w:name="_Toc8116524"/>
      <w:r>
        <w:rPr>
          <w:b/>
          <w:bCs/>
          <w:lang w:val="en-US"/>
        </w:rPr>
        <w:t>Land Law Considerations</w:t>
      </w:r>
      <w:bookmarkEnd w:id="2"/>
    </w:p>
    <w:p w:rsidR="008A2F9A" w:rsidRDefault="008A2F9A">
      <w:pPr>
        <w:pStyle w:val="BodyA"/>
        <w:jc w:val="left"/>
        <w:rPr>
          <w:b/>
          <w:bCs/>
        </w:rPr>
      </w:pPr>
    </w:p>
    <w:p w:rsidR="008A2F9A" w:rsidRDefault="00705423">
      <w:pPr>
        <w:pStyle w:val="BodyA"/>
        <w:jc w:val="both"/>
        <w:rPr>
          <w:sz w:val="22"/>
          <w:szCs w:val="22"/>
        </w:rPr>
      </w:pPr>
      <w:r>
        <w:rPr>
          <w:sz w:val="22"/>
          <w:szCs w:val="22"/>
        </w:rPr>
        <w:t>It is</w:t>
      </w:r>
      <w:r w:rsidR="001F73AF">
        <w:rPr>
          <w:sz w:val="22"/>
          <w:szCs w:val="22"/>
        </w:rPr>
        <w:t xml:space="preserve"> important to understand land law when acquiring a plot of land </w:t>
      </w:r>
      <w:r>
        <w:rPr>
          <w:sz w:val="22"/>
          <w:szCs w:val="22"/>
        </w:rPr>
        <w:t>and</w:t>
      </w:r>
      <w:r w:rsidR="001F73AF">
        <w:rPr>
          <w:sz w:val="22"/>
          <w:szCs w:val="22"/>
        </w:rPr>
        <w:t xml:space="preserve"> understand the contractual and registry side when purchasin</w:t>
      </w:r>
      <w:r w:rsidR="001F73AF">
        <w:rPr>
          <w:sz w:val="22"/>
          <w:szCs w:val="22"/>
        </w:rPr>
        <w:t>g the land. Land law rules govern anything in the land what comes with the land, which could be trees, buildings e.g. Land has fundamental rules governed to specifically justifying what the land can be used for. Land is permanent and hard to come by as the</w:t>
      </w:r>
      <w:r w:rsidR="001F73AF">
        <w:rPr>
          <w:sz w:val="22"/>
          <w:szCs w:val="22"/>
        </w:rPr>
        <w:t xml:space="preserve"> majority of land is being occupied by infrastructure as land becomes more expensive as time goes on. When purchasing a plot of land the buyer has to find out who owns the land, who may have access to the land, what can be done to the land and rights to th</w:t>
      </w:r>
      <w:r w:rsidR="001F73AF">
        <w:rPr>
          <w:sz w:val="22"/>
          <w:szCs w:val="22"/>
        </w:rPr>
        <w:t xml:space="preserve">e </w:t>
      </w:r>
      <w:r w:rsidR="009F4860">
        <w:rPr>
          <w:sz w:val="22"/>
          <w:szCs w:val="22"/>
        </w:rPr>
        <w:t>land?</w:t>
      </w:r>
      <w:r w:rsidR="001F73AF">
        <w:rPr>
          <w:sz w:val="22"/>
          <w:szCs w:val="22"/>
        </w:rPr>
        <w:t xml:space="preserve"> Owning land does not mean you can do anything to it depending on the agreements attached to the land. For </w:t>
      </w:r>
      <w:r>
        <w:rPr>
          <w:sz w:val="22"/>
          <w:szCs w:val="22"/>
        </w:rPr>
        <w:t>example,</w:t>
      </w:r>
      <w:r w:rsidR="001F73AF">
        <w:rPr>
          <w:sz w:val="22"/>
          <w:szCs w:val="22"/>
        </w:rPr>
        <w:t xml:space="preserve"> land can be bought, but certain work planned for the plot </w:t>
      </w:r>
      <w:r>
        <w:rPr>
          <w:sz w:val="22"/>
          <w:szCs w:val="22"/>
        </w:rPr>
        <w:t>cannot</w:t>
      </w:r>
      <w:r w:rsidR="001F73AF">
        <w:rPr>
          <w:sz w:val="22"/>
          <w:szCs w:val="22"/>
        </w:rPr>
        <w:t xml:space="preserve"> be carried out due to certain attachments in the contract. Reasons why</w:t>
      </w:r>
      <w:r w:rsidR="001F73AF">
        <w:rPr>
          <w:sz w:val="22"/>
          <w:szCs w:val="22"/>
        </w:rPr>
        <w:t xml:space="preserve"> this could occur are that the previous </w:t>
      </w:r>
      <w:r>
        <w:rPr>
          <w:sz w:val="22"/>
          <w:szCs w:val="22"/>
        </w:rPr>
        <w:t>landowner</w:t>
      </w:r>
      <w:r w:rsidR="001F73AF">
        <w:rPr>
          <w:sz w:val="22"/>
          <w:szCs w:val="22"/>
        </w:rPr>
        <w:t xml:space="preserve"> failed to inform the purchaser about the restrictions that may come with the land. It’s important to know the dos and don’ts when it comes to land how that can affect you as a buyer. Boundaries of the land</w:t>
      </w:r>
      <w:r w:rsidR="001F73AF">
        <w:rPr>
          <w:sz w:val="22"/>
          <w:szCs w:val="22"/>
        </w:rPr>
        <w:t xml:space="preserve"> is also important as the proposed site has property on either side of it and it’s the purchaser’s responsibility to know the boundaries they are entitled to before purchasing that land. For </w:t>
      </w:r>
      <w:r>
        <w:rPr>
          <w:sz w:val="22"/>
          <w:szCs w:val="22"/>
        </w:rPr>
        <w:t>example,</w:t>
      </w:r>
      <w:r w:rsidR="001F73AF">
        <w:rPr>
          <w:sz w:val="22"/>
          <w:szCs w:val="22"/>
        </w:rPr>
        <w:t xml:space="preserve"> B purchases property from A, and B builds over C’s land t</w:t>
      </w:r>
      <w:r w:rsidR="001F73AF">
        <w:rPr>
          <w:sz w:val="22"/>
          <w:szCs w:val="22"/>
        </w:rPr>
        <w:t xml:space="preserve">o the side of B’s land. </w:t>
      </w:r>
      <w:r>
        <w:rPr>
          <w:sz w:val="22"/>
          <w:szCs w:val="22"/>
        </w:rPr>
        <w:t>C</w:t>
      </w:r>
      <w:r w:rsidR="001F73AF">
        <w:rPr>
          <w:sz w:val="22"/>
          <w:szCs w:val="22"/>
        </w:rPr>
        <w:t xml:space="preserve"> is legally obligated to stop B from building. To reduce the chances of this happening its important gather all information about the land and the land adjacent.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When purchasing a plot of land they are certain aspects that shoul</w:t>
      </w:r>
      <w:r>
        <w:rPr>
          <w:sz w:val="22"/>
          <w:szCs w:val="22"/>
        </w:rPr>
        <w:t>d be considered whether the land being purchased is a fixture or chattel. A fixture is an item that would be found in the purchased property as part of the conveyance of the land. When the land is purchased all that lies within the land is passed on to the</w:t>
      </w:r>
      <w:r>
        <w:rPr>
          <w:sz w:val="22"/>
          <w:szCs w:val="22"/>
        </w:rPr>
        <w:t xml:space="preserve"> new owner. For example if the client purchased the property from the previous owner and the property had some trees on it, this would mean that those fixtures have been passed on to the new owner as all the fixtures on the land are included with the land.</w:t>
      </w:r>
      <w:r>
        <w:rPr>
          <w:sz w:val="22"/>
          <w:szCs w:val="22"/>
        </w:rPr>
        <w:t xml:space="preserve"> A chattel is the opposite of fixture whereas fixtures come with the land, but chattels are physical items that may be on the land such items that can be physical removed from the property do not change hand upon conveyance of land. The Law of Property Act</w:t>
      </w:r>
      <w:r>
        <w:rPr>
          <w:sz w:val="22"/>
          <w:szCs w:val="22"/>
        </w:rPr>
        <w:t xml:space="preserve"> 1929 states that when land is sold or purchased there is something in the land that is defined as a fixture within that land. Whatever fixtures lie in the land will be owned by the person who takes ownership upon receiving the land documents. For </w:t>
      </w:r>
      <w:r w:rsidR="00705423">
        <w:rPr>
          <w:sz w:val="22"/>
          <w:szCs w:val="22"/>
        </w:rPr>
        <w:t>example,</w:t>
      </w:r>
      <w:r>
        <w:rPr>
          <w:sz w:val="22"/>
          <w:szCs w:val="22"/>
        </w:rPr>
        <w:t xml:space="preserve"> </w:t>
      </w:r>
      <w:r>
        <w:rPr>
          <w:sz w:val="22"/>
          <w:szCs w:val="22"/>
        </w:rPr>
        <w:t xml:space="preserve">in the case law of </w:t>
      </w:r>
      <w:proofErr w:type="spellStart"/>
      <w:proofErr w:type="gramStart"/>
      <w:r>
        <w:rPr>
          <w:sz w:val="22"/>
          <w:szCs w:val="22"/>
          <w:u w:color="FF2C21"/>
        </w:rPr>
        <w:t>Elitestone</w:t>
      </w:r>
      <w:proofErr w:type="spellEnd"/>
      <w:proofErr w:type="gramEnd"/>
      <w:r>
        <w:rPr>
          <w:sz w:val="22"/>
          <w:szCs w:val="22"/>
          <w:u w:color="FF2C21"/>
        </w:rPr>
        <w:t xml:space="preserve"> v Morris (1997)</w:t>
      </w:r>
      <w:r>
        <w:rPr>
          <w:color w:val="FF2C21"/>
          <w:sz w:val="22"/>
          <w:szCs w:val="22"/>
          <w:u w:color="FF2C21"/>
        </w:rPr>
        <w:t xml:space="preserve"> </w:t>
      </w:r>
      <w:r>
        <w:rPr>
          <w:sz w:val="22"/>
          <w:szCs w:val="22"/>
        </w:rPr>
        <w:t>land was purchased adjacent to other properties on the land and the initial idea was to demolish the property and rebuild. The residents seemed possession in order to stop the demolition. In this case the judge</w:t>
      </w:r>
      <w:r>
        <w:rPr>
          <w:sz w:val="22"/>
          <w:szCs w:val="22"/>
        </w:rPr>
        <w:t xml:space="preserve"> ruled in fever of </w:t>
      </w:r>
      <w:proofErr w:type="spellStart"/>
      <w:r>
        <w:rPr>
          <w:sz w:val="22"/>
          <w:szCs w:val="22"/>
        </w:rPr>
        <w:t>Elitestone</w:t>
      </w:r>
      <w:proofErr w:type="spellEnd"/>
      <w:r>
        <w:rPr>
          <w:sz w:val="22"/>
          <w:szCs w:val="22"/>
        </w:rPr>
        <w:t xml:space="preserve"> on the basis that the house was constructed in a way that it could be dismantle doesn’t mean it can remain as a chattel (</w:t>
      </w:r>
      <w:proofErr w:type="spellStart"/>
      <w:r>
        <w:rPr>
          <w:sz w:val="22"/>
          <w:szCs w:val="22"/>
        </w:rPr>
        <w:t>McFlarlane</w:t>
      </w:r>
      <w:proofErr w:type="spellEnd"/>
      <w:r>
        <w:rPr>
          <w:sz w:val="22"/>
          <w:szCs w:val="22"/>
        </w:rPr>
        <w:t xml:space="preserve">, Hopkins and </w:t>
      </w:r>
      <w:proofErr w:type="spellStart"/>
      <w:r>
        <w:rPr>
          <w:sz w:val="22"/>
          <w:szCs w:val="22"/>
        </w:rPr>
        <w:t>Nield</w:t>
      </w:r>
      <w:proofErr w:type="spellEnd"/>
      <w:r>
        <w:rPr>
          <w:sz w:val="22"/>
          <w:szCs w:val="22"/>
        </w:rPr>
        <w:t xml:space="preserve">, 2015). Chattels are items of property that can be removed.    </w:t>
      </w:r>
    </w:p>
    <w:p w:rsidR="008A2F9A" w:rsidRDefault="001F73AF">
      <w:pPr>
        <w:pStyle w:val="Heading"/>
        <w:jc w:val="left"/>
        <w:rPr>
          <w:b/>
          <w:bCs/>
        </w:rPr>
      </w:pPr>
      <w:bookmarkStart w:id="3" w:name="_Toc8116525"/>
      <w:r>
        <w:rPr>
          <w:b/>
          <w:bCs/>
          <w:lang w:val="de-DE"/>
        </w:rPr>
        <w:lastRenderedPageBreak/>
        <w:t>Land Regist</w:t>
      </w:r>
      <w:r>
        <w:rPr>
          <w:b/>
          <w:bCs/>
          <w:lang w:val="de-DE"/>
        </w:rPr>
        <w:t>ration</w:t>
      </w:r>
      <w:bookmarkEnd w:id="3"/>
    </w:p>
    <w:p w:rsidR="008A2F9A" w:rsidRDefault="008A2F9A">
      <w:pPr>
        <w:pStyle w:val="BodyA"/>
        <w:jc w:val="left"/>
        <w:rPr>
          <w:b/>
          <w:bCs/>
        </w:rPr>
      </w:pPr>
    </w:p>
    <w:p w:rsidR="008A2F9A" w:rsidRDefault="001F73AF">
      <w:pPr>
        <w:pStyle w:val="BodyA"/>
        <w:jc w:val="both"/>
        <w:rPr>
          <w:sz w:val="22"/>
          <w:szCs w:val="22"/>
        </w:rPr>
      </w:pPr>
      <w:r>
        <w:rPr>
          <w:sz w:val="22"/>
          <w:szCs w:val="22"/>
        </w:rPr>
        <w:t xml:space="preserve">Land registration is another important aspect of the land law which defines who owns land </w:t>
      </w:r>
      <w:r w:rsidR="00705423">
        <w:rPr>
          <w:sz w:val="22"/>
          <w:szCs w:val="22"/>
        </w:rPr>
        <w:t>and</w:t>
      </w:r>
      <w:r>
        <w:rPr>
          <w:sz w:val="22"/>
          <w:szCs w:val="22"/>
        </w:rPr>
        <w:t xml:space="preserve"> provides protection over the land with the certificates identifying ownership and to whom. Having a certificate to your lands means that no other per</w:t>
      </w:r>
      <w:r>
        <w:rPr>
          <w:sz w:val="22"/>
          <w:szCs w:val="22"/>
        </w:rPr>
        <w:t>son can enter your land without permission as this would be considered as trespassing. Not all land is owned about 5% of land in the UK is not and 95% of land is registered and owned. Over 100s of the years land has been a valuable asset to own. The Land R</w:t>
      </w:r>
      <w:r>
        <w:rPr>
          <w:sz w:val="22"/>
          <w:szCs w:val="22"/>
        </w:rPr>
        <w:t>egistration Act 1862 came in and was the first attempt to register land. Amendments to the land registration system were made in 1925 and 2002. The Land Registration Act 2002 is the updated version and is the registration policy used today. All land that i</w:t>
      </w:r>
      <w:r>
        <w:rPr>
          <w:sz w:val="22"/>
          <w:szCs w:val="22"/>
        </w:rPr>
        <w:t xml:space="preserve">s purchased, given to you, inherited, has been received in exchange for another property or land that has been leased has to be registered. In this </w:t>
      </w:r>
      <w:r w:rsidR="00705423">
        <w:rPr>
          <w:sz w:val="22"/>
          <w:szCs w:val="22"/>
        </w:rPr>
        <w:t>case,</w:t>
      </w:r>
      <w:r>
        <w:rPr>
          <w:sz w:val="22"/>
          <w:szCs w:val="22"/>
        </w:rPr>
        <w:t xml:space="preserve"> the client has to check whether the land is registered and what constraints are allocated to that land.</w:t>
      </w:r>
      <w:r>
        <w:rPr>
          <w:sz w:val="22"/>
          <w:szCs w:val="22"/>
        </w:rPr>
        <w:t xml:space="preserve"> A good example of constraints attached to the land would be </w:t>
      </w:r>
      <w:proofErr w:type="spellStart"/>
      <w:r>
        <w:rPr>
          <w:sz w:val="22"/>
          <w:szCs w:val="22"/>
          <w:u w:color="FF2C21"/>
        </w:rPr>
        <w:t>Tulk</w:t>
      </w:r>
      <w:proofErr w:type="spellEnd"/>
      <w:r>
        <w:rPr>
          <w:sz w:val="22"/>
          <w:szCs w:val="22"/>
          <w:u w:color="FF2C21"/>
        </w:rPr>
        <w:t xml:space="preserve"> v </w:t>
      </w:r>
      <w:proofErr w:type="spellStart"/>
      <w:r>
        <w:rPr>
          <w:sz w:val="22"/>
          <w:szCs w:val="22"/>
          <w:u w:color="FF2C21"/>
        </w:rPr>
        <w:t>Moxhay</w:t>
      </w:r>
      <w:proofErr w:type="spellEnd"/>
      <w:r>
        <w:rPr>
          <w:sz w:val="22"/>
          <w:szCs w:val="22"/>
          <w:u w:color="FF2C21"/>
        </w:rPr>
        <w:t xml:space="preserve"> (1848)</w:t>
      </w:r>
      <w:r>
        <w:rPr>
          <w:sz w:val="22"/>
          <w:szCs w:val="22"/>
        </w:rPr>
        <w:t>. In this case land was purchased with an equitable covenant were the purchaser promised not to build on the land, but as years went by the land went through multiple transact</w:t>
      </w:r>
      <w:r>
        <w:rPr>
          <w:sz w:val="22"/>
          <w:szCs w:val="22"/>
        </w:rPr>
        <w:t xml:space="preserve">ions changing hands and owners. The defendant </w:t>
      </w:r>
      <w:proofErr w:type="spellStart"/>
      <w:r>
        <w:rPr>
          <w:sz w:val="22"/>
          <w:szCs w:val="22"/>
        </w:rPr>
        <w:t>Moxhay</w:t>
      </w:r>
      <w:proofErr w:type="spellEnd"/>
      <w:r>
        <w:rPr>
          <w:sz w:val="22"/>
          <w:szCs w:val="22"/>
        </w:rPr>
        <w:t xml:space="preserve"> knew the land had a covenant at the time of purchase, but claimed that the covenant did not apply to </w:t>
      </w:r>
      <w:r w:rsidR="00705423">
        <w:rPr>
          <w:sz w:val="22"/>
          <w:szCs w:val="22"/>
        </w:rPr>
        <w:t>him,</w:t>
      </w:r>
      <w:r>
        <w:rPr>
          <w:sz w:val="22"/>
          <w:szCs w:val="22"/>
        </w:rPr>
        <w:t xml:space="preserve"> as he was not part of the original covenant agreement. </w:t>
      </w:r>
      <w:proofErr w:type="spellStart"/>
      <w:r>
        <w:rPr>
          <w:sz w:val="22"/>
          <w:szCs w:val="22"/>
        </w:rPr>
        <w:t>Moxhay</w:t>
      </w:r>
      <w:proofErr w:type="spellEnd"/>
      <w:r>
        <w:rPr>
          <w:sz w:val="22"/>
          <w:szCs w:val="22"/>
        </w:rPr>
        <w:t xml:space="preserve"> did not have to be part of the agree</w:t>
      </w:r>
      <w:r>
        <w:rPr>
          <w:sz w:val="22"/>
          <w:szCs w:val="22"/>
        </w:rPr>
        <w:t xml:space="preserve">ment for the convenient to be binding. The covenant will always be attached to that land unless </w:t>
      </w:r>
      <w:proofErr w:type="spellStart"/>
      <w:r>
        <w:rPr>
          <w:sz w:val="22"/>
          <w:szCs w:val="22"/>
        </w:rPr>
        <w:t>Tulk</w:t>
      </w:r>
      <w:proofErr w:type="spellEnd"/>
      <w:r>
        <w:rPr>
          <w:sz w:val="22"/>
          <w:szCs w:val="22"/>
        </w:rPr>
        <w:t xml:space="preserve"> revokes the </w:t>
      </w:r>
      <w:r w:rsidR="00705423">
        <w:rPr>
          <w:sz w:val="22"/>
          <w:szCs w:val="22"/>
        </w:rPr>
        <w:t>covenant, which</w:t>
      </w:r>
      <w:r>
        <w:rPr>
          <w:sz w:val="22"/>
          <w:szCs w:val="22"/>
        </w:rPr>
        <w:t xml:space="preserve"> would mean the covenant is no longer binding (Lawteacher.net, </w:t>
      </w:r>
      <w:proofErr w:type="spellStart"/>
      <w:r>
        <w:rPr>
          <w:sz w:val="22"/>
          <w:szCs w:val="22"/>
        </w:rPr>
        <w:t>n.d.</w:t>
      </w:r>
      <w:proofErr w:type="spellEnd"/>
      <w:r>
        <w:rPr>
          <w:sz w:val="22"/>
          <w:szCs w:val="22"/>
        </w:rPr>
        <w:t>) This is a good example illustrating the importance of certai</w:t>
      </w:r>
      <w:r>
        <w:rPr>
          <w:sz w:val="22"/>
          <w:szCs w:val="22"/>
        </w:rPr>
        <w:t xml:space="preserve">n policies and ensure checks are made prior purchasing land.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 xml:space="preserve">An overriding interest law was created in LRA </w:t>
      </w:r>
      <w:r w:rsidR="00705423">
        <w:rPr>
          <w:sz w:val="22"/>
          <w:szCs w:val="22"/>
        </w:rPr>
        <w:t>1925, which meant that interests in land that were not protected were still binding to both parties whether registered,</w:t>
      </w:r>
      <w:r>
        <w:rPr>
          <w:sz w:val="22"/>
          <w:szCs w:val="22"/>
        </w:rPr>
        <w:t xml:space="preserve"> or not. Unregistered land is </w:t>
      </w:r>
      <w:r>
        <w:rPr>
          <w:sz w:val="22"/>
          <w:szCs w:val="22"/>
        </w:rPr>
        <w:t>not fully protected under the LRA as interest can be made on that land if unregistered. Having a registration certificate or titles dead to a piece of land grants you full ownership and whomever seeks purchase that land would direct deal with you the owner</w:t>
      </w:r>
      <w:r>
        <w:rPr>
          <w:sz w:val="22"/>
          <w:szCs w:val="22"/>
        </w:rPr>
        <w:t xml:space="preserve"> of the land. In the case of </w:t>
      </w:r>
      <w:r>
        <w:rPr>
          <w:sz w:val="22"/>
          <w:szCs w:val="22"/>
          <w:u w:color="FF2C21"/>
        </w:rPr>
        <w:t xml:space="preserve">Strand Securities Ltd v </w:t>
      </w:r>
      <w:proofErr w:type="spellStart"/>
      <w:r>
        <w:rPr>
          <w:sz w:val="22"/>
          <w:szCs w:val="22"/>
          <w:u w:color="FF2C21"/>
        </w:rPr>
        <w:t>Casewell</w:t>
      </w:r>
      <w:proofErr w:type="spellEnd"/>
      <w:r>
        <w:rPr>
          <w:sz w:val="22"/>
          <w:szCs w:val="22"/>
          <w:u w:color="FF2C21"/>
        </w:rPr>
        <w:t xml:space="preserve"> (1965) </w:t>
      </w:r>
      <w:r>
        <w:rPr>
          <w:sz w:val="22"/>
          <w:szCs w:val="22"/>
        </w:rPr>
        <w:t>the subtenant sought interest in the property, but was not living it (</w:t>
      </w:r>
      <w:proofErr w:type="spellStart"/>
      <w:r>
        <w:rPr>
          <w:sz w:val="22"/>
          <w:szCs w:val="22"/>
        </w:rPr>
        <w:t>McFlarlane</w:t>
      </w:r>
      <w:proofErr w:type="spellEnd"/>
      <w:r>
        <w:rPr>
          <w:sz w:val="22"/>
          <w:szCs w:val="22"/>
        </w:rPr>
        <w:t xml:space="preserve">, Hopkins and </w:t>
      </w:r>
      <w:proofErr w:type="spellStart"/>
      <w:r>
        <w:rPr>
          <w:sz w:val="22"/>
          <w:szCs w:val="22"/>
        </w:rPr>
        <w:t>Nield</w:t>
      </w:r>
      <w:proofErr w:type="spellEnd"/>
      <w:r>
        <w:rPr>
          <w:sz w:val="22"/>
          <w:szCs w:val="22"/>
        </w:rPr>
        <w:t>, 2015)</w:t>
      </w:r>
      <w:r w:rsidR="00705423">
        <w:rPr>
          <w:sz w:val="22"/>
          <w:szCs w:val="22"/>
        </w:rPr>
        <w:t>.</w:t>
      </w:r>
      <w:r>
        <w:rPr>
          <w:sz w:val="22"/>
          <w:szCs w:val="22"/>
        </w:rPr>
        <w:t xml:space="preserve"> The subtenant’s stepdaughter was living in the property at the time, but had no </w:t>
      </w:r>
      <w:r>
        <w:rPr>
          <w:sz w:val="22"/>
          <w:szCs w:val="22"/>
        </w:rPr>
        <w:t xml:space="preserve">interest in it. To override interest in the land the subtenant would have to have been the occupier of the property. Not having occupancy to the land does not qualify the subtenant rights to override.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 xml:space="preserve">When purchasing land </w:t>
      </w:r>
      <w:r w:rsidR="00705423">
        <w:rPr>
          <w:sz w:val="22"/>
          <w:szCs w:val="22"/>
        </w:rPr>
        <w:t>it is</w:t>
      </w:r>
      <w:r>
        <w:rPr>
          <w:sz w:val="22"/>
          <w:szCs w:val="22"/>
        </w:rPr>
        <w:t xml:space="preserve"> vital to understand the dif</w:t>
      </w:r>
      <w:r>
        <w:rPr>
          <w:sz w:val="22"/>
          <w:szCs w:val="22"/>
        </w:rPr>
        <w:t xml:space="preserve">ference between a leasehold and a freehold property. A leasehold agreement on property or land means you have ownership to the land, but </w:t>
      </w:r>
      <w:r>
        <w:rPr>
          <w:sz w:val="22"/>
          <w:szCs w:val="22"/>
        </w:rPr>
        <w:t>only for certain</w:t>
      </w:r>
      <w:r>
        <w:rPr>
          <w:sz w:val="22"/>
          <w:szCs w:val="22"/>
        </w:rPr>
        <w:t xml:space="preserve"> amount of time as agreed in the contract. Freehold is the opposite where you purchase property or land</w:t>
      </w:r>
      <w:r>
        <w:rPr>
          <w:sz w:val="22"/>
          <w:szCs w:val="22"/>
        </w:rPr>
        <w:t xml:space="preserve"> and all the deeds are handed over to you as you have ownership of the purchased land or property (</w:t>
      </w:r>
      <w:proofErr w:type="spellStart"/>
      <w:r>
        <w:rPr>
          <w:sz w:val="22"/>
          <w:szCs w:val="22"/>
        </w:rPr>
        <w:t>McFlarlane</w:t>
      </w:r>
      <w:proofErr w:type="spellEnd"/>
      <w:r>
        <w:rPr>
          <w:sz w:val="22"/>
          <w:szCs w:val="22"/>
        </w:rPr>
        <w:t xml:space="preserve">, Hopkins and </w:t>
      </w:r>
      <w:proofErr w:type="spellStart"/>
      <w:r>
        <w:rPr>
          <w:sz w:val="22"/>
          <w:szCs w:val="22"/>
        </w:rPr>
        <w:t>Nield</w:t>
      </w:r>
      <w:proofErr w:type="spellEnd"/>
      <w:r>
        <w:rPr>
          <w:sz w:val="22"/>
          <w:szCs w:val="22"/>
        </w:rPr>
        <w:t>, 2015). The LRA 2002 states that if the land being purchased is registered then the land law policy will determine how you woul</w:t>
      </w:r>
      <w:r>
        <w:rPr>
          <w:sz w:val="22"/>
          <w:szCs w:val="22"/>
        </w:rPr>
        <w:t xml:space="preserve">d go about obtaining the title deeds. As previously mentioned </w:t>
      </w:r>
      <w:r w:rsidR="00174F79">
        <w:rPr>
          <w:sz w:val="22"/>
          <w:szCs w:val="22"/>
        </w:rPr>
        <w:t>it is</w:t>
      </w:r>
      <w:r>
        <w:rPr>
          <w:sz w:val="22"/>
          <w:szCs w:val="22"/>
        </w:rPr>
        <w:t xml:space="preserve"> important to know whether the land being purchased has pre-existing property rights that could be binding against you after purchasing the land.</w:t>
      </w:r>
    </w:p>
    <w:p w:rsidR="008A2F9A" w:rsidRDefault="001F73AF">
      <w:pPr>
        <w:pStyle w:val="BodyA"/>
        <w:jc w:val="both"/>
        <w:rPr>
          <w:sz w:val="22"/>
          <w:szCs w:val="22"/>
        </w:rPr>
      </w:pPr>
      <w:r>
        <w:rPr>
          <w:sz w:val="22"/>
          <w:szCs w:val="22"/>
        </w:rPr>
        <w:t xml:space="preserve">Another aspect that should be considered is </w:t>
      </w:r>
      <w:r>
        <w:rPr>
          <w:sz w:val="22"/>
          <w:szCs w:val="22"/>
        </w:rPr>
        <w:t xml:space="preserve">unregistered land, for example land that has been in a family for years and has never been sold or transferred. That land would be unregistered because </w:t>
      </w:r>
      <w:r w:rsidR="00174F79">
        <w:rPr>
          <w:sz w:val="22"/>
          <w:szCs w:val="22"/>
        </w:rPr>
        <w:t>it has always been in continuous</w:t>
      </w:r>
      <w:r>
        <w:rPr>
          <w:sz w:val="22"/>
          <w:szCs w:val="22"/>
        </w:rPr>
        <w:t xml:space="preserve"> ownership as a freehold land. Having unregistered land could also be </w:t>
      </w:r>
      <w:r w:rsidR="00174F79">
        <w:rPr>
          <w:sz w:val="22"/>
          <w:szCs w:val="22"/>
        </w:rPr>
        <w:t>implicating,</w:t>
      </w:r>
      <w:r>
        <w:rPr>
          <w:sz w:val="22"/>
          <w:szCs w:val="22"/>
        </w:rPr>
        <w:t xml:space="preserve"> as land that is not registered can be lost through adverse possession. Adverse possession occurs when titles deeds to a piece of land can’t be presented when required which would mean losing if title dead are not provided. For example in the case of</w:t>
      </w:r>
      <w:r>
        <w:rPr>
          <w:sz w:val="22"/>
          <w:szCs w:val="22"/>
        </w:rPr>
        <w:t xml:space="preserve"> </w:t>
      </w:r>
      <w:r>
        <w:rPr>
          <w:sz w:val="22"/>
          <w:szCs w:val="22"/>
          <w:u w:color="FF2C21"/>
        </w:rPr>
        <w:t>BP Properties Ltd v Buckler (1987)</w:t>
      </w:r>
      <w:r>
        <w:rPr>
          <w:color w:val="FF2C21"/>
          <w:sz w:val="22"/>
          <w:szCs w:val="22"/>
          <w:u w:color="FF2C21"/>
        </w:rPr>
        <w:t xml:space="preserve"> </w:t>
      </w:r>
      <w:r>
        <w:rPr>
          <w:sz w:val="22"/>
          <w:szCs w:val="22"/>
        </w:rPr>
        <w:t xml:space="preserve">the landowner gave the </w:t>
      </w:r>
      <w:r w:rsidR="00174F79">
        <w:rPr>
          <w:sz w:val="22"/>
          <w:szCs w:val="22"/>
        </w:rPr>
        <w:t>tenant,</w:t>
      </w:r>
      <w:r>
        <w:rPr>
          <w:sz w:val="22"/>
          <w:szCs w:val="22"/>
        </w:rPr>
        <w:t xml:space="preserve"> squatting rights to stay in the property for as long as she needed (</w:t>
      </w:r>
      <w:proofErr w:type="spellStart"/>
      <w:r>
        <w:rPr>
          <w:sz w:val="22"/>
          <w:szCs w:val="22"/>
        </w:rPr>
        <w:t>McFlarlane</w:t>
      </w:r>
      <w:proofErr w:type="spellEnd"/>
      <w:r>
        <w:rPr>
          <w:sz w:val="22"/>
          <w:szCs w:val="22"/>
        </w:rPr>
        <w:t xml:space="preserve">, Hopkins and </w:t>
      </w:r>
      <w:proofErr w:type="spellStart"/>
      <w:r>
        <w:rPr>
          <w:sz w:val="22"/>
          <w:szCs w:val="22"/>
        </w:rPr>
        <w:t>Nield</w:t>
      </w:r>
      <w:proofErr w:type="spellEnd"/>
      <w:r>
        <w:rPr>
          <w:sz w:val="22"/>
          <w:szCs w:val="22"/>
        </w:rPr>
        <w:t xml:space="preserve">, 2015). A temporary </w:t>
      </w:r>
      <w:proofErr w:type="spellStart"/>
      <w:r>
        <w:rPr>
          <w:sz w:val="22"/>
          <w:szCs w:val="22"/>
        </w:rPr>
        <w:t>licence</w:t>
      </w:r>
      <w:proofErr w:type="spellEnd"/>
      <w:r>
        <w:rPr>
          <w:sz w:val="22"/>
          <w:szCs w:val="22"/>
        </w:rPr>
        <w:t xml:space="preserve"> from BP Properties Ltd was draw up and issued, but the tenant di</w:t>
      </w:r>
      <w:r>
        <w:rPr>
          <w:sz w:val="22"/>
          <w:szCs w:val="22"/>
        </w:rPr>
        <w:t xml:space="preserve">d not accept or reject the temporary license. This meant that the squatter’s rights were not </w:t>
      </w:r>
      <w:r w:rsidR="00174F79">
        <w:rPr>
          <w:sz w:val="22"/>
          <w:szCs w:val="22"/>
        </w:rPr>
        <w:t>adverse,</w:t>
      </w:r>
      <w:r>
        <w:rPr>
          <w:sz w:val="22"/>
          <w:szCs w:val="22"/>
        </w:rPr>
        <w:t xml:space="preserve"> as the </w:t>
      </w:r>
      <w:r w:rsidR="00174F79">
        <w:rPr>
          <w:sz w:val="22"/>
          <w:szCs w:val="22"/>
        </w:rPr>
        <w:t xml:space="preserve">squatter did not acknowledge the temporary </w:t>
      </w:r>
      <w:proofErr w:type="spellStart"/>
      <w:r w:rsidR="00174F79">
        <w:rPr>
          <w:sz w:val="22"/>
          <w:szCs w:val="22"/>
        </w:rPr>
        <w:t>licence</w:t>
      </w:r>
      <w:proofErr w:type="spellEnd"/>
      <w:r>
        <w:rPr>
          <w:sz w:val="22"/>
          <w:szCs w:val="22"/>
        </w:rPr>
        <w:t xml:space="preserve">. In this case the temporary </w:t>
      </w:r>
      <w:proofErr w:type="spellStart"/>
      <w:r>
        <w:rPr>
          <w:sz w:val="22"/>
          <w:szCs w:val="22"/>
        </w:rPr>
        <w:t>licence</w:t>
      </w:r>
      <w:proofErr w:type="spellEnd"/>
      <w:r>
        <w:rPr>
          <w:sz w:val="22"/>
          <w:szCs w:val="22"/>
        </w:rPr>
        <w:t xml:space="preserve"> enables rights over a property and if acknowledged the ri</w:t>
      </w:r>
      <w:r>
        <w:rPr>
          <w:sz w:val="22"/>
          <w:szCs w:val="22"/>
        </w:rPr>
        <w:t>ghts might have been binding. This can apply to land being purchased if for some reason someone decided to squat on that land and had been there for up to 10 years they initially could apply for titles deeds to that land. Adverse possession was initially 1</w:t>
      </w:r>
      <w:r>
        <w:rPr>
          <w:sz w:val="22"/>
          <w:szCs w:val="22"/>
        </w:rPr>
        <w:t>2 years, but with the LRA 2002 adverse possession can apply after 10 years.</w:t>
      </w:r>
      <w:r>
        <w:rPr>
          <w:color w:val="FF2C21"/>
          <w:sz w:val="22"/>
          <w:szCs w:val="22"/>
          <w:u w:color="FF2C21"/>
        </w:rPr>
        <w:t xml:space="preserve"> </w:t>
      </w:r>
      <w:r>
        <w:rPr>
          <w:sz w:val="22"/>
          <w:szCs w:val="22"/>
        </w:rPr>
        <w:t xml:space="preserve">Another excellent example of adverse possession is in the </w:t>
      </w:r>
      <w:r>
        <w:rPr>
          <w:sz w:val="22"/>
          <w:szCs w:val="22"/>
        </w:rPr>
        <w:lastRenderedPageBreak/>
        <w:t xml:space="preserve">case of </w:t>
      </w:r>
      <w:r>
        <w:rPr>
          <w:sz w:val="22"/>
          <w:szCs w:val="22"/>
          <w:u w:color="FF2C21"/>
        </w:rPr>
        <w:t xml:space="preserve">Bridges v </w:t>
      </w:r>
      <w:proofErr w:type="spellStart"/>
      <w:r>
        <w:rPr>
          <w:sz w:val="22"/>
          <w:szCs w:val="22"/>
          <w:u w:color="FF2C21"/>
        </w:rPr>
        <w:t>Mees</w:t>
      </w:r>
      <w:proofErr w:type="spellEnd"/>
      <w:r>
        <w:rPr>
          <w:sz w:val="22"/>
          <w:szCs w:val="22"/>
          <w:u w:color="FF2C21"/>
        </w:rPr>
        <w:t xml:space="preserve"> (1957)</w:t>
      </w:r>
      <w:r>
        <w:rPr>
          <w:sz w:val="22"/>
          <w:szCs w:val="22"/>
        </w:rPr>
        <w:t xml:space="preserve"> were land was purchased by the contract procedure was not complete (Hong Kong Land Law Blog,</w:t>
      </w:r>
      <w:r>
        <w:rPr>
          <w:sz w:val="22"/>
          <w:szCs w:val="22"/>
        </w:rPr>
        <w:t xml:space="preserve"> 2013). The land was purchased and paid for in full regardless of the contract being drawn up or not. Once the land was paid off the piece of land that meant </w:t>
      </w:r>
      <w:r w:rsidR="00174F79">
        <w:rPr>
          <w:sz w:val="22"/>
          <w:szCs w:val="22"/>
        </w:rPr>
        <w:t>that,</w:t>
      </w:r>
      <w:r>
        <w:rPr>
          <w:sz w:val="22"/>
          <w:szCs w:val="22"/>
        </w:rPr>
        <w:t xml:space="preserve"> he or she has adverse possession of that land.  The seller had agreed to sell the land and co</w:t>
      </w:r>
      <w:r>
        <w:rPr>
          <w:sz w:val="22"/>
          <w:szCs w:val="22"/>
        </w:rPr>
        <w:t xml:space="preserve">llected the payments therefore the land is owned by the buyer. Registering land is equally important as doing so gives you protection over that land. </w:t>
      </w:r>
      <w:r w:rsidR="00174F79">
        <w:rPr>
          <w:sz w:val="22"/>
          <w:szCs w:val="22"/>
        </w:rPr>
        <w:t>Therefore,</w:t>
      </w:r>
      <w:r>
        <w:rPr>
          <w:sz w:val="22"/>
          <w:szCs w:val="22"/>
        </w:rPr>
        <w:t xml:space="preserve"> the client would have to understand the importance of land law before committing to purchase any land.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 xml:space="preserve">The European Land Registration Service (EULIS) is a system that is used to register land across the whole of Europe. The aim of the service is to provide a system that will connect countries in Europe through a registration </w:t>
      </w:r>
      <w:r w:rsidR="00174F79">
        <w:rPr>
          <w:sz w:val="22"/>
          <w:szCs w:val="22"/>
        </w:rPr>
        <w:t>system, which</w:t>
      </w:r>
      <w:r>
        <w:rPr>
          <w:sz w:val="22"/>
          <w:szCs w:val="22"/>
        </w:rPr>
        <w:t xml:space="preserve"> then identifies o</w:t>
      </w:r>
      <w:r>
        <w:rPr>
          <w:sz w:val="22"/>
          <w:szCs w:val="22"/>
        </w:rPr>
        <w:t xml:space="preserve">wnership of specific land. All European country can freely register their land on the </w:t>
      </w:r>
      <w:r w:rsidR="00174F79">
        <w:rPr>
          <w:sz w:val="22"/>
          <w:szCs w:val="22"/>
        </w:rPr>
        <w:t>system, which</w:t>
      </w:r>
      <w:r>
        <w:rPr>
          <w:sz w:val="22"/>
          <w:szCs w:val="22"/>
        </w:rPr>
        <w:t xml:space="preserve"> officially ties that land to the specific country. </w:t>
      </w:r>
    </w:p>
    <w:p w:rsidR="008A2F9A" w:rsidRDefault="001F73AF">
      <w:pPr>
        <w:pStyle w:val="Heading"/>
        <w:jc w:val="left"/>
        <w:rPr>
          <w:b/>
          <w:bCs/>
        </w:rPr>
      </w:pPr>
      <w:bookmarkStart w:id="4" w:name="_Toc8116526"/>
      <w:r>
        <w:rPr>
          <w:b/>
          <w:bCs/>
          <w:lang w:val="en-US"/>
        </w:rPr>
        <w:t>Planning Permission</w:t>
      </w:r>
      <w:bookmarkEnd w:id="4"/>
      <w:r>
        <w:rPr>
          <w:b/>
          <w:bCs/>
          <w:lang w:val="en-US"/>
        </w:rPr>
        <w:t xml:space="preserve"> </w:t>
      </w:r>
    </w:p>
    <w:p w:rsidR="008A2F9A" w:rsidRDefault="008A2F9A">
      <w:pPr>
        <w:pStyle w:val="BodyA"/>
        <w:jc w:val="left"/>
        <w:rPr>
          <w:b/>
          <w:bCs/>
          <w:sz w:val="22"/>
          <w:szCs w:val="22"/>
        </w:rPr>
      </w:pPr>
    </w:p>
    <w:p w:rsidR="008A2F9A" w:rsidRDefault="001F73AF">
      <w:pPr>
        <w:pStyle w:val="BodyA"/>
        <w:jc w:val="both"/>
        <w:rPr>
          <w:sz w:val="22"/>
          <w:szCs w:val="22"/>
        </w:rPr>
      </w:pPr>
      <w:r>
        <w:rPr>
          <w:sz w:val="22"/>
          <w:szCs w:val="22"/>
        </w:rPr>
        <w:t>Planning permission is a necessity whenever buildings are constructed, altered or c</w:t>
      </w:r>
      <w:r>
        <w:rPr>
          <w:sz w:val="22"/>
          <w:szCs w:val="22"/>
        </w:rPr>
        <w:t xml:space="preserve">hange their uses. Existing buildings also need planning permission before any construction work is carried out. The client would have to apply for planning through the local council who aim to protect the use of land and advice </w:t>
      </w:r>
      <w:r w:rsidR="00174F79">
        <w:rPr>
          <w:sz w:val="22"/>
          <w:szCs w:val="22"/>
        </w:rPr>
        <w:t>landowners</w:t>
      </w:r>
      <w:r>
        <w:rPr>
          <w:sz w:val="22"/>
          <w:szCs w:val="22"/>
        </w:rPr>
        <w:t xml:space="preserve"> on what is accep</w:t>
      </w:r>
      <w:r>
        <w:rPr>
          <w:sz w:val="22"/>
          <w:szCs w:val="22"/>
        </w:rPr>
        <w:t>table or not. Planning policies aim to protect the environment by preserving historic buildings, protect natural resources and many more reasons. Local councils set up local development plans that only apply to that specific area and any planning permissio</w:t>
      </w:r>
      <w:r>
        <w:rPr>
          <w:sz w:val="22"/>
          <w:szCs w:val="22"/>
        </w:rPr>
        <w:t>n consent needed for land in that area would have to abide by the policies set out for certain areas in that community. Policies that are set out for local authorities are used to determine how certain plans would affect the community. The local developmen</w:t>
      </w:r>
      <w:r>
        <w:rPr>
          <w:sz w:val="22"/>
          <w:szCs w:val="22"/>
        </w:rPr>
        <w:t xml:space="preserve">t plan aims to achieve community well-being meaning that buildings such as an office space building would have to contribute to the community’s adaptation. If the local authority seek for further approval to certain proposal the responsibility </w:t>
      </w:r>
      <w:r w:rsidR="00174F79">
        <w:rPr>
          <w:sz w:val="22"/>
          <w:szCs w:val="22"/>
        </w:rPr>
        <w:t>it is</w:t>
      </w:r>
      <w:r>
        <w:rPr>
          <w:sz w:val="22"/>
          <w:szCs w:val="22"/>
        </w:rPr>
        <w:t xml:space="preserve"> passed </w:t>
      </w:r>
      <w:r>
        <w:rPr>
          <w:sz w:val="22"/>
          <w:szCs w:val="22"/>
        </w:rPr>
        <w:t xml:space="preserve">on to the welsh ministers to consider more complex proposals. Planning Policy Wales contains documents that apply only to Wales </w:t>
      </w:r>
      <w:r w:rsidR="00174F79">
        <w:rPr>
          <w:sz w:val="22"/>
          <w:szCs w:val="22"/>
        </w:rPr>
        <w:t>those advice local authorities</w:t>
      </w:r>
      <w:r>
        <w:rPr>
          <w:sz w:val="22"/>
          <w:szCs w:val="22"/>
        </w:rPr>
        <w:t xml:space="preserve"> and local communities on the developments that would contribute to Wales. Policy Wales also contai</w:t>
      </w:r>
      <w:r>
        <w:rPr>
          <w:sz w:val="22"/>
          <w:szCs w:val="22"/>
        </w:rPr>
        <w:t>ns documents that advice property owners on the type of alterations they are permitted. The permitted development rights grants property owners right to make minor changes to their properties as long as they changes meet the legislation and correspond with</w:t>
      </w:r>
      <w:r>
        <w:rPr>
          <w:sz w:val="22"/>
          <w:szCs w:val="22"/>
        </w:rPr>
        <w:t xml:space="preserve"> the policies in place. </w:t>
      </w:r>
      <w:r w:rsidR="00174F79">
        <w:rPr>
          <w:sz w:val="22"/>
          <w:szCs w:val="22"/>
        </w:rPr>
        <w:t>It is</w:t>
      </w:r>
      <w:r>
        <w:rPr>
          <w:sz w:val="22"/>
          <w:szCs w:val="22"/>
        </w:rPr>
        <w:t xml:space="preserve"> the local authorities duty to </w:t>
      </w:r>
      <w:proofErr w:type="spellStart"/>
      <w:r>
        <w:rPr>
          <w:sz w:val="22"/>
          <w:szCs w:val="22"/>
        </w:rPr>
        <w:t>analysed</w:t>
      </w:r>
      <w:proofErr w:type="spellEnd"/>
      <w:r>
        <w:rPr>
          <w:sz w:val="22"/>
          <w:szCs w:val="22"/>
        </w:rPr>
        <w:t xml:space="preserve"> planning permission needed for the specific project and if granted allocate a planning officer who would consider the plans proposed and identify all the policies and legislation needed fo</w:t>
      </w:r>
      <w:r>
        <w:rPr>
          <w:sz w:val="22"/>
          <w:szCs w:val="22"/>
        </w:rPr>
        <w:t xml:space="preserve">r that specific project. All planning that is put forward has to comply with building regulations and the planning rules set out by the local council.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 xml:space="preserve">There important attachments that need to be considered and understood before seeking planning </w:t>
      </w:r>
      <w:r>
        <w:rPr>
          <w:sz w:val="22"/>
          <w:szCs w:val="22"/>
        </w:rPr>
        <w:t>permission such as design statements, site locations, plans and sections of the proposed development, outline drainage proposals of the site and a specialist survey. These components of planning proposal and the information will need to be accurate and wel</w:t>
      </w:r>
      <w:r>
        <w:rPr>
          <w:sz w:val="22"/>
          <w:szCs w:val="22"/>
        </w:rPr>
        <w:t xml:space="preserve">l structured. </w:t>
      </w:r>
      <w:r w:rsidR="00174F79">
        <w:rPr>
          <w:sz w:val="22"/>
          <w:szCs w:val="22"/>
        </w:rPr>
        <w:t>It is</w:t>
      </w:r>
      <w:r>
        <w:rPr>
          <w:sz w:val="22"/>
          <w:szCs w:val="22"/>
        </w:rPr>
        <w:t xml:space="preserve"> important to carefully consider the proposal and include the relevant information that would help your application in being successful. Planning can be a complicated process if not understood. Planning permission can be refused if the pr</w:t>
      </w:r>
      <w:r>
        <w:rPr>
          <w:sz w:val="22"/>
          <w:szCs w:val="22"/>
        </w:rPr>
        <w:t xml:space="preserve">oposed plans do not meet the standards required by the local authorities. If planning is </w:t>
      </w:r>
      <w:r w:rsidR="00174F79">
        <w:rPr>
          <w:sz w:val="22"/>
          <w:szCs w:val="22"/>
        </w:rPr>
        <w:t>refused,</w:t>
      </w:r>
      <w:r>
        <w:rPr>
          <w:sz w:val="22"/>
          <w:szCs w:val="22"/>
        </w:rPr>
        <w:t xml:space="preserve"> it could mean changes to the planning application would need to be changed and resubmitted within the space of 12 months. An appeal can be made to why planning</w:t>
      </w:r>
      <w:r>
        <w:rPr>
          <w:sz w:val="22"/>
          <w:szCs w:val="22"/>
        </w:rPr>
        <w:t xml:space="preserve"> has be refused and this can be done by making a formal appeal to the planning inspectorate ensuring all relevant information is attached to the appeal form. If planning is granted it sometimes attached with certain conditions that you would have to follow</w:t>
      </w:r>
      <w:r>
        <w:rPr>
          <w:sz w:val="22"/>
          <w:szCs w:val="22"/>
        </w:rPr>
        <w:t xml:space="preserve"> in order to proceed. The planning decision making process is a long process and could take up to 8-16 weeks before any decision is reached.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 xml:space="preserve">The classification for the proposed property is </w:t>
      </w:r>
      <w:r w:rsidR="00174F79">
        <w:rPr>
          <w:sz w:val="22"/>
          <w:szCs w:val="22"/>
        </w:rPr>
        <w:t>B1, which is for business use as the building,</w:t>
      </w:r>
      <w:r>
        <w:rPr>
          <w:sz w:val="22"/>
          <w:szCs w:val="22"/>
        </w:rPr>
        <w:t xml:space="preserve"> will be serviced off</w:t>
      </w:r>
      <w:r>
        <w:rPr>
          <w:sz w:val="22"/>
          <w:szCs w:val="22"/>
        </w:rPr>
        <w:t xml:space="preserve">ice spaces for leasing. There regulations that allow </w:t>
      </w:r>
      <w:r w:rsidR="00174F79">
        <w:rPr>
          <w:sz w:val="22"/>
          <w:szCs w:val="22"/>
        </w:rPr>
        <w:t>such</w:t>
      </w:r>
      <w:r>
        <w:rPr>
          <w:sz w:val="22"/>
          <w:szCs w:val="22"/>
        </w:rPr>
        <w:t xml:space="preserve"> a building to be erected with specific requirements once the building is in use. </w:t>
      </w:r>
      <w:r w:rsidR="00174F79">
        <w:rPr>
          <w:sz w:val="22"/>
          <w:szCs w:val="22"/>
        </w:rPr>
        <w:t>It is</w:t>
      </w:r>
      <w:r>
        <w:rPr>
          <w:sz w:val="22"/>
          <w:szCs w:val="22"/>
        </w:rPr>
        <w:t xml:space="preserve"> important that the use of the building does not bring noise, pollution, vibrations, smell to the surrounding</w:t>
      </w:r>
      <w:r>
        <w:rPr>
          <w:sz w:val="22"/>
          <w:szCs w:val="22"/>
        </w:rPr>
        <w:t xml:space="preserve"> areas of the proposed site. </w:t>
      </w:r>
      <w:r w:rsidR="00174F79">
        <w:rPr>
          <w:sz w:val="22"/>
          <w:szCs w:val="22"/>
        </w:rPr>
        <w:t>It is</w:t>
      </w:r>
      <w:r>
        <w:rPr>
          <w:sz w:val="22"/>
          <w:szCs w:val="22"/>
        </w:rPr>
        <w:t xml:space="preserve"> the local authority’s duty to ensure the community’s well-being is priority and that the building bring a </w:t>
      </w:r>
      <w:r>
        <w:rPr>
          <w:sz w:val="22"/>
          <w:szCs w:val="22"/>
        </w:rPr>
        <w:lastRenderedPageBreak/>
        <w:t>contribution to the community. A building of its type is subjected to various considerations when seeking planning p</w:t>
      </w:r>
      <w:r>
        <w:rPr>
          <w:sz w:val="22"/>
          <w:szCs w:val="22"/>
        </w:rPr>
        <w:t>ermission. There various issues that could hinder the planning proposal such as:</w:t>
      </w:r>
    </w:p>
    <w:p w:rsidR="008A2F9A" w:rsidRDefault="008A2F9A">
      <w:pPr>
        <w:pStyle w:val="BodyA"/>
        <w:jc w:val="both"/>
        <w:rPr>
          <w:sz w:val="22"/>
          <w:szCs w:val="22"/>
        </w:rPr>
      </w:pPr>
    </w:p>
    <w:p w:rsidR="008A2F9A" w:rsidRDefault="001F73AF">
      <w:pPr>
        <w:pStyle w:val="BodyA"/>
        <w:numPr>
          <w:ilvl w:val="0"/>
          <w:numId w:val="2"/>
        </w:numPr>
        <w:jc w:val="both"/>
        <w:rPr>
          <w:sz w:val="22"/>
          <w:szCs w:val="22"/>
        </w:rPr>
      </w:pPr>
      <w:proofErr w:type="spellStart"/>
      <w:r>
        <w:rPr>
          <w:sz w:val="22"/>
          <w:szCs w:val="22"/>
        </w:rPr>
        <w:t>Neighbours</w:t>
      </w:r>
      <w:proofErr w:type="spellEnd"/>
      <w:r>
        <w:rPr>
          <w:sz w:val="22"/>
          <w:szCs w:val="22"/>
        </w:rPr>
        <w:t xml:space="preserve"> </w:t>
      </w:r>
    </w:p>
    <w:p w:rsidR="008A2F9A" w:rsidRDefault="001F73AF">
      <w:pPr>
        <w:pStyle w:val="BodyA"/>
        <w:numPr>
          <w:ilvl w:val="0"/>
          <w:numId w:val="2"/>
        </w:numPr>
        <w:jc w:val="both"/>
        <w:rPr>
          <w:sz w:val="22"/>
          <w:szCs w:val="22"/>
        </w:rPr>
      </w:pPr>
      <w:r>
        <w:rPr>
          <w:sz w:val="22"/>
          <w:szCs w:val="22"/>
        </w:rPr>
        <w:t xml:space="preserve">Design and access </w:t>
      </w:r>
    </w:p>
    <w:p w:rsidR="008A2F9A" w:rsidRDefault="001F73AF">
      <w:pPr>
        <w:pStyle w:val="BodyA"/>
        <w:numPr>
          <w:ilvl w:val="0"/>
          <w:numId w:val="2"/>
        </w:numPr>
        <w:jc w:val="both"/>
        <w:rPr>
          <w:sz w:val="22"/>
          <w:szCs w:val="22"/>
        </w:rPr>
      </w:pPr>
      <w:r>
        <w:rPr>
          <w:sz w:val="22"/>
          <w:szCs w:val="22"/>
        </w:rPr>
        <w:t xml:space="preserve">Trees </w:t>
      </w:r>
    </w:p>
    <w:p w:rsidR="008A2F9A" w:rsidRDefault="001F73AF">
      <w:pPr>
        <w:pStyle w:val="BodyA"/>
        <w:numPr>
          <w:ilvl w:val="0"/>
          <w:numId w:val="2"/>
        </w:numPr>
        <w:jc w:val="both"/>
        <w:rPr>
          <w:sz w:val="22"/>
          <w:szCs w:val="22"/>
        </w:rPr>
      </w:pPr>
      <w:r>
        <w:rPr>
          <w:sz w:val="22"/>
          <w:szCs w:val="22"/>
        </w:rPr>
        <w:t>Conservation</w:t>
      </w:r>
    </w:p>
    <w:p w:rsidR="008A2F9A" w:rsidRDefault="001F73AF">
      <w:pPr>
        <w:pStyle w:val="BodyA"/>
        <w:numPr>
          <w:ilvl w:val="0"/>
          <w:numId w:val="2"/>
        </w:numPr>
        <w:jc w:val="both"/>
        <w:rPr>
          <w:sz w:val="22"/>
          <w:szCs w:val="22"/>
        </w:rPr>
      </w:pPr>
      <w:r>
        <w:rPr>
          <w:sz w:val="22"/>
          <w:szCs w:val="22"/>
        </w:rPr>
        <w:t xml:space="preserve">Protected species </w:t>
      </w:r>
    </w:p>
    <w:p w:rsidR="008A2F9A" w:rsidRDefault="001F73AF">
      <w:pPr>
        <w:pStyle w:val="BodyA"/>
        <w:numPr>
          <w:ilvl w:val="0"/>
          <w:numId w:val="2"/>
        </w:numPr>
        <w:jc w:val="both"/>
        <w:rPr>
          <w:sz w:val="22"/>
          <w:szCs w:val="22"/>
        </w:rPr>
      </w:pPr>
      <w:r>
        <w:rPr>
          <w:sz w:val="22"/>
          <w:szCs w:val="22"/>
        </w:rPr>
        <w:t xml:space="preserve">Planning policy </w:t>
      </w:r>
    </w:p>
    <w:p w:rsidR="008A2F9A" w:rsidRDefault="001F73AF">
      <w:pPr>
        <w:pStyle w:val="BodyA"/>
        <w:numPr>
          <w:ilvl w:val="0"/>
          <w:numId w:val="2"/>
        </w:numPr>
        <w:jc w:val="both"/>
        <w:rPr>
          <w:sz w:val="22"/>
          <w:szCs w:val="22"/>
        </w:rPr>
      </w:pPr>
      <w:r>
        <w:rPr>
          <w:sz w:val="22"/>
          <w:szCs w:val="22"/>
        </w:rPr>
        <w:t xml:space="preserve">Contaminated land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They are many other issues that could contribute to the proposal pr</w:t>
      </w:r>
      <w:r>
        <w:rPr>
          <w:sz w:val="22"/>
          <w:szCs w:val="22"/>
        </w:rPr>
        <w:t>ocess being delayed and possibly being refused. All aspects of planning have to be considered when applying for planning. The proposed land would have to be surveyed prior purchasing in order to have an idea of the implications that could be faced along th</w:t>
      </w:r>
      <w:r>
        <w:rPr>
          <w:sz w:val="22"/>
          <w:szCs w:val="22"/>
        </w:rPr>
        <w:t xml:space="preserve">e way. For example if the land purchased was found to have protected species on it, measures to investigate and relocated the species would have to be in place in order to proceed. Another situation that could arise would be </w:t>
      </w:r>
      <w:proofErr w:type="spellStart"/>
      <w:r>
        <w:rPr>
          <w:sz w:val="22"/>
          <w:szCs w:val="22"/>
        </w:rPr>
        <w:t>neighbours</w:t>
      </w:r>
      <w:proofErr w:type="spellEnd"/>
      <w:r>
        <w:rPr>
          <w:sz w:val="22"/>
          <w:szCs w:val="22"/>
        </w:rPr>
        <w:t xml:space="preserve"> appealing against th</w:t>
      </w:r>
      <w:r>
        <w:rPr>
          <w:sz w:val="22"/>
          <w:szCs w:val="22"/>
        </w:rPr>
        <w:t xml:space="preserve">e building being erected for their own reasons, because once the planning application is sent to the local authorities </w:t>
      </w:r>
      <w:r w:rsidR="00174F79">
        <w:rPr>
          <w:sz w:val="22"/>
          <w:szCs w:val="22"/>
        </w:rPr>
        <w:t>it is</w:t>
      </w:r>
      <w:r>
        <w:rPr>
          <w:sz w:val="22"/>
          <w:szCs w:val="22"/>
        </w:rPr>
        <w:t xml:space="preserve"> their duty to information </w:t>
      </w:r>
      <w:proofErr w:type="spellStart"/>
      <w:r>
        <w:rPr>
          <w:sz w:val="22"/>
          <w:szCs w:val="22"/>
        </w:rPr>
        <w:t>neighbours</w:t>
      </w:r>
      <w:proofErr w:type="spellEnd"/>
      <w:r>
        <w:rPr>
          <w:sz w:val="22"/>
          <w:szCs w:val="22"/>
        </w:rPr>
        <w:t xml:space="preserve"> and the local community about the development that will be constructed. Once all guidelines hav</w:t>
      </w:r>
      <w:r>
        <w:rPr>
          <w:sz w:val="22"/>
          <w:szCs w:val="22"/>
        </w:rPr>
        <w:t xml:space="preserve">e been met and planning has been granted construction work can commence by carrying out a desktop study on the land testing the soil and checking for any issues that could be problematic at later stage. </w:t>
      </w:r>
      <w:r w:rsidR="00174F79">
        <w:rPr>
          <w:sz w:val="22"/>
          <w:szCs w:val="22"/>
        </w:rPr>
        <w:t>It is</w:t>
      </w:r>
      <w:r>
        <w:rPr>
          <w:sz w:val="22"/>
          <w:szCs w:val="22"/>
        </w:rPr>
        <w:t xml:space="preserve"> automatic to think the land is perfectly fine to</w:t>
      </w:r>
      <w:r>
        <w:rPr>
          <w:sz w:val="22"/>
          <w:szCs w:val="22"/>
        </w:rPr>
        <w:t xml:space="preserve"> build </w:t>
      </w:r>
      <w:r w:rsidR="00174F79">
        <w:rPr>
          <w:sz w:val="22"/>
          <w:szCs w:val="22"/>
        </w:rPr>
        <w:t>on,</w:t>
      </w:r>
      <w:r>
        <w:rPr>
          <w:sz w:val="22"/>
          <w:szCs w:val="22"/>
        </w:rPr>
        <w:t xml:space="preserve"> as they are properties adjacent to the land. This is not always the case, so a desktop study of the land would be advice to be 100% certain that the land is fine to build on. </w:t>
      </w:r>
    </w:p>
    <w:p w:rsidR="008A2F9A" w:rsidRDefault="001F73AF">
      <w:pPr>
        <w:pStyle w:val="Heading"/>
        <w:jc w:val="left"/>
        <w:rPr>
          <w:b/>
          <w:bCs/>
        </w:rPr>
      </w:pPr>
      <w:bookmarkStart w:id="5" w:name="_Toc8116527"/>
      <w:r>
        <w:rPr>
          <w:b/>
          <w:bCs/>
          <w:lang w:val="en-US"/>
        </w:rPr>
        <w:t>Building Regulations</w:t>
      </w:r>
      <w:bookmarkEnd w:id="5"/>
      <w:r>
        <w:rPr>
          <w:b/>
          <w:bCs/>
          <w:lang w:val="en-US"/>
        </w:rPr>
        <w:t xml:space="preserve"> </w:t>
      </w:r>
    </w:p>
    <w:p w:rsidR="008A2F9A" w:rsidRDefault="008A2F9A">
      <w:pPr>
        <w:pStyle w:val="BodyA"/>
        <w:jc w:val="both"/>
        <w:rPr>
          <w:b/>
          <w:bCs/>
          <w:sz w:val="24"/>
          <w:szCs w:val="24"/>
        </w:rPr>
      </w:pPr>
    </w:p>
    <w:p w:rsidR="008A2F9A" w:rsidRDefault="001F73AF">
      <w:pPr>
        <w:pStyle w:val="BodyA"/>
        <w:jc w:val="both"/>
        <w:rPr>
          <w:sz w:val="22"/>
          <w:szCs w:val="22"/>
        </w:rPr>
      </w:pPr>
      <w:r>
        <w:rPr>
          <w:sz w:val="22"/>
          <w:szCs w:val="22"/>
        </w:rPr>
        <w:t>Building regulations have always determined how</w:t>
      </w:r>
      <w:r>
        <w:rPr>
          <w:sz w:val="22"/>
          <w:szCs w:val="22"/>
        </w:rPr>
        <w:t xml:space="preserve"> we build since they first introduction of regulations in 1965. The building standards were set to be followed by whomever decided to build on their land or property. Building regulations have since being altered to meet </w:t>
      </w:r>
      <w:r w:rsidR="00174F79">
        <w:rPr>
          <w:sz w:val="22"/>
          <w:szCs w:val="22"/>
        </w:rPr>
        <w:t>today’s</w:t>
      </w:r>
      <w:r>
        <w:rPr>
          <w:sz w:val="22"/>
          <w:szCs w:val="22"/>
        </w:rPr>
        <w:t xml:space="preserve"> standards of building. In o</w:t>
      </w:r>
      <w:r>
        <w:rPr>
          <w:sz w:val="22"/>
          <w:szCs w:val="22"/>
        </w:rPr>
        <w:t xml:space="preserve">rder to </w:t>
      </w:r>
      <w:r w:rsidR="00174F79">
        <w:rPr>
          <w:sz w:val="22"/>
          <w:szCs w:val="22"/>
        </w:rPr>
        <w:t>building,</w:t>
      </w:r>
      <w:r>
        <w:rPr>
          <w:sz w:val="22"/>
          <w:szCs w:val="22"/>
        </w:rPr>
        <w:t xml:space="preserve"> an office the plans would have to meet the standards required for the building to conform to today’s rules. Building regulations gives guidelines about the constructions of the building from start to finish and the type of materials that c</w:t>
      </w:r>
      <w:r>
        <w:rPr>
          <w:sz w:val="22"/>
          <w:szCs w:val="22"/>
        </w:rPr>
        <w:t>an be used on specific buildings. It is the client’s duty to understand the importance of the regulations system as not following the system would only implicate the project. Building regulations aim to ensure the right materials are used on specific build</w:t>
      </w:r>
      <w:r>
        <w:rPr>
          <w:sz w:val="22"/>
          <w:szCs w:val="22"/>
        </w:rPr>
        <w:t xml:space="preserve">ings, ensure the building is structurally sound in the area it is situated. In the case of the </w:t>
      </w:r>
      <w:r w:rsidR="00174F79">
        <w:rPr>
          <w:sz w:val="22"/>
          <w:szCs w:val="22"/>
        </w:rPr>
        <w:t>client,</w:t>
      </w:r>
      <w:r>
        <w:rPr>
          <w:sz w:val="22"/>
          <w:szCs w:val="22"/>
        </w:rPr>
        <w:t xml:space="preserve"> employing others to carry out the work then the responsibility lies on the employee. For example if the client employs a builder to carry out the work and</w:t>
      </w:r>
      <w:r>
        <w:rPr>
          <w:sz w:val="22"/>
          <w:szCs w:val="22"/>
        </w:rPr>
        <w:t xml:space="preserve"> the builder had others working for him or her, </w:t>
      </w:r>
      <w:r w:rsidR="00174F79">
        <w:rPr>
          <w:sz w:val="22"/>
          <w:szCs w:val="22"/>
        </w:rPr>
        <w:t>it is</w:t>
      </w:r>
      <w:r>
        <w:rPr>
          <w:sz w:val="22"/>
          <w:szCs w:val="22"/>
        </w:rPr>
        <w:t xml:space="preserve"> the builders duty to make sure all work carried out is to the building regulations standard, but it is also the clients duty to confirm that with the builder. If the construction work carried out </w:t>
      </w:r>
      <w:r w:rsidR="00174F79">
        <w:rPr>
          <w:sz w:val="22"/>
          <w:szCs w:val="22"/>
        </w:rPr>
        <w:t>is not</w:t>
      </w:r>
      <w:r>
        <w:rPr>
          <w:sz w:val="22"/>
          <w:szCs w:val="22"/>
        </w:rPr>
        <w:t xml:space="preserve"> t</w:t>
      </w:r>
      <w:r>
        <w:rPr>
          <w:sz w:val="22"/>
          <w:szCs w:val="22"/>
        </w:rPr>
        <w:t xml:space="preserve">o the standard required the client would have to stop all work and revert to the standards required. </w:t>
      </w:r>
      <w:r w:rsidR="00174F79">
        <w:rPr>
          <w:sz w:val="22"/>
          <w:szCs w:val="22"/>
        </w:rPr>
        <w:t>It is</w:t>
      </w:r>
      <w:r>
        <w:rPr>
          <w:sz w:val="22"/>
          <w:szCs w:val="22"/>
        </w:rPr>
        <w:t xml:space="preserve"> the local authority’s duty to enforce notice on buildings that do not comply with the regulations set out. This could also lead to fines if the legal </w:t>
      </w:r>
      <w:r>
        <w:rPr>
          <w:sz w:val="22"/>
          <w:szCs w:val="22"/>
        </w:rPr>
        <w:t>requirements are not followed as requested by the authorities. Building regulations are required when:</w:t>
      </w:r>
    </w:p>
    <w:p w:rsidR="008A2F9A" w:rsidRDefault="008A2F9A">
      <w:pPr>
        <w:pStyle w:val="BodyA"/>
        <w:jc w:val="both"/>
        <w:rPr>
          <w:sz w:val="22"/>
          <w:szCs w:val="22"/>
        </w:rPr>
      </w:pPr>
    </w:p>
    <w:p w:rsidR="008A2F9A" w:rsidRDefault="001F73AF">
      <w:pPr>
        <w:pStyle w:val="BodyA"/>
        <w:numPr>
          <w:ilvl w:val="0"/>
          <w:numId w:val="2"/>
        </w:numPr>
        <w:jc w:val="both"/>
        <w:rPr>
          <w:sz w:val="22"/>
          <w:szCs w:val="22"/>
        </w:rPr>
      </w:pPr>
      <w:r>
        <w:rPr>
          <w:sz w:val="22"/>
          <w:szCs w:val="22"/>
        </w:rPr>
        <w:t xml:space="preserve">Put up a new building </w:t>
      </w:r>
    </w:p>
    <w:p w:rsidR="008A2F9A" w:rsidRDefault="001F73AF">
      <w:pPr>
        <w:pStyle w:val="BodyA"/>
        <w:numPr>
          <w:ilvl w:val="0"/>
          <w:numId w:val="2"/>
        </w:numPr>
        <w:jc w:val="both"/>
        <w:rPr>
          <w:sz w:val="22"/>
          <w:szCs w:val="22"/>
        </w:rPr>
      </w:pPr>
      <w:r>
        <w:rPr>
          <w:sz w:val="22"/>
          <w:szCs w:val="22"/>
        </w:rPr>
        <w:t>Extend or alter an existing building (Any alterations made to an existing building should be either identical or an improvement)</w:t>
      </w:r>
    </w:p>
    <w:p w:rsidR="008A2F9A" w:rsidRDefault="001F73AF">
      <w:pPr>
        <w:pStyle w:val="BodyA"/>
        <w:numPr>
          <w:ilvl w:val="0"/>
          <w:numId w:val="2"/>
        </w:numPr>
        <w:jc w:val="both"/>
        <w:rPr>
          <w:sz w:val="22"/>
          <w:szCs w:val="22"/>
        </w:rPr>
      </w:pPr>
      <w:r>
        <w:rPr>
          <w:sz w:val="22"/>
          <w:szCs w:val="22"/>
        </w:rPr>
        <w:t xml:space="preserve">Installing all services required to run a building (Planningportal.co.uk, </w:t>
      </w:r>
      <w:proofErr w:type="spellStart"/>
      <w:r>
        <w:rPr>
          <w:sz w:val="22"/>
          <w:szCs w:val="22"/>
        </w:rPr>
        <w:t>n.d.</w:t>
      </w:r>
      <w:proofErr w:type="spellEnd"/>
      <w:r>
        <w:rPr>
          <w:sz w:val="22"/>
          <w:szCs w:val="22"/>
        </w:rPr>
        <w:t>)</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 xml:space="preserve">All work carried out in the installation of services in a building should meet technical requirements from the building regulations. </w:t>
      </w:r>
      <w:r w:rsidR="00174F79">
        <w:rPr>
          <w:sz w:val="22"/>
          <w:szCs w:val="22"/>
        </w:rPr>
        <w:t>It is</w:t>
      </w:r>
      <w:r>
        <w:rPr>
          <w:sz w:val="22"/>
          <w:szCs w:val="22"/>
        </w:rPr>
        <w:t xml:space="preserve"> important to keep check on what regulations apply to the building in question. If the building use has been </w:t>
      </w:r>
      <w:r w:rsidR="00174F79">
        <w:rPr>
          <w:sz w:val="22"/>
          <w:szCs w:val="22"/>
        </w:rPr>
        <w:t>changed,</w:t>
      </w:r>
      <w:r>
        <w:rPr>
          <w:sz w:val="22"/>
          <w:szCs w:val="22"/>
        </w:rPr>
        <w:t xml:space="preserve"> for example a house needing disability access would need different regulations to meet the standards required. For such a building </w:t>
      </w:r>
      <w:r w:rsidR="00174F79">
        <w:rPr>
          <w:sz w:val="22"/>
          <w:szCs w:val="22"/>
        </w:rPr>
        <w:t>like,</w:t>
      </w:r>
      <w:r>
        <w:rPr>
          <w:sz w:val="22"/>
          <w:szCs w:val="22"/>
        </w:rPr>
        <w:t xml:space="preserve"> an</w:t>
      </w:r>
      <w:r>
        <w:rPr>
          <w:sz w:val="22"/>
          <w:szCs w:val="22"/>
        </w:rPr>
        <w:t xml:space="preserve"> </w:t>
      </w:r>
      <w:r w:rsidR="00174F79">
        <w:rPr>
          <w:sz w:val="22"/>
          <w:szCs w:val="22"/>
        </w:rPr>
        <w:t>office,</w:t>
      </w:r>
      <w:r>
        <w:rPr>
          <w:sz w:val="22"/>
          <w:szCs w:val="22"/>
        </w:rPr>
        <w:t xml:space="preserve"> space building it would have to comply with Part M of the building regulations as such a building of its type should have disability access. Local inspectors will make regular checks on the building </w:t>
      </w:r>
      <w:r>
        <w:rPr>
          <w:sz w:val="22"/>
          <w:szCs w:val="22"/>
        </w:rPr>
        <w:lastRenderedPageBreak/>
        <w:t xml:space="preserve">ensure all regulations are followed accordingly. </w:t>
      </w:r>
      <w:r>
        <w:rPr>
          <w:sz w:val="22"/>
          <w:szCs w:val="22"/>
        </w:rPr>
        <w:t>Once the building has been erected following all the legal requirements are met the Building Control Body (Approve Inspectors) would have to check if the building complies with the building regulations in order to issue a certificate of completion. All bui</w:t>
      </w:r>
      <w:r>
        <w:rPr>
          <w:sz w:val="22"/>
          <w:szCs w:val="22"/>
        </w:rPr>
        <w:t xml:space="preserve">lding regulations codes that would need to be followed are listed below. </w:t>
      </w:r>
    </w:p>
    <w:p w:rsidR="008A2F9A" w:rsidRDefault="008A2F9A">
      <w:pPr>
        <w:pStyle w:val="BodyA"/>
        <w:jc w:val="both"/>
      </w:pP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 xml:space="preserve">Part A </w:t>
      </w:r>
      <w:r>
        <w:rPr>
          <w:rFonts w:ascii="Arial" w:hAnsi="Arial"/>
          <w:sz w:val="22"/>
          <w:szCs w:val="22"/>
        </w:rPr>
        <w:tab/>
        <w:t>(Structure).</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 xml:space="preserve">Part B </w:t>
      </w:r>
      <w:r>
        <w:rPr>
          <w:rFonts w:ascii="Arial" w:hAnsi="Arial"/>
          <w:sz w:val="22"/>
          <w:szCs w:val="22"/>
        </w:rPr>
        <w:tab/>
        <w:t>(Fire Safety).</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 xml:space="preserve">Part C </w:t>
      </w:r>
      <w:r>
        <w:rPr>
          <w:rFonts w:ascii="Arial" w:hAnsi="Arial"/>
          <w:sz w:val="22"/>
          <w:szCs w:val="22"/>
        </w:rPr>
        <w:tab/>
        <w:t>(Site preparation and resistance to contaminates and moistures).</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Part D</w:t>
      </w:r>
      <w:r>
        <w:rPr>
          <w:rFonts w:ascii="Arial" w:hAnsi="Arial"/>
          <w:sz w:val="22"/>
          <w:szCs w:val="22"/>
        </w:rPr>
        <w:tab/>
        <w:t>(Toxic Substances).</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 xml:space="preserve">Part E </w:t>
      </w:r>
      <w:r>
        <w:rPr>
          <w:rFonts w:ascii="Arial" w:hAnsi="Arial"/>
          <w:sz w:val="22"/>
          <w:szCs w:val="22"/>
        </w:rPr>
        <w:tab/>
        <w:t>(Resistance to the passage of</w:t>
      </w:r>
      <w:r>
        <w:rPr>
          <w:rFonts w:ascii="Arial" w:hAnsi="Arial"/>
          <w:sz w:val="22"/>
          <w:szCs w:val="22"/>
        </w:rPr>
        <w:t xml:space="preserve"> sound).</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 xml:space="preserve">Part F </w:t>
      </w:r>
      <w:r>
        <w:rPr>
          <w:rFonts w:ascii="Arial" w:hAnsi="Arial"/>
          <w:sz w:val="22"/>
          <w:szCs w:val="22"/>
        </w:rPr>
        <w:tab/>
        <w:t>(Ventilation).</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Part G</w:t>
      </w:r>
      <w:r>
        <w:rPr>
          <w:rFonts w:ascii="Arial" w:hAnsi="Arial"/>
          <w:sz w:val="22"/>
          <w:szCs w:val="22"/>
        </w:rPr>
        <w:tab/>
        <w:t>(Sanitation, hot water safety and water efficiently).</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Part H</w:t>
      </w:r>
      <w:r>
        <w:rPr>
          <w:rFonts w:ascii="Arial" w:hAnsi="Arial"/>
          <w:sz w:val="22"/>
          <w:szCs w:val="22"/>
        </w:rPr>
        <w:tab/>
        <w:t>(Drainage and waste disposal).</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 xml:space="preserve">Part J </w:t>
      </w:r>
      <w:r>
        <w:rPr>
          <w:rFonts w:ascii="Arial" w:hAnsi="Arial"/>
          <w:sz w:val="22"/>
          <w:szCs w:val="22"/>
        </w:rPr>
        <w:tab/>
        <w:t>(Combustion appliances and fuel storage systems).</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Part K</w:t>
      </w:r>
      <w:r>
        <w:rPr>
          <w:rFonts w:ascii="Arial" w:hAnsi="Arial"/>
          <w:sz w:val="22"/>
          <w:szCs w:val="22"/>
        </w:rPr>
        <w:tab/>
        <w:t>(Protection from falling, collision and impact).</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 xml:space="preserve">Part L </w:t>
      </w:r>
      <w:r>
        <w:rPr>
          <w:rFonts w:ascii="Arial" w:hAnsi="Arial"/>
          <w:sz w:val="22"/>
          <w:szCs w:val="22"/>
        </w:rPr>
        <w:tab/>
        <w:t>(Co</w:t>
      </w:r>
      <w:r>
        <w:rPr>
          <w:rFonts w:ascii="Arial" w:hAnsi="Arial"/>
          <w:sz w:val="22"/>
          <w:szCs w:val="22"/>
        </w:rPr>
        <w:t>nservation of fuel and power).</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Part M</w:t>
      </w:r>
      <w:r>
        <w:rPr>
          <w:rFonts w:ascii="Arial" w:hAnsi="Arial"/>
          <w:sz w:val="22"/>
          <w:szCs w:val="22"/>
        </w:rPr>
        <w:tab/>
        <w:t>(Access to and use of buildings).</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 xml:space="preserve">Part N </w:t>
      </w:r>
      <w:r>
        <w:rPr>
          <w:rFonts w:ascii="Arial" w:hAnsi="Arial"/>
          <w:sz w:val="22"/>
          <w:szCs w:val="22"/>
        </w:rPr>
        <w:tab/>
        <w:t>(Glazing safety).</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Part P</w:t>
      </w:r>
      <w:r>
        <w:rPr>
          <w:rFonts w:ascii="Arial" w:hAnsi="Arial"/>
          <w:sz w:val="22"/>
          <w:szCs w:val="22"/>
        </w:rPr>
        <w:tab/>
        <w:t>(Electrical safety).</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Part Q</w:t>
      </w:r>
      <w:r>
        <w:rPr>
          <w:rFonts w:ascii="Arial" w:hAnsi="Arial"/>
          <w:sz w:val="22"/>
          <w:szCs w:val="22"/>
        </w:rPr>
        <w:tab/>
        <w:t>(Security).</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 xml:space="preserve">Part R </w:t>
      </w:r>
      <w:r>
        <w:rPr>
          <w:rFonts w:ascii="Arial" w:hAnsi="Arial"/>
          <w:sz w:val="22"/>
          <w:szCs w:val="22"/>
        </w:rPr>
        <w:tab/>
        <w:t xml:space="preserve">(Physical infrastructure for </w:t>
      </w:r>
      <w:r w:rsidR="00174F79">
        <w:rPr>
          <w:rFonts w:ascii="Arial" w:hAnsi="Arial"/>
          <w:sz w:val="22"/>
          <w:szCs w:val="22"/>
        </w:rPr>
        <w:t>high-speed</w:t>
      </w:r>
      <w:r>
        <w:rPr>
          <w:rFonts w:ascii="Arial" w:hAnsi="Arial"/>
          <w:sz w:val="22"/>
          <w:szCs w:val="22"/>
        </w:rPr>
        <w:t xml:space="preserve"> electronic communications networks).</w:t>
      </w:r>
    </w:p>
    <w:p w:rsidR="008A2F9A" w:rsidRDefault="001F73AF">
      <w:pPr>
        <w:pStyle w:val="ListParagraph"/>
        <w:numPr>
          <w:ilvl w:val="0"/>
          <w:numId w:val="4"/>
        </w:numPr>
        <w:spacing w:after="160" w:line="259" w:lineRule="auto"/>
        <w:jc w:val="both"/>
        <w:rPr>
          <w:rFonts w:ascii="Arial" w:eastAsia="Arial" w:hAnsi="Arial" w:cs="Arial"/>
          <w:sz w:val="22"/>
          <w:szCs w:val="22"/>
        </w:rPr>
      </w:pPr>
      <w:r>
        <w:rPr>
          <w:rFonts w:ascii="Arial" w:hAnsi="Arial"/>
          <w:sz w:val="22"/>
          <w:szCs w:val="22"/>
        </w:rPr>
        <w:t>Regulation 7 (Materials an</w:t>
      </w:r>
      <w:r>
        <w:rPr>
          <w:rFonts w:ascii="Arial" w:hAnsi="Arial"/>
          <w:sz w:val="22"/>
          <w:szCs w:val="22"/>
        </w:rPr>
        <w:t>d workmanship).</w:t>
      </w:r>
    </w:p>
    <w:p w:rsidR="008A2F9A" w:rsidRDefault="001F73AF">
      <w:pPr>
        <w:pStyle w:val="Heading"/>
        <w:jc w:val="left"/>
        <w:rPr>
          <w:rFonts w:ascii="Calibri" w:eastAsia="Calibri" w:hAnsi="Calibri" w:cs="Calibri"/>
          <w:sz w:val="22"/>
          <w:szCs w:val="22"/>
        </w:rPr>
      </w:pPr>
      <w:bookmarkStart w:id="6" w:name="_Toc8116528"/>
      <w:r>
        <w:rPr>
          <w:sz w:val="22"/>
          <w:szCs w:val="22"/>
          <w:lang w:val="it-IT"/>
        </w:rPr>
        <w:t>(Planningportal.co.uk, n.d.)</w:t>
      </w:r>
      <w:bookmarkEnd w:id="6"/>
    </w:p>
    <w:p w:rsidR="008A2F9A" w:rsidRDefault="001F73AF">
      <w:pPr>
        <w:pStyle w:val="Heading"/>
        <w:jc w:val="left"/>
        <w:rPr>
          <w:b/>
          <w:bCs/>
        </w:rPr>
      </w:pPr>
      <w:bookmarkStart w:id="7" w:name="_Toc8116529"/>
      <w:r>
        <w:rPr>
          <w:b/>
          <w:bCs/>
          <w:lang w:val="en-US"/>
        </w:rPr>
        <w:t>Health and Safety</w:t>
      </w:r>
      <w:bookmarkEnd w:id="7"/>
      <w:r>
        <w:rPr>
          <w:b/>
          <w:bCs/>
          <w:lang w:val="en-US"/>
        </w:rPr>
        <w:t xml:space="preserve"> </w:t>
      </w:r>
    </w:p>
    <w:p w:rsidR="008A2F9A" w:rsidRDefault="008A2F9A">
      <w:pPr>
        <w:pStyle w:val="BodyA"/>
        <w:jc w:val="left"/>
        <w:rPr>
          <w:b/>
          <w:bCs/>
          <w:sz w:val="24"/>
          <w:szCs w:val="24"/>
        </w:rPr>
      </w:pPr>
    </w:p>
    <w:p w:rsidR="008A2F9A" w:rsidRDefault="001F73AF">
      <w:pPr>
        <w:pStyle w:val="BodyA"/>
        <w:jc w:val="both"/>
        <w:rPr>
          <w:sz w:val="22"/>
          <w:szCs w:val="22"/>
        </w:rPr>
      </w:pPr>
      <w:r>
        <w:rPr>
          <w:sz w:val="22"/>
          <w:szCs w:val="22"/>
        </w:rPr>
        <w:t xml:space="preserve">Besides building </w:t>
      </w:r>
      <w:r w:rsidR="00174F79">
        <w:rPr>
          <w:sz w:val="22"/>
          <w:szCs w:val="22"/>
        </w:rPr>
        <w:t>regulations,</w:t>
      </w:r>
      <w:r>
        <w:rPr>
          <w:sz w:val="22"/>
          <w:szCs w:val="22"/>
        </w:rPr>
        <w:t xml:space="preserve"> they are other requirements that need to be met on a building site such as health and safety. The health and safety at work act 1974 lays a duty on all employers </w:t>
      </w:r>
      <w:r>
        <w:rPr>
          <w:sz w:val="22"/>
          <w:szCs w:val="22"/>
        </w:rPr>
        <w:t xml:space="preserve">as they must protect all employees on site, any individuals that enter the premises, pedestrians if there pavements near the site or pathways. Health and safety plans should be accessible to sub-contractors involved with the construction work and </w:t>
      </w:r>
      <w:r w:rsidR="00174F79">
        <w:rPr>
          <w:sz w:val="22"/>
          <w:szCs w:val="22"/>
        </w:rPr>
        <w:t>it is</w:t>
      </w:r>
      <w:r>
        <w:rPr>
          <w:sz w:val="22"/>
          <w:szCs w:val="22"/>
        </w:rPr>
        <w:t xml:space="preserve"> thei</w:t>
      </w:r>
      <w:r>
        <w:rPr>
          <w:sz w:val="22"/>
          <w:szCs w:val="22"/>
        </w:rPr>
        <w:t>r duty as employees to abide by those health and safety requirements. All the relevant legal requirements should be considered prior to commencing construction work. In order for work to proceed on a construction site all safety guideline should be met. Ap</w:t>
      </w:r>
      <w:r>
        <w:rPr>
          <w:sz w:val="22"/>
          <w:szCs w:val="22"/>
        </w:rPr>
        <w:t xml:space="preserve">propriate signage should be put up for all personals to see and should be clearly visible to all that enter the site. Prior to carrying out any construction </w:t>
      </w:r>
      <w:r w:rsidR="00174F79">
        <w:rPr>
          <w:sz w:val="22"/>
          <w:szCs w:val="22"/>
        </w:rPr>
        <w:t>work,</w:t>
      </w:r>
      <w:r>
        <w:rPr>
          <w:sz w:val="22"/>
          <w:szCs w:val="22"/>
        </w:rPr>
        <w:t xml:space="preserve"> the HSE should be notified of the work being undertaken. HSE would then inspect the site ensur</w:t>
      </w:r>
      <w:r>
        <w:rPr>
          <w:sz w:val="22"/>
          <w:szCs w:val="22"/>
        </w:rPr>
        <w:t xml:space="preserve">ing all health and safety requirements are met in order to commence. If the client employs </w:t>
      </w:r>
      <w:r w:rsidR="00174F79">
        <w:rPr>
          <w:sz w:val="22"/>
          <w:szCs w:val="22"/>
        </w:rPr>
        <w:t>a planning supervisor</w:t>
      </w:r>
      <w:r>
        <w:rPr>
          <w:sz w:val="22"/>
          <w:szCs w:val="22"/>
        </w:rPr>
        <w:t xml:space="preserve">, </w:t>
      </w:r>
      <w:r w:rsidR="00174F79">
        <w:rPr>
          <w:sz w:val="22"/>
          <w:szCs w:val="22"/>
        </w:rPr>
        <w:t>it is</w:t>
      </w:r>
      <w:r>
        <w:rPr>
          <w:sz w:val="22"/>
          <w:szCs w:val="22"/>
        </w:rPr>
        <w:t xml:space="preserve"> the supervisor’s duty to outline the risks and implications involved when working on a construction site. The HASAWA 1974 also sets out </w:t>
      </w:r>
      <w:r>
        <w:rPr>
          <w:sz w:val="22"/>
          <w:szCs w:val="22"/>
        </w:rPr>
        <w:t>the manual handling of equipment, wearing PPE, moving and handling of dangerous substances and moving heavy materials guidelines. Other considerations would be security on the site ensuring they are no trespasser during out of work hours. Health and safety</w:t>
      </w:r>
      <w:r>
        <w:rPr>
          <w:sz w:val="22"/>
          <w:szCs w:val="22"/>
        </w:rPr>
        <w:t xml:space="preserve"> signage also applies to trespasser as having the appropriate signs to protect you from lawsuits.  </w:t>
      </w:r>
    </w:p>
    <w:p w:rsidR="008A2F9A" w:rsidRDefault="001F73AF">
      <w:pPr>
        <w:pStyle w:val="Heading"/>
        <w:jc w:val="left"/>
        <w:rPr>
          <w:b/>
          <w:bCs/>
        </w:rPr>
      </w:pPr>
      <w:bookmarkStart w:id="8" w:name="_Toc8116530"/>
      <w:r>
        <w:rPr>
          <w:b/>
          <w:bCs/>
          <w:lang w:val="en-US"/>
        </w:rPr>
        <w:lastRenderedPageBreak/>
        <w:t>Insurance</w:t>
      </w:r>
      <w:bookmarkEnd w:id="8"/>
    </w:p>
    <w:p w:rsidR="008A2F9A" w:rsidRDefault="008A2F9A">
      <w:pPr>
        <w:pStyle w:val="BodyA"/>
        <w:jc w:val="left"/>
        <w:rPr>
          <w:b/>
          <w:bCs/>
          <w:sz w:val="24"/>
          <w:szCs w:val="24"/>
        </w:rPr>
      </w:pPr>
    </w:p>
    <w:p w:rsidR="008A2F9A" w:rsidRDefault="001F73AF">
      <w:pPr>
        <w:pStyle w:val="BodyA"/>
        <w:jc w:val="both"/>
        <w:rPr>
          <w:sz w:val="22"/>
          <w:szCs w:val="22"/>
        </w:rPr>
      </w:pPr>
      <w:r>
        <w:rPr>
          <w:sz w:val="22"/>
          <w:szCs w:val="22"/>
        </w:rPr>
        <w:t>Insuring yourself and your business is key in case any issues arise such as injuries and damage to property. The insurance would cover you for any injuries and damages sustained by the parties involved. There two types of insurance that can be taken out du</w:t>
      </w:r>
      <w:r>
        <w:rPr>
          <w:sz w:val="22"/>
          <w:szCs w:val="22"/>
        </w:rPr>
        <w:t xml:space="preserve">ring a construction project which are public liability and professional indemnity. Common covers for both insurance types are £1m, £2m and £5m. These are the basic minimum covers that can be taken out for various projects, but smaller amounts can be taken </w:t>
      </w:r>
      <w:r>
        <w:rPr>
          <w:sz w:val="22"/>
          <w:szCs w:val="22"/>
        </w:rPr>
        <w:t>out as well. Public liability protects against:</w:t>
      </w:r>
    </w:p>
    <w:p w:rsidR="008A2F9A" w:rsidRDefault="008A2F9A">
      <w:pPr>
        <w:pStyle w:val="BodyA"/>
        <w:jc w:val="both"/>
        <w:rPr>
          <w:sz w:val="22"/>
          <w:szCs w:val="22"/>
        </w:rPr>
      </w:pPr>
    </w:p>
    <w:p w:rsidR="008A2F9A" w:rsidRDefault="001F73AF">
      <w:pPr>
        <w:pStyle w:val="BodyA"/>
        <w:numPr>
          <w:ilvl w:val="0"/>
          <w:numId w:val="2"/>
        </w:numPr>
        <w:jc w:val="both"/>
        <w:rPr>
          <w:sz w:val="22"/>
          <w:szCs w:val="22"/>
        </w:rPr>
      </w:pPr>
      <w:r>
        <w:rPr>
          <w:sz w:val="22"/>
          <w:szCs w:val="22"/>
        </w:rPr>
        <w:t>Injury</w:t>
      </w:r>
    </w:p>
    <w:p w:rsidR="008A2F9A" w:rsidRDefault="001F73AF">
      <w:pPr>
        <w:pStyle w:val="BodyA"/>
        <w:numPr>
          <w:ilvl w:val="0"/>
          <w:numId w:val="2"/>
        </w:numPr>
        <w:jc w:val="both"/>
        <w:rPr>
          <w:sz w:val="22"/>
          <w:szCs w:val="22"/>
        </w:rPr>
      </w:pPr>
      <w:r>
        <w:rPr>
          <w:sz w:val="22"/>
          <w:szCs w:val="22"/>
        </w:rPr>
        <w:t>Property damage</w:t>
      </w:r>
    </w:p>
    <w:p w:rsidR="008A2F9A" w:rsidRDefault="001F73AF">
      <w:pPr>
        <w:pStyle w:val="BodyA"/>
        <w:numPr>
          <w:ilvl w:val="0"/>
          <w:numId w:val="2"/>
        </w:numPr>
        <w:jc w:val="both"/>
        <w:rPr>
          <w:sz w:val="22"/>
          <w:szCs w:val="22"/>
        </w:rPr>
      </w:pPr>
      <w:r>
        <w:rPr>
          <w:sz w:val="22"/>
          <w:szCs w:val="22"/>
        </w:rPr>
        <w:t xml:space="preserve">Stress or anxiety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Public liability insurance covers a vast amount of areas such as members of the public that might enter your premises, customers or individuals entering the buildin</w:t>
      </w:r>
      <w:r>
        <w:rPr>
          <w:sz w:val="22"/>
          <w:szCs w:val="22"/>
        </w:rPr>
        <w:t>g for work related purposes to sub-contractors carrying out work on site. The list could go on with the types of incident that public liability covers. Premiums also vary depending on the financial background of the business. If the business financial year</w:t>
      </w:r>
      <w:r>
        <w:rPr>
          <w:sz w:val="22"/>
          <w:szCs w:val="22"/>
        </w:rPr>
        <w:t xml:space="preserve">s </w:t>
      </w:r>
      <w:r w:rsidR="00174F79">
        <w:rPr>
          <w:sz w:val="22"/>
          <w:szCs w:val="22"/>
        </w:rPr>
        <w:t>increase,</w:t>
      </w:r>
      <w:r>
        <w:rPr>
          <w:sz w:val="22"/>
          <w:szCs w:val="22"/>
        </w:rPr>
        <w:t xml:space="preserve"> the chances of your premium increasing are high. Other aspects that could increase your premium would be the risk of the job. For </w:t>
      </w:r>
      <w:r w:rsidR="00174F79">
        <w:rPr>
          <w:sz w:val="22"/>
          <w:szCs w:val="22"/>
        </w:rPr>
        <w:t>example,</w:t>
      </w:r>
      <w:r>
        <w:rPr>
          <w:sz w:val="22"/>
          <w:szCs w:val="22"/>
        </w:rPr>
        <w:t xml:space="preserve"> if you were constructing a building at risky heights this would increase your insurance premium. Insurance </w:t>
      </w:r>
      <w:r>
        <w:rPr>
          <w:sz w:val="22"/>
          <w:szCs w:val="22"/>
        </w:rPr>
        <w:t xml:space="preserve">payout cover various incident for example “A lady slipped on 2 grapes in a supermarket in 2005. She was later awarded £30,000 in compensation as the accident left her needing a shoulder joint replacement” so </w:t>
      </w:r>
      <w:r w:rsidR="00174F79">
        <w:rPr>
          <w:sz w:val="22"/>
          <w:szCs w:val="22"/>
        </w:rPr>
        <w:t>it is</w:t>
      </w:r>
      <w:r>
        <w:rPr>
          <w:sz w:val="22"/>
          <w:szCs w:val="22"/>
        </w:rPr>
        <w:t xml:space="preserve"> important to understand the need for insura</w:t>
      </w:r>
      <w:r>
        <w:rPr>
          <w:sz w:val="22"/>
          <w:szCs w:val="22"/>
        </w:rPr>
        <w:t>nce as the client aims to erect an office building. The other type of insurance is professional indemnity which is not necessarily required, but can be essential in working professions such as law firms that would need cover for negligence, defamation e.g.</w:t>
      </w:r>
      <w:r>
        <w:rPr>
          <w:sz w:val="22"/>
          <w:szCs w:val="22"/>
        </w:rPr>
        <w:t xml:space="preserve"> The type of cover is also limited to the client and the type of business they possess. The sort of claims made for professional indemnity are PI claims, breach of confidential information e.g. The difference between the covers is that public liability cov</w:t>
      </w:r>
      <w:r>
        <w:rPr>
          <w:sz w:val="22"/>
          <w:szCs w:val="22"/>
        </w:rPr>
        <w:t xml:space="preserve">ers third party accidents were professional indemnity covers yourself. These types of insurance covers are important as they prove to be helpful for those who have needed it.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Latent defects insurance covers the buildings components for up to 10 years for</w:t>
      </w:r>
      <w:r>
        <w:rPr>
          <w:sz w:val="22"/>
          <w:szCs w:val="22"/>
        </w:rPr>
        <w:t xml:space="preserve"> any damage that is caused to the building during the </w:t>
      </w:r>
      <w:r w:rsidR="00174F79">
        <w:rPr>
          <w:sz w:val="22"/>
          <w:szCs w:val="22"/>
        </w:rPr>
        <w:t>10-year</w:t>
      </w:r>
      <w:r>
        <w:rPr>
          <w:sz w:val="22"/>
          <w:szCs w:val="22"/>
        </w:rPr>
        <w:t xml:space="preserve"> period. The client is covered for the insufficient work carried out by sub-contractors to rectify the defects identified. Defects can arise from different circumstances such as poor workmanship,</w:t>
      </w:r>
      <w:r>
        <w:rPr>
          <w:sz w:val="22"/>
          <w:szCs w:val="22"/>
        </w:rPr>
        <w:t xml:space="preserve"> poor design or poor materials used on building and many other circumstances. Latent defect insurance was first proposed in 1988 for new building to have cover towards inherent defects. Latent defects cover can be effective in the case of “defective baseme</w:t>
      </w:r>
      <w:r>
        <w:rPr>
          <w:sz w:val="22"/>
          <w:szCs w:val="22"/>
        </w:rPr>
        <w:t>nt tanking allowing water penetration”</w:t>
      </w:r>
      <w:r>
        <w:rPr>
          <w:color w:val="FF2C21"/>
          <w:sz w:val="22"/>
          <w:szCs w:val="22"/>
          <w:u w:color="FF2C21"/>
        </w:rPr>
        <w:t xml:space="preserve"> </w:t>
      </w:r>
      <w:r>
        <w:rPr>
          <w:sz w:val="22"/>
          <w:szCs w:val="22"/>
        </w:rPr>
        <w:t xml:space="preserve">latent defect insurance becomes effective due to the poor workmanship of sub-contractors or individual responsible for installing components in question (Designingbuildings.co.uk, </w:t>
      </w:r>
      <w:proofErr w:type="spellStart"/>
      <w:r>
        <w:rPr>
          <w:sz w:val="22"/>
          <w:szCs w:val="22"/>
        </w:rPr>
        <w:t>n.d.</w:t>
      </w:r>
      <w:proofErr w:type="spellEnd"/>
      <w:r>
        <w:rPr>
          <w:sz w:val="22"/>
          <w:szCs w:val="22"/>
        </w:rPr>
        <w:t>). Later defect insurance is usua</w:t>
      </w:r>
      <w:r>
        <w:rPr>
          <w:sz w:val="22"/>
          <w:szCs w:val="22"/>
        </w:rPr>
        <w:t xml:space="preserve">lly taken out at the start of the project. Latent defect insurance can cover various applications such as weatherproofing, M and E services to loss of rent. </w:t>
      </w:r>
      <w:r w:rsidR="00174F79">
        <w:rPr>
          <w:sz w:val="22"/>
          <w:szCs w:val="22"/>
        </w:rPr>
        <w:t>It is</w:t>
      </w:r>
      <w:r>
        <w:rPr>
          <w:sz w:val="22"/>
          <w:szCs w:val="22"/>
        </w:rPr>
        <w:t xml:space="preserve"> the client’s responsibility to ensure such insurance covers their new building in case of any </w:t>
      </w:r>
      <w:r>
        <w:rPr>
          <w:sz w:val="22"/>
          <w:szCs w:val="22"/>
        </w:rPr>
        <w:t xml:space="preserve">defects noticed after completion. </w:t>
      </w:r>
    </w:p>
    <w:p w:rsidR="008A2F9A" w:rsidRDefault="001F73AF">
      <w:pPr>
        <w:pStyle w:val="Heading"/>
        <w:jc w:val="left"/>
        <w:rPr>
          <w:b/>
          <w:bCs/>
        </w:rPr>
      </w:pPr>
      <w:bookmarkStart w:id="9" w:name="_Toc8116531"/>
      <w:r>
        <w:rPr>
          <w:b/>
          <w:bCs/>
          <w:lang w:val="en-US"/>
        </w:rPr>
        <w:t>Leasing and dilapidation</w:t>
      </w:r>
      <w:bookmarkEnd w:id="9"/>
    </w:p>
    <w:p w:rsidR="008A2F9A" w:rsidRDefault="008A2F9A">
      <w:pPr>
        <w:pStyle w:val="BodyA"/>
        <w:jc w:val="left"/>
        <w:rPr>
          <w:b/>
          <w:bCs/>
          <w:sz w:val="24"/>
          <w:szCs w:val="24"/>
        </w:rPr>
      </w:pPr>
    </w:p>
    <w:p w:rsidR="008A2F9A" w:rsidRDefault="001F73AF">
      <w:pPr>
        <w:pStyle w:val="BodyA"/>
        <w:jc w:val="both"/>
        <w:rPr>
          <w:sz w:val="22"/>
          <w:szCs w:val="22"/>
        </w:rPr>
      </w:pPr>
      <w:r>
        <w:rPr>
          <w:sz w:val="22"/>
          <w:szCs w:val="22"/>
        </w:rPr>
        <w:t>Once the building is up and running and the spaces in the building are being used for their intended purpose, the client has a duty to inform his or her tenants of the obligations they are tied t</w:t>
      </w:r>
      <w:r>
        <w:rPr>
          <w:sz w:val="22"/>
          <w:szCs w:val="22"/>
        </w:rPr>
        <w:t>o once entering a leasing contractual agreement (</w:t>
      </w:r>
      <w:proofErr w:type="spellStart"/>
      <w:r>
        <w:rPr>
          <w:sz w:val="22"/>
          <w:szCs w:val="22"/>
        </w:rPr>
        <w:t>McFlarlane</w:t>
      </w:r>
      <w:proofErr w:type="spellEnd"/>
      <w:r>
        <w:rPr>
          <w:sz w:val="22"/>
          <w:szCs w:val="22"/>
        </w:rPr>
        <w:t xml:space="preserve">, Hopkins and </w:t>
      </w:r>
      <w:proofErr w:type="spellStart"/>
      <w:r>
        <w:rPr>
          <w:sz w:val="22"/>
          <w:szCs w:val="22"/>
        </w:rPr>
        <w:t>Nield</w:t>
      </w:r>
      <w:proofErr w:type="spellEnd"/>
      <w:r>
        <w:rPr>
          <w:sz w:val="22"/>
          <w:szCs w:val="22"/>
        </w:rPr>
        <w:t>, 2015). A lease is the right individuals possess in the property they reside in. There different types of leases some of which are listed below:</w:t>
      </w:r>
    </w:p>
    <w:p w:rsidR="008A2F9A" w:rsidRDefault="008A2F9A">
      <w:pPr>
        <w:pStyle w:val="BodyA"/>
        <w:jc w:val="both"/>
        <w:rPr>
          <w:sz w:val="22"/>
          <w:szCs w:val="22"/>
        </w:rPr>
      </w:pPr>
    </w:p>
    <w:p w:rsidR="008A2F9A" w:rsidRDefault="001F73AF">
      <w:pPr>
        <w:pStyle w:val="BodyA"/>
        <w:numPr>
          <w:ilvl w:val="0"/>
          <w:numId w:val="2"/>
        </w:numPr>
        <w:jc w:val="both"/>
        <w:rPr>
          <w:sz w:val="22"/>
          <w:szCs w:val="22"/>
        </w:rPr>
      </w:pPr>
      <w:r>
        <w:rPr>
          <w:sz w:val="22"/>
          <w:szCs w:val="22"/>
        </w:rPr>
        <w:t>Ground lease</w:t>
      </w:r>
    </w:p>
    <w:p w:rsidR="008A2F9A" w:rsidRDefault="001F73AF">
      <w:pPr>
        <w:pStyle w:val="BodyA"/>
        <w:numPr>
          <w:ilvl w:val="0"/>
          <w:numId w:val="2"/>
        </w:numPr>
        <w:jc w:val="both"/>
        <w:rPr>
          <w:sz w:val="22"/>
          <w:szCs w:val="22"/>
        </w:rPr>
      </w:pPr>
      <w:r>
        <w:rPr>
          <w:sz w:val="22"/>
          <w:szCs w:val="22"/>
        </w:rPr>
        <w:t>Head lease</w:t>
      </w:r>
    </w:p>
    <w:p w:rsidR="008A2F9A" w:rsidRDefault="001F73AF">
      <w:pPr>
        <w:pStyle w:val="BodyA"/>
        <w:numPr>
          <w:ilvl w:val="0"/>
          <w:numId w:val="2"/>
        </w:numPr>
        <w:jc w:val="both"/>
        <w:rPr>
          <w:sz w:val="22"/>
          <w:szCs w:val="22"/>
        </w:rPr>
      </w:pPr>
      <w:r>
        <w:rPr>
          <w:sz w:val="22"/>
          <w:szCs w:val="22"/>
        </w:rPr>
        <w:t>Interna</w:t>
      </w:r>
      <w:r>
        <w:rPr>
          <w:sz w:val="22"/>
          <w:szCs w:val="22"/>
        </w:rPr>
        <w:t>l repairing lease</w:t>
      </w:r>
    </w:p>
    <w:p w:rsidR="008A2F9A" w:rsidRDefault="001F73AF">
      <w:pPr>
        <w:pStyle w:val="BodyA"/>
        <w:numPr>
          <w:ilvl w:val="0"/>
          <w:numId w:val="2"/>
        </w:numPr>
        <w:jc w:val="both"/>
        <w:rPr>
          <w:sz w:val="22"/>
          <w:szCs w:val="22"/>
        </w:rPr>
      </w:pPr>
      <w:r>
        <w:rPr>
          <w:sz w:val="22"/>
          <w:szCs w:val="22"/>
        </w:rPr>
        <w:t>Long lease</w:t>
      </w:r>
    </w:p>
    <w:p w:rsidR="008A2F9A" w:rsidRDefault="001F73AF">
      <w:pPr>
        <w:pStyle w:val="BodyA"/>
        <w:numPr>
          <w:ilvl w:val="0"/>
          <w:numId w:val="2"/>
        </w:numPr>
        <w:jc w:val="both"/>
        <w:rPr>
          <w:sz w:val="22"/>
          <w:szCs w:val="22"/>
        </w:rPr>
      </w:pPr>
      <w:r>
        <w:rPr>
          <w:sz w:val="22"/>
          <w:szCs w:val="22"/>
        </w:rPr>
        <w:t>Tenancy at will</w:t>
      </w:r>
    </w:p>
    <w:p w:rsidR="008A2F9A" w:rsidRDefault="001F73AF">
      <w:pPr>
        <w:pStyle w:val="BodyA"/>
        <w:numPr>
          <w:ilvl w:val="0"/>
          <w:numId w:val="2"/>
        </w:numPr>
        <w:jc w:val="both"/>
        <w:rPr>
          <w:sz w:val="22"/>
          <w:szCs w:val="22"/>
        </w:rPr>
      </w:pPr>
      <w:r>
        <w:rPr>
          <w:sz w:val="22"/>
          <w:szCs w:val="22"/>
        </w:rPr>
        <w:lastRenderedPageBreak/>
        <w:t>Reversionary lease</w:t>
      </w:r>
    </w:p>
    <w:p w:rsidR="008A2F9A" w:rsidRDefault="001F73AF">
      <w:pPr>
        <w:pStyle w:val="BodyA"/>
        <w:numPr>
          <w:ilvl w:val="0"/>
          <w:numId w:val="2"/>
        </w:numPr>
        <w:jc w:val="both"/>
        <w:rPr>
          <w:sz w:val="22"/>
          <w:szCs w:val="22"/>
        </w:rPr>
      </w:pPr>
      <w:r>
        <w:rPr>
          <w:sz w:val="22"/>
          <w:szCs w:val="22"/>
        </w:rPr>
        <w:t>Sublease / sub-</w:t>
      </w:r>
      <w:proofErr w:type="spellStart"/>
      <w:r>
        <w:rPr>
          <w:sz w:val="22"/>
          <w:szCs w:val="22"/>
        </w:rPr>
        <w:t>underlease</w:t>
      </w:r>
      <w:proofErr w:type="spellEnd"/>
      <w:r>
        <w:rPr>
          <w:sz w:val="22"/>
          <w:szCs w:val="22"/>
        </w:rPr>
        <w:t xml:space="preserve"> </w:t>
      </w:r>
    </w:p>
    <w:p w:rsidR="008A2F9A" w:rsidRDefault="001F73AF">
      <w:pPr>
        <w:pStyle w:val="BodyA"/>
        <w:numPr>
          <w:ilvl w:val="0"/>
          <w:numId w:val="2"/>
        </w:numPr>
        <w:jc w:val="both"/>
        <w:rPr>
          <w:sz w:val="22"/>
          <w:szCs w:val="22"/>
        </w:rPr>
      </w:pPr>
      <w:r>
        <w:rPr>
          <w:sz w:val="22"/>
          <w:szCs w:val="22"/>
        </w:rPr>
        <w:t>Pre-let</w:t>
      </w:r>
    </w:p>
    <w:p w:rsidR="008A2F9A" w:rsidRDefault="001F73AF">
      <w:pPr>
        <w:pStyle w:val="BodyA"/>
        <w:numPr>
          <w:ilvl w:val="0"/>
          <w:numId w:val="2"/>
        </w:numPr>
        <w:jc w:val="both"/>
        <w:rPr>
          <w:sz w:val="22"/>
          <w:szCs w:val="22"/>
        </w:rPr>
      </w:pPr>
      <w:r>
        <w:rPr>
          <w:sz w:val="22"/>
          <w:szCs w:val="22"/>
        </w:rPr>
        <w:t>Institutional lease</w:t>
      </w:r>
    </w:p>
    <w:p w:rsidR="008A2F9A" w:rsidRDefault="001F73AF">
      <w:pPr>
        <w:pStyle w:val="BodyA"/>
        <w:numPr>
          <w:ilvl w:val="0"/>
          <w:numId w:val="2"/>
        </w:numPr>
        <w:jc w:val="both"/>
        <w:rPr>
          <w:sz w:val="22"/>
          <w:szCs w:val="22"/>
        </w:rPr>
      </w:pPr>
      <w:r>
        <w:rPr>
          <w:sz w:val="22"/>
          <w:szCs w:val="22"/>
        </w:rPr>
        <w:t>Full repairing and insuring (FRI) lease</w:t>
      </w:r>
    </w:p>
    <w:p w:rsidR="008A2F9A" w:rsidRDefault="001F73AF">
      <w:pPr>
        <w:pStyle w:val="BodyA"/>
        <w:numPr>
          <w:ilvl w:val="0"/>
          <w:numId w:val="2"/>
        </w:numPr>
        <w:jc w:val="both"/>
        <w:rPr>
          <w:sz w:val="22"/>
          <w:szCs w:val="22"/>
        </w:rPr>
      </w:pPr>
      <w:r>
        <w:rPr>
          <w:sz w:val="22"/>
          <w:szCs w:val="22"/>
        </w:rPr>
        <w:t>Concurrent lease</w:t>
      </w:r>
    </w:p>
    <w:p w:rsidR="008A2F9A" w:rsidRDefault="001F73AF">
      <w:pPr>
        <w:pStyle w:val="BodyA"/>
        <w:numPr>
          <w:ilvl w:val="0"/>
          <w:numId w:val="2"/>
        </w:numPr>
        <w:jc w:val="both"/>
        <w:rPr>
          <w:sz w:val="22"/>
          <w:szCs w:val="22"/>
        </w:rPr>
      </w:pPr>
      <w:r>
        <w:rPr>
          <w:sz w:val="22"/>
          <w:szCs w:val="22"/>
        </w:rPr>
        <w:t xml:space="preserve">Occupation / occupational lease </w:t>
      </w:r>
    </w:p>
    <w:p w:rsidR="008A2F9A" w:rsidRDefault="008A2F9A">
      <w:pPr>
        <w:pStyle w:val="BodyA"/>
        <w:jc w:val="both"/>
        <w:rPr>
          <w:sz w:val="22"/>
          <w:szCs w:val="22"/>
        </w:rPr>
      </w:pPr>
    </w:p>
    <w:p w:rsidR="008A2F9A" w:rsidRDefault="001F73AF">
      <w:pPr>
        <w:pStyle w:val="BodyA"/>
        <w:jc w:val="both"/>
        <w:rPr>
          <w:sz w:val="22"/>
          <w:szCs w:val="22"/>
        </w:rPr>
      </w:pPr>
      <w:r>
        <w:rPr>
          <w:sz w:val="22"/>
          <w:szCs w:val="22"/>
        </w:rPr>
        <w:t>These are some of the leases that are availabl</w:t>
      </w:r>
      <w:r>
        <w:rPr>
          <w:sz w:val="22"/>
          <w:szCs w:val="22"/>
        </w:rPr>
        <w:t xml:space="preserve">e for property owners and tenants occupying a </w:t>
      </w:r>
      <w:r w:rsidR="00174F79">
        <w:rPr>
          <w:sz w:val="22"/>
          <w:szCs w:val="22"/>
        </w:rPr>
        <w:t>property owner</w:t>
      </w:r>
      <w:r>
        <w:rPr>
          <w:sz w:val="22"/>
          <w:szCs w:val="22"/>
        </w:rPr>
        <w:t xml:space="preserve"> or </w:t>
      </w:r>
      <w:r w:rsidR="00174F79">
        <w:rPr>
          <w:sz w:val="22"/>
          <w:szCs w:val="22"/>
        </w:rPr>
        <w:t>lessor’s</w:t>
      </w:r>
      <w:r>
        <w:rPr>
          <w:sz w:val="22"/>
          <w:szCs w:val="22"/>
        </w:rPr>
        <w:t xml:space="preserve"> property. All these leases have an essential </w:t>
      </w:r>
      <w:r w:rsidR="00174F79">
        <w:rPr>
          <w:sz w:val="22"/>
          <w:szCs w:val="22"/>
        </w:rPr>
        <w:t>element, which</w:t>
      </w:r>
      <w:r>
        <w:rPr>
          <w:sz w:val="22"/>
          <w:szCs w:val="22"/>
        </w:rPr>
        <w:t xml:space="preserve"> is the contractual agreement between a lessor and a lessee that gives the lessee rights to use property the lessor may own. As a bu</w:t>
      </w:r>
      <w:r>
        <w:rPr>
          <w:sz w:val="22"/>
          <w:szCs w:val="22"/>
        </w:rPr>
        <w:t xml:space="preserve">siness </w:t>
      </w:r>
      <w:r w:rsidR="00174F79">
        <w:rPr>
          <w:sz w:val="22"/>
          <w:szCs w:val="22"/>
        </w:rPr>
        <w:t>owner,</w:t>
      </w:r>
      <w:r>
        <w:rPr>
          <w:sz w:val="22"/>
          <w:szCs w:val="22"/>
        </w:rPr>
        <w:t xml:space="preserve"> the client would have to hold a lease between tenants that conduct their business in the client’s premises. As a lessor or </w:t>
      </w:r>
      <w:r w:rsidR="00174F79">
        <w:rPr>
          <w:sz w:val="22"/>
          <w:szCs w:val="22"/>
        </w:rPr>
        <w:t>property owner,</w:t>
      </w:r>
      <w:r>
        <w:rPr>
          <w:sz w:val="22"/>
          <w:szCs w:val="22"/>
        </w:rPr>
        <w:t xml:space="preserve"> </w:t>
      </w:r>
      <w:r w:rsidR="00174F79">
        <w:rPr>
          <w:sz w:val="22"/>
          <w:szCs w:val="22"/>
        </w:rPr>
        <w:t>it is</w:t>
      </w:r>
      <w:r>
        <w:rPr>
          <w:sz w:val="22"/>
          <w:szCs w:val="22"/>
        </w:rPr>
        <w:t xml:space="preserve"> your duty to specify to your tenant the type of lease they acquire and the length of the lease. As the cli</w:t>
      </w:r>
      <w:r>
        <w:rPr>
          <w:sz w:val="22"/>
          <w:szCs w:val="22"/>
        </w:rPr>
        <w:t xml:space="preserve">ent and owner of the </w:t>
      </w:r>
      <w:r w:rsidR="00174F79">
        <w:rPr>
          <w:sz w:val="22"/>
          <w:szCs w:val="22"/>
        </w:rPr>
        <w:t>property,</w:t>
      </w:r>
      <w:r>
        <w:rPr>
          <w:sz w:val="22"/>
          <w:szCs w:val="22"/>
        </w:rPr>
        <w:t xml:space="preserve"> </w:t>
      </w:r>
      <w:r w:rsidR="00174F79">
        <w:rPr>
          <w:sz w:val="22"/>
          <w:szCs w:val="22"/>
        </w:rPr>
        <w:t>it is</w:t>
      </w:r>
      <w:r>
        <w:rPr>
          <w:sz w:val="22"/>
          <w:szCs w:val="22"/>
        </w:rPr>
        <w:t xml:space="preserve"> your duty to rectify issues that occur within the building such as smashed windows, leaking roofs e.g. the tenants can voice up issues within the building that cause discomfort and </w:t>
      </w:r>
      <w:r w:rsidR="00174F79">
        <w:rPr>
          <w:sz w:val="22"/>
          <w:szCs w:val="22"/>
        </w:rPr>
        <w:t>it is</w:t>
      </w:r>
      <w:r>
        <w:rPr>
          <w:sz w:val="22"/>
          <w:szCs w:val="22"/>
        </w:rPr>
        <w:t xml:space="preserve"> the landlord or lessors obligations</w:t>
      </w:r>
      <w:r>
        <w:rPr>
          <w:sz w:val="22"/>
          <w:szCs w:val="22"/>
        </w:rPr>
        <w:t xml:space="preserve"> to rectify those issues. An excellent case study is the </w:t>
      </w:r>
      <w:proofErr w:type="spellStart"/>
      <w:r>
        <w:rPr>
          <w:sz w:val="22"/>
          <w:szCs w:val="22"/>
          <w:u w:color="FF2C21"/>
        </w:rPr>
        <w:t>Ravenseft</w:t>
      </w:r>
      <w:proofErr w:type="spellEnd"/>
      <w:r>
        <w:rPr>
          <w:sz w:val="22"/>
          <w:szCs w:val="22"/>
          <w:u w:color="FF2C21"/>
        </w:rPr>
        <w:t xml:space="preserve"> Properties Ltd v </w:t>
      </w:r>
      <w:proofErr w:type="spellStart"/>
      <w:r>
        <w:rPr>
          <w:sz w:val="22"/>
          <w:szCs w:val="22"/>
          <w:u w:color="FF2C21"/>
        </w:rPr>
        <w:t>Davstone</w:t>
      </w:r>
      <w:proofErr w:type="spellEnd"/>
      <w:r>
        <w:rPr>
          <w:sz w:val="22"/>
          <w:szCs w:val="22"/>
          <w:u w:color="FF2C21"/>
        </w:rPr>
        <w:t xml:space="preserve"> (Holdings) </w:t>
      </w:r>
      <w:r w:rsidR="00174F79">
        <w:rPr>
          <w:sz w:val="22"/>
          <w:szCs w:val="22"/>
          <w:u w:color="FF2C21"/>
        </w:rPr>
        <w:t>Ltd;</w:t>
      </w:r>
      <w:r>
        <w:rPr>
          <w:sz w:val="22"/>
          <w:szCs w:val="22"/>
          <w:u w:color="FF2C21"/>
        </w:rPr>
        <w:t xml:space="preserve"> </w:t>
      </w:r>
      <w:r>
        <w:rPr>
          <w:sz w:val="22"/>
          <w:szCs w:val="22"/>
        </w:rPr>
        <w:t>the landlord changed cladding on the building and altered the cladding. The tenant argued that the repairs carried out were not to the original sta</w:t>
      </w:r>
      <w:r>
        <w:rPr>
          <w:sz w:val="22"/>
          <w:szCs w:val="22"/>
        </w:rPr>
        <w:t xml:space="preserve">ndard and eventual won the case (Isurv.com, 2019). As a client owning a large </w:t>
      </w:r>
      <w:r w:rsidR="00174F79">
        <w:rPr>
          <w:sz w:val="22"/>
          <w:szCs w:val="22"/>
        </w:rPr>
        <w:t>building,</w:t>
      </w:r>
      <w:r>
        <w:rPr>
          <w:sz w:val="22"/>
          <w:szCs w:val="22"/>
        </w:rPr>
        <w:t xml:space="preserve"> </w:t>
      </w:r>
      <w:r w:rsidR="00174F79">
        <w:rPr>
          <w:sz w:val="22"/>
          <w:szCs w:val="22"/>
        </w:rPr>
        <w:t>it is</w:t>
      </w:r>
      <w:r>
        <w:rPr>
          <w:sz w:val="22"/>
          <w:szCs w:val="22"/>
        </w:rPr>
        <w:t xml:space="preserve"> important to maintain the building in order for it not to fall into disrepair. This is an implied covenant were the lessor and the lessee both agree to be fair duri</w:t>
      </w:r>
      <w:r>
        <w:rPr>
          <w:sz w:val="22"/>
          <w:szCs w:val="22"/>
        </w:rPr>
        <w:t xml:space="preserve">ng the contractual agreement going forward. </w:t>
      </w:r>
    </w:p>
    <w:p w:rsidR="008A2F9A" w:rsidRDefault="001F73AF">
      <w:pPr>
        <w:pStyle w:val="BodyA"/>
        <w:jc w:val="both"/>
        <w:rPr>
          <w:sz w:val="22"/>
          <w:szCs w:val="22"/>
        </w:rPr>
      </w:pPr>
      <w:r>
        <w:rPr>
          <w:sz w:val="22"/>
          <w:szCs w:val="22"/>
        </w:rPr>
        <w:t>Leases can be only be terminated by and agreement between both parties agreeing to end the lease. The lessor cannot end a tenant’</w:t>
      </w:r>
      <w:r>
        <w:rPr>
          <w:sz w:val="22"/>
          <w:szCs w:val="22"/>
        </w:rPr>
        <w:t xml:space="preserve">s lease without reason or </w:t>
      </w:r>
      <w:r w:rsidR="00174F79">
        <w:rPr>
          <w:sz w:val="22"/>
          <w:szCs w:val="22"/>
        </w:rPr>
        <w:t>notice;</w:t>
      </w:r>
      <w:r>
        <w:rPr>
          <w:sz w:val="22"/>
          <w:szCs w:val="22"/>
        </w:rPr>
        <w:t xml:space="preserve"> the lessor would have to give notice and time for the lessee to leave. The lessor or landlord can terminate a lease if the lessee is in breach of their contractual agreement. This is known as a break clause in and agreemen</w:t>
      </w:r>
      <w:r>
        <w:rPr>
          <w:sz w:val="22"/>
          <w:szCs w:val="22"/>
        </w:rPr>
        <w:t xml:space="preserve">t and an example of this is the case of </w:t>
      </w:r>
      <w:proofErr w:type="spellStart"/>
      <w:r>
        <w:rPr>
          <w:sz w:val="22"/>
          <w:szCs w:val="22"/>
          <w:u w:color="FF2C21"/>
        </w:rPr>
        <w:t>Bairstow</w:t>
      </w:r>
      <w:proofErr w:type="spellEnd"/>
      <w:r>
        <w:rPr>
          <w:sz w:val="22"/>
          <w:szCs w:val="22"/>
          <w:u w:color="FF2C21"/>
        </w:rPr>
        <w:t xml:space="preserve"> Eves v Ripley (1992) </w:t>
      </w:r>
      <w:r>
        <w:rPr>
          <w:sz w:val="22"/>
          <w:szCs w:val="22"/>
        </w:rPr>
        <w:t>were an agreement was reached between the landlord and tenant to repaint the premises every year (swarb.co.uk, 2019). The tenant failed to carry out the task and upon failure the break c</w:t>
      </w:r>
      <w:r>
        <w:rPr>
          <w:sz w:val="22"/>
          <w:szCs w:val="22"/>
        </w:rPr>
        <w:t>lause was enforced meaning the landlord is obligated to terminate the contractual agreement.</w:t>
      </w:r>
    </w:p>
    <w:p w:rsidR="008A2F9A" w:rsidRDefault="001F73AF">
      <w:pPr>
        <w:pStyle w:val="BodyA"/>
        <w:jc w:val="both"/>
        <w:rPr>
          <w:sz w:val="22"/>
          <w:szCs w:val="22"/>
        </w:rPr>
      </w:pPr>
      <w:r>
        <w:rPr>
          <w:sz w:val="22"/>
          <w:szCs w:val="22"/>
        </w:rPr>
        <w:t>Dilapidation is the conditions set on agreement of the tenancy to return the property to the original state not to let it fall into disrepair. If at the end of the</w:t>
      </w:r>
      <w:r>
        <w:rPr>
          <w:sz w:val="22"/>
          <w:szCs w:val="22"/>
        </w:rPr>
        <w:t xml:space="preserve"> tenancy the tenant fails to keep the property in the condition it was given to them then they are in breach of the covenant in place. This also includes the property items as they should all be in the appropriate condition. Dilapidation can occur during t</w:t>
      </w:r>
      <w:r>
        <w:rPr>
          <w:sz w:val="22"/>
          <w:szCs w:val="22"/>
        </w:rPr>
        <w:t xml:space="preserve">he course of the lease and at the end of the lease. The tenant is also entitled to claim against the landlord if the lease </w:t>
      </w:r>
      <w:r w:rsidR="009F4860">
        <w:rPr>
          <w:sz w:val="22"/>
          <w:szCs w:val="22"/>
        </w:rPr>
        <w:t>does not</w:t>
      </w:r>
      <w:r>
        <w:rPr>
          <w:sz w:val="22"/>
          <w:szCs w:val="22"/>
        </w:rPr>
        <w:t xml:space="preserve"> comply with the obligations of the tenancy agreement. There is holding fee that applies when renting property which is return</w:t>
      </w:r>
      <w:r>
        <w:rPr>
          <w:sz w:val="22"/>
          <w:szCs w:val="22"/>
        </w:rPr>
        <w:t>ed at the end of the lease. If the lessee is in breach of the agreement such as the condition of the property then that fee is kept in order to return the property to the original condition. The client and tenant need to have a good relationship in order t</w:t>
      </w:r>
      <w:r>
        <w:rPr>
          <w:sz w:val="22"/>
          <w:szCs w:val="22"/>
        </w:rPr>
        <w:t>o be fair and have good fair between them. As a building owner</w:t>
      </w:r>
      <w:r w:rsidR="009F4860">
        <w:rPr>
          <w:sz w:val="22"/>
          <w:szCs w:val="22"/>
        </w:rPr>
        <w:t>,</w:t>
      </w:r>
      <w:r>
        <w:rPr>
          <w:sz w:val="22"/>
          <w:szCs w:val="22"/>
        </w:rPr>
        <w:t xml:space="preserve"> you are obligated to carry out the duties outlined in this report and failure to do so would only implicate you.</w:t>
      </w: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8A2F9A" w:rsidRDefault="008A2F9A">
      <w:pPr>
        <w:pStyle w:val="BodyA"/>
        <w:jc w:val="both"/>
        <w:rPr>
          <w:sz w:val="22"/>
          <w:szCs w:val="22"/>
        </w:rPr>
      </w:pPr>
    </w:p>
    <w:p w:rsidR="009F4860" w:rsidRDefault="009F4860">
      <w:pPr>
        <w:pStyle w:val="BodyA"/>
        <w:jc w:val="both"/>
        <w:rPr>
          <w:sz w:val="22"/>
          <w:szCs w:val="22"/>
        </w:rPr>
      </w:pPr>
    </w:p>
    <w:p w:rsidR="008A2F9A" w:rsidRDefault="001F73AF">
      <w:pPr>
        <w:pStyle w:val="BodyA"/>
        <w:jc w:val="both"/>
        <w:rPr>
          <w:b/>
          <w:bCs/>
          <w:sz w:val="24"/>
          <w:szCs w:val="24"/>
        </w:rPr>
      </w:pPr>
      <w:r>
        <w:rPr>
          <w:b/>
          <w:bCs/>
          <w:sz w:val="24"/>
          <w:szCs w:val="24"/>
        </w:rPr>
        <w:lastRenderedPageBreak/>
        <w:t xml:space="preserve">References </w:t>
      </w:r>
    </w:p>
    <w:p w:rsidR="008A2F9A" w:rsidRDefault="001F73AF">
      <w:pPr>
        <w:pStyle w:val="Heading"/>
        <w:jc w:val="left"/>
        <w:rPr>
          <w:lang w:val="en-US"/>
        </w:rPr>
      </w:pPr>
      <w:bookmarkStart w:id="10" w:name="_Toc8116532"/>
      <w:r>
        <w:rPr>
          <w:sz w:val="22"/>
          <w:szCs w:val="22"/>
          <w:lang w:val="en-US"/>
        </w:rPr>
        <w:t>BusinessDictionary.com. (</w:t>
      </w:r>
      <w:proofErr w:type="spellStart"/>
      <w:r>
        <w:rPr>
          <w:sz w:val="22"/>
          <w:szCs w:val="22"/>
          <w:lang w:val="en-US"/>
        </w:rPr>
        <w:t>n.d.</w:t>
      </w:r>
      <w:proofErr w:type="spellEnd"/>
      <w:r>
        <w:rPr>
          <w:sz w:val="22"/>
          <w:szCs w:val="22"/>
          <w:lang w:val="en-US"/>
        </w:rPr>
        <w:t xml:space="preserve">). What is </w:t>
      </w:r>
      <w:r>
        <w:rPr>
          <w:sz w:val="22"/>
          <w:szCs w:val="22"/>
          <w:lang w:val="en-US"/>
        </w:rPr>
        <w:t xml:space="preserve">lease agreement? </w:t>
      </w:r>
      <w:proofErr w:type="gramStart"/>
      <w:r>
        <w:rPr>
          <w:sz w:val="22"/>
          <w:szCs w:val="22"/>
          <w:lang w:val="en-US"/>
        </w:rPr>
        <w:t>definition</w:t>
      </w:r>
      <w:proofErr w:type="gramEnd"/>
      <w:r>
        <w:rPr>
          <w:sz w:val="22"/>
          <w:szCs w:val="22"/>
          <w:lang w:val="en-US"/>
        </w:rPr>
        <w:t xml:space="preserve"> and meaning. [</w:t>
      </w:r>
      <w:proofErr w:type="gramStart"/>
      <w:r>
        <w:rPr>
          <w:sz w:val="22"/>
          <w:szCs w:val="22"/>
          <w:lang w:val="en-US"/>
        </w:rPr>
        <w:t>online</w:t>
      </w:r>
      <w:proofErr w:type="gramEnd"/>
      <w:r>
        <w:rPr>
          <w:sz w:val="22"/>
          <w:szCs w:val="22"/>
          <w:lang w:val="en-US"/>
        </w:rPr>
        <w:t>] Available at: http://www.businessdictionary.com/definition/lease-agreement.html [Accessed 4 May 2019].</w:t>
      </w:r>
      <w:bookmarkEnd w:id="10"/>
    </w:p>
    <w:p w:rsidR="008A2F9A" w:rsidRDefault="001F73AF">
      <w:pPr>
        <w:pStyle w:val="Heading"/>
        <w:jc w:val="left"/>
        <w:rPr>
          <w:lang w:val="en-US"/>
        </w:rPr>
      </w:pPr>
      <w:bookmarkStart w:id="11" w:name="_Toc8116533"/>
      <w:r>
        <w:rPr>
          <w:sz w:val="22"/>
          <w:szCs w:val="22"/>
          <w:lang w:val="en-US"/>
        </w:rPr>
        <w:t>Eden.gov.uk. (</w:t>
      </w:r>
      <w:proofErr w:type="spellStart"/>
      <w:r>
        <w:rPr>
          <w:sz w:val="22"/>
          <w:szCs w:val="22"/>
          <w:lang w:val="en-US"/>
        </w:rPr>
        <w:t>n.d.</w:t>
      </w:r>
      <w:proofErr w:type="spellEnd"/>
      <w:r>
        <w:rPr>
          <w:sz w:val="22"/>
          <w:szCs w:val="22"/>
          <w:lang w:val="en-US"/>
        </w:rPr>
        <w:t>). Things to consider when making a planning application. [</w:t>
      </w:r>
      <w:proofErr w:type="gramStart"/>
      <w:r>
        <w:rPr>
          <w:sz w:val="22"/>
          <w:szCs w:val="22"/>
          <w:lang w:val="en-US"/>
        </w:rPr>
        <w:t>online</w:t>
      </w:r>
      <w:proofErr w:type="gramEnd"/>
      <w:r>
        <w:rPr>
          <w:sz w:val="22"/>
          <w:szCs w:val="22"/>
          <w:lang w:val="en-US"/>
        </w:rPr>
        <w:t>] Available at: http</w:t>
      </w:r>
      <w:r>
        <w:rPr>
          <w:sz w:val="22"/>
          <w:szCs w:val="22"/>
          <w:lang w:val="en-US"/>
        </w:rPr>
        <w:t>s://www.eden.gov.uk/planning-and-building/planning/before-making-a-planning-application/things-to-consider-when-making-a-planning-application/ [Accessed 3 May 2019].</w:t>
      </w:r>
      <w:bookmarkEnd w:id="11"/>
    </w:p>
    <w:p w:rsidR="008A2F9A" w:rsidRDefault="001F73AF">
      <w:pPr>
        <w:pStyle w:val="Heading"/>
        <w:jc w:val="left"/>
        <w:rPr>
          <w:lang w:val="en-US"/>
        </w:rPr>
      </w:pPr>
      <w:bookmarkStart w:id="12" w:name="_Toc8116534"/>
      <w:r>
        <w:rPr>
          <w:lang w:val="en-US"/>
        </w:rPr>
        <w:t>Designingbuildings.co.uk. (</w:t>
      </w:r>
      <w:proofErr w:type="spellStart"/>
      <w:r>
        <w:rPr>
          <w:lang w:val="en-US"/>
        </w:rPr>
        <w:t>n.d.</w:t>
      </w:r>
      <w:proofErr w:type="spellEnd"/>
      <w:r>
        <w:rPr>
          <w:lang w:val="en-US"/>
        </w:rPr>
        <w:t>). Latent defects - Designing Buildings Wiki. [</w:t>
      </w:r>
      <w:proofErr w:type="gramStart"/>
      <w:r>
        <w:rPr>
          <w:lang w:val="en-US"/>
        </w:rPr>
        <w:t>online</w:t>
      </w:r>
      <w:proofErr w:type="gramEnd"/>
      <w:r>
        <w:rPr>
          <w:lang w:val="en-US"/>
        </w:rPr>
        <w:t>] Avai</w:t>
      </w:r>
      <w:r>
        <w:rPr>
          <w:lang w:val="en-US"/>
        </w:rPr>
        <w:t>lable at: https://www.designingbuildings.co.uk/wiki/Latent_defects [Accessed 4 May 2019].</w:t>
      </w:r>
      <w:bookmarkEnd w:id="12"/>
    </w:p>
    <w:p w:rsidR="008A2F9A" w:rsidRDefault="001F73AF">
      <w:pPr>
        <w:pStyle w:val="Heading"/>
        <w:jc w:val="left"/>
        <w:rPr>
          <w:sz w:val="22"/>
          <w:szCs w:val="22"/>
          <w:lang w:val="en-US"/>
        </w:rPr>
      </w:pPr>
      <w:bookmarkStart w:id="13" w:name="_Toc8116535"/>
      <w:r>
        <w:rPr>
          <w:sz w:val="22"/>
          <w:szCs w:val="22"/>
          <w:lang w:val="en-US"/>
        </w:rPr>
        <w:t xml:space="preserve">Hong Kong Land Law Blog. (2013). </w:t>
      </w:r>
      <w:proofErr w:type="gramStart"/>
      <w:r>
        <w:rPr>
          <w:sz w:val="22"/>
          <w:szCs w:val="22"/>
          <w:lang w:val="en-US"/>
        </w:rPr>
        <w:t>Adverse</w:t>
      </w:r>
      <w:proofErr w:type="gramEnd"/>
      <w:r>
        <w:rPr>
          <w:sz w:val="22"/>
          <w:szCs w:val="22"/>
          <w:lang w:val="en-US"/>
        </w:rPr>
        <w:t xml:space="preserve"> possession: beneficiary defeating the title of his trustee (England). [</w:t>
      </w:r>
      <w:proofErr w:type="gramStart"/>
      <w:r>
        <w:rPr>
          <w:sz w:val="22"/>
          <w:szCs w:val="22"/>
          <w:lang w:val="en-US"/>
        </w:rPr>
        <w:t>online</w:t>
      </w:r>
      <w:proofErr w:type="gramEnd"/>
      <w:r>
        <w:rPr>
          <w:sz w:val="22"/>
          <w:szCs w:val="22"/>
          <w:lang w:val="en-US"/>
        </w:rPr>
        <w:t>] Available at: https://hklandlaw.wordpress.com/</w:t>
      </w:r>
      <w:r>
        <w:rPr>
          <w:sz w:val="22"/>
          <w:szCs w:val="22"/>
          <w:lang w:val="en-US"/>
        </w:rPr>
        <w:t>2013/01/10/adverse-possession-beneficiary-defeating-the-title-of-his-trustee-england/ [Accessed 3 May 2019].</w:t>
      </w:r>
      <w:bookmarkEnd w:id="13"/>
    </w:p>
    <w:p w:rsidR="008A2F9A" w:rsidRDefault="001F73AF">
      <w:pPr>
        <w:pStyle w:val="Heading"/>
        <w:jc w:val="left"/>
        <w:rPr>
          <w:sz w:val="22"/>
          <w:szCs w:val="22"/>
          <w:lang w:val="en-US"/>
        </w:rPr>
      </w:pPr>
      <w:bookmarkStart w:id="14" w:name="_Toc8116536"/>
      <w:r>
        <w:rPr>
          <w:sz w:val="22"/>
          <w:szCs w:val="22"/>
          <w:lang w:val="en-US"/>
        </w:rPr>
        <w:t xml:space="preserve">Isurv.com. (2019). Cases - </w:t>
      </w:r>
      <w:proofErr w:type="spellStart"/>
      <w:r>
        <w:rPr>
          <w:sz w:val="22"/>
          <w:szCs w:val="22"/>
          <w:lang w:val="en-US"/>
        </w:rPr>
        <w:t>Ravenseft</w:t>
      </w:r>
      <w:proofErr w:type="spellEnd"/>
      <w:r>
        <w:rPr>
          <w:sz w:val="22"/>
          <w:szCs w:val="22"/>
          <w:lang w:val="en-US"/>
        </w:rPr>
        <w:t xml:space="preserve"> Properties Ltd v </w:t>
      </w:r>
      <w:proofErr w:type="spellStart"/>
      <w:r>
        <w:rPr>
          <w:sz w:val="22"/>
          <w:szCs w:val="22"/>
          <w:lang w:val="en-US"/>
        </w:rPr>
        <w:t>Davstone</w:t>
      </w:r>
      <w:proofErr w:type="spellEnd"/>
      <w:r>
        <w:rPr>
          <w:sz w:val="22"/>
          <w:szCs w:val="22"/>
          <w:lang w:val="en-US"/>
        </w:rPr>
        <w:t xml:space="preserve"> (Holdings) Ltd | </w:t>
      </w:r>
      <w:proofErr w:type="spellStart"/>
      <w:r>
        <w:rPr>
          <w:sz w:val="22"/>
          <w:szCs w:val="22"/>
          <w:lang w:val="en-US"/>
        </w:rPr>
        <w:t>isurv</w:t>
      </w:r>
      <w:proofErr w:type="spellEnd"/>
      <w:r>
        <w:rPr>
          <w:sz w:val="22"/>
          <w:szCs w:val="22"/>
          <w:lang w:val="en-US"/>
        </w:rPr>
        <w:t>. [</w:t>
      </w:r>
      <w:proofErr w:type="gramStart"/>
      <w:r>
        <w:rPr>
          <w:sz w:val="22"/>
          <w:szCs w:val="22"/>
          <w:lang w:val="en-US"/>
        </w:rPr>
        <w:t>online</w:t>
      </w:r>
      <w:proofErr w:type="gramEnd"/>
      <w:r>
        <w:rPr>
          <w:sz w:val="22"/>
          <w:szCs w:val="22"/>
          <w:lang w:val="en-US"/>
        </w:rPr>
        <w:t>] Available at: https://www.isurv.com/directory_recor</w:t>
      </w:r>
      <w:r>
        <w:rPr>
          <w:sz w:val="22"/>
          <w:szCs w:val="22"/>
          <w:lang w:val="en-US"/>
        </w:rPr>
        <w:t>d/3387/ravenseft_properties_ltd_v_davstone_holdings_ltd [Accessed 4 May 2019].</w:t>
      </w:r>
      <w:bookmarkEnd w:id="14"/>
    </w:p>
    <w:p w:rsidR="008A2F9A" w:rsidRDefault="001F73AF">
      <w:pPr>
        <w:pStyle w:val="Heading"/>
        <w:jc w:val="left"/>
        <w:rPr>
          <w:sz w:val="22"/>
          <w:szCs w:val="22"/>
          <w:lang w:val="en-US"/>
        </w:rPr>
      </w:pPr>
      <w:bookmarkStart w:id="15" w:name="_Toc8116537"/>
      <w:r>
        <w:rPr>
          <w:sz w:val="22"/>
          <w:szCs w:val="22"/>
          <w:lang w:val="en-US"/>
        </w:rPr>
        <w:t>Lawteacher.net. (</w:t>
      </w:r>
      <w:proofErr w:type="spellStart"/>
      <w:r>
        <w:rPr>
          <w:sz w:val="22"/>
          <w:szCs w:val="22"/>
          <w:lang w:val="en-US"/>
        </w:rPr>
        <w:t>n.d.</w:t>
      </w:r>
      <w:proofErr w:type="spellEnd"/>
      <w:r>
        <w:rPr>
          <w:sz w:val="22"/>
          <w:szCs w:val="22"/>
          <w:lang w:val="en-US"/>
        </w:rPr>
        <w:t>). Strand Securities v Caswell. [</w:t>
      </w:r>
      <w:proofErr w:type="gramStart"/>
      <w:r>
        <w:rPr>
          <w:sz w:val="22"/>
          <w:szCs w:val="22"/>
          <w:lang w:val="en-US"/>
        </w:rPr>
        <w:t>online</w:t>
      </w:r>
      <w:proofErr w:type="gramEnd"/>
      <w:r>
        <w:rPr>
          <w:sz w:val="22"/>
          <w:szCs w:val="22"/>
          <w:lang w:val="en-US"/>
        </w:rPr>
        <w:t>] Available at: https://www.lawteacher.net/cases/strand-securities-v-caswell.php [Accessed 2 May 2019].</w:t>
      </w:r>
      <w:bookmarkEnd w:id="15"/>
    </w:p>
    <w:p w:rsidR="008A2F9A" w:rsidRDefault="001F73AF">
      <w:pPr>
        <w:pStyle w:val="Heading"/>
        <w:jc w:val="left"/>
        <w:rPr>
          <w:sz w:val="22"/>
          <w:szCs w:val="22"/>
          <w:lang w:val="en-US"/>
        </w:rPr>
      </w:pPr>
      <w:bookmarkStart w:id="16" w:name="_Toc8116538"/>
      <w:r>
        <w:rPr>
          <w:sz w:val="22"/>
          <w:szCs w:val="22"/>
          <w:lang w:val="en-US"/>
        </w:rPr>
        <w:t>Lawteacher.ne</w:t>
      </w:r>
      <w:r>
        <w:rPr>
          <w:sz w:val="22"/>
          <w:szCs w:val="22"/>
          <w:lang w:val="en-US"/>
        </w:rPr>
        <w:t>t. (</w:t>
      </w:r>
      <w:proofErr w:type="spellStart"/>
      <w:r>
        <w:rPr>
          <w:sz w:val="22"/>
          <w:szCs w:val="22"/>
          <w:lang w:val="en-US"/>
        </w:rPr>
        <w:t>n.d.</w:t>
      </w:r>
      <w:proofErr w:type="spellEnd"/>
      <w:r>
        <w:rPr>
          <w:sz w:val="22"/>
          <w:szCs w:val="22"/>
          <w:lang w:val="en-US"/>
        </w:rPr>
        <w:t xml:space="preserve">). </w:t>
      </w:r>
      <w:proofErr w:type="spellStart"/>
      <w:r>
        <w:rPr>
          <w:sz w:val="22"/>
          <w:szCs w:val="22"/>
          <w:lang w:val="en-US"/>
        </w:rPr>
        <w:t>Tulk</w:t>
      </w:r>
      <w:proofErr w:type="spellEnd"/>
      <w:r>
        <w:rPr>
          <w:sz w:val="22"/>
          <w:szCs w:val="22"/>
          <w:lang w:val="en-US"/>
        </w:rPr>
        <w:t xml:space="preserve"> v </w:t>
      </w:r>
      <w:proofErr w:type="spellStart"/>
      <w:r>
        <w:rPr>
          <w:sz w:val="22"/>
          <w:szCs w:val="22"/>
          <w:lang w:val="en-US"/>
        </w:rPr>
        <w:t>Moxhay</w:t>
      </w:r>
      <w:proofErr w:type="spellEnd"/>
      <w:r>
        <w:rPr>
          <w:sz w:val="22"/>
          <w:szCs w:val="22"/>
          <w:lang w:val="en-US"/>
        </w:rPr>
        <w:t xml:space="preserve"> – Case Brief. [</w:t>
      </w:r>
      <w:proofErr w:type="gramStart"/>
      <w:r>
        <w:rPr>
          <w:sz w:val="22"/>
          <w:szCs w:val="22"/>
          <w:lang w:val="en-US"/>
        </w:rPr>
        <w:t>online</w:t>
      </w:r>
      <w:proofErr w:type="gramEnd"/>
      <w:r>
        <w:rPr>
          <w:sz w:val="22"/>
          <w:szCs w:val="22"/>
          <w:lang w:val="en-US"/>
        </w:rPr>
        <w:t>] Available at: https://www.lawteacher.net/cases/tulk-v-moxhay.php [Accessed 2 May 2019].</w:t>
      </w:r>
      <w:bookmarkEnd w:id="16"/>
    </w:p>
    <w:p w:rsidR="008A2F9A" w:rsidRDefault="001F73AF">
      <w:pPr>
        <w:pStyle w:val="Heading"/>
        <w:jc w:val="left"/>
        <w:rPr>
          <w:sz w:val="22"/>
          <w:szCs w:val="22"/>
          <w:lang w:val="en-US"/>
        </w:rPr>
      </w:pPr>
      <w:bookmarkStart w:id="17" w:name="_Toc8116539"/>
      <w:r>
        <w:rPr>
          <w:sz w:val="22"/>
          <w:szCs w:val="22"/>
          <w:lang w:val="en-US"/>
        </w:rPr>
        <w:t>Legislation.gov.uk. (2019). The Town and Country Planning (Use Classes) Order 1987. [</w:t>
      </w:r>
      <w:proofErr w:type="gramStart"/>
      <w:r>
        <w:rPr>
          <w:sz w:val="22"/>
          <w:szCs w:val="22"/>
          <w:lang w:val="en-US"/>
        </w:rPr>
        <w:t>online</w:t>
      </w:r>
      <w:proofErr w:type="gramEnd"/>
      <w:r>
        <w:rPr>
          <w:sz w:val="22"/>
          <w:szCs w:val="22"/>
          <w:lang w:val="en-US"/>
        </w:rPr>
        <w:t>] Available at: http://www.le</w:t>
      </w:r>
      <w:r>
        <w:rPr>
          <w:sz w:val="22"/>
          <w:szCs w:val="22"/>
          <w:lang w:val="en-US"/>
        </w:rPr>
        <w:t>gislation.gov.uk/uksi/1987/764/schedule/made [Accessed 2 May 2019].</w:t>
      </w:r>
      <w:bookmarkEnd w:id="17"/>
    </w:p>
    <w:p w:rsidR="008A2F9A" w:rsidRDefault="008A2F9A">
      <w:pPr>
        <w:pStyle w:val="ListParagraph"/>
        <w:spacing w:after="160" w:line="259" w:lineRule="auto"/>
        <w:ind w:left="0"/>
        <w:rPr>
          <w:rFonts w:ascii="Arial" w:eastAsia="Arial" w:hAnsi="Arial" w:cs="Arial"/>
          <w:sz w:val="22"/>
          <w:szCs w:val="22"/>
        </w:rPr>
      </w:pPr>
    </w:p>
    <w:p w:rsidR="008A2F9A" w:rsidRDefault="001F73AF">
      <w:pPr>
        <w:pStyle w:val="ListParagraph"/>
        <w:spacing w:after="160" w:line="259" w:lineRule="auto"/>
        <w:ind w:left="0"/>
        <w:rPr>
          <w:rFonts w:ascii="Arial" w:eastAsia="Arial" w:hAnsi="Arial" w:cs="Arial"/>
          <w:sz w:val="22"/>
          <w:szCs w:val="22"/>
        </w:rPr>
      </w:pPr>
      <w:proofErr w:type="spellStart"/>
      <w:r>
        <w:rPr>
          <w:rFonts w:ascii="Arial" w:hAnsi="Arial"/>
          <w:sz w:val="22"/>
          <w:szCs w:val="22"/>
        </w:rPr>
        <w:t>McFlarlane</w:t>
      </w:r>
      <w:proofErr w:type="spellEnd"/>
      <w:r>
        <w:rPr>
          <w:rFonts w:ascii="Arial" w:hAnsi="Arial"/>
          <w:sz w:val="22"/>
          <w:szCs w:val="22"/>
        </w:rPr>
        <w:t xml:space="preserve">, B., Hopkins, N. and </w:t>
      </w:r>
      <w:proofErr w:type="spellStart"/>
      <w:r>
        <w:rPr>
          <w:rFonts w:ascii="Arial" w:hAnsi="Arial"/>
          <w:sz w:val="22"/>
          <w:szCs w:val="22"/>
        </w:rPr>
        <w:t>Nield</w:t>
      </w:r>
      <w:proofErr w:type="spellEnd"/>
      <w:r>
        <w:rPr>
          <w:rFonts w:ascii="Arial" w:hAnsi="Arial"/>
          <w:sz w:val="22"/>
          <w:szCs w:val="22"/>
        </w:rPr>
        <w:t xml:space="preserve">, S. (2015). Land Law. 3rd </w:t>
      </w:r>
      <w:proofErr w:type="gramStart"/>
      <w:r>
        <w:rPr>
          <w:rFonts w:ascii="Arial" w:hAnsi="Arial"/>
          <w:sz w:val="22"/>
          <w:szCs w:val="22"/>
        </w:rPr>
        <w:t>ed</w:t>
      </w:r>
      <w:proofErr w:type="gramEnd"/>
      <w:r>
        <w:rPr>
          <w:rFonts w:ascii="Arial" w:hAnsi="Arial"/>
          <w:sz w:val="22"/>
          <w:szCs w:val="22"/>
        </w:rPr>
        <w:t>. New York: Oxford University Press, p.43. p.254, p.463, p.508, p.749.</w:t>
      </w:r>
    </w:p>
    <w:p w:rsidR="008A2F9A" w:rsidRDefault="001F73AF">
      <w:pPr>
        <w:pStyle w:val="Heading"/>
        <w:jc w:val="left"/>
        <w:rPr>
          <w:sz w:val="22"/>
          <w:szCs w:val="22"/>
          <w:lang w:val="en-US"/>
        </w:rPr>
      </w:pPr>
      <w:bookmarkStart w:id="18" w:name="_Toc8116540"/>
      <w:r>
        <w:rPr>
          <w:sz w:val="22"/>
          <w:szCs w:val="22"/>
          <w:lang w:val="en-US"/>
        </w:rPr>
        <w:t xml:space="preserve">swarb.co.uk. (2019). </w:t>
      </w:r>
      <w:proofErr w:type="spellStart"/>
      <w:r>
        <w:rPr>
          <w:sz w:val="22"/>
          <w:szCs w:val="22"/>
          <w:lang w:val="en-US"/>
        </w:rPr>
        <w:t>Bairstow</w:t>
      </w:r>
      <w:proofErr w:type="spellEnd"/>
      <w:r>
        <w:rPr>
          <w:sz w:val="22"/>
          <w:szCs w:val="22"/>
          <w:lang w:val="en-US"/>
        </w:rPr>
        <w:t xml:space="preserve"> Eves (Securities) Lt</w:t>
      </w:r>
      <w:r>
        <w:rPr>
          <w:sz w:val="22"/>
          <w:szCs w:val="22"/>
          <w:lang w:val="en-US"/>
        </w:rPr>
        <w:t>d v Ripley: CA 1992 - swarb.co.uk. [</w:t>
      </w:r>
      <w:proofErr w:type="gramStart"/>
      <w:r>
        <w:rPr>
          <w:sz w:val="22"/>
          <w:szCs w:val="22"/>
          <w:lang w:val="en-US"/>
        </w:rPr>
        <w:t>online</w:t>
      </w:r>
      <w:proofErr w:type="gramEnd"/>
      <w:r>
        <w:rPr>
          <w:sz w:val="22"/>
          <w:szCs w:val="22"/>
          <w:lang w:val="en-US"/>
        </w:rPr>
        <w:t>] Available at: https://swarb.co.uk/bairstow-eves-securities-ltd-v-ripley-ca-1992/ [Accessed 4 May 2019].</w:t>
      </w:r>
      <w:bookmarkEnd w:id="18"/>
    </w:p>
    <w:p w:rsidR="008A2F9A" w:rsidRDefault="001F73AF">
      <w:pPr>
        <w:pStyle w:val="Heading"/>
        <w:jc w:val="left"/>
        <w:rPr>
          <w:sz w:val="22"/>
          <w:szCs w:val="22"/>
          <w:lang w:val="en-US"/>
        </w:rPr>
      </w:pPr>
      <w:bookmarkStart w:id="19" w:name="_Toc8116541"/>
      <w:r>
        <w:rPr>
          <w:sz w:val="22"/>
          <w:szCs w:val="22"/>
          <w:lang w:val="en-US"/>
        </w:rPr>
        <w:t>Wales, P. (</w:t>
      </w:r>
      <w:proofErr w:type="spellStart"/>
      <w:r>
        <w:rPr>
          <w:sz w:val="22"/>
          <w:szCs w:val="22"/>
          <w:lang w:val="en-US"/>
        </w:rPr>
        <w:t>n.d.</w:t>
      </w:r>
      <w:proofErr w:type="spellEnd"/>
      <w:r>
        <w:rPr>
          <w:sz w:val="22"/>
          <w:szCs w:val="22"/>
          <w:lang w:val="en-US"/>
        </w:rPr>
        <w:t>). Building Regulations - Planning Portal - Wales. [</w:t>
      </w:r>
      <w:proofErr w:type="gramStart"/>
      <w:r>
        <w:rPr>
          <w:sz w:val="22"/>
          <w:szCs w:val="22"/>
          <w:lang w:val="en-US"/>
        </w:rPr>
        <w:t>online</w:t>
      </w:r>
      <w:proofErr w:type="gramEnd"/>
      <w:r>
        <w:rPr>
          <w:sz w:val="22"/>
          <w:szCs w:val="22"/>
          <w:lang w:val="en-US"/>
        </w:rPr>
        <w:t>] Planningportal.co.uk. Available a</w:t>
      </w:r>
      <w:r>
        <w:rPr>
          <w:sz w:val="22"/>
          <w:szCs w:val="22"/>
          <w:lang w:val="en-US"/>
        </w:rPr>
        <w:t>t: https://www.planningportal.co.uk/wales_en/info/4/your_responsibilities/48/building_regulations/2 [Accessed 2 May 2019].</w:t>
      </w:r>
      <w:bookmarkEnd w:id="19"/>
    </w:p>
    <w:p w:rsidR="008A2F9A" w:rsidRDefault="008A2F9A">
      <w:pPr>
        <w:pStyle w:val="Heading"/>
        <w:jc w:val="left"/>
      </w:pPr>
    </w:p>
    <w:p w:rsidR="008A2F9A" w:rsidRDefault="008A2F9A">
      <w:pPr>
        <w:pStyle w:val="ListParagraph"/>
        <w:spacing w:after="160" w:line="259" w:lineRule="auto"/>
        <w:ind w:left="0"/>
        <w:rPr>
          <w:rFonts w:ascii="Arial" w:eastAsia="Arial" w:hAnsi="Arial" w:cs="Arial"/>
          <w:sz w:val="22"/>
          <w:szCs w:val="22"/>
        </w:rPr>
      </w:pPr>
    </w:p>
    <w:p w:rsidR="008A2F9A" w:rsidRDefault="008A2F9A">
      <w:pPr>
        <w:pStyle w:val="ListParagraph"/>
        <w:spacing w:after="160" w:line="259" w:lineRule="auto"/>
        <w:ind w:left="0"/>
        <w:rPr>
          <w:rFonts w:ascii="Arial" w:eastAsia="Arial" w:hAnsi="Arial" w:cs="Arial"/>
          <w:sz w:val="22"/>
          <w:szCs w:val="22"/>
        </w:rPr>
      </w:pPr>
    </w:p>
    <w:p w:rsidR="008A2F9A" w:rsidRDefault="001F73AF">
      <w:pPr>
        <w:pStyle w:val="ListParagraph"/>
        <w:spacing w:after="160" w:line="259" w:lineRule="auto"/>
        <w:ind w:left="0"/>
        <w:rPr>
          <w:rFonts w:ascii="Arial" w:eastAsia="Arial" w:hAnsi="Arial" w:cs="Arial"/>
          <w:sz w:val="22"/>
          <w:szCs w:val="22"/>
        </w:rPr>
      </w:pPr>
      <w:r>
        <w:rPr>
          <w:rFonts w:ascii="Arial" w:hAnsi="Arial"/>
          <w:sz w:val="22"/>
          <w:szCs w:val="22"/>
        </w:rPr>
        <w:t xml:space="preserve"> </w:t>
      </w:r>
    </w:p>
    <w:p w:rsidR="008A2F9A" w:rsidRDefault="008A2F9A">
      <w:pPr>
        <w:pStyle w:val="ListParagraph"/>
        <w:spacing w:after="160" w:line="259" w:lineRule="auto"/>
        <w:ind w:left="0"/>
        <w:rPr>
          <w:rFonts w:ascii="Arial" w:eastAsia="Arial" w:hAnsi="Arial" w:cs="Arial"/>
          <w:sz w:val="22"/>
          <w:szCs w:val="22"/>
        </w:rPr>
      </w:pPr>
    </w:p>
    <w:p w:rsidR="008A2F9A" w:rsidRDefault="008A2F9A">
      <w:pPr>
        <w:pStyle w:val="ListParagraph"/>
        <w:spacing w:after="160" w:line="259" w:lineRule="auto"/>
        <w:ind w:left="0"/>
      </w:pPr>
    </w:p>
    <w:sectPr w:rsidR="008A2F9A">
      <w:headerReference w:type="default" r:id="rId8"/>
      <w:footerReference w:type="default" r:id="rId9"/>
      <w:headerReference w:type="first" r:id="rId10"/>
      <w:footerReference w:type="first" r:id="rId11"/>
      <w:pgSz w:w="11900" w:h="16840"/>
      <w:pgMar w:top="1134" w:right="1134" w:bottom="1134" w:left="1134" w:header="709" w:footer="85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3AF" w:rsidRDefault="001F73AF">
      <w:r>
        <w:separator/>
      </w:r>
    </w:p>
  </w:endnote>
  <w:endnote w:type="continuationSeparator" w:id="0">
    <w:p w:rsidR="001F73AF" w:rsidRDefault="001F7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F9A" w:rsidRDefault="001F73AF">
    <w:pPr>
      <w:pStyle w:val="HeaderFooterA"/>
      <w:tabs>
        <w:tab w:val="clear" w:pos="9020"/>
        <w:tab w:val="center" w:pos="4819"/>
        <w:tab w:val="right" w:pos="9612"/>
      </w:tabs>
    </w:pPr>
    <w:r>
      <w:tab/>
    </w:r>
    <w:r>
      <w:fldChar w:fldCharType="begin"/>
    </w:r>
    <w:r>
      <w:instrText xml:space="preserve"> PAGE </w:instrText>
    </w:r>
    <w:r>
      <w:fldChar w:fldCharType="separate"/>
    </w:r>
    <w:r w:rsidR="005744A7">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F9A" w:rsidRDefault="008A2F9A">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3AF" w:rsidRDefault="001F73AF">
      <w:r>
        <w:separator/>
      </w:r>
    </w:p>
  </w:footnote>
  <w:footnote w:type="continuationSeparator" w:id="0">
    <w:p w:rsidR="001F73AF" w:rsidRDefault="001F7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F9A" w:rsidRDefault="001F73AF">
    <w:pPr>
      <w:pStyle w:val="HeaderFooterA"/>
      <w:tabs>
        <w:tab w:val="clear" w:pos="9020"/>
        <w:tab w:val="center" w:pos="4819"/>
        <w:tab w:val="right" w:pos="9612"/>
      </w:tabs>
    </w:pPr>
    <w:r>
      <w:rPr>
        <w:rFonts w:ascii="Arial" w:hAnsi="Arial"/>
        <w:sz w:val="26"/>
        <w:szCs w:val="26"/>
      </w:rPr>
      <w:tab/>
    </w:r>
    <w:r>
      <w:rPr>
        <w:rFonts w:ascii="Arial" w:hAnsi="Arial"/>
        <w:sz w:val="26"/>
        <w:szCs w:val="26"/>
      </w:rPr>
      <w:tab/>
    </w:r>
    <w:r>
      <w:rPr>
        <w:rFonts w:ascii="Arial" w:hAnsi="Arial"/>
        <w:sz w:val="18"/>
        <w:szCs w:val="18"/>
      </w:rPr>
      <w:t>M5X01902</w:t>
    </w:r>
    <w:r>
      <w:rPr>
        <w:rFonts w:ascii="Arial" w:hAnsi="Arial"/>
        <w:sz w:val="26"/>
        <w:szCs w:val="2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F9A" w:rsidRDefault="008A2F9A">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84EDA"/>
    <w:multiLevelType w:val="hybridMultilevel"/>
    <w:tmpl w:val="DDDA8884"/>
    <w:numStyleLink w:val="ImportedStyle8"/>
  </w:abstractNum>
  <w:abstractNum w:abstractNumId="1" w15:restartNumberingAfterBreak="0">
    <w:nsid w:val="40577B6A"/>
    <w:multiLevelType w:val="hybridMultilevel"/>
    <w:tmpl w:val="DDDA8884"/>
    <w:styleLink w:val="ImportedStyle8"/>
    <w:lvl w:ilvl="0" w:tplc="9C5CEFA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7BCA2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10B9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92CB45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29077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22E6C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968D31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B4EB9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E5876E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55DD3AE1"/>
    <w:multiLevelType w:val="hybridMultilevel"/>
    <w:tmpl w:val="219CB966"/>
    <w:styleLink w:val="Bullet"/>
    <w:lvl w:ilvl="0" w:tplc="2752D188">
      <w:start w:val="1"/>
      <w:numFmt w:val="bullet"/>
      <w:lvlText w:val="•"/>
      <w:lvlJc w:val="left"/>
      <w:pPr>
        <w:ind w:left="213" w:hanging="21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C5747642">
      <w:start w:val="1"/>
      <w:numFmt w:val="bullet"/>
      <w:lvlText w:val="•"/>
      <w:lvlJc w:val="left"/>
      <w:pPr>
        <w:ind w:left="360" w:hanging="1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65E0AACE">
      <w:start w:val="1"/>
      <w:numFmt w:val="bullet"/>
      <w:lvlText w:val="•"/>
      <w:lvlJc w:val="left"/>
      <w:pPr>
        <w:ind w:left="540" w:hanging="1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17929284">
      <w:start w:val="1"/>
      <w:numFmt w:val="bullet"/>
      <w:lvlText w:val="•"/>
      <w:lvlJc w:val="left"/>
      <w:pPr>
        <w:ind w:left="720" w:hanging="1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52DEA6F6">
      <w:start w:val="1"/>
      <w:numFmt w:val="bullet"/>
      <w:lvlText w:val="•"/>
      <w:lvlJc w:val="left"/>
      <w:pPr>
        <w:ind w:left="900" w:hanging="1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C31236F0">
      <w:start w:val="1"/>
      <w:numFmt w:val="bullet"/>
      <w:lvlText w:val="•"/>
      <w:lvlJc w:val="left"/>
      <w:pPr>
        <w:ind w:left="1080" w:hanging="1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A2CA002">
      <w:start w:val="1"/>
      <w:numFmt w:val="bullet"/>
      <w:lvlText w:val="•"/>
      <w:lvlJc w:val="left"/>
      <w:pPr>
        <w:ind w:left="1260" w:hanging="1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15C8148A">
      <w:start w:val="1"/>
      <w:numFmt w:val="bullet"/>
      <w:lvlText w:val="•"/>
      <w:lvlJc w:val="left"/>
      <w:pPr>
        <w:ind w:left="1440" w:hanging="1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6842DB0">
      <w:start w:val="1"/>
      <w:numFmt w:val="bullet"/>
      <w:lvlText w:val="•"/>
      <w:lvlJc w:val="left"/>
      <w:pPr>
        <w:ind w:left="1620" w:hanging="1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A570104"/>
    <w:multiLevelType w:val="hybridMultilevel"/>
    <w:tmpl w:val="219CB966"/>
    <w:numStyleLink w:val="Bullet"/>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F9A"/>
    <w:rsid w:val="00174F79"/>
    <w:rsid w:val="001F73AF"/>
    <w:rsid w:val="00284B1D"/>
    <w:rsid w:val="005744A7"/>
    <w:rsid w:val="00705423"/>
    <w:rsid w:val="008A2F9A"/>
    <w:rsid w:val="009F4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2A464"/>
  <w15:docId w15:val="{DEF4F310-459A-4D64-B7BA-4BE460EE3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A">
    <w:name w:val="Header &amp; Footer A"/>
    <w:pPr>
      <w:tabs>
        <w:tab w:val="right" w:pos="9020"/>
      </w:tabs>
    </w:pPr>
    <w:rPr>
      <w:rFonts w:ascii="Helvetica" w:hAnsi="Helvetica" w:cs="Arial Unicode MS"/>
      <w:color w:val="000000"/>
      <w:sz w:val="24"/>
      <w:szCs w:val="24"/>
      <w:u w:color="000000"/>
      <w:lang w:val="en-US"/>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A">
    <w:name w:val="Body A"/>
    <w:pPr>
      <w:tabs>
        <w:tab w:val="left" w:leader="dot" w:pos="2268"/>
      </w:tabs>
      <w:jc w:val="center"/>
    </w:pPr>
    <w:rPr>
      <w:rFonts w:ascii="Arial" w:eastAsia="Arial" w:hAnsi="Arial" w:cs="Arial"/>
      <w:color w:val="000000"/>
      <w:sz w:val="26"/>
      <w:szCs w:val="26"/>
      <w:u w:color="000000"/>
      <w:lang w:val="en-US"/>
    </w:rPr>
  </w:style>
  <w:style w:type="paragraph" w:styleId="TOCHeading">
    <w:name w:val="TOC Heading"/>
    <w:next w:val="Body"/>
    <w:uiPriority w:val="39"/>
    <w:qFormat/>
    <w:pPr>
      <w:keepNext/>
      <w:keepLines/>
      <w:spacing w:before="240" w:line="259" w:lineRule="auto"/>
      <w:jc w:val="center"/>
    </w:pPr>
    <w:rPr>
      <w:rFonts w:ascii="Arial" w:hAnsi="Arial" w:cs="Arial Unicode MS"/>
      <w:color w:val="000000"/>
      <w:sz w:val="24"/>
      <w:szCs w:val="24"/>
      <w:u w:color="000000"/>
      <w:lang w:val="en-US"/>
    </w:rPr>
  </w:style>
  <w:style w:type="paragraph" w:customStyle="1" w:styleId="Body">
    <w:name w:val="Body"/>
    <w:rPr>
      <w:rFonts w:cs="Arial Unicode MS"/>
      <w:color w:val="000000"/>
      <w:sz w:val="24"/>
      <w:szCs w:val="24"/>
      <w:u w:color="000000"/>
      <w:lang w:val="en-US"/>
    </w:rPr>
  </w:style>
  <w:style w:type="paragraph" w:styleId="TOC1">
    <w:name w:val="toc 1"/>
    <w:uiPriority w:val="39"/>
    <w:pPr>
      <w:tabs>
        <w:tab w:val="right" w:leader="dot" w:pos="9612"/>
      </w:tabs>
      <w:spacing w:after="100" w:line="259" w:lineRule="auto"/>
    </w:pPr>
    <w:rPr>
      <w:rFonts w:ascii="Arial" w:eastAsia="Arial" w:hAnsi="Arial" w:cs="Arial"/>
      <w:color w:val="000000"/>
      <w:sz w:val="22"/>
      <w:szCs w:val="22"/>
      <w:u w:color="000000"/>
      <w:lang w:val="en-US"/>
    </w:rPr>
  </w:style>
  <w:style w:type="paragraph" w:customStyle="1" w:styleId="Heading">
    <w:name w:val="Heading"/>
    <w:next w:val="Body"/>
    <w:pPr>
      <w:keepNext/>
      <w:keepLines/>
      <w:spacing w:before="240" w:line="259" w:lineRule="auto"/>
      <w:jc w:val="center"/>
      <w:outlineLvl w:val="0"/>
    </w:pPr>
    <w:rPr>
      <w:rFonts w:ascii="Arial" w:eastAsia="Arial" w:hAnsi="Arial" w:cs="Arial"/>
      <w:color w:val="000000"/>
      <w:sz w:val="24"/>
      <w:szCs w:val="24"/>
      <w:u w:color="000000"/>
    </w:rPr>
  </w:style>
  <w:style w:type="numbering" w:customStyle="1" w:styleId="Bullet">
    <w:name w:val="Bullet"/>
    <w:pPr>
      <w:numPr>
        <w:numId w:val="1"/>
      </w:numPr>
    </w:pPr>
  </w:style>
  <w:style w:type="paragraph" w:styleId="ListParagraph">
    <w:name w:val="List Paragraph"/>
    <w:pPr>
      <w:ind w:left="720"/>
    </w:pPr>
    <w:rPr>
      <w:rFonts w:cs="Arial Unicode MS"/>
      <w:color w:val="000000"/>
      <w:u w:color="000000"/>
      <w:lang w:val="en-US"/>
    </w:rPr>
  </w:style>
  <w:style w:type="numbering" w:customStyle="1" w:styleId="ImportedStyle8">
    <w:name w:val="Imported Style 8"/>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51D5C-0C92-4DF4-8843-D1CD09FDA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4777</Words>
  <Characters>27233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Sangwnai Mwenya (1703016)</cp:lastModifiedBy>
  <cp:revision>3</cp:revision>
  <dcterms:created xsi:type="dcterms:W3CDTF">2019-05-07T09:11:00Z</dcterms:created>
  <dcterms:modified xsi:type="dcterms:W3CDTF">2019-05-07T09:42:00Z</dcterms:modified>
</cp:coreProperties>
</file>