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93DE5" w14:textId="77777777" w:rsidR="004C2014" w:rsidRDefault="004C2014" w:rsidP="004C2014">
      <w:pPr>
        <w:jc w:val="center"/>
        <w:rPr>
          <w:rFonts w:cs="Times New Roman"/>
          <w:b/>
        </w:rPr>
      </w:pPr>
    </w:p>
    <w:p w14:paraId="6C885E5E" w14:textId="08256B7C" w:rsidR="004C2014" w:rsidRDefault="004C2014" w:rsidP="004C2014">
      <w:pPr>
        <w:jc w:val="center"/>
        <w:rPr>
          <w:rFonts w:cs="Times New Roman"/>
          <w:b/>
        </w:rPr>
      </w:pPr>
      <w:r>
        <w:rPr>
          <w:noProof/>
        </w:rPr>
        <w:drawing>
          <wp:anchor distT="57150" distB="57150" distL="57150" distR="57150" simplePos="0" relativeHeight="251658240" behindDoc="0" locked="0" layoutInCell="1" allowOverlap="1" wp14:anchorId="1F214DFA" wp14:editId="4EC574FA">
            <wp:simplePos x="0" y="0"/>
            <wp:positionH relativeFrom="column">
              <wp:posOffset>1783715</wp:posOffset>
            </wp:positionH>
            <wp:positionV relativeFrom="line">
              <wp:posOffset>5080</wp:posOffset>
            </wp:positionV>
            <wp:extent cx="2697480" cy="1051560"/>
            <wp:effectExtent l="0" t="0" r="7620" b="0"/>
            <wp:wrapSquare wrapText="bothSides"/>
            <wp:docPr id="8" name="Picture 8"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Discover University of Wales Trinity Saint Davi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97480" cy="10515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9936BB" w14:textId="77777777" w:rsidR="004C2014" w:rsidRDefault="004C2014" w:rsidP="004C2014">
      <w:pPr>
        <w:jc w:val="center"/>
        <w:rPr>
          <w:rFonts w:cs="Times New Roman"/>
          <w:b/>
        </w:rPr>
      </w:pPr>
    </w:p>
    <w:p w14:paraId="7ED58410" w14:textId="77777777" w:rsidR="004C2014" w:rsidRDefault="004C2014" w:rsidP="004C2014">
      <w:pPr>
        <w:jc w:val="center"/>
        <w:rPr>
          <w:rFonts w:cs="Times New Roman"/>
          <w:b/>
        </w:rPr>
      </w:pPr>
    </w:p>
    <w:p w14:paraId="60385BBD" w14:textId="77777777" w:rsidR="004C2014" w:rsidRDefault="004C2014" w:rsidP="004C2014">
      <w:pPr>
        <w:jc w:val="center"/>
        <w:rPr>
          <w:rFonts w:cs="Times New Roman"/>
          <w:b/>
        </w:rPr>
      </w:pPr>
    </w:p>
    <w:p w14:paraId="6D243A4C" w14:textId="77777777" w:rsidR="004C2014" w:rsidRDefault="004C2014" w:rsidP="004C2014">
      <w:pPr>
        <w:jc w:val="center"/>
        <w:rPr>
          <w:rFonts w:cs="Times New Roman"/>
          <w:b/>
          <w:sz w:val="28"/>
          <w:szCs w:val="28"/>
        </w:rPr>
      </w:pPr>
      <w:r>
        <w:rPr>
          <w:rFonts w:cs="Times New Roman"/>
          <w:b/>
          <w:sz w:val="28"/>
          <w:szCs w:val="28"/>
        </w:rPr>
        <w:t>AI Governance at L’Oréal: Managing Consumer Data, Regulatory Fragmentation and Trust Across the UK and EU</w:t>
      </w:r>
    </w:p>
    <w:p w14:paraId="21DD713E" w14:textId="77777777" w:rsidR="004C2014" w:rsidRDefault="004C2014" w:rsidP="004C2014">
      <w:pPr>
        <w:jc w:val="center"/>
        <w:rPr>
          <w:rFonts w:cs="Times New Roman"/>
          <w:b/>
          <w:bCs/>
          <w:sz w:val="28"/>
          <w:szCs w:val="28"/>
          <w:lang w:val="en-US"/>
        </w:rPr>
      </w:pPr>
      <w:r>
        <w:rPr>
          <w:rFonts w:cs="Times New Roman"/>
          <w:b/>
          <w:sz w:val="28"/>
          <w:szCs w:val="28"/>
        </w:rPr>
        <w:t xml:space="preserve">Module: </w:t>
      </w:r>
      <w:r>
        <w:rPr>
          <w:rFonts w:cs="Times New Roman"/>
          <w:b/>
          <w:bCs/>
          <w:sz w:val="28"/>
          <w:szCs w:val="28"/>
          <w:lang w:val="en-US"/>
        </w:rPr>
        <w:t>Global Business Challenges</w:t>
      </w:r>
      <w:r>
        <w:rPr>
          <w:rFonts w:cs="Times New Roman"/>
          <w:b/>
          <w:sz w:val="28"/>
          <w:szCs w:val="28"/>
        </w:rPr>
        <w:t xml:space="preserve"> - </w:t>
      </w:r>
      <w:r>
        <w:rPr>
          <w:rFonts w:cs="Times New Roman"/>
          <w:b/>
          <w:bCs/>
          <w:sz w:val="28"/>
          <w:szCs w:val="28"/>
          <w:lang w:val="en-US"/>
        </w:rPr>
        <w:t>BMMB7006</w:t>
      </w:r>
    </w:p>
    <w:p w14:paraId="474E2646" w14:textId="77777777" w:rsidR="004C2014" w:rsidRDefault="004C2014" w:rsidP="004C2014">
      <w:pPr>
        <w:jc w:val="center"/>
        <w:rPr>
          <w:rFonts w:cs="Times New Roman"/>
          <w:b/>
          <w:sz w:val="28"/>
          <w:szCs w:val="28"/>
        </w:rPr>
      </w:pPr>
      <w:r>
        <w:rPr>
          <w:rFonts w:cs="Times New Roman"/>
          <w:b/>
          <w:bCs/>
          <w:sz w:val="28"/>
          <w:szCs w:val="28"/>
          <w:lang w:val="en-US"/>
        </w:rPr>
        <w:t>Lecturer: Rebecca Francis-Davies</w:t>
      </w:r>
      <w:r>
        <w:rPr>
          <w:rFonts w:cs="Times New Roman"/>
          <w:b/>
          <w:sz w:val="28"/>
          <w:szCs w:val="28"/>
          <w:lang w:val="en-US"/>
        </w:rPr>
        <w:t xml:space="preserve"> </w:t>
      </w:r>
    </w:p>
    <w:p w14:paraId="1C1F219A" w14:textId="77777777" w:rsidR="004C2014" w:rsidRDefault="004C2014" w:rsidP="004C2014">
      <w:pPr>
        <w:jc w:val="center"/>
        <w:rPr>
          <w:rFonts w:cs="Times New Roman"/>
          <w:b/>
          <w:sz w:val="28"/>
          <w:szCs w:val="28"/>
        </w:rPr>
      </w:pPr>
      <w:r>
        <w:rPr>
          <w:rFonts w:cs="Times New Roman"/>
          <w:b/>
          <w:sz w:val="28"/>
          <w:szCs w:val="28"/>
        </w:rPr>
        <w:t>Student Name: Sayam Ahmed – 2519728</w:t>
      </w:r>
    </w:p>
    <w:p w14:paraId="7158C013" w14:textId="71D36256" w:rsidR="004C2014" w:rsidRDefault="004C2014" w:rsidP="000541FD">
      <w:pPr>
        <w:rPr>
          <w:rFonts w:cs="Times New Roman"/>
          <w:b/>
        </w:rPr>
      </w:pPr>
      <w:r>
        <w:rPr>
          <w:rFonts w:cs="Times New Roman"/>
          <w:b/>
        </w:rPr>
        <w:br w:type="page"/>
      </w:r>
    </w:p>
    <w:p w14:paraId="74CD7C67" w14:textId="77777777" w:rsidR="004C2014" w:rsidRDefault="004C2014" w:rsidP="004C2014">
      <w:pPr>
        <w:jc w:val="center"/>
        <w:rPr>
          <w:rFonts w:cs="Times New Roman"/>
          <w:b/>
          <w:sz w:val="36"/>
        </w:rPr>
      </w:pPr>
      <w:r>
        <w:rPr>
          <w:rFonts w:cs="Times New Roman"/>
          <w:b/>
          <w:sz w:val="36"/>
        </w:rPr>
        <w:lastRenderedPageBreak/>
        <w:t>Executive Summary</w:t>
      </w:r>
    </w:p>
    <w:p w14:paraId="0A2A8404" w14:textId="77777777" w:rsidR="004C2014" w:rsidRDefault="004C2014" w:rsidP="004C2014">
      <w:pPr>
        <w:rPr>
          <w:rFonts w:cs="Times New Roman"/>
        </w:rPr>
      </w:pPr>
      <w:r>
        <w:rPr>
          <w:rFonts w:cs="Times New Roman"/>
        </w:rPr>
        <w:t>L’Oréal is no longer playing around with AI. The group says that AI is at the heart of its business revolution, e-commerce now contributes 30% of its sales, and its Beauty Tech services have been used over 120 million times in 66 countries and 31 brands by the end of 2025. Meanwhile, the privacy policy of L’Oréal assures that personalised communications can be based on profiling, centralized processing of personal data, third-party vendors and cross-border data transfers. This renders AI governance at L’Oréal a business issue, rather than a specialist compliance issue. The business model of the company is more and more reliant on the data-driven consumer interactions that can drive growth faster, yet can also amplify suspicion, grievances and regulatory risks when implemented without apparent safeguards.</w:t>
      </w:r>
    </w:p>
    <w:p w14:paraId="1C174607" w14:textId="77777777" w:rsidR="004C2014" w:rsidRDefault="004C2014" w:rsidP="004C2014">
      <w:pPr>
        <w:rPr>
          <w:rFonts w:cs="Times New Roman"/>
        </w:rPr>
      </w:pPr>
      <w:r>
        <w:rPr>
          <w:rFonts w:cs="Times New Roman"/>
        </w:rPr>
        <w:t>The main conclusion of the present report is that the main AI risk faced by L’Oréal is not that it will move at an inadequate rate, but that it will expand consumer-facing systems quicker than its data governance, clarification norms and trust protections will develop. Regulatory fragmentation enhances that risk. The UK is still principles-based and regulator led, and the Data (Use and Access) Act 2025 has liberalised the law on significant solely automated decisions, with safeguards. The EU AI Act is more formal and risk-based, since 2 February 2025, prohibited practices and AI literacy obligations have been in force, since 2 August 2025, governance and general-purpose AI obligations, and most of the regime since 2 August 2026, with some product-related high-risk rules following. In the case of L’Oréal, this deviation does not warrant lower standards in the UK. It enhances the argument for a single internal benchmark across markets.</w:t>
      </w:r>
    </w:p>
    <w:p w14:paraId="43E63357" w14:textId="3C17DEFD" w:rsidR="004C2014" w:rsidRDefault="004C2014" w:rsidP="004C2014">
      <w:pPr>
        <w:rPr>
          <w:rFonts w:cs="Times New Roman"/>
        </w:rPr>
      </w:pPr>
      <w:r>
        <w:rPr>
          <w:rFonts w:cs="Times New Roman"/>
        </w:rPr>
        <w:t>The suggested course of action is thus to implement an EU-grade Responsible AI operating model on a global basis, backed by four priorities i.e. first, a complete AI register and risk-levelling system, second, more powerful data lineage, consent and profiling controls, third, consumer-facing explanation standards and published limits on synthetic beauty imagery and fourth, quarterly trust-linked board metrics and not efficiency metrics. This report suggests a two-year implementation roadmap with owners identified, approximate cost ranges and quantifiable milestones. The strategic rationale is straightforward as in the case of a consumer multinational, whose brand equity relies on trust, the quality of governance is an element of the product. When applied appropriately, it has the potential to lower the cost of litigation and remediation, maintain consumer trust and make L’Oréal a beauty company with AI that is commercially viable and publicly transparent</w:t>
      </w:r>
      <w:r w:rsidR="00683F6A">
        <w:rPr>
          <w:rFonts w:cs="Times New Roman"/>
        </w:rPr>
        <w:t>.</w:t>
      </w:r>
      <w:r>
        <w:rPr>
          <w:rFonts w:cs="Times New Roman"/>
        </w:rPr>
        <w:br w:type="page"/>
      </w:r>
    </w:p>
    <w:sdt>
      <w:sdtPr>
        <w:rPr>
          <w:rFonts w:ascii="Times New Roman" w:eastAsiaTheme="minorEastAsia" w:hAnsi="Times New Roman" w:cs="Times New Roman"/>
          <w:b/>
          <w:bCs/>
          <w:caps/>
          <w:color w:val="auto"/>
          <w:sz w:val="22"/>
          <w:szCs w:val="22"/>
          <w:lang w:val="en-AU" w:eastAsia="en-AU"/>
        </w:rPr>
        <w:id w:val="982507537"/>
        <w:docPartObj>
          <w:docPartGallery w:val="Table of Contents"/>
          <w:docPartUnique/>
        </w:docPartObj>
      </w:sdtPr>
      <w:sdtEndPr>
        <w:rPr>
          <w:b w:val="0"/>
          <w:bCs w:val="0"/>
          <w:smallCaps/>
        </w:rPr>
      </w:sdtEndPr>
      <w:sdtContent>
        <w:p w14:paraId="714C5E4E" w14:textId="77777777" w:rsidR="004C2014" w:rsidRDefault="004C2014" w:rsidP="004C2014">
          <w:pPr>
            <w:pStyle w:val="TOCHeading"/>
            <w:rPr>
              <w:rFonts w:cs="Times New Roman"/>
            </w:rPr>
          </w:pPr>
          <w:r>
            <w:rPr>
              <w:rFonts w:cs="Times New Roman"/>
            </w:rPr>
            <w:t>Table of Contents</w:t>
          </w:r>
        </w:p>
        <w:p w14:paraId="19CABE0A" w14:textId="77777777" w:rsidR="004C2014" w:rsidRDefault="004C2014" w:rsidP="004C2014">
          <w:pPr>
            <w:pStyle w:val="TOC1"/>
            <w:tabs>
              <w:tab w:val="left" w:pos="480"/>
              <w:tab w:val="right" w:leader="dot" w:pos="9402"/>
            </w:tabs>
            <w:rPr>
              <w:noProof/>
              <w:lang w:val="en-US"/>
            </w:rPr>
          </w:pPr>
          <w:r>
            <w:rPr>
              <w:rFonts w:cs="Times New Roman"/>
            </w:rPr>
            <w:fldChar w:fldCharType="begin"/>
          </w:r>
          <w:r>
            <w:rPr>
              <w:rFonts w:cs="Times New Roman"/>
            </w:rPr>
            <w:instrText xml:space="preserve"> TOC \o "1-3" \h \z \u </w:instrText>
          </w:r>
          <w:r>
            <w:rPr>
              <w:rFonts w:cs="Times New Roman"/>
            </w:rPr>
            <w:fldChar w:fldCharType="separate"/>
          </w:r>
          <w:hyperlink r:id="rId10" w:anchor="_Toc227231048" w:history="1">
            <w:r>
              <w:rPr>
                <w:rStyle w:val="Hyperlink"/>
                <w:rFonts w:cs="Times New Roman"/>
                <w:noProof/>
              </w:rPr>
              <w:t>1</w:t>
            </w:r>
            <w:r>
              <w:rPr>
                <w:rStyle w:val="Hyperlink"/>
                <w:noProof/>
                <w:color w:val="auto"/>
                <w:lang w:val="en-US"/>
              </w:rPr>
              <w:tab/>
            </w:r>
            <w:r>
              <w:rPr>
                <w:rStyle w:val="Hyperlink"/>
                <w:rFonts w:cs="Times New Roman"/>
                <w:noProof/>
              </w:rPr>
              <w:t>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_Toc227231048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11E94819" w14:textId="77777777" w:rsidR="004C2014" w:rsidRDefault="00406EFA" w:rsidP="004C2014">
          <w:pPr>
            <w:pStyle w:val="TOC1"/>
            <w:tabs>
              <w:tab w:val="left" w:pos="480"/>
              <w:tab w:val="right" w:leader="dot" w:pos="9402"/>
            </w:tabs>
            <w:rPr>
              <w:noProof/>
              <w:lang w:val="en-US"/>
            </w:rPr>
          </w:pPr>
          <w:hyperlink r:id="rId11" w:anchor="_Toc227231049" w:history="1">
            <w:r w:rsidR="004C2014">
              <w:rPr>
                <w:rStyle w:val="Hyperlink"/>
                <w:rFonts w:cs="Times New Roman"/>
                <w:noProof/>
                <w:lang w:val="en-US"/>
              </w:rPr>
              <w:t>2</w:t>
            </w:r>
            <w:r w:rsidR="004C2014">
              <w:rPr>
                <w:rStyle w:val="Hyperlink"/>
                <w:noProof/>
                <w:color w:val="auto"/>
                <w:lang w:val="en-US"/>
              </w:rPr>
              <w:tab/>
            </w:r>
            <w:r w:rsidR="004C2014">
              <w:rPr>
                <w:rStyle w:val="Hyperlink"/>
                <w:rFonts w:cs="Times New Roman"/>
                <w:noProof/>
                <w:lang w:val="en-US"/>
              </w:rPr>
              <w:t>Main Findings</w:t>
            </w:r>
            <w:r w:rsidR="004C2014">
              <w:rPr>
                <w:rStyle w:val="Hyperlink"/>
                <w:noProof/>
                <w:webHidden/>
                <w:color w:val="auto"/>
              </w:rPr>
              <w:tab/>
            </w:r>
            <w:r w:rsidR="004C2014">
              <w:rPr>
                <w:rStyle w:val="Hyperlink"/>
                <w:noProof/>
                <w:webHidden/>
                <w:color w:val="auto"/>
              </w:rPr>
              <w:fldChar w:fldCharType="begin"/>
            </w:r>
            <w:r w:rsidR="004C2014">
              <w:rPr>
                <w:rStyle w:val="Hyperlink"/>
                <w:noProof/>
                <w:webHidden/>
                <w:color w:val="auto"/>
              </w:rPr>
              <w:instrText xml:space="preserve"> PAGEREF _Toc227231049 \h </w:instrText>
            </w:r>
            <w:r w:rsidR="004C2014">
              <w:rPr>
                <w:rStyle w:val="Hyperlink"/>
                <w:noProof/>
                <w:webHidden/>
                <w:color w:val="auto"/>
              </w:rPr>
            </w:r>
            <w:r w:rsidR="004C2014">
              <w:rPr>
                <w:rStyle w:val="Hyperlink"/>
                <w:noProof/>
                <w:webHidden/>
                <w:color w:val="auto"/>
              </w:rPr>
              <w:fldChar w:fldCharType="separate"/>
            </w:r>
            <w:r w:rsidR="004C2014">
              <w:rPr>
                <w:rStyle w:val="Hyperlink"/>
                <w:noProof/>
                <w:webHidden/>
                <w:color w:val="auto"/>
              </w:rPr>
              <w:t>5</w:t>
            </w:r>
            <w:r w:rsidR="004C2014">
              <w:rPr>
                <w:rStyle w:val="Hyperlink"/>
                <w:noProof/>
                <w:webHidden/>
                <w:color w:val="auto"/>
              </w:rPr>
              <w:fldChar w:fldCharType="end"/>
            </w:r>
          </w:hyperlink>
        </w:p>
        <w:p w14:paraId="3D7F9EFB" w14:textId="77777777" w:rsidR="004C2014" w:rsidRDefault="00406EFA" w:rsidP="004C2014">
          <w:pPr>
            <w:pStyle w:val="TOC2"/>
            <w:tabs>
              <w:tab w:val="left" w:pos="880"/>
              <w:tab w:val="right" w:leader="dot" w:pos="9402"/>
            </w:tabs>
            <w:rPr>
              <w:noProof/>
              <w:lang w:val="en-US"/>
            </w:rPr>
          </w:pPr>
          <w:hyperlink r:id="rId12" w:anchor="_Toc227231050" w:history="1">
            <w:r w:rsidR="004C2014">
              <w:rPr>
                <w:rStyle w:val="Hyperlink"/>
                <w:rFonts w:cs="Times New Roman"/>
                <w:noProof/>
                <w:lang w:val="en-US"/>
              </w:rPr>
              <w:t>2.1</w:t>
            </w:r>
            <w:r w:rsidR="004C2014">
              <w:rPr>
                <w:rStyle w:val="Hyperlink"/>
                <w:noProof/>
                <w:color w:val="auto"/>
                <w:lang w:val="en-US"/>
              </w:rPr>
              <w:tab/>
            </w:r>
            <w:r w:rsidR="004C2014">
              <w:rPr>
                <w:rStyle w:val="Hyperlink"/>
                <w:rFonts w:cs="Times New Roman"/>
                <w:noProof/>
                <w:lang w:val="en-US"/>
              </w:rPr>
              <w:t>Strategic Exposure</w:t>
            </w:r>
            <w:r w:rsidR="004C2014">
              <w:rPr>
                <w:rStyle w:val="Hyperlink"/>
                <w:noProof/>
                <w:webHidden/>
                <w:color w:val="auto"/>
              </w:rPr>
              <w:tab/>
            </w:r>
            <w:r w:rsidR="004C2014">
              <w:rPr>
                <w:rStyle w:val="Hyperlink"/>
                <w:noProof/>
                <w:webHidden/>
                <w:color w:val="auto"/>
              </w:rPr>
              <w:fldChar w:fldCharType="begin"/>
            </w:r>
            <w:r w:rsidR="004C2014">
              <w:rPr>
                <w:rStyle w:val="Hyperlink"/>
                <w:noProof/>
                <w:webHidden/>
                <w:color w:val="auto"/>
              </w:rPr>
              <w:instrText xml:space="preserve"> PAGEREF _Toc227231050 \h </w:instrText>
            </w:r>
            <w:r w:rsidR="004C2014">
              <w:rPr>
                <w:rStyle w:val="Hyperlink"/>
                <w:noProof/>
                <w:webHidden/>
                <w:color w:val="auto"/>
              </w:rPr>
            </w:r>
            <w:r w:rsidR="004C2014">
              <w:rPr>
                <w:rStyle w:val="Hyperlink"/>
                <w:noProof/>
                <w:webHidden/>
                <w:color w:val="auto"/>
              </w:rPr>
              <w:fldChar w:fldCharType="separate"/>
            </w:r>
            <w:r w:rsidR="004C2014">
              <w:rPr>
                <w:rStyle w:val="Hyperlink"/>
                <w:noProof/>
                <w:webHidden/>
                <w:color w:val="auto"/>
              </w:rPr>
              <w:t>5</w:t>
            </w:r>
            <w:r w:rsidR="004C2014">
              <w:rPr>
                <w:rStyle w:val="Hyperlink"/>
                <w:noProof/>
                <w:webHidden/>
                <w:color w:val="auto"/>
              </w:rPr>
              <w:fldChar w:fldCharType="end"/>
            </w:r>
          </w:hyperlink>
        </w:p>
        <w:p w14:paraId="6402C9FD" w14:textId="77777777" w:rsidR="004C2014" w:rsidRDefault="00406EFA" w:rsidP="004C2014">
          <w:pPr>
            <w:pStyle w:val="TOC2"/>
            <w:tabs>
              <w:tab w:val="left" w:pos="880"/>
              <w:tab w:val="right" w:leader="dot" w:pos="9402"/>
            </w:tabs>
            <w:rPr>
              <w:noProof/>
              <w:lang w:val="en-US"/>
            </w:rPr>
          </w:pPr>
          <w:hyperlink r:id="rId13" w:anchor="_Toc227231051" w:history="1">
            <w:r w:rsidR="004C2014">
              <w:rPr>
                <w:rStyle w:val="Hyperlink"/>
                <w:rFonts w:cs="Times New Roman"/>
                <w:noProof/>
              </w:rPr>
              <w:t>2.2</w:t>
            </w:r>
            <w:r w:rsidR="004C2014">
              <w:rPr>
                <w:rStyle w:val="Hyperlink"/>
                <w:noProof/>
                <w:color w:val="auto"/>
                <w:lang w:val="en-US"/>
              </w:rPr>
              <w:tab/>
            </w:r>
            <w:r w:rsidR="004C2014">
              <w:rPr>
                <w:rStyle w:val="Hyperlink"/>
                <w:rFonts w:cs="Times New Roman"/>
                <w:noProof/>
              </w:rPr>
              <w:t>Data Governance</w:t>
            </w:r>
            <w:r w:rsidR="004C2014">
              <w:rPr>
                <w:rStyle w:val="Hyperlink"/>
                <w:noProof/>
                <w:webHidden/>
                <w:color w:val="auto"/>
              </w:rPr>
              <w:tab/>
            </w:r>
            <w:r w:rsidR="004C2014">
              <w:rPr>
                <w:rStyle w:val="Hyperlink"/>
                <w:noProof/>
                <w:webHidden/>
                <w:color w:val="auto"/>
              </w:rPr>
              <w:fldChar w:fldCharType="begin"/>
            </w:r>
            <w:r w:rsidR="004C2014">
              <w:rPr>
                <w:rStyle w:val="Hyperlink"/>
                <w:noProof/>
                <w:webHidden/>
                <w:color w:val="auto"/>
              </w:rPr>
              <w:instrText xml:space="preserve"> PAGEREF _Toc227231051 \h </w:instrText>
            </w:r>
            <w:r w:rsidR="004C2014">
              <w:rPr>
                <w:rStyle w:val="Hyperlink"/>
                <w:noProof/>
                <w:webHidden/>
                <w:color w:val="auto"/>
              </w:rPr>
            </w:r>
            <w:r w:rsidR="004C2014">
              <w:rPr>
                <w:rStyle w:val="Hyperlink"/>
                <w:noProof/>
                <w:webHidden/>
                <w:color w:val="auto"/>
              </w:rPr>
              <w:fldChar w:fldCharType="separate"/>
            </w:r>
            <w:r w:rsidR="004C2014">
              <w:rPr>
                <w:rStyle w:val="Hyperlink"/>
                <w:noProof/>
                <w:webHidden/>
                <w:color w:val="auto"/>
              </w:rPr>
              <w:t>6</w:t>
            </w:r>
            <w:r w:rsidR="004C2014">
              <w:rPr>
                <w:rStyle w:val="Hyperlink"/>
                <w:noProof/>
                <w:webHidden/>
                <w:color w:val="auto"/>
              </w:rPr>
              <w:fldChar w:fldCharType="end"/>
            </w:r>
          </w:hyperlink>
        </w:p>
        <w:p w14:paraId="5A0BE1B3" w14:textId="77777777" w:rsidR="004C2014" w:rsidRDefault="00406EFA" w:rsidP="004C2014">
          <w:pPr>
            <w:pStyle w:val="TOC2"/>
            <w:tabs>
              <w:tab w:val="left" w:pos="880"/>
              <w:tab w:val="right" w:leader="dot" w:pos="9402"/>
            </w:tabs>
            <w:rPr>
              <w:noProof/>
              <w:lang w:val="en-US"/>
            </w:rPr>
          </w:pPr>
          <w:hyperlink r:id="rId14" w:anchor="_Toc227231052" w:history="1">
            <w:r w:rsidR="004C2014">
              <w:rPr>
                <w:rStyle w:val="Hyperlink"/>
                <w:rFonts w:cs="Times New Roman"/>
                <w:noProof/>
                <w:lang w:val="en-US"/>
              </w:rPr>
              <w:t>2.3</w:t>
            </w:r>
            <w:r w:rsidR="004C2014">
              <w:rPr>
                <w:rStyle w:val="Hyperlink"/>
                <w:noProof/>
                <w:color w:val="auto"/>
                <w:lang w:val="en-US"/>
              </w:rPr>
              <w:tab/>
            </w:r>
            <w:r w:rsidR="004C2014">
              <w:rPr>
                <w:rStyle w:val="Hyperlink"/>
                <w:rFonts w:cs="Times New Roman"/>
                <w:noProof/>
                <w:lang w:val="en-US"/>
              </w:rPr>
              <w:t>Regulatory Fragmentation</w:t>
            </w:r>
            <w:r w:rsidR="004C2014">
              <w:rPr>
                <w:rStyle w:val="Hyperlink"/>
                <w:noProof/>
                <w:webHidden/>
                <w:color w:val="auto"/>
              </w:rPr>
              <w:tab/>
            </w:r>
            <w:r w:rsidR="004C2014">
              <w:rPr>
                <w:rStyle w:val="Hyperlink"/>
                <w:noProof/>
                <w:webHidden/>
                <w:color w:val="auto"/>
              </w:rPr>
              <w:fldChar w:fldCharType="begin"/>
            </w:r>
            <w:r w:rsidR="004C2014">
              <w:rPr>
                <w:rStyle w:val="Hyperlink"/>
                <w:noProof/>
                <w:webHidden/>
                <w:color w:val="auto"/>
              </w:rPr>
              <w:instrText xml:space="preserve"> PAGEREF _Toc227231052 \h </w:instrText>
            </w:r>
            <w:r w:rsidR="004C2014">
              <w:rPr>
                <w:rStyle w:val="Hyperlink"/>
                <w:noProof/>
                <w:webHidden/>
                <w:color w:val="auto"/>
              </w:rPr>
            </w:r>
            <w:r w:rsidR="004C2014">
              <w:rPr>
                <w:rStyle w:val="Hyperlink"/>
                <w:noProof/>
                <w:webHidden/>
                <w:color w:val="auto"/>
              </w:rPr>
              <w:fldChar w:fldCharType="separate"/>
            </w:r>
            <w:r w:rsidR="004C2014">
              <w:rPr>
                <w:rStyle w:val="Hyperlink"/>
                <w:noProof/>
                <w:webHidden/>
                <w:color w:val="auto"/>
              </w:rPr>
              <w:t>9</w:t>
            </w:r>
            <w:r w:rsidR="004C2014">
              <w:rPr>
                <w:rStyle w:val="Hyperlink"/>
                <w:noProof/>
                <w:webHidden/>
                <w:color w:val="auto"/>
              </w:rPr>
              <w:fldChar w:fldCharType="end"/>
            </w:r>
          </w:hyperlink>
        </w:p>
        <w:p w14:paraId="14DE745C" w14:textId="77777777" w:rsidR="004C2014" w:rsidRDefault="00406EFA" w:rsidP="004C2014">
          <w:pPr>
            <w:pStyle w:val="TOC2"/>
            <w:tabs>
              <w:tab w:val="left" w:pos="880"/>
              <w:tab w:val="right" w:leader="dot" w:pos="9402"/>
            </w:tabs>
            <w:rPr>
              <w:noProof/>
              <w:lang w:val="en-US"/>
            </w:rPr>
          </w:pPr>
          <w:hyperlink r:id="rId15" w:anchor="_Toc227231053" w:history="1">
            <w:r w:rsidR="004C2014">
              <w:rPr>
                <w:rStyle w:val="Hyperlink"/>
                <w:rFonts w:cs="Times New Roman"/>
                <w:noProof/>
                <w:lang w:val="en-US"/>
              </w:rPr>
              <w:t>2.4</w:t>
            </w:r>
            <w:r w:rsidR="004C2014">
              <w:rPr>
                <w:rStyle w:val="Hyperlink"/>
                <w:noProof/>
                <w:color w:val="auto"/>
                <w:lang w:val="en-US"/>
              </w:rPr>
              <w:tab/>
            </w:r>
            <w:r w:rsidR="004C2014">
              <w:rPr>
                <w:rStyle w:val="Hyperlink"/>
                <w:rFonts w:cs="Times New Roman"/>
                <w:noProof/>
                <w:lang w:val="en-US"/>
              </w:rPr>
              <w:t>AI Ethics and Trust</w:t>
            </w:r>
            <w:r w:rsidR="004C2014">
              <w:rPr>
                <w:rStyle w:val="Hyperlink"/>
                <w:noProof/>
                <w:webHidden/>
                <w:color w:val="auto"/>
              </w:rPr>
              <w:tab/>
            </w:r>
            <w:r w:rsidR="004C2014">
              <w:rPr>
                <w:rStyle w:val="Hyperlink"/>
                <w:noProof/>
                <w:webHidden/>
                <w:color w:val="auto"/>
              </w:rPr>
              <w:fldChar w:fldCharType="begin"/>
            </w:r>
            <w:r w:rsidR="004C2014">
              <w:rPr>
                <w:rStyle w:val="Hyperlink"/>
                <w:noProof/>
                <w:webHidden/>
                <w:color w:val="auto"/>
              </w:rPr>
              <w:instrText xml:space="preserve"> PAGEREF _Toc227231053 \h </w:instrText>
            </w:r>
            <w:r w:rsidR="004C2014">
              <w:rPr>
                <w:rStyle w:val="Hyperlink"/>
                <w:noProof/>
                <w:webHidden/>
                <w:color w:val="auto"/>
              </w:rPr>
            </w:r>
            <w:r w:rsidR="004C2014">
              <w:rPr>
                <w:rStyle w:val="Hyperlink"/>
                <w:noProof/>
                <w:webHidden/>
                <w:color w:val="auto"/>
              </w:rPr>
              <w:fldChar w:fldCharType="separate"/>
            </w:r>
            <w:r w:rsidR="004C2014">
              <w:rPr>
                <w:rStyle w:val="Hyperlink"/>
                <w:noProof/>
                <w:webHidden/>
                <w:color w:val="auto"/>
              </w:rPr>
              <w:t>12</w:t>
            </w:r>
            <w:r w:rsidR="004C2014">
              <w:rPr>
                <w:rStyle w:val="Hyperlink"/>
                <w:noProof/>
                <w:webHidden/>
                <w:color w:val="auto"/>
              </w:rPr>
              <w:fldChar w:fldCharType="end"/>
            </w:r>
          </w:hyperlink>
        </w:p>
        <w:p w14:paraId="3522A937" w14:textId="77777777" w:rsidR="004C2014" w:rsidRDefault="00406EFA" w:rsidP="004C2014">
          <w:pPr>
            <w:pStyle w:val="TOC2"/>
            <w:tabs>
              <w:tab w:val="left" w:pos="880"/>
              <w:tab w:val="right" w:leader="dot" w:pos="9402"/>
            </w:tabs>
            <w:rPr>
              <w:noProof/>
              <w:lang w:val="en-US"/>
            </w:rPr>
          </w:pPr>
          <w:hyperlink r:id="rId16" w:anchor="_Toc227231054" w:history="1">
            <w:r w:rsidR="004C2014">
              <w:rPr>
                <w:rStyle w:val="Hyperlink"/>
                <w:rFonts w:cs="Times New Roman"/>
                <w:noProof/>
                <w:lang w:val="en-US"/>
              </w:rPr>
              <w:t>2.5</w:t>
            </w:r>
            <w:r w:rsidR="004C2014">
              <w:rPr>
                <w:rStyle w:val="Hyperlink"/>
                <w:noProof/>
                <w:color w:val="auto"/>
                <w:lang w:val="en-US"/>
              </w:rPr>
              <w:tab/>
            </w:r>
            <w:r w:rsidR="004C2014">
              <w:rPr>
                <w:rStyle w:val="Hyperlink"/>
                <w:rFonts w:cs="Times New Roman"/>
                <w:noProof/>
                <w:lang w:val="en-US"/>
              </w:rPr>
              <w:t>Recommended Operating Model</w:t>
            </w:r>
            <w:r w:rsidR="004C2014">
              <w:rPr>
                <w:rStyle w:val="Hyperlink"/>
                <w:noProof/>
                <w:webHidden/>
                <w:color w:val="auto"/>
              </w:rPr>
              <w:tab/>
            </w:r>
            <w:r w:rsidR="004C2014">
              <w:rPr>
                <w:rStyle w:val="Hyperlink"/>
                <w:noProof/>
                <w:webHidden/>
                <w:color w:val="auto"/>
              </w:rPr>
              <w:fldChar w:fldCharType="begin"/>
            </w:r>
            <w:r w:rsidR="004C2014">
              <w:rPr>
                <w:rStyle w:val="Hyperlink"/>
                <w:noProof/>
                <w:webHidden/>
                <w:color w:val="auto"/>
              </w:rPr>
              <w:instrText xml:space="preserve"> PAGEREF _Toc227231054 \h </w:instrText>
            </w:r>
            <w:r w:rsidR="004C2014">
              <w:rPr>
                <w:rStyle w:val="Hyperlink"/>
                <w:noProof/>
                <w:webHidden/>
                <w:color w:val="auto"/>
              </w:rPr>
            </w:r>
            <w:r w:rsidR="004C2014">
              <w:rPr>
                <w:rStyle w:val="Hyperlink"/>
                <w:noProof/>
                <w:webHidden/>
                <w:color w:val="auto"/>
              </w:rPr>
              <w:fldChar w:fldCharType="separate"/>
            </w:r>
            <w:r w:rsidR="004C2014">
              <w:rPr>
                <w:rStyle w:val="Hyperlink"/>
                <w:noProof/>
                <w:webHidden/>
                <w:color w:val="auto"/>
              </w:rPr>
              <w:t>14</w:t>
            </w:r>
            <w:r w:rsidR="004C2014">
              <w:rPr>
                <w:rStyle w:val="Hyperlink"/>
                <w:noProof/>
                <w:webHidden/>
                <w:color w:val="auto"/>
              </w:rPr>
              <w:fldChar w:fldCharType="end"/>
            </w:r>
          </w:hyperlink>
        </w:p>
        <w:p w14:paraId="0DC27AE0" w14:textId="77777777" w:rsidR="004C2014" w:rsidRDefault="00406EFA" w:rsidP="004C2014">
          <w:pPr>
            <w:pStyle w:val="TOC1"/>
            <w:tabs>
              <w:tab w:val="left" w:pos="480"/>
              <w:tab w:val="right" w:leader="dot" w:pos="9402"/>
            </w:tabs>
            <w:rPr>
              <w:noProof/>
              <w:lang w:val="en-US"/>
            </w:rPr>
          </w:pPr>
          <w:hyperlink r:id="rId17" w:anchor="_Toc227231055" w:history="1">
            <w:r w:rsidR="004C2014">
              <w:rPr>
                <w:rStyle w:val="Hyperlink"/>
                <w:rFonts w:cs="Times New Roman"/>
                <w:noProof/>
                <w:lang w:val="en-US"/>
              </w:rPr>
              <w:t>3</w:t>
            </w:r>
            <w:r w:rsidR="004C2014">
              <w:rPr>
                <w:rStyle w:val="Hyperlink"/>
                <w:noProof/>
                <w:color w:val="auto"/>
                <w:lang w:val="en-US"/>
              </w:rPr>
              <w:tab/>
            </w:r>
            <w:r w:rsidR="004C2014">
              <w:rPr>
                <w:rStyle w:val="Hyperlink"/>
                <w:rFonts w:cs="Times New Roman"/>
                <w:noProof/>
                <w:lang w:val="en-US"/>
              </w:rPr>
              <w:t>Conclusion</w:t>
            </w:r>
            <w:r w:rsidR="004C2014">
              <w:rPr>
                <w:rStyle w:val="Hyperlink"/>
                <w:noProof/>
                <w:webHidden/>
                <w:color w:val="auto"/>
              </w:rPr>
              <w:tab/>
            </w:r>
            <w:r w:rsidR="004C2014">
              <w:rPr>
                <w:rStyle w:val="Hyperlink"/>
                <w:noProof/>
                <w:webHidden/>
                <w:color w:val="auto"/>
              </w:rPr>
              <w:fldChar w:fldCharType="begin"/>
            </w:r>
            <w:r w:rsidR="004C2014">
              <w:rPr>
                <w:rStyle w:val="Hyperlink"/>
                <w:noProof/>
                <w:webHidden/>
                <w:color w:val="auto"/>
              </w:rPr>
              <w:instrText xml:space="preserve"> PAGEREF _Toc227231055 \h </w:instrText>
            </w:r>
            <w:r w:rsidR="004C2014">
              <w:rPr>
                <w:rStyle w:val="Hyperlink"/>
                <w:noProof/>
                <w:webHidden/>
                <w:color w:val="auto"/>
              </w:rPr>
            </w:r>
            <w:r w:rsidR="004C2014">
              <w:rPr>
                <w:rStyle w:val="Hyperlink"/>
                <w:noProof/>
                <w:webHidden/>
                <w:color w:val="auto"/>
              </w:rPr>
              <w:fldChar w:fldCharType="separate"/>
            </w:r>
            <w:r w:rsidR="004C2014">
              <w:rPr>
                <w:rStyle w:val="Hyperlink"/>
                <w:noProof/>
                <w:webHidden/>
                <w:color w:val="auto"/>
              </w:rPr>
              <w:t>17</w:t>
            </w:r>
            <w:r w:rsidR="004C2014">
              <w:rPr>
                <w:rStyle w:val="Hyperlink"/>
                <w:noProof/>
                <w:webHidden/>
                <w:color w:val="auto"/>
              </w:rPr>
              <w:fldChar w:fldCharType="end"/>
            </w:r>
          </w:hyperlink>
        </w:p>
        <w:p w14:paraId="78F09952" w14:textId="77777777" w:rsidR="004C2014" w:rsidRDefault="00406EFA" w:rsidP="004C2014">
          <w:pPr>
            <w:pStyle w:val="TOC1"/>
            <w:tabs>
              <w:tab w:val="left" w:pos="480"/>
              <w:tab w:val="right" w:leader="dot" w:pos="9402"/>
            </w:tabs>
            <w:rPr>
              <w:noProof/>
              <w:lang w:val="en-US"/>
            </w:rPr>
          </w:pPr>
          <w:hyperlink r:id="rId18" w:anchor="_Toc227231056" w:history="1">
            <w:r w:rsidR="004C2014">
              <w:rPr>
                <w:rStyle w:val="Hyperlink"/>
                <w:rFonts w:cs="Times New Roman"/>
                <w:noProof/>
              </w:rPr>
              <w:t>4</w:t>
            </w:r>
            <w:r w:rsidR="004C2014">
              <w:rPr>
                <w:rStyle w:val="Hyperlink"/>
                <w:noProof/>
                <w:color w:val="auto"/>
                <w:lang w:val="en-US"/>
              </w:rPr>
              <w:tab/>
            </w:r>
            <w:r w:rsidR="004C2014">
              <w:rPr>
                <w:rStyle w:val="Hyperlink"/>
                <w:rFonts w:cs="Times New Roman"/>
                <w:noProof/>
              </w:rPr>
              <w:t>References</w:t>
            </w:r>
            <w:r w:rsidR="004C2014">
              <w:rPr>
                <w:rStyle w:val="Hyperlink"/>
                <w:noProof/>
                <w:webHidden/>
                <w:color w:val="auto"/>
              </w:rPr>
              <w:tab/>
            </w:r>
            <w:r w:rsidR="004C2014">
              <w:rPr>
                <w:rStyle w:val="Hyperlink"/>
                <w:noProof/>
                <w:webHidden/>
                <w:color w:val="auto"/>
              </w:rPr>
              <w:fldChar w:fldCharType="begin"/>
            </w:r>
            <w:r w:rsidR="004C2014">
              <w:rPr>
                <w:rStyle w:val="Hyperlink"/>
                <w:noProof/>
                <w:webHidden/>
                <w:color w:val="auto"/>
              </w:rPr>
              <w:instrText xml:space="preserve"> PAGEREF _Toc227231056 \h </w:instrText>
            </w:r>
            <w:r w:rsidR="004C2014">
              <w:rPr>
                <w:rStyle w:val="Hyperlink"/>
                <w:noProof/>
                <w:webHidden/>
                <w:color w:val="auto"/>
              </w:rPr>
            </w:r>
            <w:r w:rsidR="004C2014">
              <w:rPr>
                <w:rStyle w:val="Hyperlink"/>
                <w:noProof/>
                <w:webHidden/>
                <w:color w:val="auto"/>
              </w:rPr>
              <w:fldChar w:fldCharType="separate"/>
            </w:r>
            <w:r w:rsidR="004C2014">
              <w:rPr>
                <w:rStyle w:val="Hyperlink"/>
                <w:noProof/>
                <w:webHidden/>
                <w:color w:val="auto"/>
              </w:rPr>
              <w:t>18</w:t>
            </w:r>
            <w:r w:rsidR="004C2014">
              <w:rPr>
                <w:rStyle w:val="Hyperlink"/>
                <w:noProof/>
                <w:webHidden/>
                <w:color w:val="auto"/>
              </w:rPr>
              <w:fldChar w:fldCharType="end"/>
            </w:r>
          </w:hyperlink>
        </w:p>
        <w:p w14:paraId="4136D69A" w14:textId="77777777" w:rsidR="004C2014" w:rsidRDefault="004C2014" w:rsidP="004C2014">
          <w:pPr>
            <w:rPr>
              <w:rFonts w:cs="Times New Roman"/>
            </w:rPr>
          </w:pPr>
          <w:r>
            <w:rPr>
              <w:rFonts w:cs="Times New Roman"/>
              <w:b/>
              <w:bCs/>
              <w:noProof/>
            </w:rPr>
            <w:fldChar w:fldCharType="end"/>
          </w:r>
        </w:p>
      </w:sdtContent>
    </w:sdt>
    <w:p w14:paraId="6FD39681" w14:textId="77777777" w:rsidR="004C2014" w:rsidRDefault="004C2014" w:rsidP="004C2014">
      <w:pPr>
        <w:rPr>
          <w:rFonts w:cs="Times New Roman"/>
        </w:rPr>
      </w:pPr>
    </w:p>
    <w:p w14:paraId="2341B46C" w14:textId="77777777" w:rsidR="004C2014" w:rsidRDefault="004C2014" w:rsidP="004C2014">
      <w:pPr>
        <w:spacing w:before="100" w:beforeAutospacing="1" w:after="100" w:afterAutospacing="1"/>
        <w:rPr>
          <w:rFonts w:cs="Times New Roman"/>
        </w:rPr>
      </w:pPr>
      <w:r>
        <w:rPr>
          <w:rFonts w:cs="Times New Roman"/>
        </w:rPr>
        <w:br w:type="page"/>
      </w:r>
    </w:p>
    <w:p w14:paraId="2AB359E5" w14:textId="77777777" w:rsidR="004C2014" w:rsidRDefault="004C2014" w:rsidP="004C2014">
      <w:pPr>
        <w:pStyle w:val="Heading1"/>
        <w:rPr>
          <w:rFonts w:cs="Times New Roman"/>
        </w:rPr>
      </w:pPr>
      <w:bookmarkStart w:id="0" w:name="_Toc227231048"/>
      <w:r>
        <w:rPr>
          <w:rFonts w:cs="Times New Roman"/>
        </w:rPr>
        <w:lastRenderedPageBreak/>
        <w:t>Introduction</w:t>
      </w:r>
      <w:bookmarkEnd w:id="0"/>
    </w:p>
    <w:p w14:paraId="3D8C64AF" w14:textId="77777777" w:rsidR="004C2014" w:rsidRDefault="004C2014" w:rsidP="004C2014">
      <w:pPr>
        <w:rPr>
          <w:rFonts w:cs="Times New Roman"/>
          <w:lang w:val="en-US" w:eastAsia="en-US"/>
        </w:rPr>
      </w:pPr>
      <w:r>
        <w:rPr>
          <w:rFonts w:cs="Times New Roman"/>
          <w:lang w:val="en-US" w:eastAsia="en-US"/>
        </w:rPr>
        <w:t xml:space="preserve">The case of L’Oréal is a very unusual one, which allows for the analysis of AI governance due to its multinational and consumer-oriented exposure. The company reports that in its new strategy, AI is at its heart, the same report indicates that e-commerce is 30 percent of its sales and that Beauty Tech services have been used more than 120 million times in 66 countries and across 31 brands. The organization also boasts over 8,000 Digital, Tech and Data employees and defines AI as part of research, diagnostics, recommendation systems, digital marketing, generated content and employee tools (L’Oréal, 2025a; L’Oréal, 2025b). In L’Oréal, AI is becoming the mediator of consumer product discovery and perception, as well as communication with the brand. That shifts the </w:t>
      </w:r>
      <w:proofErr w:type="spellStart"/>
      <w:r>
        <w:rPr>
          <w:rFonts w:cs="Times New Roman"/>
          <w:lang w:val="en-US" w:eastAsia="en-US"/>
        </w:rPr>
        <w:t>centre</w:t>
      </w:r>
      <w:proofErr w:type="spellEnd"/>
      <w:r>
        <w:rPr>
          <w:rFonts w:cs="Times New Roman"/>
          <w:lang w:val="en-US" w:eastAsia="en-US"/>
        </w:rPr>
        <w:t xml:space="preserve"> of gravity of risk. It is not merely a question of whether systems work or not, but rather whether the experience of consumers using systems is intelligible, fair and trustworthy.</w:t>
      </w:r>
    </w:p>
    <w:p w14:paraId="4DFF53C8" w14:textId="77777777" w:rsidR="004C2014" w:rsidRDefault="004C2014" w:rsidP="004C2014">
      <w:pPr>
        <w:rPr>
          <w:rFonts w:cs="Times New Roman"/>
          <w:lang w:val="en-US" w:eastAsia="en-US"/>
        </w:rPr>
      </w:pPr>
      <w:r>
        <w:rPr>
          <w:rFonts w:cs="Times New Roman"/>
          <w:lang w:val="en-US" w:eastAsia="en-US"/>
        </w:rPr>
        <w:t xml:space="preserve">The thesis of this report is that, in the case of L’Oréal, market-by-market minimal compliance is not the rational answer to the pressure of AI-driven growth, but rather a single EU-grade Responsible AI operating model, since the main risk driver is the acceleration of opaque consumer-data practices ahead of trust and regulatory assurance maturing. That stance is more robust than a close compliance argument due to two reasons. To start with, the privacy policy of L’Oréal itself says that </w:t>
      </w:r>
      <w:proofErr w:type="spellStart"/>
      <w:r>
        <w:rPr>
          <w:rFonts w:cs="Times New Roman"/>
          <w:lang w:val="en-US" w:eastAsia="en-US"/>
        </w:rPr>
        <w:t>personalised</w:t>
      </w:r>
      <w:proofErr w:type="spellEnd"/>
      <w:r>
        <w:rPr>
          <w:rFonts w:cs="Times New Roman"/>
          <w:lang w:val="en-US" w:eastAsia="en-US"/>
        </w:rPr>
        <w:t xml:space="preserve"> communications can include profiling, </w:t>
      </w:r>
      <w:proofErr w:type="spellStart"/>
      <w:r>
        <w:rPr>
          <w:rFonts w:cs="Times New Roman"/>
          <w:lang w:val="en-US" w:eastAsia="en-US"/>
        </w:rPr>
        <w:t>centralised</w:t>
      </w:r>
      <w:proofErr w:type="spellEnd"/>
      <w:r>
        <w:rPr>
          <w:rFonts w:cs="Times New Roman"/>
          <w:lang w:val="en-US" w:eastAsia="en-US"/>
        </w:rPr>
        <w:t xml:space="preserve"> processing of personal data, and cross-border transfers, which implies that the exposure of AI to the data architecture is the starting point of AI usage in the company (L’Oréal, 2026). Second, a lot of the most visible AI applications of the company are closely linked to identity, self-presentation and repeat purchase </w:t>
      </w:r>
      <w:proofErr w:type="spellStart"/>
      <w:r>
        <w:rPr>
          <w:rFonts w:cs="Times New Roman"/>
          <w:lang w:val="en-US" w:eastAsia="en-US"/>
        </w:rPr>
        <w:t>behaviour</w:t>
      </w:r>
      <w:proofErr w:type="spellEnd"/>
      <w:r>
        <w:rPr>
          <w:rFonts w:cs="Times New Roman"/>
          <w:lang w:val="en-US" w:eastAsia="en-US"/>
        </w:rPr>
        <w:t>, which implies that any failure in governance can rapidly transition from a technical issue to a reputational incident. In the case of a beauty brand, failed adoption is not thus a strategic risk. It is adoption that is successful without adequate, credible governance controls.</w:t>
      </w:r>
    </w:p>
    <w:p w14:paraId="573E0110" w14:textId="77777777" w:rsidR="004C2014" w:rsidRDefault="004C2014" w:rsidP="004C2014">
      <w:pPr>
        <w:rPr>
          <w:rFonts w:cs="Times New Roman"/>
          <w:lang w:val="en-US" w:eastAsia="en-US"/>
        </w:rPr>
      </w:pPr>
      <w:r>
        <w:rPr>
          <w:rFonts w:cs="Times New Roman"/>
          <w:lang w:val="en-US" w:eastAsia="en-US"/>
        </w:rPr>
        <w:t>The report discusses how L’Oréal can regulate AI-enabled expansion in the UK and EU to ensure that it safeguards consumer trust and minimizes regulatory, reputational and operational risk. In order to answer that question, there are five analytical lenses. PESTLE recognizes the macroeconomic, technological, legal and social forces that are driving the adoption. Stakeholder theory explains the conflicting interests of the consumers, regulators, investors and employees (Freeman, 2010; Mahajan et al., 2023). The idea of information ethics is not applied as a moral commentary in the abstract but is a test of whether the information practices of L’Oréal are respectful of consumer agency (</w:t>
      </w:r>
      <w:proofErr w:type="spellStart"/>
      <w:r>
        <w:rPr>
          <w:rFonts w:cs="Times New Roman"/>
          <w:lang w:val="en-US" w:eastAsia="en-US"/>
        </w:rPr>
        <w:t>Floridi</w:t>
      </w:r>
      <w:proofErr w:type="spellEnd"/>
      <w:r>
        <w:rPr>
          <w:rFonts w:cs="Times New Roman"/>
          <w:lang w:val="en-US" w:eastAsia="en-US"/>
        </w:rPr>
        <w:t xml:space="preserve">, 2019). The Brussels Effect by Bradford </w:t>
      </w:r>
      <w:r>
        <w:rPr>
          <w:rFonts w:cs="Times New Roman"/>
          <w:lang w:val="en-US" w:eastAsia="en-US"/>
        </w:rPr>
        <w:lastRenderedPageBreak/>
        <w:t>describes the reason why more stringent EU regulations can be an internal standard for multinationals (Bradford, 2020). Lastly, the NIST AI RMF offers the logic of operations to transform the analysis into governance processes, accountability and measurable controls (NIST, 2023).</w:t>
      </w:r>
    </w:p>
    <w:p w14:paraId="00BBA1C0" w14:textId="77777777" w:rsidR="004C2014" w:rsidRDefault="004C2014" w:rsidP="004C2014">
      <w:pPr>
        <w:pStyle w:val="Heading1"/>
        <w:rPr>
          <w:rFonts w:cs="Times New Roman"/>
          <w:lang w:val="en-US"/>
        </w:rPr>
      </w:pPr>
      <w:bookmarkStart w:id="1" w:name="_Toc227231049"/>
      <w:r>
        <w:rPr>
          <w:rFonts w:cs="Times New Roman"/>
          <w:lang w:val="en-US"/>
        </w:rPr>
        <w:t>Main Findings</w:t>
      </w:r>
      <w:bookmarkEnd w:id="1"/>
    </w:p>
    <w:p w14:paraId="3938FB8C" w14:textId="77777777" w:rsidR="004C2014" w:rsidRDefault="004C2014" w:rsidP="004C2014">
      <w:pPr>
        <w:pStyle w:val="Heading2"/>
        <w:rPr>
          <w:rFonts w:cs="Times New Roman"/>
          <w:lang w:val="en-US"/>
        </w:rPr>
      </w:pPr>
      <w:r>
        <w:rPr>
          <w:rFonts w:cs="Times New Roman"/>
          <w:lang w:val="en-US"/>
        </w:rPr>
        <w:t xml:space="preserve"> </w:t>
      </w:r>
      <w:bookmarkStart w:id="2" w:name="_Toc227231050"/>
      <w:r>
        <w:rPr>
          <w:rFonts w:cs="Times New Roman"/>
          <w:lang w:val="en-US"/>
        </w:rPr>
        <w:t>Strategic Exposure</w:t>
      </w:r>
      <w:bookmarkEnd w:id="2"/>
      <w:r>
        <w:rPr>
          <w:rFonts w:cs="Times New Roman"/>
          <w:lang w:val="en-US"/>
        </w:rPr>
        <w:t xml:space="preserve"> </w:t>
      </w:r>
    </w:p>
    <w:p w14:paraId="5A16F78F" w14:textId="77777777" w:rsidR="004C2014" w:rsidRDefault="004C2014" w:rsidP="004C2014">
      <w:pPr>
        <w:rPr>
          <w:rFonts w:cs="Times New Roman"/>
          <w:lang w:val="en-US" w:eastAsia="en-US"/>
        </w:rPr>
      </w:pPr>
      <w:r>
        <w:rPr>
          <w:rFonts w:cs="Times New Roman"/>
          <w:lang w:val="en-US" w:eastAsia="en-US"/>
        </w:rPr>
        <w:t xml:space="preserve">The boards are not crazy to hasten the adoption of AI. Recent data indicate that generative AI is capable of providing material </w:t>
      </w:r>
      <w:r>
        <w:rPr>
          <w:rFonts w:cs="Times New Roman"/>
        </w:rPr>
        <w:t>productivity benefits in task-intensive and limited settings. The synthesis of experimental studies conducted by the OECD in 2025 reports an increase of between 5% and more than 25% in the activities of customer support,</w:t>
      </w:r>
      <w:r>
        <w:rPr>
          <w:rFonts w:cs="Times New Roman"/>
          <w:lang w:val="en-US" w:eastAsia="en-US"/>
        </w:rPr>
        <w:t xml:space="preserve"> software development and consulting. On the firm level, Brynjolfsson et al. (2025) observe that AI assistance increased customer-support productivity by approximately 15%, and Noy and Zhang (2023) report that generative AI saved significant time on completing professional writing tasks and improved quality. Practically, this implies that boards are increasingly viewing AI as a path to efficiency, quicker experimentation and operating leverage, especially where </w:t>
      </w:r>
      <w:proofErr w:type="spellStart"/>
      <w:r>
        <w:rPr>
          <w:rFonts w:cs="Times New Roman"/>
          <w:lang w:val="en-US" w:eastAsia="en-US"/>
        </w:rPr>
        <w:t>labour-intensive</w:t>
      </w:r>
      <w:proofErr w:type="spellEnd"/>
      <w:r>
        <w:rPr>
          <w:rFonts w:cs="Times New Roman"/>
          <w:lang w:val="en-US" w:eastAsia="en-US"/>
        </w:rPr>
        <w:t xml:space="preserve"> knowledge work can be partially </w:t>
      </w:r>
      <w:proofErr w:type="spellStart"/>
      <w:r>
        <w:rPr>
          <w:rFonts w:cs="Times New Roman"/>
          <w:lang w:val="en-US" w:eastAsia="en-US"/>
        </w:rPr>
        <w:t>standardised</w:t>
      </w:r>
      <w:proofErr w:type="spellEnd"/>
      <w:r>
        <w:rPr>
          <w:rFonts w:cs="Times New Roman"/>
          <w:lang w:val="en-US" w:eastAsia="en-US"/>
        </w:rPr>
        <w:t xml:space="preserve"> (OECD, 2025a; Calvino et al., 2025).</w:t>
      </w:r>
    </w:p>
    <w:p w14:paraId="3E241C1D" w14:textId="77777777" w:rsidR="004C2014" w:rsidRDefault="004C2014" w:rsidP="004C2014">
      <w:pPr>
        <w:rPr>
          <w:rFonts w:cs="Times New Roman"/>
          <w:lang w:val="en-US" w:eastAsia="en-US"/>
        </w:rPr>
      </w:pPr>
      <w:r>
        <w:rPr>
          <w:rFonts w:cs="Times New Roman"/>
          <w:lang w:val="en-US" w:eastAsia="en-US"/>
        </w:rPr>
        <w:t xml:space="preserve">Increases in productivity are not automatic and do not eliminate the necessity of complementary investment. The productivity J-curve of Brynjolfsson, Rock and </w:t>
      </w:r>
      <w:proofErr w:type="spellStart"/>
      <w:r>
        <w:rPr>
          <w:rFonts w:cs="Times New Roman"/>
          <w:lang w:val="en-US" w:eastAsia="en-US"/>
        </w:rPr>
        <w:t>Syverson</w:t>
      </w:r>
      <w:proofErr w:type="spellEnd"/>
      <w:r>
        <w:rPr>
          <w:rFonts w:cs="Times New Roman"/>
          <w:lang w:val="en-US" w:eastAsia="en-US"/>
        </w:rPr>
        <w:t xml:space="preserve"> is still applicable as it explains why the returns to general-purpose technologies are related to </w:t>
      </w:r>
      <w:proofErr w:type="spellStart"/>
      <w:r>
        <w:rPr>
          <w:rFonts w:cs="Times New Roman"/>
          <w:lang w:val="en-US" w:eastAsia="en-US"/>
        </w:rPr>
        <w:t>organisational</w:t>
      </w:r>
      <w:proofErr w:type="spellEnd"/>
      <w:r>
        <w:rPr>
          <w:rFonts w:cs="Times New Roman"/>
          <w:lang w:val="en-US" w:eastAsia="en-US"/>
        </w:rPr>
        <w:t xml:space="preserve"> redesign, training and new control systems but not merely to tooling. The strategic implication is uncomfortable but evident as companies have a reason to scale AI when governance is not mature enough, and this is because pilot outcomes generate internal pressure to roll out more widely. In a multinational that is consumer-based, that brings about asymmetry. The business advantage of a fast adoption is reaped in haste, the administrative cost is frequently paid in due course, through grievances, administrative inquiry or distrust.</w:t>
      </w:r>
    </w:p>
    <w:p w14:paraId="0A576559" w14:textId="77777777" w:rsidR="004C2014" w:rsidRDefault="004C2014" w:rsidP="004C2014">
      <w:pPr>
        <w:rPr>
          <w:rFonts w:cs="Times New Roman"/>
          <w:lang w:val="en-US" w:eastAsia="en-US"/>
        </w:rPr>
      </w:pPr>
      <w:r>
        <w:rPr>
          <w:rFonts w:cs="Times New Roman"/>
          <w:lang w:val="en-US" w:eastAsia="en-US"/>
        </w:rPr>
        <w:t xml:space="preserve">L’Oréal is particularly vulnerable to the said dynamic since AI is already connected to its growth architecture. The group has 40 global beauty brands in over 150 countries, 30% of sales are made via e-commerce, it has over 120 million uses of its Beauty Tech services and it has over 8,000 Digital, Tech and Data specialists. The disclosure made by boards reveals that AI is also applied in internal productivity tools as well as Research and Innovation, skin diagnosis, virtual make-up fittings, </w:t>
      </w:r>
      <w:proofErr w:type="spellStart"/>
      <w:r>
        <w:rPr>
          <w:rFonts w:cs="Times New Roman"/>
          <w:lang w:val="en-US" w:eastAsia="en-US"/>
        </w:rPr>
        <w:t>personalised</w:t>
      </w:r>
      <w:proofErr w:type="spellEnd"/>
      <w:r>
        <w:rPr>
          <w:rFonts w:cs="Times New Roman"/>
          <w:lang w:val="en-US" w:eastAsia="en-US"/>
        </w:rPr>
        <w:t xml:space="preserve"> advice, predictive advertising </w:t>
      </w:r>
      <w:proofErr w:type="spellStart"/>
      <w:r>
        <w:rPr>
          <w:rFonts w:cs="Times New Roman"/>
          <w:lang w:val="en-US" w:eastAsia="en-US"/>
        </w:rPr>
        <w:t>optimisation</w:t>
      </w:r>
      <w:proofErr w:type="spellEnd"/>
      <w:r>
        <w:rPr>
          <w:rFonts w:cs="Times New Roman"/>
          <w:lang w:val="en-US" w:eastAsia="en-US"/>
        </w:rPr>
        <w:t xml:space="preserve"> and generated creative assets (L’Oréal, 2025a; L’Oréal, 2025b). These are not single pilots. They are scaled </w:t>
      </w:r>
      <w:r>
        <w:rPr>
          <w:rFonts w:cs="Times New Roman"/>
          <w:lang w:val="en-US" w:eastAsia="en-US"/>
        </w:rPr>
        <w:lastRenderedPageBreak/>
        <w:t>use cases that are incorporated throughout the consumer journey. That is important since failure of governance in such an environment is not confined to a local level. A weak recommendation logic, a vendor model that is not well controlled or a generated image that is misleading can be copied by brands, markets and channels as fast as the commercial success.</w:t>
      </w:r>
    </w:p>
    <w:p w14:paraId="55D7AE85" w14:textId="77777777" w:rsidR="004C2014" w:rsidRDefault="004C2014" w:rsidP="004C2014">
      <w:pPr>
        <w:rPr>
          <w:rFonts w:cs="Times New Roman"/>
          <w:lang w:val="en-US" w:eastAsia="en-US"/>
        </w:rPr>
      </w:pPr>
      <w:r>
        <w:rPr>
          <w:rFonts w:cs="Times New Roman"/>
          <w:lang w:val="en-US" w:eastAsia="en-US"/>
        </w:rPr>
        <w:t xml:space="preserve">In comparison to this peer group, the key strategic risk that L’Oréal faces is not the failure to adopt AI but the success of AI adoption without appropriate governance. Mistrust and revenue can increase concurrently. A system that enhances conversion can also make consumers apprehensive when it is perceived as manipulative, obscure or too personal. This is particularly acute in the area of beauty where products are placed close to appearance, identity and self-confidence. A PESTLE reading helps to understand the point. AI has high adoption incentives in terms of economic factors. It can be easily implemented in digital channels in a short period of time. At the social and legal level, though, the same speed enhances the likelihood of </w:t>
      </w:r>
      <w:proofErr w:type="spellStart"/>
      <w:r>
        <w:rPr>
          <w:rFonts w:cs="Times New Roman"/>
          <w:lang w:val="en-US" w:eastAsia="en-US"/>
        </w:rPr>
        <w:t>personalisation</w:t>
      </w:r>
      <w:proofErr w:type="spellEnd"/>
      <w:r>
        <w:rPr>
          <w:rFonts w:cs="Times New Roman"/>
          <w:lang w:val="en-US" w:eastAsia="en-US"/>
        </w:rPr>
        <w:t xml:space="preserve"> outpacing </w:t>
      </w:r>
      <w:proofErr w:type="spellStart"/>
      <w:r>
        <w:rPr>
          <w:rFonts w:cs="Times New Roman"/>
          <w:lang w:val="en-US" w:eastAsia="en-US"/>
        </w:rPr>
        <w:t>explainability</w:t>
      </w:r>
      <w:proofErr w:type="spellEnd"/>
      <w:r>
        <w:rPr>
          <w:rFonts w:cs="Times New Roman"/>
          <w:lang w:val="en-US" w:eastAsia="en-US"/>
        </w:rPr>
        <w:t>, quality and contestability of consent. The guideline that this framework generates is tangible as all rollouts of AI facing consumers must be subject to a pre-scale governance gate prior to going global.</w:t>
      </w:r>
    </w:p>
    <w:p w14:paraId="4E4EFE14" w14:textId="77777777" w:rsidR="004C2014" w:rsidRDefault="004C2014" w:rsidP="004C2014">
      <w:pPr>
        <w:pStyle w:val="NormalWeb"/>
        <w:rPr>
          <w:i/>
          <w:iCs/>
          <w:lang w:val="en-AU" w:eastAsia="zh-CN"/>
        </w:rPr>
      </w:pPr>
      <w:r>
        <w:rPr>
          <w:i/>
          <w:iCs/>
          <w:lang w:val="en-AU"/>
        </w:rPr>
        <w:t>Table 1. Pre-scale governance gate derived from PESTLE</w:t>
      </w:r>
    </w:p>
    <w:tbl>
      <w:tblPr>
        <w:tblStyle w:val="PlainTable11"/>
        <w:tblW w:w="0" w:type="auto"/>
        <w:tblInd w:w="0" w:type="dxa"/>
        <w:tblLook w:val="04A0" w:firstRow="1" w:lastRow="0" w:firstColumn="1" w:lastColumn="0" w:noHBand="0" w:noVBand="1"/>
      </w:tblPr>
      <w:tblGrid>
        <w:gridCol w:w="2197"/>
        <w:gridCol w:w="6819"/>
      </w:tblGrid>
      <w:tr w:rsidR="004C2014" w14:paraId="6BF3222D" w14:textId="77777777" w:rsidTr="004C20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7763655" w14:textId="77777777" w:rsidR="004C2014" w:rsidRDefault="004C2014">
            <w:pPr>
              <w:pStyle w:val="NormalWeb"/>
              <w:rPr>
                <w:b w:val="0"/>
                <w:bCs w:val="0"/>
              </w:rPr>
            </w:pPr>
            <w:r>
              <w:t>Gate dimension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D0F3864" w14:textId="77777777" w:rsidR="004C2014" w:rsidRDefault="004C2014">
            <w:pPr>
              <w:pStyle w:val="NormalWeb"/>
              <w:cnfStyle w:val="100000000000" w:firstRow="1" w:lastRow="0" w:firstColumn="0" w:lastColumn="0" w:oddVBand="0" w:evenVBand="0" w:oddHBand="0" w:evenHBand="0" w:firstRowFirstColumn="0" w:firstRowLastColumn="0" w:lastRowFirstColumn="0" w:lastRowLastColumn="0"/>
              <w:rPr>
                <w:b w:val="0"/>
                <w:bCs w:val="0"/>
              </w:rPr>
            </w:pPr>
            <w:r>
              <w:t>Question before cross-border rollout</w:t>
            </w:r>
          </w:p>
        </w:tc>
      </w:tr>
      <w:tr w:rsidR="004C2014" w14:paraId="6FC359BC" w14:textId="77777777" w:rsidTr="004C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9730DFC" w14:textId="77777777" w:rsidR="004C2014" w:rsidRDefault="004C2014">
            <w:pPr>
              <w:pStyle w:val="NormalWeb"/>
            </w:pPr>
            <w:r>
              <w:t>Political and regulatory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DEC5D47" w14:textId="77777777" w:rsidR="004C2014" w:rsidRDefault="004C2014">
            <w:pPr>
              <w:pStyle w:val="NormalWeb"/>
              <w:cnfStyle w:val="000000100000" w:firstRow="0" w:lastRow="0" w:firstColumn="0" w:lastColumn="0" w:oddVBand="0" w:evenVBand="0" w:oddHBand="1" w:evenHBand="0" w:firstRowFirstColumn="0" w:firstRowLastColumn="0" w:lastRowFirstColumn="0" w:lastRowLastColumn="0"/>
            </w:pPr>
            <w:r>
              <w:t>Has Legal mapped UK and EU exposure, including profiling, transparency, consent and transfer issues?</w:t>
            </w:r>
          </w:p>
        </w:tc>
      </w:tr>
      <w:tr w:rsidR="004C2014" w14:paraId="0945C420" w14:textId="77777777" w:rsidTr="004C2014">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45685B2" w14:textId="77777777" w:rsidR="004C2014" w:rsidRDefault="004C2014">
            <w:pPr>
              <w:pStyle w:val="NormalWeb"/>
            </w:pPr>
            <w:r>
              <w:t>Economic</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653D600" w14:textId="77777777" w:rsidR="004C2014" w:rsidRDefault="004C2014">
            <w:pPr>
              <w:pStyle w:val="NormalWeb"/>
              <w:cnfStyle w:val="000000000000" w:firstRow="0" w:lastRow="0" w:firstColumn="0" w:lastColumn="0" w:oddVBand="0" w:evenVBand="0" w:oddHBand="0" w:evenHBand="0" w:firstRowFirstColumn="0" w:firstRowLastColumn="0" w:lastRowFirstColumn="0" w:lastRowLastColumn="0"/>
            </w:pPr>
            <w:r>
              <w:t>Is there hard evidence of value beyond pilot enthusiasm, with named KPIs and accountable commercial ownership?</w:t>
            </w:r>
          </w:p>
        </w:tc>
      </w:tr>
      <w:tr w:rsidR="004C2014" w14:paraId="1718266B" w14:textId="77777777" w:rsidTr="004C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481B87F" w14:textId="77777777" w:rsidR="004C2014" w:rsidRDefault="004C2014">
            <w:pPr>
              <w:pStyle w:val="NormalWeb"/>
            </w:pPr>
            <w:r>
              <w:t>Social</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F8FB4CF" w14:textId="77777777" w:rsidR="004C2014" w:rsidRDefault="004C2014">
            <w:pPr>
              <w:pStyle w:val="NormalWeb"/>
              <w:cnfStyle w:val="000000100000" w:firstRow="0" w:lastRow="0" w:firstColumn="0" w:lastColumn="0" w:oddVBand="0" w:evenVBand="0" w:oddHBand="1" w:evenHBand="0" w:firstRowFirstColumn="0" w:firstRowLastColumn="0" w:lastRowFirstColumn="0" w:lastRowLastColumn="0"/>
            </w:pPr>
            <w:r>
              <w:t>Could consumers experience the system as intrusive, manipulative, exclusionary or impossible to contest?</w:t>
            </w:r>
          </w:p>
        </w:tc>
      </w:tr>
      <w:tr w:rsidR="004C2014" w14:paraId="0B64AD58" w14:textId="77777777" w:rsidTr="004C2014">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48699B6" w14:textId="77777777" w:rsidR="004C2014" w:rsidRDefault="004C2014">
            <w:pPr>
              <w:pStyle w:val="NormalWeb"/>
            </w:pPr>
            <w:r>
              <w:t>Technological</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AC38F7F" w14:textId="77777777" w:rsidR="004C2014" w:rsidRDefault="004C2014">
            <w:pPr>
              <w:pStyle w:val="NormalWeb"/>
              <w:cnfStyle w:val="000000000000" w:firstRow="0" w:lastRow="0" w:firstColumn="0" w:lastColumn="0" w:oddVBand="0" w:evenVBand="0" w:oddHBand="0" w:evenHBand="0" w:firstRowFirstColumn="0" w:firstRowLastColumn="0" w:lastRowFirstColumn="0" w:lastRowLastColumn="0"/>
            </w:pPr>
            <w:r>
              <w:t>Are data inputs, model limits, fallback procedures and monitoring controls documented?</w:t>
            </w:r>
          </w:p>
        </w:tc>
      </w:tr>
      <w:tr w:rsidR="004C2014" w14:paraId="46E4F938" w14:textId="77777777" w:rsidTr="004C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05AB0E8" w14:textId="77777777" w:rsidR="004C2014" w:rsidRDefault="004C2014">
            <w:pPr>
              <w:pStyle w:val="NormalWeb"/>
            </w:pPr>
            <w:r>
              <w:t>Legal</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2418701" w14:textId="77777777" w:rsidR="004C2014" w:rsidRDefault="004C2014">
            <w:pPr>
              <w:pStyle w:val="NormalWeb"/>
              <w:cnfStyle w:val="000000100000" w:firstRow="0" w:lastRow="0" w:firstColumn="0" w:lastColumn="0" w:oddVBand="0" w:evenVBand="0" w:oddHBand="1" w:evenHBand="0" w:firstRowFirstColumn="0" w:firstRowLastColumn="0" w:lastRowFirstColumn="0" w:lastRowLastColumn="0"/>
            </w:pPr>
            <w:r>
              <w:t>Can the firm evidence data provenance, accountability, human oversight and complaint handling?</w:t>
            </w:r>
          </w:p>
        </w:tc>
      </w:tr>
      <w:tr w:rsidR="004C2014" w14:paraId="3DB7E2F4" w14:textId="77777777" w:rsidTr="004C2014">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939BA99" w14:textId="77777777" w:rsidR="004C2014" w:rsidRDefault="004C2014">
            <w:pPr>
              <w:pStyle w:val="NormalWeb"/>
            </w:pPr>
            <w:r>
              <w:t>Environmental</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6B876F2" w14:textId="77777777" w:rsidR="004C2014" w:rsidRDefault="004C2014">
            <w:pPr>
              <w:pStyle w:val="NormalWeb"/>
              <w:cnfStyle w:val="000000000000" w:firstRow="0" w:lastRow="0" w:firstColumn="0" w:lastColumn="0" w:oddVBand="0" w:evenVBand="0" w:oddHBand="0" w:evenHBand="0" w:firstRowFirstColumn="0" w:firstRowLastColumn="0" w:lastRowFirstColumn="0" w:lastRowLastColumn="0"/>
            </w:pPr>
            <w:r>
              <w:t>Is the compute and vendor architecture proportionate to commercial value and compatible with public sustainability claims?</w:t>
            </w:r>
          </w:p>
        </w:tc>
      </w:tr>
    </w:tbl>
    <w:p w14:paraId="528A7797" w14:textId="77777777" w:rsidR="004C2014" w:rsidRDefault="004C2014" w:rsidP="004C2014">
      <w:pPr>
        <w:pStyle w:val="Heading2"/>
        <w:rPr>
          <w:rFonts w:ascii="Times New Roman" w:hAnsi="Times New Roman" w:cs="Times New Roman"/>
          <w:szCs w:val="28"/>
          <w:lang w:val="en-AU" w:eastAsia="en-AU"/>
        </w:rPr>
      </w:pPr>
      <w:bookmarkStart w:id="3" w:name="_Toc227231051"/>
      <w:r>
        <w:rPr>
          <w:rFonts w:cs="Times New Roman"/>
        </w:rPr>
        <w:lastRenderedPageBreak/>
        <w:t>Data Governance</w:t>
      </w:r>
      <w:bookmarkEnd w:id="3"/>
    </w:p>
    <w:p w14:paraId="251ACA9A" w14:textId="77777777" w:rsidR="004C2014" w:rsidRDefault="004C2014" w:rsidP="004C2014">
      <w:pPr>
        <w:rPr>
          <w:rFonts w:cs="Times New Roman"/>
          <w:lang w:val="en-US" w:eastAsia="en-US"/>
        </w:rPr>
      </w:pPr>
      <w:r>
        <w:rPr>
          <w:rFonts w:cs="Times New Roman"/>
          <w:lang w:val="en-US" w:eastAsia="en-US"/>
        </w:rPr>
        <w:t xml:space="preserve">The first AI exposure of L’Oréal is its consumer data model. The privacy policy of the group indicates that it can gather personal information through various interactions, </w:t>
      </w:r>
      <w:proofErr w:type="spellStart"/>
      <w:r>
        <w:rPr>
          <w:rFonts w:cs="Times New Roman"/>
          <w:lang w:val="en-US" w:eastAsia="en-US"/>
        </w:rPr>
        <w:t>centralise</w:t>
      </w:r>
      <w:proofErr w:type="spellEnd"/>
      <w:r>
        <w:rPr>
          <w:rFonts w:cs="Times New Roman"/>
          <w:lang w:val="en-US" w:eastAsia="en-US"/>
        </w:rPr>
        <w:t xml:space="preserve"> and </w:t>
      </w:r>
      <w:proofErr w:type="spellStart"/>
      <w:r>
        <w:rPr>
          <w:rFonts w:cs="Times New Roman"/>
          <w:lang w:val="en-US" w:eastAsia="en-US"/>
        </w:rPr>
        <w:t>analyse</w:t>
      </w:r>
      <w:proofErr w:type="spellEnd"/>
      <w:r>
        <w:rPr>
          <w:rFonts w:cs="Times New Roman"/>
          <w:lang w:val="en-US" w:eastAsia="en-US"/>
        </w:rPr>
        <w:t xml:space="preserve"> the information to assess and forecast the preferences or interests of consumers and subsequently transmit or show messages and content based on their interests or requirements. It also mentions that in some situations, consumers have rights regarding profiling (L’Oréal, 2026). This is business wise. A team that sells using physical, digital and hybrid channels has all the reasons to take interaction, purchase and engagement data and bring it together to have a single perspective of the customer. However, when such architecture is fed with AI systems, the quality of governance surrounding purpose, provenance and access is a strategic concern and not a documentation activity. Poor data governance does not simply add to the compliance risk; it undermines the quality of models and compromises the defense capabilities against challenges.</w:t>
      </w:r>
    </w:p>
    <w:p w14:paraId="0FDB3B42" w14:textId="77777777" w:rsidR="004C2014" w:rsidRDefault="004C2014" w:rsidP="004C2014">
      <w:pPr>
        <w:rPr>
          <w:rFonts w:cs="Times New Roman"/>
          <w:lang w:val="en-US" w:eastAsia="en-US"/>
        </w:rPr>
      </w:pPr>
      <w:r>
        <w:rPr>
          <w:rFonts w:cs="Times New Roman"/>
          <w:lang w:val="en-US" w:eastAsia="en-US"/>
        </w:rPr>
        <w:t xml:space="preserve">Consent quality is the weakness of most consumer businesses. Broad marketing consent can be feasible in case the activity in question is just a normal promotional communication. This is much more vulnerable when AI-driven inference, dynamic segmentation or </w:t>
      </w:r>
      <w:proofErr w:type="spellStart"/>
      <w:r>
        <w:rPr>
          <w:rFonts w:cs="Times New Roman"/>
          <w:lang w:val="en-US" w:eastAsia="en-US"/>
        </w:rPr>
        <w:t>behavioural</w:t>
      </w:r>
      <w:proofErr w:type="spellEnd"/>
      <w:r>
        <w:rPr>
          <w:rFonts w:cs="Times New Roman"/>
          <w:lang w:val="en-US" w:eastAsia="en-US"/>
        </w:rPr>
        <w:t xml:space="preserve"> </w:t>
      </w:r>
      <w:proofErr w:type="spellStart"/>
      <w:r>
        <w:rPr>
          <w:rFonts w:cs="Times New Roman"/>
          <w:lang w:val="en-US" w:eastAsia="en-US"/>
        </w:rPr>
        <w:t>personalisation</w:t>
      </w:r>
      <w:proofErr w:type="spellEnd"/>
      <w:r>
        <w:rPr>
          <w:rFonts w:cs="Times New Roman"/>
          <w:lang w:val="en-US" w:eastAsia="en-US"/>
        </w:rPr>
        <w:t xml:space="preserve"> is done using the same data environment. When a consumer opts to be notified about product news, he or she does not always know that a history of browsing, reviews, signals of engagement or diagnostic inputs may be later recombined to draw conclusions about product requirements, vulnerability to deals or beauty issues. It is here that purpose limitation is of commercial importance. Cai and </w:t>
      </w:r>
      <w:proofErr w:type="spellStart"/>
      <w:r>
        <w:rPr>
          <w:rFonts w:cs="Times New Roman"/>
          <w:lang w:val="en-US" w:eastAsia="en-US"/>
        </w:rPr>
        <w:t>Mardani</w:t>
      </w:r>
      <w:proofErr w:type="spellEnd"/>
      <w:r>
        <w:rPr>
          <w:rFonts w:cs="Times New Roman"/>
          <w:lang w:val="en-US" w:eastAsia="en-US"/>
        </w:rPr>
        <w:t xml:space="preserve"> (2023) demonstrate that intelligent </w:t>
      </w:r>
      <w:proofErr w:type="spellStart"/>
      <w:r>
        <w:rPr>
          <w:rFonts w:cs="Times New Roman"/>
          <w:lang w:val="en-US" w:eastAsia="en-US"/>
        </w:rPr>
        <w:t>personalisation</w:t>
      </w:r>
      <w:proofErr w:type="spellEnd"/>
      <w:r>
        <w:rPr>
          <w:rFonts w:cs="Times New Roman"/>
          <w:lang w:val="en-US" w:eastAsia="en-US"/>
        </w:rPr>
        <w:t xml:space="preserve"> may cause purchase resistance in cases of breached privacy expectations, whereas </w:t>
      </w:r>
      <w:proofErr w:type="spellStart"/>
      <w:r>
        <w:rPr>
          <w:rFonts w:cs="Times New Roman"/>
          <w:lang w:val="en-US" w:eastAsia="en-US"/>
        </w:rPr>
        <w:t>Muhlichoff</w:t>
      </w:r>
      <w:proofErr w:type="spellEnd"/>
      <w:r>
        <w:rPr>
          <w:rFonts w:cs="Times New Roman"/>
          <w:lang w:val="en-US" w:eastAsia="en-US"/>
        </w:rPr>
        <w:t xml:space="preserve"> and </w:t>
      </w:r>
      <w:proofErr w:type="spellStart"/>
      <w:r>
        <w:rPr>
          <w:rFonts w:cs="Times New Roman"/>
          <w:lang w:val="en-US" w:eastAsia="en-US"/>
        </w:rPr>
        <w:t>Ruschemeier</w:t>
      </w:r>
      <w:proofErr w:type="spellEnd"/>
      <w:r>
        <w:rPr>
          <w:rFonts w:cs="Times New Roman"/>
          <w:lang w:val="en-US" w:eastAsia="en-US"/>
        </w:rPr>
        <w:t xml:space="preserve"> (2025) believe that purpose limitation is structurally compromised in cases where powerful models can be used to make secondary use of training data and model outputs outside of their context. This more general argument of </w:t>
      </w:r>
      <w:proofErr w:type="spellStart"/>
      <w:r>
        <w:rPr>
          <w:rFonts w:cs="Times New Roman"/>
          <w:lang w:val="en-US" w:eastAsia="en-US"/>
        </w:rPr>
        <w:t>Floridi</w:t>
      </w:r>
      <w:proofErr w:type="spellEnd"/>
      <w:r>
        <w:rPr>
          <w:rFonts w:cs="Times New Roman"/>
          <w:lang w:val="en-US" w:eastAsia="en-US"/>
        </w:rPr>
        <w:t xml:space="preserve"> (2019) applies as well as governance does not work when ethics is not applied in practice but is only declarative. In the case of L’Oréal, it is more effective to disaggregate AI </w:t>
      </w:r>
      <w:proofErr w:type="spellStart"/>
      <w:r>
        <w:rPr>
          <w:rFonts w:cs="Times New Roman"/>
          <w:lang w:val="en-US" w:eastAsia="en-US"/>
        </w:rPr>
        <w:t>personalisation</w:t>
      </w:r>
      <w:proofErr w:type="spellEnd"/>
      <w:r>
        <w:rPr>
          <w:rFonts w:cs="Times New Roman"/>
          <w:lang w:val="en-US" w:eastAsia="en-US"/>
        </w:rPr>
        <w:t xml:space="preserve"> consent from overall promotional permissions and clarify what types of data and inferences influence recommendations, in simple language.</w:t>
      </w:r>
    </w:p>
    <w:p w14:paraId="687D0720" w14:textId="77777777" w:rsidR="004C2014" w:rsidRDefault="004C2014" w:rsidP="004C2014">
      <w:pPr>
        <w:rPr>
          <w:rFonts w:cs="Times New Roman"/>
          <w:lang w:val="en-US" w:eastAsia="en-US"/>
        </w:rPr>
      </w:pPr>
      <w:r>
        <w:rPr>
          <w:rFonts w:cs="Times New Roman"/>
          <w:lang w:val="en-US" w:eastAsia="en-US"/>
        </w:rPr>
        <w:t xml:space="preserve">Of greater concern, though, is the more serious control problem, which is data lineage. According to the privacy policy of L’Oréal, personal data can be accessed by the </w:t>
      </w:r>
      <w:proofErr w:type="spellStart"/>
      <w:r>
        <w:rPr>
          <w:rFonts w:cs="Times New Roman"/>
          <w:lang w:val="en-US" w:eastAsia="en-US"/>
        </w:rPr>
        <w:t>authorised</w:t>
      </w:r>
      <w:proofErr w:type="spellEnd"/>
      <w:r>
        <w:rPr>
          <w:rFonts w:cs="Times New Roman"/>
          <w:lang w:val="en-US" w:eastAsia="en-US"/>
        </w:rPr>
        <w:t xml:space="preserve"> employees of the competent departments and processed by trusted third-party providers, the data is stored in France by L’Oréal or its trusted service providers, the data can be transferred </w:t>
      </w:r>
      <w:r>
        <w:rPr>
          <w:rFonts w:cs="Times New Roman"/>
          <w:lang w:val="en-US" w:eastAsia="en-US"/>
        </w:rPr>
        <w:lastRenderedPageBreak/>
        <w:t>to, accessed or stored outside the EEA, the retention period varies depending on the purpose of the data processing, the legal requirements and the necessity of the operations, and then</w:t>
      </w:r>
    </w:p>
    <w:p w14:paraId="1F8740A7" w14:textId="77777777" w:rsidR="004C2014" w:rsidRDefault="004C2014" w:rsidP="004C2014">
      <w:pPr>
        <w:rPr>
          <w:rFonts w:cs="Times New Roman"/>
          <w:lang w:val="en-US" w:eastAsia="en-US"/>
        </w:rPr>
      </w:pPr>
      <w:r>
        <w:rPr>
          <w:rFonts w:cs="Times New Roman"/>
          <w:lang w:val="en-US" w:eastAsia="en-US"/>
        </w:rPr>
        <w:t>L’Oréal has two failures at the same time in case that chain of evidence is not present. To begin with, there is a decline in the quality of models due to stale data, undocumented transformations, incompatible taxonomies or vendor updates that can corrupt the input environment without being noticed in a short period of time. Second, it becomes less legally defensible as the company will not be able to demonstrate with certainty that a controversial output was influenced by first-party browsing history, legacy diagnostic information, third-party tooling or inferences made elsewhere in the stack. Provenance is not a technical luxury. Provenance documentation, as Kale et al. (2023) suggest, is the key to explainable and trustworthy AI since it provides connections between outputs and the history of data and processing that created them. In the case of L’Oréal, a data-lineage ledger is thus not administrative overhead. The minimum architecture is needed to justify why a system acted in a particular way, whether a deletion request propagated as expected, whether a vendor was acting within the authorized purpose and whether a transfer outside the EEA was lawful and auditable.</w:t>
      </w:r>
    </w:p>
    <w:p w14:paraId="22C7FAF8" w14:textId="77777777" w:rsidR="004C2014" w:rsidRDefault="004C2014" w:rsidP="004C2014">
      <w:pPr>
        <w:rPr>
          <w:rFonts w:cs="Times New Roman"/>
          <w:lang w:val="en-US" w:eastAsia="en-US"/>
        </w:rPr>
      </w:pPr>
      <w:r>
        <w:rPr>
          <w:rFonts w:cs="Times New Roman"/>
          <w:lang w:val="en-US" w:eastAsia="en-US"/>
        </w:rPr>
        <w:t xml:space="preserve">The UK profiling and automated decision model explains why this cannot be brought down to a narrow legal </w:t>
      </w:r>
      <w:proofErr w:type="spellStart"/>
      <w:r>
        <w:rPr>
          <w:rFonts w:cs="Times New Roman"/>
          <w:lang w:val="en-US" w:eastAsia="en-US"/>
        </w:rPr>
        <w:t>categorisation</w:t>
      </w:r>
      <w:proofErr w:type="spellEnd"/>
      <w:r>
        <w:rPr>
          <w:rFonts w:cs="Times New Roman"/>
          <w:lang w:val="en-US" w:eastAsia="en-US"/>
        </w:rPr>
        <w:t xml:space="preserve">. Guidance from the ICO is clear that Article 22 style protections only apply where a decision is entirely automated and has legal or otherwise material consequences, and the obligations of information, challenge rights and human intervention apply in such situations (ICO, 2023). Virtual try-on systems and campaign </w:t>
      </w:r>
      <w:proofErr w:type="spellStart"/>
      <w:r>
        <w:rPr>
          <w:rFonts w:cs="Times New Roman"/>
          <w:lang w:val="en-US" w:eastAsia="en-US"/>
        </w:rPr>
        <w:t>optimisation</w:t>
      </w:r>
      <w:proofErr w:type="spellEnd"/>
      <w:r>
        <w:rPr>
          <w:rFonts w:cs="Times New Roman"/>
          <w:lang w:val="en-US" w:eastAsia="en-US"/>
        </w:rPr>
        <w:t xml:space="preserve"> engines are unlikely to fit into that category, nor do most of the beauty recommendation engines. The fact that the strictest automated decision rules would capture all </w:t>
      </w:r>
      <w:proofErr w:type="spellStart"/>
      <w:r>
        <w:rPr>
          <w:rFonts w:cs="Times New Roman"/>
          <w:lang w:val="en-US" w:eastAsia="en-US"/>
        </w:rPr>
        <w:t>personalisation</w:t>
      </w:r>
      <w:proofErr w:type="spellEnd"/>
      <w:r>
        <w:rPr>
          <w:rFonts w:cs="Times New Roman"/>
          <w:lang w:val="en-US" w:eastAsia="en-US"/>
        </w:rPr>
        <w:t xml:space="preserve"> would be analytically weak. The UK framework has been liberalized by the Data Act 2025 which has introduced the scope of the lawful bases that may be used to support significant automated decisions, with safeguards such as information, challenge and human intervention. The ICO also points out that the guidance will keep on changing as these changes are phased in (Department for Science, Innovation and Technology, 2025; ICO, 2025).</w:t>
      </w:r>
    </w:p>
    <w:p w14:paraId="6CF3CDB0" w14:textId="77777777" w:rsidR="004C2014" w:rsidRDefault="004C2014" w:rsidP="004C2014">
      <w:pPr>
        <w:rPr>
          <w:rFonts w:cs="Times New Roman"/>
          <w:lang w:val="en-US" w:eastAsia="en-US"/>
        </w:rPr>
      </w:pPr>
      <w:r>
        <w:rPr>
          <w:rFonts w:cs="Times New Roman"/>
          <w:lang w:val="en-US" w:eastAsia="en-US"/>
        </w:rPr>
        <w:t xml:space="preserve">It can be concluded that Article 22 style analysis is thus a boundary marker, rather than a governance strategy. Even in the areas where the systems of L’Oréal are not directly subject to the high bar of significant solely automated decisions, fairness, transparency, treatment of objections and reputational sensitivity are commercially important. Information ethics can only </w:t>
      </w:r>
      <w:r>
        <w:rPr>
          <w:rFonts w:cs="Times New Roman"/>
          <w:lang w:val="en-US" w:eastAsia="en-US"/>
        </w:rPr>
        <w:lastRenderedPageBreak/>
        <w:t xml:space="preserve">be applicable in this case when it has operational implications. It is supposed to make four at L’Oréal. To begin with, the company ought to develop an enterprise data-lineage registry of all material AI applications, particularly those that are used to form consumer recommendations, diagnostics or imagery. Second, it ought to re-architect consent in such a way that AI-facilitated </w:t>
      </w:r>
      <w:proofErr w:type="spellStart"/>
      <w:r>
        <w:rPr>
          <w:rFonts w:cs="Times New Roman"/>
          <w:lang w:val="en-US" w:eastAsia="en-US"/>
        </w:rPr>
        <w:t>personalisation</w:t>
      </w:r>
      <w:proofErr w:type="spellEnd"/>
      <w:r>
        <w:rPr>
          <w:rFonts w:cs="Times New Roman"/>
          <w:lang w:val="en-US" w:eastAsia="en-US"/>
        </w:rPr>
        <w:t xml:space="preserve"> and profiling are not linked to overall promotional consent. Third, it ought to implement inference controls in which the data concerning beauty might slide into issues of vulnerability, health-related cues, youth marketing or emotionally based appearance issues. Fourth, it must strengthen the assurance of the vendors by demanding provenance logs, transfer mapping, retention schedules and deletion attestations.</w:t>
      </w:r>
    </w:p>
    <w:p w14:paraId="6026D1B8" w14:textId="77777777" w:rsidR="004C2014" w:rsidRDefault="004C2014" w:rsidP="004C2014">
      <w:pPr>
        <w:pStyle w:val="NormalWeb"/>
        <w:rPr>
          <w:b/>
          <w:bCs/>
          <w:lang w:val="en-AU" w:eastAsia="zh-CN"/>
        </w:rPr>
      </w:pPr>
      <w:r>
        <w:rPr>
          <w:b/>
          <w:bCs/>
          <w:lang w:val="en-AU"/>
        </w:rPr>
        <w:t>Table 2. Competitive positioning of L’Oréal in beauty AI</w:t>
      </w:r>
    </w:p>
    <w:tbl>
      <w:tblPr>
        <w:tblStyle w:val="PlainTable11"/>
        <w:tblW w:w="0" w:type="auto"/>
        <w:tblInd w:w="0" w:type="dxa"/>
        <w:tblLook w:val="04A0" w:firstRow="1" w:lastRow="0" w:firstColumn="1" w:lastColumn="0" w:noHBand="0" w:noVBand="1"/>
      </w:tblPr>
      <w:tblGrid>
        <w:gridCol w:w="1527"/>
        <w:gridCol w:w="4470"/>
        <w:gridCol w:w="3019"/>
      </w:tblGrid>
      <w:tr w:rsidR="004C2014" w14:paraId="47B5C78F" w14:textId="77777777" w:rsidTr="004C20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C48788E" w14:textId="77777777" w:rsidR="004C2014" w:rsidRDefault="004C2014">
            <w:pPr>
              <w:pStyle w:val="NormalWeb"/>
            </w:pPr>
            <w:r>
              <w:t>Company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345AAF8" w14:textId="77777777" w:rsidR="004C2014" w:rsidRDefault="004C2014">
            <w:pPr>
              <w:pStyle w:val="NormalWeb"/>
              <w:cnfStyle w:val="100000000000" w:firstRow="1" w:lastRow="0" w:firstColumn="0" w:lastColumn="0" w:oddVBand="0" w:evenVBand="0" w:oddHBand="0" w:evenHBand="0" w:firstRowFirstColumn="0" w:firstRowLastColumn="0" w:lastRowFirstColumn="0" w:lastRowLastColumn="0"/>
            </w:pPr>
            <w:r>
              <w:t>Public evidence of AI and digital positioning</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2BC953A" w14:textId="77777777" w:rsidR="004C2014" w:rsidRDefault="004C2014">
            <w:pPr>
              <w:pStyle w:val="NormalWeb"/>
              <w:cnfStyle w:val="100000000000" w:firstRow="1" w:lastRow="0" w:firstColumn="0" w:lastColumn="0" w:oddVBand="0" w:evenVBand="0" w:oddHBand="0" w:evenHBand="0" w:firstRowFirstColumn="0" w:firstRowLastColumn="0" w:lastRowFirstColumn="0" w:lastRowLastColumn="0"/>
            </w:pPr>
            <w:r>
              <w:t>Strategic implication</w:t>
            </w:r>
          </w:p>
        </w:tc>
      </w:tr>
      <w:tr w:rsidR="004C2014" w14:paraId="1B46D615" w14:textId="77777777" w:rsidTr="004C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3B58B99" w14:textId="77777777" w:rsidR="004C2014" w:rsidRDefault="004C2014">
            <w:pPr>
              <w:pStyle w:val="NormalWeb"/>
            </w:pPr>
            <w:r>
              <w:t>L’Oréal</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6B92D79" w14:textId="77777777" w:rsidR="004C2014" w:rsidRDefault="004C2014">
            <w:pPr>
              <w:pStyle w:val="NormalWeb"/>
              <w:cnfStyle w:val="000000100000" w:firstRow="0" w:lastRow="0" w:firstColumn="0" w:lastColumn="0" w:oddVBand="0" w:evenVBand="0" w:oddHBand="1" w:evenHBand="0" w:firstRowFirstColumn="0" w:firstRowLastColumn="0" w:lastRowFirstColumn="0" w:lastRowLastColumn="0"/>
            </w:pPr>
            <w:r>
              <w:t xml:space="preserve">Beauty Tech services exceeded 120 million uses across 66 countries and 31 brands, more than 8,000 digital, tech and data </w:t>
            </w:r>
            <w:proofErr w:type="spellStart"/>
            <w:r>
              <w:t>specialists,e</w:t>
            </w:r>
            <w:proofErr w:type="spellEnd"/>
            <w:r>
              <w:t>-commerce passed 30% of sales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91239FA" w14:textId="77777777" w:rsidR="004C2014" w:rsidRDefault="004C2014">
            <w:pPr>
              <w:pStyle w:val="NormalWeb"/>
              <w:cnfStyle w:val="000000100000" w:firstRow="0" w:lastRow="0" w:firstColumn="0" w:lastColumn="0" w:oddVBand="0" w:evenVBand="0" w:oddHBand="1" w:evenHBand="0" w:firstRowFirstColumn="0" w:firstRowLastColumn="0" w:lastRowFirstColumn="0" w:lastRowLastColumn="0"/>
            </w:pPr>
            <w:r>
              <w:t>AI is already scaled across consumer journeys, so governance failure would also scale rapidly</w:t>
            </w:r>
          </w:p>
        </w:tc>
      </w:tr>
      <w:tr w:rsidR="004C2014" w14:paraId="6940B55B" w14:textId="77777777" w:rsidTr="004C2014">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78FA831" w14:textId="77777777" w:rsidR="004C2014" w:rsidRDefault="004C2014">
            <w:pPr>
              <w:pStyle w:val="NormalWeb"/>
            </w:pPr>
            <w:r>
              <w:t>Estée Lauder Companies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D341AFF" w14:textId="77777777" w:rsidR="004C2014" w:rsidRDefault="004C2014">
            <w:pPr>
              <w:pStyle w:val="NormalWeb"/>
              <w:cnfStyle w:val="000000000000" w:firstRow="0" w:lastRow="0" w:firstColumn="0" w:lastColumn="0" w:oddVBand="0" w:evenVBand="0" w:oddHBand="0" w:evenHBand="0" w:firstRowFirstColumn="0" w:firstRowLastColumn="0" w:lastRowFirstColumn="0" w:lastRowLastColumn="0"/>
            </w:pPr>
            <w:r>
              <w:t>Adobe Firefly adopted for digital marketing production, Shopify partnership to modernise omnichannel commerce, Jo Malone London AI Scent Advisor launched in 2025</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2FC6F25" w14:textId="77777777" w:rsidR="004C2014" w:rsidRDefault="004C2014">
            <w:pPr>
              <w:pStyle w:val="NormalWeb"/>
              <w:cnfStyle w:val="000000000000" w:firstRow="0" w:lastRow="0" w:firstColumn="0" w:lastColumn="0" w:oddVBand="0" w:evenVBand="0" w:oddHBand="0" w:evenHBand="0" w:firstRowFirstColumn="0" w:firstRowLastColumn="0" w:lastRowFirstColumn="0" w:lastRowLastColumn="0"/>
            </w:pPr>
            <w:r>
              <w:t>Peer pressure on personalisation and creative AI is rising, but much of ELC’s AI push is tied to transformation and recovery</w:t>
            </w:r>
          </w:p>
        </w:tc>
      </w:tr>
      <w:tr w:rsidR="004C2014" w14:paraId="02D4A9D5" w14:textId="77777777" w:rsidTr="004C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27A58DE" w14:textId="77777777" w:rsidR="004C2014" w:rsidRDefault="004C2014">
            <w:pPr>
              <w:pStyle w:val="NormalWeb"/>
            </w:pPr>
            <w:r>
              <w:t>Shiseido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AB043AB" w14:textId="77777777" w:rsidR="004C2014" w:rsidRDefault="004C2014">
            <w:pPr>
              <w:pStyle w:val="NormalWeb"/>
              <w:cnfStyle w:val="000000100000" w:firstRow="0" w:lastRow="0" w:firstColumn="0" w:lastColumn="0" w:oddVBand="0" w:evenVBand="0" w:oddHBand="1" w:evenHBand="0" w:firstRowFirstColumn="0" w:firstRowLastColumn="0" w:lastRowFirstColumn="0" w:lastRowLastColumn="0"/>
            </w:pPr>
            <w:r>
              <w:t>Recognised as a Noteworthy DX Company in 2025; using digital beauty tools such as Beauty AR Navigation and predictive beauty diagnostics, VOYAGER platform uses AI for formulation development, 2030 strategy strengthens AI investment for customer experience and loyalty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720DD40" w14:textId="77777777" w:rsidR="004C2014" w:rsidRDefault="004C2014">
            <w:pPr>
              <w:pStyle w:val="NormalWeb"/>
              <w:cnfStyle w:val="000000100000" w:firstRow="0" w:lastRow="0" w:firstColumn="0" w:lastColumn="0" w:oddVBand="0" w:evenVBand="0" w:oddHBand="1" w:evenHBand="0" w:firstRowFirstColumn="0" w:firstRowLastColumn="0" w:lastRowFirstColumn="0" w:lastRowLastColumn="0"/>
            </w:pPr>
            <w:r>
              <w:t>Competing beauty groups are also building data-driven and AI-enabled consumer models, making trusted deployment a competitive issue</w:t>
            </w:r>
          </w:p>
        </w:tc>
      </w:tr>
    </w:tbl>
    <w:p w14:paraId="33841218" w14:textId="77777777" w:rsidR="004C2014" w:rsidRDefault="004C2014" w:rsidP="004C2014">
      <w:pPr>
        <w:rPr>
          <w:rFonts w:cs="Times New Roman"/>
          <w:lang w:val="en-US" w:eastAsia="en-US"/>
        </w:rPr>
      </w:pPr>
      <w:r>
        <w:rPr>
          <w:rFonts w:cs="Times New Roman"/>
          <w:lang w:val="en-US" w:eastAsia="en-US"/>
        </w:rPr>
        <w:t xml:space="preserve">Public announcements indicate that L’Oréal is even more progressive than some of its key beauty competitors in scaling AI beyond experimentation to revenue-generating, consumer-facing implementation. By 2025, L’Oréal had over 120 million uses of its Beauty Tech services </w:t>
      </w:r>
      <w:r>
        <w:rPr>
          <w:rFonts w:cs="Times New Roman"/>
          <w:lang w:val="en-US" w:eastAsia="en-US"/>
        </w:rPr>
        <w:lastRenderedPageBreak/>
        <w:t xml:space="preserve">in 66 countries and 31 brands, over 8,000 digital, tech and data experts, and its e-commerce increased enough to propel the channel to over 30 percent of sales (L’Oréal, 2025a; L’Oréal, 2026). In comparison, Estée Lauder is speeding up AI via Adobe Firefly for digital marketing, a Shopify-led commerce </w:t>
      </w:r>
      <w:proofErr w:type="spellStart"/>
      <w:r>
        <w:rPr>
          <w:rFonts w:cs="Times New Roman"/>
          <w:lang w:val="en-US" w:eastAsia="en-US"/>
        </w:rPr>
        <w:t>modernisation</w:t>
      </w:r>
      <w:proofErr w:type="spellEnd"/>
      <w:r>
        <w:rPr>
          <w:rFonts w:cs="Times New Roman"/>
          <w:lang w:val="en-US" w:eastAsia="en-US"/>
        </w:rPr>
        <w:t xml:space="preserve"> initiative and the AI Scent Advisor at Jo Malone London, but these efforts are being implemented within a wider turnaround following three years of decline, which implies that its AI </w:t>
      </w:r>
      <w:proofErr w:type="spellStart"/>
      <w:r>
        <w:rPr>
          <w:rFonts w:cs="Times New Roman"/>
          <w:lang w:val="en-US" w:eastAsia="en-US"/>
        </w:rPr>
        <w:t>programme</w:t>
      </w:r>
      <w:proofErr w:type="spellEnd"/>
      <w:r>
        <w:rPr>
          <w:rFonts w:cs="Times New Roman"/>
          <w:lang w:val="en-US" w:eastAsia="en-US"/>
        </w:rPr>
        <w:t xml:space="preserve"> is still partially corrective and infrastructure-driven as opposed to already embedded at the breadth and scale of L’Oréal . Shiseido also takes the concept of AI-enabled beauty and digital transformation, such as beauty diagnostics, AR, AI-assisted formulation development and a 2030 strategy, in which AI is explicitly connected to customer experience and loyalty, seriously (Shiseido, 2024; Shiseido, 2025a; Shiseido, 2025b). </w:t>
      </w:r>
    </w:p>
    <w:p w14:paraId="6CB6E1A9" w14:textId="77777777" w:rsidR="004C2014" w:rsidRDefault="004C2014" w:rsidP="004C2014">
      <w:pPr>
        <w:pStyle w:val="Heading2"/>
        <w:rPr>
          <w:rFonts w:cs="Times New Roman"/>
          <w:lang w:val="en-US"/>
        </w:rPr>
      </w:pPr>
      <w:bookmarkStart w:id="4" w:name="_Toc227231052"/>
      <w:r>
        <w:rPr>
          <w:rFonts w:cs="Times New Roman"/>
          <w:lang w:val="en-US"/>
        </w:rPr>
        <w:t>Regulatory Fragmentation</w:t>
      </w:r>
      <w:bookmarkEnd w:id="4"/>
    </w:p>
    <w:p w14:paraId="3EFBF10D" w14:textId="77777777" w:rsidR="004C2014" w:rsidRDefault="004C2014" w:rsidP="004C2014">
      <w:pPr>
        <w:rPr>
          <w:rFonts w:cs="Times New Roman"/>
          <w:lang w:val="en-US" w:eastAsia="en-US"/>
        </w:rPr>
      </w:pPr>
      <w:r>
        <w:rPr>
          <w:rFonts w:cs="Times New Roman"/>
          <w:lang w:val="en-US" w:eastAsia="en-US"/>
        </w:rPr>
        <w:t xml:space="preserve">The UK has a regulator-based, cross-sectoral and principles-based approach to AI regulation. The five principles that regulators should exercise in their jurisdiction are confirmed by official guidance that was published following the AI Regulation White Paper i.e. safety, security and robustness, appropriate transparency and </w:t>
      </w:r>
      <w:proofErr w:type="spellStart"/>
      <w:r>
        <w:rPr>
          <w:rFonts w:cs="Times New Roman"/>
          <w:lang w:val="en-US" w:eastAsia="en-US"/>
        </w:rPr>
        <w:t>explainability</w:t>
      </w:r>
      <w:proofErr w:type="spellEnd"/>
      <w:r>
        <w:rPr>
          <w:rFonts w:cs="Times New Roman"/>
          <w:lang w:val="en-US" w:eastAsia="en-US"/>
        </w:rPr>
        <w:t>, fairness, accountability and governance, and contestability and redress (Department for Science, Innovation and Technology, 2024a). Individual government reporting of the strategic approach of regulators supports the same model i.e. existing regulators, rather than a single AI law, are supposed to apply and implement these principles in their respective fields (Department for Science, Innovation and Technology, 2024b). Such flexibility is frequently made out to be a pro-innovation strength. In other places it is. However, in the case of a multinational consumer brand, what is more crucial is that flexibility brings about interpretive uncertainty as well. No single compliance architecture exists for consumer-facing AI in the UK. The patchwork of data protection, consumer law, competition oversight and regulator-specific guidance is now overlaid with DUAA changes to create a more permissive law around significant automated decisions, but with implementation guidance still in flux.</w:t>
      </w:r>
    </w:p>
    <w:p w14:paraId="625B65D9" w14:textId="77777777" w:rsidR="004C2014" w:rsidRDefault="004C2014" w:rsidP="004C2014">
      <w:pPr>
        <w:rPr>
          <w:rFonts w:cs="Times New Roman"/>
          <w:lang w:val="en-US" w:eastAsia="en-US"/>
        </w:rPr>
      </w:pPr>
      <w:r>
        <w:rPr>
          <w:rFonts w:cs="Times New Roman"/>
          <w:lang w:val="en-US" w:eastAsia="en-US"/>
        </w:rPr>
        <w:t>The main weakness that Roberts et al. (2023) point to is the sector-led model in the UK, which may bring about inconsistency in domains where systems overlap across several domains and coordination capacity is scarce. This is the case with L’Oréal. Consumer profiling, recommendation engines, generated content and targeted digital advertising cannot fit in a single regulatory box. The UK is not, hence, a low-governance environment. It is a high-</w:t>
      </w:r>
      <w:r>
        <w:rPr>
          <w:rFonts w:cs="Times New Roman"/>
          <w:lang w:val="en-US" w:eastAsia="en-US"/>
        </w:rPr>
        <w:lastRenderedPageBreak/>
        <w:t>interpretation climate. That renders it a bad subject for market-specific under-governance merely due to the fact that it is not yet a statutory architecture like that of the EU.</w:t>
      </w:r>
    </w:p>
    <w:p w14:paraId="675F25C6" w14:textId="77777777" w:rsidR="004C2014" w:rsidRDefault="004C2014" w:rsidP="004C2014">
      <w:pPr>
        <w:rPr>
          <w:rFonts w:cs="Times New Roman"/>
          <w:lang w:val="en-US" w:eastAsia="en-US"/>
        </w:rPr>
      </w:pPr>
      <w:r>
        <w:rPr>
          <w:rFonts w:cs="Times New Roman"/>
          <w:lang w:val="en-US" w:eastAsia="en-US"/>
        </w:rPr>
        <w:t>The EU model is not a degree model but a different one. The AI Act is a cross-sector, risk-based, legal regime that is binding. The European Commission and the AI Act Service Desk state that the Act became effective on 1 August 2024, the prohibited practices and AI literacy obligations came into effect on 2 February 2025, the governance rules and obligations for general-purpose AI models came into effect on 2 August 2025, most of the regime takes effect on 2 August 2026, and some high-risk rules follow later. The guidance of the Commission itself clarifies that the AI Act differentiates between prohibited practices, high-risk systems, transparency-risk systems and minimal-risk systems, and has certain disclosure requirements regarding interactive and AI-generated content and stringent conditions regarding high-risk use cases.</w:t>
      </w:r>
    </w:p>
    <w:p w14:paraId="48390501" w14:textId="77777777" w:rsidR="004C2014" w:rsidRDefault="004C2014" w:rsidP="004C2014">
      <w:pPr>
        <w:rPr>
          <w:rFonts w:cs="Times New Roman"/>
          <w:lang w:val="en-US" w:eastAsia="en-US"/>
        </w:rPr>
      </w:pPr>
      <w:r>
        <w:rPr>
          <w:rFonts w:cs="Times New Roman"/>
          <w:lang w:val="en-US" w:eastAsia="en-US"/>
        </w:rPr>
        <w:t xml:space="preserve">This fact is important since most of the less robust analyses </w:t>
      </w:r>
      <w:proofErr w:type="spellStart"/>
      <w:r>
        <w:rPr>
          <w:rFonts w:cs="Times New Roman"/>
          <w:lang w:val="en-US" w:eastAsia="en-US"/>
        </w:rPr>
        <w:t>categorise</w:t>
      </w:r>
      <w:proofErr w:type="spellEnd"/>
      <w:r>
        <w:rPr>
          <w:rFonts w:cs="Times New Roman"/>
          <w:lang w:val="en-US" w:eastAsia="en-US"/>
        </w:rPr>
        <w:t xml:space="preserve"> ordinary consumer </w:t>
      </w:r>
      <w:proofErr w:type="spellStart"/>
      <w:r>
        <w:rPr>
          <w:rFonts w:cs="Times New Roman"/>
          <w:lang w:val="en-US" w:eastAsia="en-US"/>
        </w:rPr>
        <w:t>personalisation</w:t>
      </w:r>
      <w:proofErr w:type="spellEnd"/>
      <w:r>
        <w:rPr>
          <w:rFonts w:cs="Times New Roman"/>
          <w:lang w:val="en-US" w:eastAsia="en-US"/>
        </w:rPr>
        <w:t xml:space="preserve"> as being high-risk by default. That is incorrect. The list of high-risk use cases provided by the Commission is based on the areas of employment, education, essential services, migration, law enforcement and regulated products. Most of the consumer systems of L’Oréal, such as recommendation engines, virtual try-on tools and beauty chat interfaces, are probably not in the high-risk categories in Annex III with regard to the purpose of the system. It is not the right conclusion that the AI Act is thus marginal. It is that the Act has an impact on L’Oréal in another way as it defines the regulatory expectations regarding harmful manipulation and exploitation of weaknesses, transparency in human-AI interaction and disclosure of AI-generated content. The line between useful </w:t>
      </w:r>
      <w:proofErr w:type="spellStart"/>
      <w:r>
        <w:rPr>
          <w:rFonts w:cs="Times New Roman"/>
          <w:lang w:val="en-US" w:eastAsia="en-US"/>
        </w:rPr>
        <w:t>personalisation</w:t>
      </w:r>
      <w:proofErr w:type="spellEnd"/>
      <w:r>
        <w:rPr>
          <w:rFonts w:cs="Times New Roman"/>
          <w:lang w:val="en-US" w:eastAsia="en-US"/>
        </w:rPr>
        <w:t xml:space="preserve"> and steering in the context of beauty is a thin commercial line. What seems supportive in one situation can seem exploitative in another where the consumer cannot perceive the reason behind the creation of the product or believes that the system is only increasing their insecurity and not addressing their concerns.</w:t>
      </w:r>
    </w:p>
    <w:p w14:paraId="4E81DCAA" w14:textId="77777777" w:rsidR="004C2014" w:rsidRDefault="004C2014" w:rsidP="004C2014">
      <w:pPr>
        <w:rPr>
          <w:rFonts w:cs="Times New Roman"/>
          <w:i/>
          <w:iCs/>
        </w:rPr>
      </w:pPr>
      <w:r>
        <w:rPr>
          <w:rFonts w:cs="Times New Roman"/>
          <w:i/>
          <w:iCs/>
        </w:rPr>
        <w:t>Table 3. UK-EU regulatory comparison and strategic implication for L’Oréal</w:t>
      </w:r>
    </w:p>
    <w:tbl>
      <w:tblPr>
        <w:tblStyle w:val="PlainTable11"/>
        <w:tblW w:w="0" w:type="auto"/>
        <w:tblInd w:w="0" w:type="dxa"/>
        <w:tblLook w:val="04A0" w:firstRow="1" w:lastRow="0" w:firstColumn="1" w:lastColumn="0" w:noHBand="0" w:noVBand="1"/>
      </w:tblPr>
      <w:tblGrid>
        <w:gridCol w:w="1695"/>
        <w:gridCol w:w="2222"/>
        <w:gridCol w:w="2508"/>
        <w:gridCol w:w="2591"/>
      </w:tblGrid>
      <w:tr w:rsidR="004C2014" w14:paraId="0BA2CED6" w14:textId="77777777" w:rsidTr="004C20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6FB55C6" w14:textId="77777777" w:rsidR="004C2014" w:rsidRDefault="004C2014">
            <w:pPr>
              <w:rPr>
                <w:rFonts w:cs="Times New Roman"/>
              </w:rPr>
            </w:pPr>
            <w:r>
              <w:rPr>
                <w:rFonts w:cs="Times New Roman"/>
              </w:rPr>
              <w:t>Dimension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167BF9" w14:textId="77777777" w:rsidR="004C2014" w:rsidRDefault="004C2014">
            <w:pP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UK in 2026</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09EE0A4" w14:textId="77777777" w:rsidR="004C2014" w:rsidRDefault="004C2014">
            <w:pP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EU in 2026</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A1CBD9C" w14:textId="77777777" w:rsidR="004C2014" w:rsidRDefault="004C2014">
            <w:pP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Strategic implication for L’Oréal</w:t>
            </w:r>
          </w:p>
        </w:tc>
      </w:tr>
      <w:tr w:rsidR="004C2014" w14:paraId="084D1100" w14:textId="77777777" w:rsidTr="004C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FE58DF4" w14:textId="77777777" w:rsidR="004C2014" w:rsidRDefault="004C2014">
            <w:pPr>
              <w:rPr>
                <w:rFonts w:cs="Times New Roman"/>
              </w:rPr>
            </w:pPr>
            <w:r>
              <w:rPr>
                <w:rFonts w:cs="Times New Roman"/>
              </w:rPr>
              <w:lastRenderedPageBreak/>
              <w:t>Regulatory style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83BBE9" w14:textId="77777777" w:rsidR="004C2014" w:rsidRDefault="004C2014">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Principles-based, regulator-led, non-unified</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CCC8D45" w14:textId="77777777" w:rsidR="004C2014" w:rsidRDefault="004C2014">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Binding, cross-sector, risk-based statute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E546FAC" w14:textId="77777777" w:rsidR="004C2014" w:rsidRDefault="004C2014">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The UK offers flexibility, the EU offers clearer operating rules</w:t>
            </w:r>
          </w:p>
        </w:tc>
      </w:tr>
      <w:tr w:rsidR="004C2014" w14:paraId="0984832B" w14:textId="77777777" w:rsidTr="004C2014">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F91D5B0" w14:textId="77777777" w:rsidR="004C2014" w:rsidRDefault="004C2014">
            <w:pPr>
              <w:rPr>
                <w:rFonts w:cs="Times New Roman"/>
              </w:rPr>
            </w:pPr>
            <w:r>
              <w:rPr>
                <w:rFonts w:cs="Times New Roman"/>
              </w:rPr>
              <w:t>Legal certainty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8BF8C9D" w14:textId="77777777" w:rsidR="004C2014" w:rsidRDefault="004C2014">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Higher interpretive discretion across regulators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7824E69" w14:textId="77777777" w:rsidR="004C2014" w:rsidRDefault="004C2014">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More explicit categories, duties and timelines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D06D0C8" w14:textId="77777777" w:rsidR="004C2014" w:rsidRDefault="004C2014">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Separate baselines increase design and review cost</w:t>
            </w:r>
          </w:p>
        </w:tc>
      </w:tr>
      <w:tr w:rsidR="004C2014" w14:paraId="6B5D3327" w14:textId="77777777" w:rsidTr="004C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BA8BB7F" w14:textId="77777777" w:rsidR="004C2014" w:rsidRDefault="004C2014">
            <w:pPr>
              <w:rPr>
                <w:rFonts w:cs="Times New Roman"/>
              </w:rPr>
            </w:pPr>
            <w:r>
              <w:rPr>
                <w:rFonts w:cs="Times New Roman"/>
              </w:rPr>
              <w:t>Consumer-facing AI</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2DDDCA" w14:textId="77777777" w:rsidR="004C2014" w:rsidRDefault="004C2014">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Governed through existing data, consumer and sector rules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1A26261" w14:textId="77777777" w:rsidR="004C2014" w:rsidRDefault="004C2014">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Transparency and prohibited-practice logic more clearly articulated</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DA4EE77" w14:textId="77777777" w:rsidR="004C2014" w:rsidRDefault="004C2014">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Consumer tools need a standard above narrow legal minima</w:t>
            </w:r>
          </w:p>
        </w:tc>
      </w:tr>
      <w:tr w:rsidR="004C2014" w14:paraId="115932B2" w14:textId="77777777" w:rsidTr="004C2014">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1805CF8" w14:textId="77777777" w:rsidR="004C2014" w:rsidRDefault="004C2014">
            <w:pPr>
              <w:rPr>
                <w:rFonts w:cs="Times New Roman"/>
              </w:rPr>
            </w:pPr>
            <w:r>
              <w:rPr>
                <w:rFonts w:cs="Times New Roman"/>
              </w:rPr>
              <w:t>Enforcement logic</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47B9565" w14:textId="77777777" w:rsidR="004C2014" w:rsidRDefault="004C2014">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Fragmented across existing regulators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41F34E8" w14:textId="77777777" w:rsidR="004C2014" w:rsidRDefault="004C2014">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Formalised obligations and supervision</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C3D93BA" w14:textId="77777777" w:rsidR="004C2014" w:rsidRDefault="004C2014">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Board-level assurance is easier to organise around the EU architecture</w:t>
            </w:r>
          </w:p>
        </w:tc>
      </w:tr>
      <w:tr w:rsidR="004C2014" w14:paraId="1922AEC1" w14:textId="77777777" w:rsidTr="004C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5FA8E56" w14:textId="77777777" w:rsidR="004C2014" w:rsidRDefault="004C2014">
            <w:pPr>
              <w:rPr>
                <w:rFonts w:cs="Times New Roman"/>
              </w:rPr>
            </w:pPr>
            <w:r>
              <w:rPr>
                <w:rFonts w:cs="Times New Roman"/>
              </w:rPr>
              <w:t>Strategic effect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8335183" w14:textId="77777777" w:rsidR="004C2014" w:rsidRDefault="004C2014">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More room to interpret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3CAC105" w14:textId="77777777" w:rsidR="004C2014" w:rsidRDefault="004C2014">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Less room to improvise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45B99A9" w14:textId="77777777" w:rsidR="004C2014" w:rsidRDefault="004C2014">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Internal convergence is cheaper than external fragmentation</w:t>
            </w:r>
          </w:p>
        </w:tc>
      </w:tr>
    </w:tbl>
    <w:p w14:paraId="6296EB17" w14:textId="77777777" w:rsidR="004C2014" w:rsidRDefault="004C2014" w:rsidP="004C2014">
      <w:pPr>
        <w:rPr>
          <w:rFonts w:cs="Times New Roman"/>
        </w:rPr>
      </w:pPr>
    </w:p>
    <w:p w14:paraId="52C5CE69" w14:textId="77777777" w:rsidR="004C2014" w:rsidRDefault="004C2014" w:rsidP="004C2014">
      <w:pPr>
        <w:rPr>
          <w:rFonts w:cs="Times New Roman"/>
          <w:lang w:val="en-US" w:eastAsia="en-US"/>
        </w:rPr>
      </w:pPr>
      <w:r>
        <w:rPr>
          <w:rFonts w:cs="Times New Roman"/>
          <w:lang w:val="en-US" w:eastAsia="en-US"/>
        </w:rPr>
        <w:t xml:space="preserve">The right strategic frame is given by Bradford in The Brussels Effect. This does not imply that the EU AI Act has legal applicability in all places. It implies that in the economically significant regions of the EU where the rules are strict, companies tend to </w:t>
      </w:r>
      <w:proofErr w:type="spellStart"/>
      <w:r>
        <w:rPr>
          <w:rFonts w:cs="Times New Roman"/>
          <w:lang w:val="en-US" w:eastAsia="en-US"/>
        </w:rPr>
        <w:t>internalise</w:t>
      </w:r>
      <w:proofErr w:type="spellEnd"/>
      <w:r>
        <w:rPr>
          <w:rFonts w:cs="Times New Roman"/>
          <w:lang w:val="en-US" w:eastAsia="en-US"/>
        </w:rPr>
        <w:t xml:space="preserve"> the rules in a broader manner since it is expensive and unreliable to have two or more governance systems (Bradford, 2020). Such reasoning is very much applicable to L’Oréal. The group works by sharing brands, sharing vendors, shared digital infrastructure and </w:t>
      </w:r>
      <w:proofErr w:type="spellStart"/>
      <w:r>
        <w:rPr>
          <w:rFonts w:cs="Times New Roman"/>
          <w:lang w:val="en-US" w:eastAsia="en-US"/>
        </w:rPr>
        <w:t>recognisable</w:t>
      </w:r>
      <w:proofErr w:type="spellEnd"/>
      <w:r>
        <w:rPr>
          <w:rFonts w:cs="Times New Roman"/>
          <w:lang w:val="en-US" w:eastAsia="en-US"/>
        </w:rPr>
        <w:t xml:space="preserve"> consumer experiences around the world. Operating two more lax AI governance models in the UK and two other more stringent models in the EU would increase documentation, training, procurement, auditing and incident response workload without generating a corresponding strategic value. The strategic minimum of a multinational is not the legal minimum in one of the markets. In the case of L’Oréal, regulatory divergence is thus a factor in favor of convergence within the company. The working end of this part is that L’Oréal ought to implement an EU-grade internal base all over the world and then implement local overlays where required. The reasons why governance </w:t>
      </w:r>
      <w:r>
        <w:rPr>
          <w:rFonts w:cs="Times New Roman"/>
          <w:lang w:val="en-US" w:eastAsia="en-US"/>
        </w:rPr>
        <w:lastRenderedPageBreak/>
        <w:t>failures are turned into commercially expensive problems in such a short period of time are not explained by law alone. That involves a trust analysis.</w:t>
      </w:r>
    </w:p>
    <w:p w14:paraId="098C720E" w14:textId="77777777" w:rsidR="004C2014" w:rsidRDefault="004C2014" w:rsidP="004C2014">
      <w:pPr>
        <w:pStyle w:val="Heading2"/>
        <w:rPr>
          <w:rFonts w:cs="Times New Roman"/>
          <w:lang w:val="en-US"/>
        </w:rPr>
      </w:pPr>
      <w:bookmarkStart w:id="5" w:name="_Toc227231053"/>
      <w:r>
        <w:rPr>
          <w:rFonts w:cs="Times New Roman"/>
          <w:lang w:val="en-US"/>
        </w:rPr>
        <w:t>AI Ethics and Trust</w:t>
      </w:r>
      <w:bookmarkEnd w:id="5"/>
    </w:p>
    <w:p w14:paraId="6C0049BE" w14:textId="77777777" w:rsidR="004C2014" w:rsidRDefault="004C2014" w:rsidP="004C2014">
      <w:pPr>
        <w:rPr>
          <w:rFonts w:cs="Times New Roman"/>
          <w:lang w:val="en-US" w:eastAsia="en-US"/>
        </w:rPr>
      </w:pPr>
      <w:r>
        <w:rPr>
          <w:rFonts w:cs="Times New Roman"/>
          <w:lang w:val="en-US" w:eastAsia="en-US"/>
        </w:rPr>
        <w:t xml:space="preserve">The stakeholder theory can only be applicable in this report when it helps to explain an actual governance issue. At L’Oréal, it is the case. Consumers desire convenience and pertinent suggestions, but not covert inference and constant profiling that seems to be disproportionate to the service obtained. Accountability, traceability and contestability are desired by regulators. Shareholders desire expansion, effectiveness and scalable </w:t>
      </w:r>
      <w:proofErr w:type="spellStart"/>
      <w:r>
        <w:rPr>
          <w:rFonts w:cs="Times New Roman"/>
          <w:lang w:val="en-US" w:eastAsia="en-US"/>
        </w:rPr>
        <w:t>customisation</w:t>
      </w:r>
      <w:proofErr w:type="spellEnd"/>
      <w:r>
        <w:rPr>
          <w:rFonts w:cs="Times New Roman"/>
          <w:lang w:val="en-US" w:eastAsia="en-US"/>
        </w:rPr>
        <w:t xml:space="preserve">, and not lawsuits or reputation loss. Employees desire mechanisms that enhance performance and minimize routine tasks and not mechanisms that hide mistakes or transfer bad outputs to front line teams. These interests are framed with the assistance of Freeman (2010) and Mahajan et al. (2023), yet the key aspect is that they do not fit into each other. What seems to be a revenue infrastructure to the investors may seem like surveillance to the consumers and risk transfer to the employees. The governance dilemma is not thus </w:t>
      </w:r>
      <w:proofErr w:type="spellStart"/>
      <w:r>
        <w:rPr>
          <w:rFonts w:cs="Times New Roman"/>
          <w:lang w:val="en-US" w:eastAsia="en-US"/>
        </w:rPr>
        <w:t>optimisation</w:t>
      </w:r>
      <w:proofErr w:type="spellEnd"/>
      <w:r>
        <w:rPr>
          <w:rFonts w:cs="Times New Roman"/>
          <w:lang w:val="en-US" w:eastAsia="en-US"/>
        </w:rPr>
        <w:t xml:space="preserve"> for one of the stakeholders. It is handling the conflict without letting the commercial motives take over the most susceptible side of the conflict, which in the case of consumer AI is typically the end user.</w:t>
      </w:r>
    </w:p>
    <w:p w14:paraId="6219E2E0" w14:textId="30B0FBE5" w:rsidR="004C2014" w:rsidRDefault="004C2014" w:rsidP="004C2014">
      <w:pPr>
        <w:rPr>
          <w:rFonts w:cs="Times New Roman"/>
          <w:lang w:val="en-US" w:eastAsia="en-US"/>
        </w:rPr>
      </w:pPr>
      <w:r>
        <w:rPr>
          <w:rFonts w:cs="Times New Roman"/>
          <w:lang w:val="en-US" w:eastAsia="en-US"/>
        </w:rPr>
        <w:t xml:space="preserve">That struggle is compounded by the fact that the AI of L’Oréal is highly associated with appearance, identity and vulnerability. Disclosures by the company reveal that AI is already used to provide services in skin diagnosis, virtual make-up fittings, </w:t>
      </w:r>
      <w:proofErr w:type="spellStart"/>
      <w:r>
        <w:rPr>
          <w:rFonts w:cs="Times New Roman"/>
          <w:lang w:val="en-US" w:eastAsia="en-US"/>
        </w:rPr>
        <w:t>personalised</w:t>
      </w:r>
      <w:proofErr w:type="spellEnd"/>
      <w:r>
        <w:rPr>
          <w:rFonts w:cs="Times New Roman"/>
          <w:lang w:val="en-US" w:eastAsia="en-US"/>
        </w:rPr>
        <w:t xml:space="preserve"> beauty advice, predictive ad </w:t>
      </w:r>
      <w:proofErr w:type="spellStart"/>
      <w:r>
        <w:rPr>
          <w:rFonts w:cs="Times New Roman"/>
          <w:lang w:val="en-US" w:eastAsia="en-US"/>
        </w:rPr>
        <w:t>optimisation</w:t>
      </w:r>
      <w:proofErr w:type="spellEnd"/>
      <w:r>
        <w:rPr>
          <w:rFonts w:cs="Times New Roman"/>
          <w:lang w:val="en-US" w:eastAsia="en-US"/>
        </w:rPr>
        <w:t xml:space="preserve"> and internally generated brand imagery. L’Oréal says that these services have created over 1</w:t>
      </w:r>
      <w:r w:rsidR="009F2000">
        <w:rPr>
          <w:rFonts w:cs="Times New Roman"/>
          <w:lang w:val="en-US" w:eastAsia="en-US"/>
        </w:rPr>
        <w:t>20</w:t>
      </w:r>
      <w:r>
        <w:rPr>
          <w:rFonts w:cs="Times New Roman"/>
          <w:lang w:val="en-US" w:eastAsia="en-US"/>
        </w:rPr>
        <w:t xml:space="preserve"> million sessions in 66 countries and 3</w:t>
      </w:r>
      <w:r w:rsidR="009F2000">
        <w:rPr>
          <w:rFonts w:cs="Times New Roman"/>
          <w:lang w:val="en-US" w:eastAsia="en-US"/>
        </w:rPr>
        <w:t>1</w:t>
      </w:r>
      <w:r>
        <w:rPr>
          <w:rFonts w:cs="Times New Roman"/>
          <w:lang w:val="en-US" w:eastAsia="en-US"/>
        </w:rPr>
        <w:t xml:space="preserve"> brands in 202</w:t>
      </w:r>
      <w:r w:rsidR="009F2000">
        <w:rPr>
          <w:rFonts w:cs="Times New Roman"/>
          <w:lang w:val="en-US" w:eastAsia="en-US"/>
        </w:rPr>
        <w:t>5</w:t>
      </w:r>
      <w:r>
        <w:rPr>
          <w:rFonts w:cs="Times New Roman"/>
          <w:lang w:val="en-US" w:eastAsia="en-US"/>
        </w:rPr>
        <w:t xml:space="preserve">, that Beauty Genius is giving </w:t>
      </w:r>
      <w:proofErr w:type="spellStart"/>
      <w:r>
        <w:rPr>
          <w:rFonts w:cs="Times New Roman"/>
          <w:lang w:val="en-US" w:eastAsia="en-US"/>
        </w:rPr>
        <w:t>personalised</w:t>
      </w:r>
      <w:proofErr w:type="spellEnd"/>
      <w:r>
        <w:rPr>
          <w:rFonts w:cs="Times New Roman"/>
          <w:lang w:val="en-US" w:eastAsia="en-US"/>
        </w:rPr>
        <w:t xml:space="preserve"> advice and recommendations, and that its algorithms have been trained on over 150,000 dermatologist-labeled pictures. The company further mentions that </w:t>
      </w:r>
      <w:proofErr w:type="spellStart"/>
      <w:r>
        <w:rPr>
          <w:rFonts w:cs="Times New Roman"/>
          <w:lang w:val="en-US" w:eastAsia="en-US"/>
        </w:rPr>
        <w:t>CreAItech</w:t>
      </w:r>
      <w:proofErr w:type="spellEnd"/>
      <w:r>
        <w:rPr>
          <w:rFonts w:cs="Times New Roman"/>
          <w:lang w:val="en-US" w:eastAsia="en-US"/>
        </w:rPr>
        <w:t xml:space="preserve"> is utilized to produce images for brands, but explicitly mentions that L’Oréal does not produce realistic faces, bodies, skin or hair to show the benefits of products in the outside world (L’Oréal, 2025b).</w:t>
      </w:r>
    </w:p>
    <w:p w14:paraId="16219819" w14:textId="77777777" w:rsidR="004C2014" w:rsidRDefault="004C2014" w:rsidP="004C2014">
      <w:pPr>
        <w:rPr>
          <w:rFonts w:cs="Times New Roman"/>
          <w:lang w:val="en-US" w:eastAsia="en-US"/>
        </w:rPr>
      </w:pPr>
      <w:r>
        <w:rPr>
          <w:rFonts w:cs="Times New Roman"/>
          <w:lang w:val="en-US" w:eastAsia="en-US"/>
        </w:rPr>
        <w:t xml:space="preserve">These are reasonable applications but they also pose beauty-specific ethical dangers. A diagnostic tool for the skin or hair can misclassify consumer needs when the dataset or annotation process is </w:t>
      </w:r>
      <w:proofErr w:type="spellStart"/>
      <w:r>
        <w:rPr>
          <w:rFonts w:cs="Times New Roman"/>
          <w:lang w:val="en-US" w:eastAsia="en-US"/>
        </w:rPr>
        <w:t>underrepresentative</w:t>
      </w:r>
      <w:proofErr w:type="spellEnd"/>
      <w:r>
        <w:rPr>
          <w:rFonts w:cs="Times New Roman"/>
          <w:lang w:val="en-US" w:eastAsia="en-US"/>
        </w:rPr>
        <w:t xml:space="preserve"> of specific tones, textures or conditions. A recommender system may be biased in its learning process by silently learning from biased engagement data, or may stereotype. Dynamic targeting may be exploitative when it pushes the consumer towards insecurities like ageing, pigmentation or loss of hair. Generated imagery can be misleading when the enhancement practices are not explicitly delimited. And a </w:t>
      </w:r>
      <w:r>
        <w:rPr>
          <w:rFonts w:cs="Times New Roman"/>
          <w:lang w:val="en-US" w:eastAsia="en-US"/>
        </w:rPr>
        <w:lastRenderedPageBreak/>
        <w:t xml:space="preserve">recommendation which is unexplainable can be construed as not intelligence but as manipulation. Care must be taken in using external analogy here. The dermatologic AI literature is useful, as it is not too far from beauty that it would displace the primary analysis. Weir et al. (2024) demonstrate how the lack of consistency in the assessment of skin tone may bias future research and the performance of the downstream system, whereas Li et al. (2025) claim that the key to safe and </w:t>
      </w:r>
      <w:proofErr w:type="spellStart"/>
      <w:r>
        <w:rPr>
          <w:rFonts w:cs="Times New Roman"/>
          <w:lang w:val="en-US" w:eastAsia="en-US"/>
        </w:rPr>
        <w:t>generalisable</w:t>
      </w:r>
      <w:proofErr w:type="spellEnd"/>
      <w:r>
        <w:rPr>
          <w:rFonts w:cs="Times New Roman"/>
          <w:lang w:val="en-US" w:eastAsia="en-US"/>
        </w:rPr>
        <w:t xml:space="preserve"> dermatologic AI is the transparency of the datasets. The applicability to L’Oréal is obvious provided that the company is interested in consumers relying on AI-guided beauty recommendations, it will have to be capable of proving that the data and image quality standards that the tools are based on are credible.</w:t>
      </w:r>
    </w:p>
    <w:p w14:paraId="21D4C010" w14:textId="77777777" w:rsidR="004C2014" w:rsidRDefault="004C2014" w:rsidP="004C2014">
      <w:pPr>
        <w:rPr>
          <w:rFonts w:cs="Times New Roman"/>
          <w:lang w:val="en-US" w:eastAsia="en-US"/>
        </w:rPr>
      </w:pPr>
      <w:r>
        <w:rPr>
          <w:rFonts w:cs="Times New Roman"/>
          <w:lang w:val="en-US" w:eastAsia="en-US"/>
        </w:rPr>
        <w:t xml:space="preserve">Trust is not thus a mushy reputational variable. It is a working resource that predetermines whether </w:t>
      </w:r>
      <w:proofErr w:type="spellStart"/>
      <w:r>
        <w:rPr>
          <w:rFonts w:cs="Times New Roman"/>
          <w:lang w:val="en-US" w:eastAsia="en-US"/>
        </w:rPr>
        <w:t>personalisation</w:t>
      </w:r>
      <w:proofErr w:type="spellEnd"/>
      <w:r>
        <w:rPr>
          <w:rFonts w:cs="Times New Roman"/>
          <w:lang w:val="en-US" w:eastAsia="en-US"/>
        </w:rPr>
        <w:t xml:space="preserve"> is seen as service or surveillance. The 2026 Trust Barometer of Edelman is particularly helpful as it demonstrates the opportunity and vulnerability. Business is still trusted at 64% around the world, and business and employers are even more trusted at 78 % and 78 %, respectively, meaning that business and employers are the only two institutions in the Edelman 2026 data that are in the trust zone. That is a trade advantage. That advantage, however, is not permanent. When institutions are perceived to be opaque, self-serving or out of control it can lead to the loss of trust (Edelman, 2026). In AI that deals with consumers, it implies that technical performance is not adequate. A recommendation system that enhances conversion and reduces opt-outs, complaints or unease is not a successful strategy if it erodes trust. The same conclusion is drawn by </w:t>
      </w:r>
      <w:proofErr w:type="spellStart"/>
      <w:r>
        <w:rPr>
          <w:rFonts w:cs="Times New Roman"/>
          <w:lang w:val="en-US" w:eastAsia="en-US"/>
        </w:rPr>
        <w:t>personalisation</w:t>
      </w:r>
      <w:proofErr w:type="spellEnd"/>
      <w:r>
        <w:rPr>
          <w:rFonts w:cs="Times New Roman"/>
          <w:lang w:val="en-US" w:eastAsia="en-US"/>
        </w:rPr>
        <w:t xml:space="preserve"> research as the relevance that actually turns into engagement and purchase intention is mediated by trust and privacy confidence (Cai and </w:t>
      </w:r>
      <w:proofErr w:type="spellStart"/>
      <w:r>
        <w:rPr>
          <w:rFonts w:cs="Times New Roman"/>
          <w:lang w:val="en-US" w:eastAsia="en-US"/>
        </w:rPr>
        <w:t>Mardani</w:t>
      </w:r>
      <w:proofErr w:type="spellEnd"/>
      <w:r>
        <w:rPr>
          <w:rFonts w:cs="Times New Roman"/>
          <w:lang w:val="en-US" w:eastAsia="en-US"/>
        </w:rPr>
        <w:t>, 2023; Kumar et al., 2024).</w:t>
      </w:r>
    </w:p>
    <w:p w14:paraId="79D8FC80" w14:textId="77777777" w:rsidR="004C2014" w:rsidRDefault="004C2014" w:rsidP="004C2014">
      <w:pPr>
        <w:rPr>
          <w:rFonts w:cs="Times New Roman"/>
          <w:lang w:val="en-US" w:eastAsia="en-US"/>
        </w:rPr>
      </w:pPr>
      <w:r>
        <w:rPr>
          <w:rFonts w:cs="Times New Roman"/>
          <w:lang w:val="en-US" w:eastAsia="en-US"/>
        </w:rPr>
        <w:t xml:space="preserve">The translation into commercial terms is straightforward. The problem becomes reputational when a beauty brand cannot provide a reason as to why it suggested a product, assumed a concern or created a campaign image. L’Oréal already has some basic capabilities. It has already revealed 7 Principles of Trustworthy AI, a Working Group formed in 2023, and over 45,000 employees educated on AI. However, these strengths are more evident in the internal governance disclosures, compared to the consumer-facing experience (L’Oréal, 2025b). The stakeholder theory must thus yield a particular set of governance forums, and a quantifiable set of KPIs. L’Oréal ought to establish a Responsible AI and Trust Council, which consists of Legal and Privacy, Marketing, Data Science, Consumer Insights, Brand Leadership, HR, Internal Audit, and at least one external consumer or ethics advisor. </w:t>
      </w:r>
      <w:proofErr w:type="spellStart"/>
      <w:r>
        <w:rPr>
          <w:rFonts w:cs="Times New Roman"/>
          <w:lang w:val="en-US" w:eastAsia="en-US"/>
        </w:rPr>
        <w:t>Schuett</w:t>
      </w:r>
      <w:proofErr w:type="spellEnd"/>
      <w:r>
        <w:rPr>
          <w:rFonts w:cs="Times New Roman"/>
          <w:lang w:val="en-US" w:eastAsia="en-US"/>
        </w:rPr>
        <w:t xml:space="preserve"> et al. (2025) </w:t>
      </w:r>
      <w:r>
        <w:rPr>
          <w:rFonts w:cs="Times New Roman"/>
          <w:lang w:val="en-US" w:eastAsia="en-US"/>
        </w:rPr>
        <w:lastRenderedPageBreak/>
        <w:t>demonstrate that the failure of ethics boards occurs when the roles, membership, power and resources are unclear.</w:t>
      </w:r>
    </w:p>
    <w:p w14:paraId="145BC0C6" w14:textId="77777777" w:rsidR="004C2014" w:rsidRDefault="004C2014" w:rsidP="004C2014">
      <w:pPr>
        <w:pStyle w:val="Heading2"/>
        <w:rPr>
          <w:rFonts w:cs="Times New Roman"/>
          <w:lang w:val="en-US"/>
        </w:rPr>
      </w:pPr>
      <w:bookmarkStart w:id="6" w:name="_Toc227231054"/>
      <w:r>
        <w:rPr>
          <w:rFonts w:cs="Times New Roman"/>
          <w:lang w:val="en-US"/>
        </w:rPr>
        <w:t>Recommended Operating Model</w:t>
      </w:r>
      <w:bookmarkEnd w:id="6"/>
    </w:p>
    <w:p w14:paraId="1EFF3297" w14:textId="77777777" w:rsidR="004C2014" w:rsidRDefault="004C2014" w:rsidP="004C2014">
      <w:pPr>
        <w:rPr>
          <w:rFonts w:cs="Times New Roman"/>
          <w:lang w:val="en-US" w:eastAsia="en-US"/>
        </w:rPr>
      </w:pPr>
      <w:r>
        <w:rPr>
          <w:rFonts w:cs="Times New Roman"/>
          <w:lang w:val="en-US" w:eastAsia="en-US"/>
        </w:rPr>
        <w:t>L’Oréal already possesses a significant internal AI base. Whether capability exists or not is not a strategic issue, but whether that capability is controlled by a single enterprise model that is both visible to the board and legible to consumers.</w:t>
      </w:r>
    </w:p>
    <w:p w14:paraId="3F448959" w14:textId="77777777" w:rsidR="004C2014" w:rsidRDefault="004C2014" w:rsidP="004C2014">
      <w:pPr>
        <w:rPr>
          <w:rFonts w:cs="Times New Roman"/>
          <w:lang w:val="en-US" w:eastAsia="en-US"/>
        </w:rPr>
      </w:pPr>
      <w:r>
        <w:rPr>
          <w:rFonts w:cs="Times New Roman"/>
          <w:lang w:val="en-US" w:eastAsia="en-US"/>
        </w:rPr>
        <w:t>The first recommendation is to implement an EU level of internal control baseline on the international level. This implies that prohibited-practice screening, transparency triggers, documentation expectations, human-oversight standards and incident-escalation rules must be created at the enterprise level and then localized where needed. Internal convergence is less expensive than having a number of minimum-compliance models when a multinational has shared vendors, brands and consumer touchpoints.</w:t>
      </w:r>
    </w:p>
    <w:p w14:paraId="4355E18A" w14:textId="77777777" w:rsidR="004C2014" w:rsidRDefault="004C2014" w:rsidP="004C2014">
      <w:pPr>
        <w:rPr>
          <w:rFonts w:cs="Times New Roman"/>
          <w:lang w:val="en-US" w:eastAsia="en-US"/>
        </w:rPr>
      </w:pPr>
      <w:r>
        <w:rPr>
          <w:rFonts w:cs="Times New Roman"/>
          <w:lang w:val="en-US" w:eastAsia="en-US"/>
        </w:rPr>
        <w:t>The second suggestion is to develop an enterprise AI register, which has formal risk-tiering. Internal systems, third-party models, embedded SaaS capabilities, generative content tools, data sources, markets in scope, responsible owner, legal basis and retirement date should be captured by the register. The risk levels must be based on the closeness to consumers, sensitivity of data, autonomy, use of synthetic-content and exposure to cross-border transfers. Practically, no entry on the register ought to imply no deployment.</w:t>
      </w:r>
    </w:p>
    <w:p w14:paraId="50BA4C8A" w14:textId="77777777" w:rsidR="004C2014" w:rsidRDefault="004C2014" w:rsidP="004C2014">
      <w:pPr>
        <w:rPr>
          <w:rFonts w:cs="Times New Roman"/>
          <w:lang w:val="en-US" w:eastAsia="en-US"/>
        </w:rPr>
      </w:pPr>
      <w:r>
        <w:rPr>
          <w:rFonts w:cs="Times New Roman"/>
          <w:lang w:val="en-US" w:eastAsia="en-US"/>
        </w:rPr>
        <w:t>The third suggestion is to have model cards and plain-language descriptions of all consumer-facing systems. On the model card, intended use, input categories, known limitations, the validation approach, fairness checks, monitoring design and escalation owner should be stated internally. On the outside, the explanation layer must inform the consumer about why they were given a recommendation, what data types were important, and how they can challenge or decline it and continue to access core services.</w:t>
      </w:r>
    </w:p>
    <w:p w14:paraId="16172912" w14:textId="77777777" w:rsidR="004C2014" w:rsidRDefault="004C2014" w:rsidP="004C2014">
      <w:pPr>
        <w:rPr>
          <w:rFonts w:cs="Times New Roman"/>
          <w:lang w:val="en-US" w:eastAsia="en-US"/>
        </w:rPr>
      </w:pPr>
      <w:r>
        <w:rPr>
          <w:rFonts w:cs="Times New Roman"/>
          <w:lang w:val="en-US" w:eastAsia="en-US"/>
        </w:rPr>
        <w:t xml:space="preserve">The fourth suggestion is to re-design consent and profiling governance. </w:t>
      </w:r>
      <w:proofErr w:type="spellStart"/>
      <w:r>
        <w:rPr>
          <w:rFonts w:cs="Times New Roman"/>
          <w:lang w:val="en-US" w:eastAsia="en-US"/>
        </w:rPr>
        <w:t>Personalisation</w:t>
      </w:r>
      <w:proofErr w:type="spellEnd"/>
      <w:r>
        <w:rPr>
          <w:rFonts w:cs="Times New Roman"/>
          <w:lang w:val="en-US" w:eastAsia="en-US"/>
        </w:rPr>
        <w:t xml:space="preserve"> through AI ought to be disaggregated with stricter regulations around the areas where appearance-based data might be biased towards vulnerability, youth marketing or health-related guesses. This is one of the recommendations directly based on the information ethics analysis in the report as it is not just a formal legality but the maintenance of intelligible consumer choice.</w:t>
      </w:r>
    </w:p>
    <w:p w14:paraId="118F5056" w14:textId="77777777" w:rsidR="004C2014" w:rsidRDefault="004C2014" w:rsidP="004C2014">
      <w:pPr>
        <w:rPr>
          <w:rFonts w:cs="Times New Roman"/>
          <w:lang w:val="en-US" w:eastAsia="en-US"/>
        </w:rPr>
      </w:pPr>
      <w:r>
        <w:rPr>
          <w:rFonts w:cs="Times New Roman"/>
          <w:lang w:val="en-US" w:eastAsia="en-US"/>
        </w:rPr>
        <w:t xml:space="preserve">The fifth suggestion is to enhance the assurance of vendors and partners. There is inadequate procurement in current checklists. Provenance logs, transfer maps, model-change notices, </w:t>
      </w:r>
      <w:r>
        <w:rPr>
          <w:rFonts w:cs="Times New Roman"/>
          <w:lang w:val="en-US" w:eastAsia="en-US"/>
        </w:rPr>
        <w:lastRenderedPageBreak/>
        <w:t>deletion attestations, audit rights and cohort-based performance testing should be a requirement of contracts. Red-team testing before scale should also be done for sensitive use cases, particularly image analysis, dynamic targeting and generated content.</w:t>
      </w:r>
    </w:p>
    <w:p w14:paraId="4209C0F1" w14:textId="77777777" w:rsidR="004C2014" w:rsidRDefault="004C2014" w:rsidP="004C2014">
      <w:pPr>
        <w:rPr>
          <w:rFonts w:cs="Times New Roman"/>
          <w:i/>
          <w:iCs/>
        </w:rPr>
      </w:pPr>
      <w:r>
        <w:rPr>
          <w:rFonts w:cs="Times New Roman"/>
          <w:i/>
          <w:iCs/>
        </w:rPr>
        <w:t>Table 4. 24-month implementation roadmap</w:t>
      </w:r>
    </w:p>
    <w:tbl>
      <w:tblPr>
        <w:tblStyle w:val="PlainTable11"/>
        <w:tblW w:w="0" w:type="auto"/>
        <w:tblInd w:w="0" w:type="dxa"/>
        <w:tblLook w:val="04A0" w:firstRow="1" w:lastRow="0" w:firstColumn="1" w:lastColumn="0" w:noHBand="0" w:noVBand="1"/>
      </w:tblPr>
      <w:tblGrid>
        <w:gridCol w:w="1522"/>
        <w:gridCol w:w="1002"/>
        <w:gridCol w:w="1954"/>
        <w:gridCol w:w="1876"/>
        <w:gridCol w:w="1419"/>
        <w:gridCol w:w="1243"/>
      </w:tblGrid>
      <w:tr w:rsidR="004C2014" w14:paraId="329C0D96" w14:textId="77777777" w:rsidTr="004C20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3BC541" w14:textId="77777777" w:rsidR="004C2014" w:rsidRDefault="004C2014">
            <w:pPr>
              <w:rPr>
                <w:rFonts w:cs="Times New Roman"/>
              </w:rPr>
            </w:pPr>
            <w:r>
              <w:rPr>
                <w:rFonts w:cs="Times New Roman"/>
              </w:rPr>
              <w:t>Phase</w:t>
            </w:r>
          </w:p>
        </w:tc>
        <w:tc>
          <w:tcPr>
            <w:tcW w:w="11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F0B1114" w14:textId="77777777" w:rsidR="004C2014" w:rsidRDefault="004C2014">
            <w:pP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Timing</w:t>
            </w:r>
          </w:p>
        </w:tc>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69AE42A" w14:textId="77777777" w:rsidR="004C2014" w:rsidRDefault="004C2014">
            <w:pP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Owner</w:t>
            </w:r>
          </w:p>
        </w:tc>
        <w:tc>
          <w:tcPr>
            <w:tcW w:w="22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F2FE610" w14:textId="77777777" w:rsidR="004C2014" w:rsidRDefault="004C2014">
            <w:pP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Core outputs</w:t>
            </w:r>
          </w:p>
        </w:tc>
        <w:tc>
          <w:tcPr>
            <w:tcW w:w="1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B99E69B" w14:textId="77777777" w:rsidR="004C2014" w:rsidRDefault="004C2014">
            <w:pP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Success indicators</w:t>
            </w:r>
          </w:p>
        </w:tc>
        <w:tc>
          <w:tcPr>
            <w:tcW w:w="12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A308645" w14:textId="77777777" w:rsidR="004C2014" w:rsidRDefault="004C2014">
            <w:pP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Indicative cost band</w:t>
            </w:r>
          </w:p>
        </w:tc>
      </w:tr>
      <w:tr w:rsidR="004C2014" w14:paraId="57D261D7" w14:textId="77777777" w:rsidTr="004C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7C20B89" w14:textId="77777777" w:rsidR="004C2014" w:rsidRDefault="004C2014">
            <w:pPr>
              <w:rPr>
                <w:rFonts w:cs="Times New Roman"/>
              </w:rPr>
            </w:pPr>
            <w:r>
              <w:rPr>
                <w:rFonts w:cs="Times New Roman"/>
              </w:rPr>
              <w:t>Diagnose</w:t>
            </w:r>
          </w:p>
        </w:tc>
        <w:tc>
          <w:tcPr>
            <w:tcW w:w="11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A414AA7" w14:textId="77777777" w:rsidR="004C2014" w:rsidRDefault="004C2014">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Months 1 to 4</w:t>
            </w:r>
          </w:p>
        </w:tc>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5D9D83D" w14:textId="77777777" w:rsidR="004C2014" w:rsidRDefault="004C2014">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Legal + Data Governance</w:t>
            </w:r>
          </w:p>
        </w:tc>
        <w:tc>
          <w:tcPr>
            <w:tcW w:w="22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1496164" w14:textId="77777777" w:rsidR="004C2014" w:rsidRDefault="004C2014">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Enterprise AI inventory, customer-data flow map, UK-EU exposure map, baseline risk taxonomy</w:t>
            </w:r>
          </w:p>
        </w:tc>
        <w:tc>
          <w:tcPr>
            <w:tcW w:w="1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72A333C" w14:textId="77777777" w:rsidR="004C2014" w:rsidRDefault="004C2014">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100% of AI use cases logged, 90% of customer-data flows mapped</w:t>
            </w:r>
          </w:p>
        </w:tc>
        <w:tc>
          <w:tcPr>
            <w:tcW w:w="12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8FC72F2" w14:textId="77777777" w:rsidR="004C2014" w:rsidRDefault="004C2014">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Low single-digit € millions</w:t>
            </w:r>
          </w:p>
        </w:tc>
      </w:tr>
      <w:tr w:rsidR="004C2014" w14:paraId="60E47E09" w14:textId="77777777" w:rsidTr="004C2014">
        <w:tc>
          <w:tcPr>
            <w:cnfStyle w:val="001000000000" w:firstRow="0" w:lastRow="0" w:firstColumn="1" w:lastColumn="0" w:oddVBand="0" w:evenVBand="0" w:oddHBand="0" w:evenHBand="0" w:firstRowFirstColumn="0" w:firstRowLastColumn="0" w:lastRowFirstColumn="0" w:lastRowLastColumn="0"/>
            <w:tcW w:w="15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D004A39" w14:textId="77777777" w:rsidR="004C2014" w:rsidRDefault="004C2014">
            <w:pPr>
              <w:rPr>
                <w:rFonts w:cs="Times New Roman"/>
              </w:rPr>
            </w:pPr>
            <w:r>
              <w:rPr>
                <w:rFonts w:cs="Times New Roman"/>
              </w:rPr>
              <w:t>Control</w:t>
            </w:r>
          </w:p>
        </w:tc>
        <w:tc>
          <w:tcPr>
            <w:tcW w:w="11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F2C53BC" w14:textId="77777777" w:rsidR="004C2014" w:rsidRDefault="004C2014">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Months 5 to 10</w:t>
            </w:r>
          </w:p>
        </w:tc>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29523C4" w14:textId="77777777" w:rsidR="004C2014" w:rsidRDefault="004C2014">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Digital/Marketing + Privacy</w:t>
            </w:r>
          </w:p>
        </w:tc>
        <w:tc>
          <w:tcPr>
            <w:tcW w:w="22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E8A198D" w14:textId="77777777" w:rsidR="004C2014" w:rsidRDefault="004C2014">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Explanation templates, consent redesign, vendor screening rules, generative-imagery standard, live AI register</w:t>
            </w:r>
          </w:p>
        </w:tc>
        <w:tc>
          <w:tcPr>
            <w:tcW w:w="1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3032018" w14:textId="77777777" w:rsidR="004C2014" w:rsidRDefault="004C2014">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100% of new consumer-facing AI systems reviewed pre-deployment, accountable owner assigned to all consumer systems</w:t>
            </w:r>
          </w:p>
        </w:tc>
        <w:tc>
          <w:tcPr>
            <w:tcW w:w="12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9F32BCF" w14:textId="77777777" w:rsidR="004C2014" w:rsidRDefault="004C2014">
            <w:pPr>
              <w:cnfStyle w:val="000000000000" w:firstRow="0" w:lastRow="0" w:firstColumn="0" w:lastColumn="0" w:oddVBand="0" w:evenVBand="0" w:oddHBand="0" w:evenHBand="0" w:firstRowFirstColumn="0" w:firstRowLastColumn="0" w:lastRowFirstColumn="0" w:lastRowLastColumn="0"/>
              <w:rPr>
                <w:rFonts w:cs="Times New Roman"/>
              </w:rPr>
            </w:pPr>
            <w:proofErr w:type="spellStart"/>
            <w:r>
              <w:rPr>
                <w:rFonts w:cs="Times New Roman"/>
              </w:rPr>
              <w:t>Mid single</w:t>
            </w:r>
            <w:proofErr w:type="spellEnd"/>
            <w:r>
              <w:rPr>
                <w:rFonts w:cs="Times New Roman"/>
              </w:rPr>
              <w:t>-digit € millions</w:t>
            </w:r>
          </w:p>
        </w:tc>
      </w:tr>
      <w:tr w:rsidR="004C2014" w14:paraId="6E939A39" w14:textId="77777777" w:rsidTr="004C20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8C4174E" w14:textId="77777777" w:rsidR="004C2014" w:rsidRDefault="004C2014">
            <w:pPr>
              <w:rPr>
                <w:rFonts w:cs="Times New Roman"/>
              </w:rPr>
            </w:pPr>
            <w:r>
              <w:rPr>
                <w:rFonts w:cs="Times New Roman"/>
              </w:rPr>
              <w:t>Assure</w:t>
            </w:r>
          </w:p>
        </w:tc>
        <w:tc>
          <w:tcPr>
            <w:tcW w:w="11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5BEE4B9" w14:textId="77777777" w:rsidR="004C2014" w:rsidRDefault="004C2014">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Months 11 to 18</w:t>
            </w:r>
          </w:p>
        </w:tc>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75981CC" w14:textId="77777777" w:rsidR="004C2014" w:rsidRDefault="004C2014">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Internal Audit + Risk</w:t>
            </w:r>
          </w:p>
        </w:tc>
        <w:tc>
          <w:tcPr>
            <w:tcW w:w="22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FD53ADC" w14:textId="10BC5E28" w:rsidR="004C2014" w:rsidRDefault="004C2014">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Fairness testing, red-team review for sensitive use cases, incident-</w:t>
            </w:r>
            <w:r>
              <w:rPr>
                <w:rFonts w:cs="Times New Roman"/>
              </w:rPr>
              <w:lastRenderedPageBreak/>
              <w:t>escalation strateg</w:t>
            </w:r>
            <w:r w:rsidR="009F2000">
              <w:rPr>
                <w:rFonts w:cs="Times New Roman"/>
              </w:rPr>
              <w:t>y</w:t>
            </w:r>
            <w:r>
              <w:rPr>
                <w:rFonts w:cs="Times New Roman"/>
              </w:rPr>
              <w:t>, quarterly board dashboard</w:t>
            </w:r>
          </w:p>
        </w:tc>
        <w:tc>
          <w:tcPr>
            <w:tcW w:w="1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3FFC44" w14:textId="77777777" w:rsidR="004C2014" w:rsidRDefault="004C2014">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lastRenderedPageBreak/>
              <w:t xml:space="preserve">All sensitive systems tested annually, </w:t>
            </w:r>
            <w:r>
              <w:rPr>
                <w:rFonts w:cs="Times New Roman"/>
              </w:rPr>
              <w:lastRenderedPageBreak/>
              <w:t>faster incident escalation, downward complaint trend</w:t>
            </w:r>
          </w:p>
        </w:tc>
        <w:tc>
          <w:tcPr>
            <w:tcW w:w="12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BBD7739" w14:textId="77777777" w:rsidR="004C2014" w:rsidRDefault="004C2014">
            <w:pP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lastRenderedPageBreak/>
              <w:t>Low single-digit € millions</w:t>
            </w:r>
          </w:p>
        </w:tc>
      </w:tr>
      <w:tr w:rsidR="004C2014" w14:paraId="119C2F26" w14:textId="77777777" w:rsidTr="004C2014">
        <w:tc>
          <w:tcPr>
            <w:cnfStyle w:val="001000000000" w:firstRow="0" w:lastRow="0" w:firstColumn="1" w:lastColumn="0" w:oddVBand="0" w:evenVBand="0" w:oddHBand="0" w:evenHBand="0" w:firstRowFirstColumn="0" w:firstRowLastColumn="0" w:lastRowFirstColumn="0" w:lastRowLastColumn="0"/>
            <w:tcW w:w="15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F9078B7" w14:textId="77777777" w:rsidR="004C2014" w:rsidRDefault="004C2014">
            <w:pPr>
              <w:rPr>
                <w:rFonts w:cs="Times New Roman"/>
              </w:rPr>
            </w:pPr>
            <w:r>
              <w:rPr>
                <w:rFonts w:cs="Times New Roman"/>
              </w:rPr>
              <w:t>Differentiate</w:t>
            </w:r>
          </w:p>
        </w:tc>
        <w:tc>
          <w:tcPr>
            <w:tcW w:w="11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473CFA2" w14:textId="77777777" w:rsidR="004C2014" w:rsidRDefault="004C2014">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Months 19 to 24</w:t>
            </w:r>
          </w:p>
        </w:tc>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9F15ACE" w14:textId="77777777" w:rsidR="004C2014" w:rsidRDefault="004C2014">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Corporate Affairs + Brand Leadership</w:t>
            </w:r>
          </w:p>
        </w:tc>
        <w:tc>
          <w:tcPr>
            <w:tcW w:w="22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B3592B0" w14:textId="77777777" w:rsidR="004C2014" w:rsidRDefault="004C2014">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Annual Responsible AI disclosure, regulator engagement plan, consumer trust communications</w:t>
            </w:r>
          </w:p>
        </w:tc>
        <w:tc>
          <w:tcPr>
            <w:tcW w:w="14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1493B8A" w14:textId="77777777" w:rsidR="004C2014" w:rsidRDefault="004C2014">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Published disclosure, improved trust and explanation-helpfulness scores, lower remediation cost</w:t>
            </w:r>
          </w:p>
        </w:tc>
        <w:tc>
          <w:tcPr>
            <w:tcW w:w="12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7DC931" w14:textId="77777777" w:rsidR="004C2014" w:rsidRDefault="004C2014">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Low single-digit € millions, then lower recurring run-rate</w:t>
            </w:r>
          </w:p>
        </w:tc>
      </w:tr>
    </w:tbl>
    <w:p w14:paraId="2FC9902F" w14:textId="77777777" w:rsidR="004C2014" w:rsidRDefault="004C2014" w:rsidP="004C2014">
      <w:pPr>
        <w:rPr>
          <w:rFonts w:cs="Times New Roman"/>
        </w:rPr>
      </w:pPr>
    </w:p>
    <w:p w14:paraId="62AD2A92" w14:textId="77777777" w:rsidR="004C2014" w:rsidRDefault="004C2014" w:rsidP="004C2014">
      <w:pPr>
        <w:rPr>
          <w:rFonts w:cs="Times New Roman"/>
          <w:lang w:val="en-US" w:eastAsia="en-US"/>
        </w:rPr>
      </w:pPr>
      <w:r>
        <w:rPr>
          <w:rFonts w:cs="Times New Roman"/>
          <w:lang w:val="en-US" w:eastAsia="en-US"/>
        </w:rPr>
        <w:t xml:space="preserve">These are cost bands which are indicative planning assumptions and not budget commitments. They are believable since L’Oréal does not construct from an underdeveloped base. A lot of the expenditure needed is coordination, documentation, redesign of workflow, testing and </w:t>
      </w:r>
      <w:proofErr w:type="spellStart"/>
      <w:r>
        <w:rPr>
          <w:rFonts w:cs="Times New Roman"/>
          <w:lang w:val="en-US" w:eastAsia="en-US"/>
        </w:rPr>
        <w:t>externalisation</w:t>
      </w:r>
      <w:proofErr w:type="spellEnd"/>
      <w:r>
        <w:rPr>
          <w:rFonts w:cs="Times New Roman"/>
          <w:lang w:val="en-US" w:eastAsia="en-US"/>
        </w:rPr>
        <w:t xml:space="preserve"> of standards as opposed to simple capability formation.</w:t>
      </w:r>
    </w:p>
    <w:p w14:paraId="28471887" w14:textId="77777777" w:rsidR="004C2014" w:rsidRDefault="004C2014" w:rsidP="004C2014">
      <w:pPr>
        <w:rPr>
          <w:rFonts w:cs="Times New Roman"/>
          <w:lang w:val="en-US" w:eastAsia="en-US"/>
        </w:rPr>
      </w:pPr>
      <w:r>
        <w:rPr>
          <w:rFonts w:cs="Times New Roman"/>
          <w:lang w:val="en-US" w:eastAsia="en-US"/>
        </w:rPr>
        <w:t xml:space="preserve">The last one is governance cadence. The structure offered by the NIST AI RMF is the most helpful one since it is structured around four functions i.e. GOVERN, MAP, MEASURE and MANAGE, but governance is intentionally designed as a cross-cutting function that informs the other functions (NIST, 2023). This translates to monthly management-level reviews of system registration, system mapping and testing and quarterly board-level reviews of material risks, incidents and trust performance in the case of L’Oréal. Its logic of operation is straightforward. GOVERN establishes policy, responsibility and risk appetite. MAP provides use cases, data dependencies, stakeholders and foreseeable harms. MEASURE tests the quality of data, performance drift, explanation adequacy and fairness. MANAGE makes decisions based on those results to either launch a system, constrain it, retrain it or withdraw it. The same </w:t>
      </w:r>
      <w:r>
        <w:rPr>
          <w:rFonts w:cs="Times New Roman"/>
          <w:lang w:val="en-US" w:eastAsia="en-US"/>
        </w:rPr>
        <w:lastRenderedPageBreak/>
        <w:t>conclusion is drawn by Batool et al. (2025) in broader governance studies as where ownership is not clear, there are no metrics and no forum to prevent deployment, governance fails.</w:t>
      </w:r>
    </w:p>
    <w:p w14:paraId="4A84C5B0" w14:textId="77777777" w:rsidR="004C2014" w:rsidRDefault="004C2014" w:rsidP="004C2014">
      <w:pPr>
        <w:pStyle w:val="Heading1"/>
        <w:rPr>
          <w:rFonts w:cs="Times New Roman"/>
          <w:lang w:val="en-US"/>
        </w:rPr>
      </w:pPr>
      <w:bookmarkStart w:id="7" w:name="_Toc227231055"/>
      <w:r>
        <w:rPr>
          <w:rFonts w:cs="Times New Roman"/>
          <w:lang w:val="en-US"/>
        </w:rPr>
        <w:t>Conclusion</w:t>
      </w:r>
      <w:bookmarkEnd w:id="7"/>
      <w:r>
        <w:rPr>
          <w:rFonts w:cs="Times New Roman"/>
          <w:lang w:val="en-US"/>
        </w:rPr>
        <w:t xml:space="preserve"> </w:t>
      </w:r>
    </w:p>
    <w:p w14:paraId="62A0D830" w14:textId="77777777" w:rsidR="004C2014" w:rsidRDefault="004C2014" w:rsidP="004C2014">
      <w:pPr>
        <w:rPr>
          <w:rFonts w:cs="Times New Roman"/>
          <w:lang w:val="en-US" w:eastAsia="en-US"/>
        </w:rPr>
      </w:pPr>
      <w:r>
        <w:rPr>
          <w:rFonts w:cs="Times New Roman"/>
          <w:lang w:val="en-US" w:eastAsia="en-US"/>
        </w:rPr>
        <w:t xml:space="preserve">This report has claimed that in the case of L’Oréal, AI governance is not a technical compliance layer that is added to innovation post-hoc. It is part of the commercial model itself. This is based on the type of growth strategy that the company has. Diagnostic tools, virtual try-on, recommendation engines, content creation, advertising </w:t>
      </w:r>
      <w:proofErr w:type="spellStart"/>
      <w:r>
        <w:rPr>
          <w:rFonts w:cs="Times New Roman"/>
          <w:lang w:val="en-US" w:eastAsia="en-US"/>
        </w:rPr>
        <w:t>optimisation</w:t>
      </w:r>
      <w:proofErr w:type="spellEnd"/>
      <w:r>
        <w:rPr>
          <w:rFonts w:cs="Times New Roman"/>
          <w:lang w:val="en-US" w:eastAsia="en-US"/>
        </w:rPr>
        <w:t xml:space="preserve"> and internal productivity are now assisted by AI in a business where digital and e-commerce channels are already significant to growth. The first-order risk in such a setting is not the failure of systems. It is that systems are commercially successful and undermine consumer trust at a pace that the company can neither clarify, nor regulate or challenge the outputs of those systems.</w:t>
      </w:r>
    </w:p>
    <w:p w14:paraId="4F928ED1" w14:textId="77777777" w:rsidR="004C2014" w:rsidRDefault="004C2014" w:rsidP="004C2014">
      <w:pPr>
        <w:rPr>
          <w:rFonts w:cs="Times New Roman"/>
          <w:lang w:val="en-US" w:eastAsia="en-US"/>
        </w:rPr>
      </w:pPr>
      <w:r>
        <w:rPr>
          <w:rFonts w:cs="Times New Roman"/>
          <w:lang w:val="en-US" w:eastAsia="en-US"/>
        </w:rPr>
        <w:t xml:space="preserve">The flexibility of the UK does not warrant lower internal standards. It is more open to interpretation, with its principles-based, regulator-led approach, and the Data (Use and Access) Act 2025 has </w:t>
      </w:r>
      <w:proofErr w:type="spellStart"/>
      <w:r>
        <w:rPr>
          <w:rFonts w:cs="Times New Roman"/>
          <w:lang w:val="en-US" w:eastAsia="en-US"/>
        </w:rPr>
        <w:t>liberalised</w:t>
      </w:r>
      <w:proofErr w:type="spellEnd"/>
      <w:r>
        <w:rPr>
          <w:rFonts w:cs="Times New Roman"/>
          <w:lang w:val="en-US" w:eastAsia="en-US"/>
        </w:rPr>
        <w:t xml:space="preserve"> the framework of significant solely automated decisions, with safeguards. To a consumer multinational, however, such flexibility makes the situation more uncertain than it provides useful strategic freedom. The EU AI Act, in its turn, provides a more transparent framework of outlawed practices, transparency, governance and gradual implementation. The strategic minimum of L’Oréal is not therefore the legal minimum in one of the markets. Internal convergence is the rational reaction to fragmentation.</w:t>
      </w:r>
    </w:p>
    <w:p w14:paraId="447DB88C" w14:textId="77777777" w:rsidR="004C2014" w:rsidRDefault="004C2014" w:rsidP="004C2014">
      <w:pPr>
        <w:rPr>
          <w:rFonts w:cs="Times New Roman"/>
          <w:lang w:val="en-US" w:eastAsia="en-US"/>
        </w:rPr>
      </w:pPr>
      <w:r>
        <w:rPr>
          <w:rFonts w:cs="Times New Roman"/>
          <w:lang w:val="en-US" w:eastAsia="en-US"/>
        </w:rPr>
        <w:t xml:space="preserve">The key recommendation of the report is thus that L’Oréal ought to implement an EU-grade Responsible AI operating model in all its global operations, which is backed by stricter data-lineage controls, consent redesign, consumer-facing explanations, more demanding vendor assurance and quarterly trust-linked board metrics. It is not a legal defense stance. It is a growth-protective capability. When done correctly, it can lower the cost of remediation, boost the confidence of regulators, maintain consumer readiness to utilize AI-enabled services and make L’Oréal a beauty firm, the AI of which is not only effective, but also legible and contestable. With </w:t>
      </w:r>
      <w:proofErr w:type="spellStart"/>
      <w:r>
        <w:rPr>
          <w:rFonts w:cs="Times New Roman"/>
          <w:lang w:val="en-US" w:eastAsia="en-US"/>
        </w:rPr>
        <w:t>personalisation</w:t>
      </w:r>
      <w:proofErr w:type="spellEnd"/>
      <w:r>
        <w:rPr>
          <w:rFonts w:cs="Times New Roman"/>
          <w:lang w:val="en-US" w:eastAsia="en-US"/>
        </w:rPr>
        <w:t xml:space="preserve"> that can easily degenerate into surveillance, governance quality is incorporated in the product. In the case of L’Oréal, that renders Responsible AI a competitive advantage, as opposed to an innovation inhibitor.</w:t>
      </w:r>
    </w:p>
    <w:p w14:paraId="261DBDC9" w14:textId="77777777" w:rsidR="004C2014" w:rsidRDefault="004C2014" w:rsidP="004C2014">
      <w:pPr>
        <w:pStyle w:val="Heading1"/>
        <w:rPr>
          <w:rFonts w:cs="Times New Roman"/>
          <w:lang w:val="en-AU" w:eastAsia="en-AU"/>
        </w:rPr>
      </w:pPr>
      <w:bookmarkStart w:id="8" w:name="_Toc227231056"/>
      <w:r>
        <w:rPr>
          <w:rFonts w:cs="Times New Roman"/>
        </w:rPr>
        <w:t>References</w:t>
      </w:r>
      <w:bookmarkEnd w:id="8"/>
    </w:p>
    <w:p w14:paraId="5E068336" w14:textId="77777777" w:rsidR="004C2014" w:rsidRDefault="004C2014" w:rsidP="004C2014">
      <w:pPr>
        <w:pStyle w:val="NormalWeb"/>
        <w:rPr>
          <w:lang w:val="en-AU"/>
        </w:rPr>
      </w:pPr>
      <w:r>
        <w:rPr>
          <w:lang w:val="en-AU"/>
        </w:rPr>
        <w:t xml:space="preserve">Batool, A., </w:t>
      </w:r>
      <w:proofErr w:type="spellStart"/>
      <w:r>
        <w:rPr>
          <w:lang w:val="en-AU"/>
        </w:rPr>
        <w:t>Zowghi</w:t>
      </w:r>
      <w:proofErr w:type="spellEnd"/>
      <w:r>
        <w:rPr>
          <w:lang w:val="en-AU"/>
        </w:rPr>
        <w:t xml:space="preserve">, D. and </w:t>
      </w:r>
      <w:proofErr w:type="spellStart"/>
      <w:r>
        <w:rPr>
          <w:lang w:val="en-AU"/>
        </w:rPr>
        <w:t>Bano</w:t>
      </w:r>
      <w:proofErr w:type="spellEnd"/>
      <w:r>
        <w:rPr>
          <w:lang w:val="en-AU"/>
        </w:rPr>
        <w:t>, M. (2025). AI governance: a systematic literature review. </w:t>
      </w:r>
      <w:r>
        <w:rPr>
          <w:i/>
          <w:iCs/>
          <w:lang w:val="en-AU"/>
        </w:rPr>
        <w:t>AI and Ethics</w:t>
      </w:r>
      <w:r>
        <w:rPr>
          <w:lang w:val="en-AU"/>
        </w:rPr>
        <w:t>, </w:t>
      </w:r>
      <w:r>
        <w:rPr>
          <w:i/>
          <w:iCs/>
          <w:lang w:val="en-AU"/>
        </w:rPr>
        <w:t>5</w:t>
      </w:r>
      <w:r>
        <w:rPr>
          <w:lang w:val="en-AU"/>
        </w:rPr>
        <w:t>(3), pp.3265-3279.</w:t>
      </w:r>
    </w:p>
    <w:p w14:paraId="3AE49B7D" w14:textId="77777777" w:rsidR="004C2014" w:rsidRDefault="004C2014" w:rsidP="004C2014">
      <w:pPr>
        <w:pStyle w:val="NormalWeb"/>
        <w:rPr>
          <w:lang w:val="en-AU"/>
        </w:rPr>
      </w:pPr>
      <w:r>
        <w:rPr>
          <w:lang w:val="en-AU"/>
        </w:rPr>
        <w:lastRenderedPageBreak/>
        <w:t>Bradford, A. (2020). </w:t>
      </w:r>
      <w:r>
        <w:rPr>
          <w:i/>
          <w:iCs/>
          <w:lang w:val="en-AU"/>
        </w:rPr>
        <w:t>The Brussels effect: How the European Union rules the world</w:t>
      </w:r>
      <w:r>
        <w:rPr>
          <w:lang w:val="en-AU"/>
        </w:rPr>
        <w:t>. Oxford University Press.</w:t>
      </w:r>
    </w:p>
    <w:p w14:paraId="6F2DE153" w14:textId="77777777" w:rsidR="004C2014" w:rsidRDefault="004C2014" w:rsidP="004C2014">
      <w:pPr>
        <w:pStyle w:val="NormalWeb"/>
        <w:rPr>
          <w:lang w:val="en-AU"/>
        </w:rPr>
      </w:pPr>
      <w:r>
        <w:rPr>
          <w:lang w:val="en-AU"/>
        </w:rPr>
        <w:t>Brynjolfsson, E., Li, D. and Raymond, L. (2025). Generative AI at work. </w:t>
      </w:r>
      <w:r>
        <w:rPr>
          <w:i/>
          <w:iCs/>
          <w:lang w:val="en-AU"/>
        </w:rPr>
        <w:t>The Quarterly Journal of Economics</w:t>
      </w:r>
      <w:r>
        <w:rPr>
          <w:lang w:val="en-AU"/>
        </w:rPr>
        <w:t>, </w:t>
      </w:r>
      <w:r>
        <w:rPr>
          <w:i/>
          <w:iCs/>
          <w:lang w:val="en-AU"/>
        </w:rPr>
        <w:t>140</w:t>
      </w:r>
      <w:r>
        <w:rPr>
          <w:lang w:val="en-AU"/>
        </w:rPr>
        <w:t>(2), pp.889-942.</w:t>
      </w:r>
    </w:p>
    <w:p w14:paraId="4E2A21F7" w14:textId="77777777" w:rsidR="004C2014" w:rsidRDefault="004C2014" w:rsidP="004C2014">
      <w:pPr>
        <w:pStyle w:val="NormalWeb"/>
        <w:rPr>
          <w:lang w:val="en-AU"/>
        </w:rPr>
      </w:pPr>
      <w:r>
        <w:rPr>
          <w:lang w:val="en-AU"/>
        </w:rPr>
        <w:t xml:space="preserve">Cai, H. and </w:t>
      </w:r>
      <w:proofErr w:type="spellStart"/>
      <w:r>
        <w:rPr>
          <w:lang w:val="en-AU"/>
        </w:rPr>
        <w:t>Mardani</w:t>
      </w:r>
      <w:proofErr w:type="spellEnd"/>
      <w:r>
        <w:rPr>
          <w:lang w:val="en-AU"/>
        </w:rPr>
        <w:t>, A. (2023). Research on the impact of consumer privacy and intelligent personalization technology on purchase resistance. </w:t>
      </w:r>
      <w:r>
        <w:rPr>
          <w:i/>
          <w:iCs/>
          <w:lang w:val="en-AU"/>
        </w:rPr>
        <w:t>Journal of Business Research</w:t>
      </w:r>
      <w:r>
        <w:rPr>
          <w:lang w:val="en-AU"/>
        </w:rPr>
        <w:t>, </w:t>
      </w:r>
      <w:r>
        <w:rPr>
          <w:i/>
          <w:iCs/>
          <w:lang w:val="en-AU"/>
        </w:rPr>
        <w:t>161</w:t>
      </w:r>
      <w:r>
        <w:rPr>
          <w:lang w:val="en-AU"/>
        </w:rPr>
        <w:t>, p.113811.</w:t>
      </w:r>
    </w:p>
    <w:p w14:paraId="4165E177" w14:textId="77777777" w:rsidR="004C2014" w:rsidRDefault="004C2014" w:rsidP="004C2014">
      <w:pPr>
        <w:pStyle w:val="NormalWeb"/>
        <w:rPr>
          <w:lang w:val="en-US"/>
        </w:rPr>
      </w:pPr>
      <w:r>
        <w:t xml:space="preserve">Calvino, F., </w:t>
      </w:r>
      <w:proofErr w:type="spellStart"/>
      <w:r>
        <w:t>Reijerink</w:t>
      </w:r>
      <w:proofErr w:type="spellEnd"/>
      <w:r>
        <w:t xml:space="preserve">, J. and </w:t>
      </w:r>
      <w:proofErr w:type="spellStart"/>
      <w:r>
        <w:t>Samek</w:t>
      </w:r>
      <w:proofErr w:type="spellEnd"/>
      <w:r>
        <w:t>, L. (2025). The effects of generative AI on productivity, innovation and entrepreneurship. </w:t>
      </w:r>
      <w:r>
        <w:rPr>
          <w:i/>
          <w:iCs/>
        </w:rPr>
        <w:t>OECD Artificial Intelligence Papers</w:t>
      </w:r>
      <w:r>
        <w:t>.</w:t>
      </w:r>
    </w:p>
    <w:p w14:paraId="7C8758CF" w14:textId="77777777" w:rsidR="004C2014" w:rsidRDefault="004C2014" w:rsidP="004C2014">
      <w:pPr>
        <w:pStyle w:val="NormalWeb"/>
      </w:pPr>
      <w:r>
        <w:t xml:space="preserve">Department for Science, Innovation and Technology (2024a) </w:t>
      </w:r>
      <w:r>
        <w:rPr>
          <w:i/>
          <w:iCs/>
        </w:rPr>
        <w:t>Implementing the UK’s AI regulatory principles: initial guidance for regulators</w:t>
      </w:r>
      <w:r>
        <w:t xml:space="preserve">. Available at: gov.uk (Accessed: 15 April 2026). </w:t>
      </w:r>
      <w:hyperlink r:id="rId19" w:history="1">
        <w:r>
          <w:rPr>
            <w:rStyle w:val="Hyperlink"/>
          </w:rPr>
          <w:t>https://www.gov.uk/government/publications/implementing-the-uks-ai-regulatory-principles-initial-guidance-for-regulators/implementing-the-uks-ai-regulatory-principles-initial-guidance-for-regulators</w:t>
        </w:r>
      </w:hyperlink>
      <w:r>
        <w:t xml:space="preserve"> </w:t>
      </w:r>
    </w:p>
    <w:p w14:paraId="6F670172" w14:textId="77777777" w:rsidR="004C2014" w:rsidRDefault="004C2014" w:rsidP="004C2014">
      <w:pPr>
        <w:pStyle w:val="NormalWeb"/>
      </w:pPr>
      <w:r>
        <w:t xml:space="preserve">Department for Science, Innovation and Technology (2024b) </w:t>
      </w:r>
      <w:r>
        <w:rPr>
          <w:i/>
          <w:iCs/>
        </w:rPr>
        <w:t>Regulators’ strategic approaches to AI</w:t>
      </w:r>
      <w:r>
        <w:t xml:space="preserve">. Available at: gov.uk (Accessed: 15 April 2026). </w:t>
      </w:r>
      <w:hyperlink r:id="rId20" w:history="1">
        <w:r>
          <w:rPr>
            <w:rStyle w:val="Hyperlink"/>
          </w:rPr>
          <w:t>https://www.gov.uk/government/publications/regulators-strategic-approaches-to-ai/regulators-strategic-approaches-to-ai</w:t>
        </w:r>
      </w:hyperlink>
      <w:r>
        <w:t xml:space="preserve"> </w:t>
      </w:r>
    </w:p>
    <w:p w14:paraId="5DAF632E" w14:textId="77777777" w:rsidR="004C2014" w:rsidRDefault="004C2014" w:rsidP="004C2014">
      <w:pPr>
        <w:pStyle w:val="NormalWeb"/>
      </w:pPr>
      <w:r>
        <w:t xml:space="preserve">Department for Science, Innovation and Technology (2025) </w:t>
      </w:r>
      <w:r>
        <w:rPr>
          <w:i/>
          <w:iCs/>
        </w:rPr>
        <w:t>Data (Use and Access) Act 2025: data protection and privacy changes</w:t>
      </w:r>
      <w:r>
        <w:t xml:space="preserve">. Available at: gov.uk (Accessed: 15 April 2026). </w:t>
      </w:r>
      <w:hyperlink r:id="rId21" w:history="1">
        <w:r>
          <w:rPr>
            <w:rStyle w:val="Hyperlink"/>
          </w:rPr>
          <w:t>https://www.gov.uk/guidance/data-use-and-access-act-2025-data-protection-and-privacy-changes</w:t>
        </w:r>
      </w:hyperlink>
    </w:p>
    <w:p w14:paraId="2C7CC3CA" w14:textId="77777777" w:rsidR="004C2014" w:rsidRDefault="004C2014" w:rsidP="004C2014">
      <w:pPr>
        <w:pStyle w:val="NormalWeb"/>
      </w:pPr>
      <w:r>
        <w:t xml:space="preserve">Edelman (2026) </w:t>
      </w:r>
      <w:r>
        <w:rPr>
          <w:i/>
          <w:iCs/>
        </w:rPr>
        <w:t>2026 Edelman Trust Barometer Global Report</w:t>
      </w:r>
      <w:r>
        <w:t xml:space="preserve">. Available at: edelman.com (Accessed: 15 April 2026). </w:t>
      </w:r>
      <w:hyperlink r:id="rId22" w:history="1">
        <w:r>
          <w:rPr>
            <w:rStyle w:val="Hyperlink"/>
          </w:rPr>
          <w:t>https://www.edelman.com/in/trust/2026/trust-barometer</w:t>
        </w:r>
      </w:hyperlink>
      <w:r>
        <w:t xml:space="preserve"> </w:t>
      </w:r>
    </w:p>
    <w:p w14:paraId="496FDB53" w14:textId="77777777" w:rsidR="004C2014" w:rsidRDefault="004C2014" w:rsidP="004C2014">
      <w:pPr>
        <w:pStyle w:val="NormalWeb"/>
      </w:pPr>
      <w:r>
        <w:t xml:space="preserve">European Commission (2026a) </w:t>
      </w:r>
      <w:r>
        <w:rPr>
          <w:i/>
          <w:iCs/>
        </w:rPr>
        <w:t>AI Act</w:t>
      </w:r>
      <w:r>
        <w:t xml:space="preserve">. Shaping Europe’s digital future. Available at: digital-strategy.ec.europa.eu (Accessed: 15 April 2026). </w:t>
      </w:r>
      <w:hyperlink r:id="rId23" w:history="1">
        <w:r>
          <w:rPr>
            <w:rStyle w:val="Hyperlink"/>
          </w:rPr>
          <w:t>https://digital-strategy.ec.europa.eu/en/policies/regulatory-framework-ai</w:t>
        </w:r>
      </w:hyperlink>
      <w:r>
        <w:t xml:space="preserve"> </w:t>
      </w:r>
    </w:p>
    <w:p w14:paraId="633DC8CE" w14:textId="77777777" w:rsidR="004C2014" w:rsidRDefault="004C2014" w:rsidP="004C2014">
      <w:pPr>
        <w:pStyle w:val="NormalWeb"/>
      </w:pPr>
      <w:r>
        <w:t xml:space="preserve">European Commission AI Act Service Desk (2026) </w:t>
      </w:r>
      <w:r>
        <w:rPr>
          <w:i/>
          <w:iCs/>
        </w:rPr>
        <w:t>Timeline for the Implementation of the EU AI Act</w:t>
      </w:r>
      <w:r>
        <w:t xml:space="preserve">. Available at: ai-act-service-desk.ec.europa.eu (Accessed: 15 April 2026). </w:t>
      </w:r>
      <w:hyperlink r:id="rId24" w:history="1">
        <w:r>
          <w:rPr>
            <w:rStyle w:val="Hyperlink"/>
          </w:rPr>
          <w:t>https://ai-act-service-desk.ec.europa.eu/en/ai-act/timeline/timeline-implementation-eu-ai-act</w:t>
        </w:r>
      </w:hyperlink>
      <w:r>
        <w:t xml:space="preserve"> </w:t>
      </w:r>
    </w:p>
    <w:p w14:paraId="544D75E1" w14:textId="77777777" w:rsidR="004C2014" w:rsidRDefault="004C2014" w:rsidP="004C2014">
      <w:pPr>
        <w:pStyle w:val="NormalWeb"/>
      </w:pPr>
      <w:proofErr w:type="spellStart"/>
      <w:r>
        <w:lastRenderedPageBreak/>
        <w:t>Floridi</w:t>
      </w:r>
      <w:proofErr w:type="spellEnd"/>
      <w:r>
        <w:t>, L. (2019). Translating principles into practices of digital ethics: Five risks of being unethical. </w:t>
      </w:r>
      <w:r>
        <w:rPr>
          <w:i/>
          <w:iCs/>
        </w:rPr>
        <w:t>Philosophy &amp; Technology</w:t>
      </w:r>
      <w:r>
        <w:t>, </w:t>
      </w:r>
      <w:r>
        <w:rPr>
          <w:i/>
          <w:iCs/>
        </w:rPr>
        <w:t>32</w:t>
      </w:r>
      <w:r>
        <w:t>(2), pp.185-193.</w:t>
      </w:r>
    </w:p>
    <w:p w14:paraId="3AB019EC" w14:textId="77777777" w:rsidR="004C2014" w:rsidRDefault="004C2014" w:rsidP="004C2014">
      <w:pPr>
        <w:pStyle w:val="NormalWeb"/>
      </w:pPr>
      <w:r>
        <w:t>Freeman, R.E. (2010). </w:t>
      </w:r>
      <w:r>
        <w:rPr>
          <w:i/>
          <w:iCs/>
        </w:rPr>
        <w:t>Strategic management: A stakeholder approach</w:t>
      </w:r>
      <w:r>
        <w:t>. Cambridge university press.</w:t>
      </w:r>
    </w:p>
    <w:p w14:paraId="10DF3CC4" w14:textId="77777777" w:rsidR="004C2014" w:rsidRDefault="004C2014" w:rsidP="004C2014">
      <w:pPr>
        <w:pStyle w:val="NormalWeb"/>
      </w:pPr>
      <w:r>
        <w:t xml:space="preserve">Information Commissioner’s Office (2023) </w:t>
      </w:r>
      <w:r>
        <w:rPr>
          <w:i/>
          <w:iCs/>
        </w:rPr>
        <w:t>Guidance on AI and data protection</w:t>
      </w:r>
      <w:r>
        <w:t xml:space="preserve">. Available at: ico.org.uk (Accessed: 15 April 2026). </w:t>
      </w:r>
      <w:hyperlink r:id="rId25" w:history="1">
        <w:r>
          <w:rPr>
            <w:rStyle w:val="Hyperlink"/>
          </w:rPr>
          <w:t>https://ico.org.uk/for-organisations/uk-gdpr-guidance-and-resources/artificial-intelligence/guidance-on-ai-and-data-protection/</w:t>
        </w:r>
      </w:hyperlink>
      <w:r>
        <w:t xml:space="preserve"> </w:t>
      </w:r>
    </w:p>
    <w:p w14:paraId="5F2AF05C" w14:textId="77777777" w:rsidR="004C2014" w:rsidRDefault="004C2014" w:rsidP="004C2014">
      <w:pPr>
        <w:pStyle w:val="NormalWeb"/>
      </w:pPr>
      <w:r>
        <w:t xml:space="preserve">Information Commissioner’s Office (2025) </w:t>
      </w:r>
      <w:r>
        <w:rPr>
          <w:i/>
          <w:iCs/>
        </w:rPr>
        <w:t>The Data (Use and Access) Act 2025: what does it mean for organisations?</w:t>
      </w:r>
      <w:r>
        <w:t xml:space="preserve"> Available at: ico.org.uk (Accessed: 15 April 2026). </w:t>
      </w:r>
      <w:hyperlink r:id="rId26" w:history="1">
        <w:r>
          <w:rPr>
            <w:rStyle w:val="Hyperlink"/>
          </w:rPr>
          <w:t>https://ico.org.uk/about-the-ico/what-we-do/legislation-we-cover/data-use-and-access-act-2025/the-data-use-and-access-act-2025-what-does-it-mean-for-organisations/</w:t>
        </w:r>
      </w:hyperlink>
      <w:r>
        <w:t xml:space="preserve"> </w:t>
      </w:r>
    </w:p>
    <w:p w14:paraId="0D53EC5E" w14:textId="77777777" w:rsidR="004C2014" w:rsidRDefault="004C2014" w:rsidP="004C2014">
      <w:pPr>
        <w:pStyle w:val="NormalWeb"/>
      </w:pPr>
      <w:r>
        <w:t>Kale, A., Nguyen, T., Harris Jr, F.C., Li, C., Zhang, J. and Ma, X. (2023). Provenance documentation to enable explainable and trustworthy AI: A literature review. </w:t>
      </w:r>
      <w:r>
        <w:rPr>
          <w:i/>
          <w:iCs/>
        </w:rPr>
        <w:t>Data Intelligence</w:t>
      </w:r>
      <w:r>
        <w:t>, </w:t>
      </w:r>
      <w:r>
        <w:rPr>
          <w:i/>
          <w:iCs/>
        </w:rPr>
        <w:t>5</w:t>
      </w:r>
      <w:r>
        <w:t>(1), pp.139-162.</w:t>
      </w:r>
    </w:p>
    <w:p w14:paraId="679F77AF" w14:textId="77777777" w:rsidR="004C2014" w:rsidRDefault="004C2014" w:rsidP="004C2014">
      <w:pPr>
        <w:pStyle w:val="NormalWeb"/>
      </w:pPr>
      <w:r>
        <w:t>Kumar, V., Ashraf, A.R. and Nadeem, W. (2024). AI-powered marketing: What, where, and how?. </w:t>
      </w:r>
      <w:r>
        <w:rPr>
          <w:i/>
          <w:iCs/>
        </w:rPr>
        <w:t>International journal of information management</w:t>
      </w:r>
      <w:r>
        <w:t>, </w:t>
      </w:r>
      <w:r>
        <w:rPr>
          <w:i/>
          <w:iCs/>
        </w:rPr>
        <w:t>77</w:t>
      </w:r>
      <w:r>
        <w:t>, p.102783.</w:t>
      </w:r>
    </w:p>
    <w:p w14:paraId="6BBF74D9" w14:textId="77777777" w:rsidR="004C2014" w:rsidRDefault="004C2014" w:rsidP="004C2014">
      <w:pPr>
        <w:pStyle w:val="NormalWeb"/>
      </w:pPr>
      <w:r>
        <w:t xml:space="preserve">Li, Y., Taylor, M., </w:t>
      </w:r>
      <w:proofErr w:type="spellStart"/>
      <w:r>
        <w:t>Chmielinski</w:t>
      </w:r>
      <w:proofErr w:type="spellEnd"/>
      <w:r>
        <w:t xml:space="preserve">, K.S., Halpern, A.C., </w:t>
      </w:r>
      <w:proofErr w:type="spellStart"/>
      <w:r>
        <w:t>Daneshjou</w:t>
      </w:r>
      <w:proofErr w:type="spellEnd"/>
      <w:r>
        <w:t xml:space="preserve">, R., Lester, J.C. and </w:t>
      </w:r>
      <w:proofErr w:type="spellStart"/>
      <w:r>
        <w:t>Rotemberg</w:t>
      </w:r>
      <w:proofErr w:type="spellEnd"/>
      <w:r>
        <w:t>, V. (2025). Improving dataset transparency in dermatologic Artificial Intelligence using a dataset nutrition label. </w:t>
      </w:r>
      <w:r>
        <w:rPr>
          <w:i/>
          <w:iCs/>
        </w:rPr>
        <w:t>NPJ Digital Medicine</w:t>
      </w:r>
      <w:r>
        <w:t>, </w:t>
      </w:r>
      <w:r>
        <w:rPr>
          <w:i/>
          <w:iCs/>
        </w:rPr>
        <w:t>8</w:t>
      </w:r>
      <w:r>
        <w:t>(1), p.641.</w:t>
      </w:r>
    </w:p>
    <w:p w14:paraId="2AF2A7D6" w14:textId="77777777" w:rsidR="004C2014" w:rsidRDefault="004C2014" w:rsidP="004C2014">
      <w:pPr>
        <w:pStyle w:val="NormalWeb"/>
      </w:pPr>
      <w:r>
        <w:t xml:space="preserve">L’Oréal (2025a) </w:t>
      </w:r>
      <w:r>
        <w:rPr>
          <w:i/>
          <w:iCs/>
        </w:rPr>
        <w:t>Annual Report 2025</w:t>
      </w:r>
      <w:r>
        <w:t xml:space="preserve">. Available at: loreal-finance.com (Accessed: 15 April 2026). </w:t>
      </w:r>
      <w:hyperlink r:id="rId27" w:history="1">
        <w:r>
          <w:rPr>
            <w:rStyle w:val="Hyperlink"/>
          </w:rPr>
          <w:t>https://www.loreal-finance.com/en/annual-report-2025/</w:t>
        </w:r>
      </w:hyperlink>
      <w:r>
        <w:t xml:space="preserve"> </w:t>
      </w:r>
    </w:p>
    <w:p w14:paraId="3A1D9216" w14:textId="77777777" w:rsidR="004C2014" w:rsidRDefault="004C2014" w:rsidP="004C2014">
      <w:pPr>
        <w:pStyle w:val="NormalWeb"/>
      </w:pPr>
      <w:r>
        <w:t xml:space="preserve">L’Oréal (2025b) </w:t>
      </w:r>
      <w:r>
        <w:rPr>
          <w:i/>
          <w:iCs/>
        </w:rPr>
        <w:t>General Meeting of 29 April 2025: answers by the Board of Directors to written questions</w:t>
      </w:r>
      <w:r>
        <w:t xml:space="preserve">. Available at: </w:t>
      </w:r>
      <w:hyperlink r:id="rId28" w:history="1">
        <w:r>
          <w:rPr>
            <w:rStyle w:val="Hyperlink"/>
          </w:rPr>
          <w:t>https://www.marketscreener.com/quote/stock/L-OREAL-4666/news/L-Oreal-General-Meeting-of-29-April-2025-Answers-by-the-Board-of-Directors-to-written-questions-49746731/</w:t>
        </w:r>
      </w:hyperlink>
      <w:r>
        <w:t xml:space="preserve"> </w:t>
      </w:r>
    </w:p>
    <w:p w14:paraId="1B7A2B90" w14:textId="77777777" w:rsidR="004C2014" w:rsidRDefault="004C2014" w:rsidP="004C2014">
      <w:pPr>
        <w:pStyle w:val="NormalWeb"/>
      </w:pPr>
      <w:r>
        <w:t xml:space="preserve">L’Oréal (2026) </w:t>
      </w:r>
      <w:r>
        <w:rPr>
          <w:i/>
          <w:iCs/>
        </w:rPr>
        <w:t>Privacy Policy for Consumers</w:t>
      </w:r>
      <w:r>
        <w:t xml:space="preserve">. Available at: loreal.com (Accessed: 15 April 2026). </w:t>
      </w:r>
      <w:hyperlink r:id="rId29" w:history="1">
        <w:r>
          <w:rPr>
            <w:rStyle w:val="Hyperlink"/>
          </w:rPr>
          <w:t>https://www.loreal.com/en/privacy-policy-links/</w:t>
        </w:r>
      </w:hyperlink>
      <w:r>
        <w:t xml:space="preserve"> </w:t>
      </w:r>
    </w:p>
    <w:p w14:paraId="38E5F76C" w14:textId="77777777" w:rsidR="004C2014" w:rsidRDefault="004C2014" w:rsidP="004C2014">
      <w:pPr>
        <w:pStyle w:val="NormalWeb"/>
      </w:pPr>
      <w:r>
        <w:t>Mahajan, R., Lim, W.M., Sareen, M., Kumar, S. and Panwar, R. (2023). Stakeholder theory. </w:t>
      </w:r>
      <w:r>
        <w:rPr>
          <w:i/>
          <w:iCs/>
        </w:rPr>
        <w:t>Journal of Business Research</w:t>
      </w:r>
      <w:r>
        <w:t>, </w:t>
      </w:r>
      <w:r>
        <w:rPr>
          <w:i/>
          <w:iCs/>
        </w:rPr>
        <w:t>166</w:t>
      </w:r>
      <w:r>
        <w:t>, p.114104.</w:t>
      </w:r>
    </w:p>
    <w:p w14:paraId="6951C858" w14:textId="77777777" w:rsidR="004C2014" w:rsidRDefault="004C2014" w:rsidP="004C2014">
      <w:pPr>
        <w:pStyle w:val="NormalWeb"/>
      </w:pPr>
      <w:proofErr w:type="spellStart"/>
      <w:r>
        <w:lastRenderedPageBreak/>
        <w:t>Mühlhoff</w:t>
      </w:r>
      <w:proofErr w:type="spellEnd"/>
      <w:r>
        <w:t xml:space="preserve">, R. and </w:t>
      </w:r>
      <w:proofErr w:type="spellStart"/>
      <w:r>
        <w:t>Ruschemeier</w:t>
      </w:r>
      <w:proofErr w:type="spellEnd"/>
      <w:r>
        <w:t>, H. (2025). Updating purpose limitation for AI: a normative approach from law and philosophy. </w:t>
      </w:r>
      <w:r>
        <w:rPr>
          <w:i/>
          <w:iCs/>
        </w:rPr>
        <w:t>International Journal of Law and Information Technology</w:t>
      </w:r>
      <w:r>
        <w:t>, </w:t>
      </w:r>
      <w:r>
        <w:rPr>
          <w:i/>
          <w:iCs/>
        </w:rPr>
        <w:t>33</w:t>
      </w:r>
      <w:r>
        <w:t>, p.eaaf003.</w:t>
      </w:r>
    </w:p>
    <w:p w14:paraId="017FB735" w14:textId="77777777" w:rsidR="004C2014" w:rsidRDefault="004C2014" w:rsidP="004C2014">
      <w:pPr>
        <w:pStyle w:val="NormalWeb"/>
      </w:pPr>
      <w:r>
        <w:t xml:space="preserve">National Institute of Standards and Technology (2023) </w:t>
      </w:r>
      <w:r>
        <w:rPr>
          <w:i/>
          <w:iCs/>
        </w:rPr>
        <w:t>Artificial Intelligence Risk Management Framework (AI RMF 1.0)</w:t>
      </w:r>
      <w:r>
        <w:t xml:space="preserve">. Gaithersburg, MD: NIST. Available at: nvlpubs.nist.gov (Accessed: 15 April 2026). </w:t>
      </w:r>
      <w:hyperlink r:id="rId30" w:history="1">
        <w:r>
          <w:rPr>
            <w:rStyle w:val="Hyperlink"/>
          </w:rPr>
          <w:t>https://www.nist.gov/publications/artificial-intelligence-risk-management-framework-ai-rmf-10</w:t>
        </w:r>
      </w:hyperlink>
      <w:r>
        <w:t xml:space="preserve"> </w:t>
      </w:r>
    </w:p>
    <w:p w14:paraId="1BA41A90" w14:textId="77777777" w:rsidR="004C2014" w:rsidRDefault="004C2014" w:rsidP="004C2014">
      <w:pPr>
        <w:pStyle w:val="NormalWeb"/>
      </w:pPr>
      <w:r>
        <w:t>Noy, S. and Zhang, W. (2023). Experimental evidence on the productivity effects of generative artificial intelligence. </w:t>
      </w:r>
      <w:r>
        <w:rPr>
          <w:i/>
          <w:iCs/>
        </w:rPr>
        <w:t>Science</w:t>
      </w:r>
      <w:r>
        <w:t>, </w:t>
      </w:r>
      <w:r>
        <w:rPr>
          <w:i/>
          <w:iCs/>
        </w:rPr>
        <w:t>381</w:t>
      </w:r>
      <w:r>
        <w:t>(6654), pp.187-192.</w:t>
      </w:r>
    </w:p>
    <w:p w14:paraId="019BC389" w14:textId="77777777" w:rsidR="004C2014" w:rsidRDefault="004C2014" w:rsidP="004C2014">
      <w:pPr>
        <w:pStyle w:val="NormalWeb"/>
      </w:pPr>
      <w:r>
        <w:t xml:space="preserve">OECD (2025a) </w:t>
      </w:r>
      <w:r>
        <w:rPr>
          <w:i/>
          <w:iCs/>
        </w:rPr>
        <w:t>Unlocking productivity with generative AI: evidence from experimental studies</w:t>
      </w:r>
      <w:r>
        <w:t xml:space="preserve">. Available at: oecd.org (Accessed: 15 April 2026). </w:t>
      </w:r>
      <w:hyperlink r:id="rId31" w:history="1">
        <w:r>
          <w:rPr>
            <w:rStyle w:val="Hyperlink"/>
          </w:rPr>
          <w:t>https://www.oecd.org/en/blogs/2025/07/unlocking-productivity-with-generative-ai-evidence-from-experimental-studies.html</w:t>
        </w:r>
      </w:hyperlink>
      <w:r>
        <w:t xml:space="preserve"> </w:t>
      </w:r>
    </w:p>
    <w:p w14:paraId="4FA906BE" w14:textId="77777777" w:rsidR="004C2014" w:rsidRDefault="004C2014" w:rsidP="004C2014">
      <w:pPr>
        <w:pStyle w:val="NormalWeb"/>
      </w:pPr>
      <w:r>
        <w:t xml:space="preserve">Roberts, H., </w:t>
      </w:r>
      <w:proofErr w:type="spellStart"/>
      <w:r>
        <w:t>Babuta</w:t>
      </w:r>
      <w:proofErr w:type="spellEnd"/>
      <w:r>
        <w:t xml:space="preserve">, A., Morley, J., Thomas, C., Taddeo, M. and </w:t>
      </w:r>
      <w:proofErr w:type="spellStart"/>
      <w:r>
        <w:t>Floridi</w:t>
      </w:r>
      <w:proofErr w:type="spellEnd"/>
      <w:r>
        <w:t>, L. (2023). Artificial intelligence regulation in the United Kingdom: a path to good governance and global leadership?. </w:t>
      </w:r>
      <w:r>
        <w:rPr>
          <w:i/>
          <w:iCs/>
        </w:rPr>
        <w:t>Internet Policy Review</w:t>
      </w:r>
      <w:r>
        <w:t>, </w:t>
      </w:r>
      <w:r>
        <w:rPr>
          <w:i/>
          <w:iCs/>
        </w:rPr>
        <w:t>12</w:t>
      </w:r>
      <w:r>
        <w:t>(2), pp.1-31.</w:t>
      </w:r>
    </w:p>
    <w:p w14:paraId="2274906A" w14:textId="77777777" w:rsidR="004C2014" w:rsidRDefault="004C2014" w:rsidP="004C2014">
      <w:pPr>
        <w:pStyle w:val="NormalWeb"/>
      </w:pPr>
      <w:proofErr w:type="spellStart"/>
      <w:r>
        <w:t>Schuett</w:t>
      </w:r>
      <w:proofErr w:type="spellEnd"/>
      <w:r>
        <w:t xml:space="preserve">, J., Reuel, A.K. and </w:t>
      </w:r>
      <w:proofErr w:type="spellStart"/>
      <w:r>
        <w:t>Carlier</w:t>
      </w:r>
      <w:proofErr w:type="spellEnd"/>
      <w:r>
        <w:t>, A. (2025). How to design an AI ethics board. </w:t>
      </w:r>
      <w:r>
        <w:rPr>
          <w:i/>
          <w:iCs/>
        </w:rPr>
        <w:t>AI and Ethics</w:t>
      </w:r>
      <w:r>
        <w:t>, </w:t>
      </w:r>
      <w:r>
        <w:rPr>
          <w:i/>
          <w:iCs/>
        </w:rPr>
        <w:t>5</w:t>
      </w:r>
      <w:r>
        <w:t>(2), pp.863-881.</w:t>
      </w:r>
    </w:p>
    <w:p w14:paraId="6CD4F09F" w14:textId="77777777" w:rsidR="004C2014" w:rsidRDefault="004C2014" w:rsidP="004C2014">
      <w:pPr>
        <w:pStyle w:val="NormalWeb"/>
        <w:rPr>
          <w:lang w:val="en-AU"/>
        </w:rPr>
      </w:pPr>
      <w:r>
        <w:rPr>
          <w:lang w:val="en-AU"/>
        </w:rPr>
        <w:t xml:space="preserve">Shiseido (2024) </w:t>
      </w:r>
      <w:r>
        <w:rPr>
          <w:i/>
          <w:iCs/>
          <w:lang w:val="en-AU"/>
        </w:rPr>
        <w:t>Shiseido ushers in new era of innovative cosmetics development by blending century of research with advanced AI technology</w:t>
      </w:r>
      <w:r>
        <w:rPr>
          <w:lang w:val="en-AU"/>
        </w:rPr>
        <w:t xml:space="preserve">. Available at: </w:t>
      </w:r>
      <w:hyperlink r:id="rId32" w:history="1">
        <w:r>
          <w:rPr>
            <w:rStyle w:val="Hyperlink"/>
            <w:lang w:val="en-AU"/>
          </w:rPr>
          <w:t>https://corp.shiseido.com/en/news/detail.html?n=00000000003893</w:t>
        </w:r>
      </w:hyperlink>
      <w:r>
        <w:rPr>
          <w:lang w:val="en-AU"/>
        </w:rPr>
        <w:t xml:space="preserve"> (Accessed: 16 April 2026). </w:t>
      </w:r>
    </w:p>
    <w:p w14:paraId="401FF3DB" w14:textId="77777777" w:rsidR="004C2014" w:rsidRDefault="004C2014" w:rsidP="004C2014">
      <w:pPr>
        <w:pStyle w:val="NormalWeb"/>
        <w:rPr>
          <w:lang w:val="en-AU"/>
        </w:rPr>
      </w:pPr>
      <w:r>
        <w:rPr>
          <w:lang w:val="en-AU"/>
        </w:rPr>
        <w:t xml:space="preserve">Shiseido (2025a) </w:t>
      </w:r>
      <w:r>
        <w:rPr>
          <w:i/>
          <w:iCs/>
          <w:lang w:val="en-AU"/>
        </w:rPr>
        <w:t>Shiseido Selected as “Noteworthy DX Company 2025” under Digital Transformation Stock Selection 2025 Program</w:t>
      </w:r>
      <w:r>
        <w:rPr>
          <w:lang w:val="en-AU"/>
        </w:rPr>
        <w:t xml:space="preserve">. Available at:  </w:t>
      </w:r>
      <w:hyperlink r:id="rId33" w:history="1">
        <w:r>
          <w:rPr>
            <w:rStyle w:val="Hyperlink"/>
            <w:lang w:val="en-AU"/>
          </w:rPr>
          <w:t>https://corp.shiseido.com/en/news/detail.html?n=00000000004003</w:t>
        </w:r>
      </w:hyperlink>
      <w:r>
        <w:rPr>
          <w:lang w:val="en-AU"/>
        </w:rPr>
        <w:t xml:space="preserve">  (Accessed: 16 April 2026).</w:t>
      </w:r>
    </w:p>
    <w:p w14:paraId="24DAE836" w14:textId="77777777" w:rsidR="004C2014" w:rsidRDefault="004C2014" w:rsidP="004C2014">
      <w:pPr>
        <w:pStyle w:val="NormalWeb"/>
        <w:rPr>
          <w:lang w:val="en-AU"/>
        </w:rPr>
      </w:pPr>
      <w:r>
        <w:rPr>
          <w:lang w:val="en-AU"/>
        </w:rPr>
        <w:t xml:space="preserve">Shiseido (2025b) </w:t>
      </w:r>
      <w:r>
        <w:rPr>
          <w:i/>
          <w:iCs/>
          <w:lang w:val="en-AU"/>
        </w:rPr>
        <w:t>Shiseido Announces 2030 Medium-Term Strategy</w:t>
      </w:r>
      <w:r>
        <w:rPr>
          <w:lang w:val="en-AU"/>
        </w:rPr>
        <w:t xml:space="preserve">. Available at: </w:t>
      </w:r>
      <w:hyperlink r:id="rId34" w:history="1">
        <w:r>
          <w:rPr>
            <w:rStyle w:val="Hyperlink"/>
            <w:lang w:val="en-AU"/>
          </w:rPr>
          <w:t>https://corp.shiseido.com/en/news/detail.html?n=00000000004093</w:t>
        </w:r>
      </w:hyperlink>
      <w:r>
        <w:rPr>
          <w:lang w:val="en-AU"/>
        </w:rPr>
        <w:t xml:space="preserve"> (Accessed: 16 April 2026).</w:t>
      </w:r>
    </w:p>
    <w:p w14:paraId="7D0B1650" w14:textId="77777777" w:rsidR="004C2014" w:rsidRDefault="004C2014" w:rsidP="004C2014">
      <w:pPr>
        <w:pStyle w:val="NormalWeb"/>
        <w:rPr>
          <w:lang w:val="en-AU"/>
        </w:rPr>
      </w:pPr>
      <w:r>
        <w:rPr>
          <w:lang w:val="en-AU"/>
        </w:rPr>
        <w:t xml:space="preserve">The Estée Lauder Companies (2025a) </w:t>
      </w:r>
      <w:r>
        <w:rPr>
          <w:i/>
          <w:iCs/>
          <w:lang w:val="en-AU"/>
        </w:rPr>
        <w:t>ELC Partners with Adobe to Scale the Production of Digital Marketing with Firefly Generative AI</w:t>
      </w:r>
      <w:r>
        <w:rPr>
          <w:lang w:val="en-AU"/>
        </w:rPr>
        <w:t xml:space="preserve">. Available at:  </w:t>
      </w:r>
      <w:hyperlink r:id="rId35" w:history="1">
        <w:r>
          <w:rPr>
            <w:rStyle w:val="Hyperlink"/>
            <w:lang w:val="en-AU"/>
          </w:rPr>
          <w:t>https://www.elcompanies.com/en/news-and-media/newsroom/press-releases/2025/03-12-2025-02</w:t>
        </w:r>
      </w:hyperlink>
      <w:r>
        <w:rPr>
          <w:lang w:val="en-AU"/>
        </w:rPr>
        <w:t xml:space="preserve">  (Accessed: 16 April 2026).</w:t>
      </w:r>
    </w:p>
    <w:p w14:paraId="2D63EBD5" w14:textId="77777777" w:rsidR="004C2014" w:rsidRDefault="004C2014" w:rsidP="004C2014">
      <w:pPr>
        <w:pStyle w:val="NormalWeb"/>
        <w:rPr>
          <w:lang w:val="en-AU"/>
        </w:rPr>
      </w:pPr>
      <w:r>
        <w:rPr>
          <w:lang w:val="en-AU"/>
        </w:rPr>
        <w:t xml:space="preserve">The Estée Lauder Companies (2025b) </w:t>
      </w:r>
      <w:r>
        <w:rPr>
          <w:i/>
          <w:iCs/>
          <w:lang w:val="en-AU"/>
        </w:rPr>
        <w:t>The Estée Lauder Companies Reports Fiscal 2025 Results</w:t>
      </w:r>
      <w:r>
        <w:rPr>
          <w:lang w:val="en-AU"/>
        </w:rPr>
        <w:t xml:space="preserve">. Available at: </w:t>
      </w:r>
      <w:hyperlink r:id="rId36" w:history="1">
        <w:r>
          <w:rPr>
            <w:rStyle w:val="Hyperlink"/>
            <w:lang w:val="en-AU"/>
          </w:rPr>
          <w:t>https://www.elcompanies.com/en/news-and-media/newsroom/press-releases/2025/08-20-2025-110025649</w:t>
        </w:r>
      </w:hyperlink>
      <w:r>
        <w:rPr>
          <w:lang w:val="en-AU"/>
        </w:rPr>
        <w:t xml:space="preserve"> (Accessed: 16 April 2026).</w:t>
      </w:r>
    </w:p>
    <w:p w14:paraId="6D5B0C17" w14:textId="77777777" w:rsidR="004C2014" w:rsidRDefault="004C2014" w:rsidP="004C2014">
      <w:pPr>
        <w:pStyle w:val="NormalWeb"/>
        <w:rPr>
          <w:lang w:val="en-AU"/>
        </w:rPr>
      </w:pPr>
      <w:r>
        <w:rPr>
          <w:lang w:val="en-AU"/>
        </w:rPr>
        <w:t xml:space="preserve">The Estée Lauder Companies (2026) </w:t>
      </w:r>
      <w:r>
        <w:rPr>
          <w:i/>
          <w:iCs/>
          <w:lang w:val="en-AU"/>
        </w:rPr>
        <w:t>The Estée Lauder Companies Reports Fiscal 2026 Second Quarter Results</w:t>
      </w:r>
      <w:r>
        <w:rPr>
          <w:lang w:val="en-AU"/>
        </w:rPr>
        <w:t xml:space="preserve">. Available at: </w:t>
      </w:r>
      <w:hyperlink r:id="rId37" w:history="1">
        <w:r>
          <w:rPr>
            <w:rStyle w:val="Hyperlink"/>
            <w:lang w:val="en-AU"/>
          </w:rPr>
          <w:t>https://www.elcompanies.com/en/news-and-media/newsroom/press-releases/2026/02-05-2026-110042358</w:t>
        </w:r>
      </w:hyperlink>
      <w:r>
        <w:rPr>
          <w:lang w:val="en-AU"/>
        </w:rPr>
        <w:t xml:space="preserve"> (Accessed: 16 April 2026).</w:t>
      </w:r>
    </w:p>
    <w:p w14:paraId="58EBB3A8" w14:textId="77777777" w:rsidR="004C2014" w:rsidRDefault="004C2014" w:rsidP="004C2014">
      <w:pPr>
        <w:pStyle w:val="NormalWeb"/>
        <w:rPr>
          <w:lang w:val="en-US"/>
        </w:rPr>
      </w:pPr>
      <w:r>
        <w:t xml:space="preserve">Weir, V.R., Dempsey, K., </w:t>
      </w:r>
      <w:proofErr w:type="spellStart"/>
      <w:r>
        <w:t>Gichoya</w:t>
      </w:r>
      <w:proofErr w:type="spellEnd"/>
      <w:r>
        <w:t xml:space="preserve">, J.W., </w:t>
      </w:r>
      <w:proofErr w:type="spellStart"/>
      <w:r>
        <w:t>Rotemberg</w:t>
      </w:r>
      <w:proofErr w:type="spellEnd"/>
      <w:r>
        <w:t>, V. and Wong, A.K.I. (2024). A survey of skin tone assessment in prospective research. </w:t>
      </w:r>
      <w:r>
        <w:rPr>
          <w:i/>
          <w:iCs/>
        </w:rPr>
        <w:t>NPJ Digital Medicine</w:t>
      </w:r>
      <w:r>
        <w:t>, </w:t>
      </w:r>
      <w:r>
        <w:rPr>
          <w:i/>
          <w:iCs/>
        </w:rPr>
        <w:t>7</w:t>
      </w:r>
      <w:r>
        <w:t>(1), p.191.</w:t>
      </w:r>
    </w:p>
    <w:p w14:paraId="64E0E617" w14:textId="578836D2" w:rsidR="00D02BDD" w:rsidRPr="004C2014" w:rsidRDefault="00D02BDD" w:rsidP="004C2014"/>
    <w:sectPr w:rsidR="00D02BDD" w:rsidRPr="004C2014" w:rsidSect="007D1947">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87728" w14:textId="77777777" w:rsidR="00406EFA" w:rsidRDefault="00406EFA" w:rsidP="00F33B24">
      <w:pPr>
        <w:spacing w:after="0" w:line="240" w:lineRule="auto"/>
      </w:pPr>
      <w:r>
        <w:separator/>
      </w:r>
    </w:p>
  </w:endnote>
  <w:endnote w:type="continuationSeparator" w:id="0">
    <w:p w14:paraId="46EB3EDE" w14:textId="77777777" w:rsidR="00406EFA" w:rsidRDefault="00406EFA" w:rsidP="00F3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5088306"/>
      <w:docPartObj>
        <w:docPartGallery w:val="Page Numbers (Bottom of Page)"/>
        <w:docPartUnique/>
      </w:docPartObj>
    </w:sdtPr>
    <w:sdtEndPr>
      <w:rPr>
        <w:noProof/>
      </w:rPr>
    </w:sdtEndPr>
    <w:sdtContent>
      <w:p w14:paraId="4C366E65" w14:textId="31925501" w:rsidR="00F33B24" w:rsidRDefault="00F33B2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67ED3F4" w14:textId="77777777" w:rsidR="00F33B24" w:rsidRDefault="00F33B24">
    <w:pPr>
      <w:pStyle w:val="Head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A2ED5" w14:textId="77777777" w:rsidR="00406EFA" w:rsidRDefault="00406EFA" w:rsidP="00F33B24">
      <w:pPr>
        <w:spacing w:after="0" w:line="240" w:lineRule="auto"/>
      </w:pPr>
      <w:r>
        <w:separator/>
      </w:r>
    </w:p>
  </w:footnote>
  <w:footnote w:type="continuationSeparator" w:id="0">
    <w:p w14:paraId="101ED89B" w14:textId="77777777" w:rsidR="00406EFA" w:rsidRDefault="00406EFA" w:rsidP="00F33B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C19F7"/>
    <w:multiLevelType w:val="hybridMultilevel"/>
    <w:tmpl w:val="465A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DF4486"/>
    <w:multiLevelType w:val="hybridMultilevel"/>
    <w:tmpl w:val="39247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8201F0"/>
    <w:multiLevelType w:val="hybridMultilevel"/>
    <w:tmpl w:val="11707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522403"/>
    <w:multiLevelType w:val="hybridMultilevel"/>
    <w:tmpl w:val="66289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CE2FC0"/>
    <w:multiLevelType w:val="hybridMultilevel"/>
    <w:tmpl w:val="4E988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1C7C0687"/>
    <w:multiLevelType w:val="multilevel"/>
    <w:tmpl w:val="31A26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AB2885"/>
    <w:multiLevelType w:val="hybridMultilevel"/>
    <w:tmpl w:val="3C7A9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297538"/>
    <w:multiLevelType w:val="hybridMultilevel"/>
    <w:tmpl w:val="8BD29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C43023"/>
    <w:multiLevelType w:val="multilevel"/>
    <w:tmpl w:val="CAE65B5A"/>
    <w:lvl w:ilvl="0">
      <w:start w:val="4"/>
      <w:numFmt w:val="decimal"/>
      <w:lvlText w:val="%1"/>
      <w:lvlJc w:val="left"/>
      <w:pPr>
        <w:ind w:left="672" w:hanging="672"/>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10" w15:restartNumberingAfterBreak="0">
    <w:nsid w:val="2CEC0E29"/>
    <w:multiLevelType w:val="hybridMultilevel"/>
    <w:tmpl w:val="D818A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617F1E"/>
    <w:multiLevelType w:val="multilevel"/>
    <w:tmpl w:val="0D70C50C"/>
    <w:lvl w:ilvl="0">
      <w:start w:val="1"/>
      <w:numFmt w:val="decimal"/>
      <w:lvlText w:val="%1."/>
      <w:lvlJc w:val="left"/>
      <w:pPr>
        <w:ind w:left="720" w:hanging="360"/>
      </w:pPr>
      <w:rPr>
        <w:rFonts w:asciiTheme="majorHAnsi" w:eastAsiaTheme="majorEastAsia" w:hAnsiTheme="majorHAnsi" w:cstheme="majorBidi"/>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2" w15:restartNumberingAfterBreak="0">
    <w:nsid w:val="30CE1AD5"/>
    <w:multiLevelType w:val="hybridMultilevel"/>
    <w:tmpl w:val="03367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413578"/>
    <w:multiLevelType w:val="hybridMultilevel"/>
    <w:tmpl w:val="E1A4F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BE341E"/>
    <w:multiLevelType w:val="hybridMultilevel"/>
    <w:tmpl w:val="3A80A4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274C8A"/>
    <w:multiLevelType w:val="multilevel"/>
    <w:tmpl w:val="36ACBE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6" w15:restartNumberingAfterBreak="0">
    <w:nsid w:val="35C761F1"/>
    <w:multiLevelType w:val="hybridMultilevel"/>
    <w:tmpl w:val="5266A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02099A"/>
    <w:multiLevelType w:val="hybridMultilevel"/>
    <w:tmpl w:val="F806C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B821795"/>
    <w:multiLevelType w:val="hybridMultilevel"/>
    <w:tmpl w:val="EDD4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69417D"/>
    <w:multiLevelType w:val="hybridMultilevel"/>
    <w:tmpl w:val="0E9E0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595899"/>
    <w:multiLevelType w:val="multilevel"/>
    <w:tmpl w:val="70840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F52810"/>
    <w:multiLevelType w:val="hybridMultilevel"/>
    <w:tmpl w:val="69BE3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5F0528"/>
    <w:multiLevelType w:val="multilevel"/>
    <w:tmpl w:val="36ACBE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3" w15:restartNumberingAfterBreak="0">
    <w:nsid w:val="520D0BE8"/>
    <w:multiLevelType w:val="hybridMultilevel"/>
    <w:tmpl w:val="DB96A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C0381D"/>
    <w:multiLevelType w:val="hybridMultilevel"/>
    <w:tmpl w:val="FA367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994617"/>
    <w:multiLevelType w:val="multilevel"/>
    <w:tmpl w:val="23C6A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F4E09"/>
    <w:multiLevelType w:val="multilevel"/>
    <w:tmpl w:val="D200E0CE"/>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659615A"/>
    <w:multiLevelType w:val="multilevel"/>
    <w:tmpl w:val="36ACBE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8" w15:restartNumberingAfterBreak="0">
    <w:nsid w:val="569549DF"/>
    <w:multiLevelType w:val="hybridMultilevel"/>
    <w:tmpl w:val="5DBC7D32"/>
    <w:lvl w:ilvl="0" w:tplc="0C090001">
      <w:start w:val="1"/>
      <w:numFmt w:val="bullet"/>
      <w:lvlText w:val=""/>
      <w:lvlJc w:val="left"/>
      <w:pPr>
        <w:ind w:left="853" w:hanging="360"/>
      </w:pPr>
      <w:rPr>
        <w:rFonts w:ascii="Symbol" w:hAnsi="Symbol" w:hint="default"/>
      </w:rPr>
    </w:lvl>
    <w:lvl w:ilvl="1" w:tplc="0C090003" w:tentative="1">
      <w:start w:val="1"/>
      <w:numFmt w:val="bullet"/>
      <w:lvlText w:val="o"/>
      <w:lvlJc w:val="left"/>
      <w:pPr>
        <w:ind w:left="1573" w:hanging="360"/>
      </w:pPr>
      <w:rPr>
        <w:rFonts w:ascii="Courier New" w:hAnsi="Courier New" w:cs="Courier New" w:hint="default"/>
      </w:rPr>
    </w:lvl>
    <w:lvl w:ilvl="2" w:tplc="0C090005" w:tentative="1">
      <w:start w:val="1"/>
      <w:numFmt w:val="bullet"/>
      <w:lvlText w:val=""/>
      <w:lvlJc w:val="left"/>
      <w:pPr>
        <w:ind w:left="2293" w:hanging="360"/>
      </w:pPr>
      <w:rPr>
        <w:rFonts w:ascii="Wingdings" w:hAnsi="Wingdings" w:hint="default"/>
      </w:rPr>
    </w:lvl>
    <w:lvl w:ilvl="3" w:tplc="0C090001" w:tentative="1">
      <w:start w:val="1"/>
      <w:numFmt w:val="bullet"/>
      <w:lvlText w:val=""/>
      <w:lvlJc w:val="left"/>
      <w:pPr>
        <w:ind w:left="3013" w:hanging="360"/>
      </w:pPr>
      <w:rPr>
        <w:rFonts w:ascii="Symbol" w:hAnsi="Symbol" w:hint="default"/>
      </w:rPr>
    </w:lvl>
    <w:lvl w:ilvl="4" w:tplc="0C090003" w:tentative="1">
      <w:start w:val="1"/>
      <w:numFmt w:val="bullet"/>
      <w:lvlText w:val="o"/>
      <w:lvlJc w:val="left"/>
      <w:pPr>
        <w:ind w:left="3733" w:hanging="360"/>
      </w:pPr>
      <w:rPr>
        <w:rFonts w:ascii="Courier New" w:hAnsi="Courier New" w:cs="Courier New" w:hint="default"/>
      </w:rPr>
    </w:lvl>
    <w:lvl w:ilvl="5" w:tplc="0C090005" w:tentative="1">
      <w:start w:val="1"/>
      <w:numFmt w:val="bullet"/>
      <w:lvlText w:val=""/>
      <w:lvlJc w:val="left"/>
      <w:pPr>
        <w:ind w:left="4453" w:hanging="360"/>
      </w:pPr>
      <w:rPr>
        <w:rFonts w:ascii="Wingdings" w:hAnsi="Wingdings" w:hint="default"/>
      </w:rPr>
    </w:lvl>
    <w:lvl w:ilvl="6" w:tplc="0C090001" w:tentative="1">
      <w:start w:val="1"/>
      <w:numFmt w:val="bullet"/>
      <w:lvlText w:val=""/>
      <w:lvlJc w:val="left"/>
      <w:pPr>
        <w:ind w:left="5173" w:hanging="360"/>
      </w:pPr>
      <w:rPr>
        <w:rFonts w:ascii="Symbol" w:hAnsi="Symbol" w:hint="default"/>
      </w:rPr>
    </w:lvl>
    <w:lvl w:ilvl="7" w:tplc="0C090003" w:tentative="1">
      <w:start w:val="1"/>
      <w:numFmt w:val="bullet"/>
      <w:lvlText w:val="o"/>
      <w:lvlJc w:val="left"/>
      <w:pPr>
        <w:ind w:left="5893" w:hanging="360"/>
      </w:pPr>
      <w:rPr>
        <w:rFonts w:ascii="Courier New" w:hAnsi="Courier New" w:cs="Courier New" w:hint="default"/>
      </w:rPr>
    </w:lvl>
    <w:lvl w:ilvl="8" w:tplc="0C090005" w:tentative="1">
      <w:start w:val="1"/>
      <w:numFmt w:val="bullet"/>
      <w:lvlText w:val=""/>
      <w:lvlJc w:val="left"/>
      <w:pPr>
        <w:ind w:left="6613" w:hanging="360"/>
      </w:pPr>
      <w:rPr>
        <w:rFonts w:ascii="Wingdings" w:hAnsi="Wingdings" w:hint="default"/>
      </w:rPr>
    </w:lvl>
  </w:abstractNum>
  <w:abstractNum w:abstractNumId="29" w15:restartNumberingAfterBreak="0">
    <w:nsid w:val="58271892"/>
    <w:multiLevelType w:val="hybridMultilevel"/>
    <w:tmpl w:val="84D2D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A80601"/>
    <w:multiLevelType w:val="multilevel"/>
    <w:tmpl w:val="13645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710328"/>
    <w:multiLevelType w:val="multilevel"/>
    <w:tmpl w:val="36ACBE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2" w15:restartNumberingAfterBreak="0">
    <w:nsid w:val="710A667F"/>
    <w:multiLevelType w:val="hybridMultilevel"/>
    <w:tmpl w:val="B9986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1C9077F"/>
    <w:multiLevelType w:val="hybridMultilevel"/>
    <w:tmpl w:val="91DC49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CD7B2D"/>
    <w:multiLevelType w:val="multilevel"/>
    <w:tmpl w:val="36ACBE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5" w15:restartNumberingAfterBreak="0">
    <w:nsid w:val="76EF01B3"/>
    <w:multiLevelType w:val="multilevel"/>
    <w:tmpl w:val="36ACBE7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6" w15:restartNumberingAfterBreak="0">
    <w:nsid w:val="775964BD"/>
    <w:multiLevelType w:val="hybridMultilevel"/>
    <w:tmpl w:val="E8189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7652250"/>
    <w:multiLevelType w:val="hybridMultilevel"/>
    <w:tmpl w:val="723A7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99A61EC"/>
    <w:multiLevelType w:val="multilevel"/>
    <w:tmpl w:val="D32A7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BB09C6"/>
    <w:multiLevelType w:val="hybridMultilevel"/>
    <w:tmpl w:val="46C8D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757000"/>
    <w:multiLevelType w:val="hybridMultilevel"/>
    <w:tmpl w:val="F9B66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8"/>
  </w:num>
  <w:num w:numId="3">
    <w:abstractNumId w:val="25"/>
  </w:num>
  <w:num w:numId="4">
    <w:abstractNumId w:val="26"/>
  </w:num>
  <w:num w:numId="5">
    <w:abstractNumId w:val="5"/>
  </w:num>
  <w:num w:numId="6">
    <w:abstractNumId w:val="28"/>
  </w:num>
  <w:num w:numId="7">
    <w:abstractNumId w:val="30"/>
  </w:num>
  <w:num w:numId="8">
    <w:abstractNumId w:val="20"/>
  </w:num>
  <w:num w:numId="9">
    <w:abstractNumId w:val="11"/>
  </w:num>
  <w:num w:numId="10">
    <w:abstractNumId w:val="15"/>
  </w:num>
  <w:num w:numId="11">
    <w:abstractNumId w:val="34"/>
  </w:num>
  <w:num w:numId="12">
    <w:abstractNumId w:val="22"/>
  </w:num>
  <w:num w:numId="13">
    <w:abstractNumId w:val="40"/>
  </w:num>
  <w:num w:numId="14">
    <w:abstractNumId w:val="27"/>
  </w:num>
  <w:num w:numId="15">
    <w:abstractNumId w:val="37"/>
  </w:num>
  <w:num w:numId="16">
    <w:abstractNumId w:val="8"/>
  </w:num>
  <w:num w:numId="17">
    <w:abstractNumId w:val="14"/>
  </w:num>
  <w:num w:numId="18">
    <w:abstractNumId w:val="4"/>
  </w:num>
  <w:num w:numId="19">
    <w:abstractNumId w:val="18"/>
  </w:num>
  <w:num w:numId="20">
    <w:abstractNumId w:val="12"/>
  </w:num>
  <w:num w:numId="21">
    <w:abstractNumId w:val="19"/>
  </w:num>
  <w:num w:numId="22">
    <w:abstractNumId w:val="23"/>
  </w:num>
  <w:num w:numId="23">
    <w:abstractNumId w:val="36"/>
  </w:num>
  <w:num w:numId="24">
    <w:abstractNumId w:val="17"/>
  </w:num>
  <w:num w:numId="25">
    <w:abstractNumId w:val="32"/>
  </w:num>
  <w:num w:numId="26">
    <w:abstractNumId w:val="29"/>
  </w:num>
  <w:num w:numId="27">
    <w:abstractNumId w:val="2"/>
  </w:num>
  <w:num w:numId="28">
    <w:abstractNumId w:val="3"/>
  </w:num>
  <w:num w:numId="29">
    <w:abstractNumId w:val="16"/>
  </w:num>
  <w:num w:numId="30">
    <w:abstractNumId w:val="1"/>
  </w:num>
  <w:num w:numId="31">
    <w:abstractNumId w:val="35"/>
  </w:num>
  <w:num w:numId="32">
    <w:abstractNumId w:val="24"/>
  </w:num>
  <w:num w:numId="33">
    <w:abstractNumId w:val="31"/>
  </w:num>
  <w:num w:numId="34">
    <w:abstractNumId w:val="9"/>
  </w:num>
  <w:num w:numId="35">
    <w:abstractNumId w:val="10"/>
  </w:num>
  <w:num w:numId="36">
    <w:abstractNumId w:val="13"/>
  </w:num>
  <w:num w:numId="37">
    <w:abstractNumId w:val="21"/>
  </w:num>
  <w:num w:numId="38">
    <w:abstractNumId w:val="0"/>
  </w:num>
  <w:num w:numId="39">
    <w:abstractNumId w:val="39"/>
  </w:num>
  <w:num w:numId="40">
    <w:abstractNumId w:val="33"/>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541FD"/>
    <w:rsid w:val="00084E65"/>
    <w:rsid w:val="00107936"/>
    <w:rsid w:val="00115B96"/>
    <w:rsid w:val="00134D9E"/>
    <w:rsid w:val="001567B5"/>
    <w:rsid w:val="00177B4F"/>
    <w:rsid w:val="002A5B91"/>
    <w:rsid w:val="002D2B41"/>
    <w:rsid w:val="002F4BD7"/>
    <w:rsid w:val="00324CCD"/>
    <w:rsid w:val="003B648B"/>
    <w:rsid w:val="003C11E7"/>
    <w:rsid w:val="00406EFA"/>
    <w:rsid w:val="00480872"/>
    <w:rsid w:val="004A11F6"/>
    <w:rsid w:val="004C2014"/>
    <w:rsid w:val="004D519C"/>
    <w:rsid w:val="005D45E4"/>
    <w:rsid w:val="00666281"/>
    <w:rsid w:val="00683F6A"/>
    <w:rsid w:val="00780206"/>
    <w:rsid w:val="007D1947"/>
    <w:rsid w:val="00931CAA"/>
    <w:rsid w:val="0096712C"/>
    <w:rsid w:val="009F2000"/>
    <w:rsid w:val="009F3577"/>
    <w:rsid w:val="00A11633"/>
    <w:rsid w:val="00A12B58"/>
    <w:rsid w:val="00AA2A91"/>
    <w:rsid w:val="00C06376"/>
    <w:rsid w:val="00CA09F3"/>
    <w:rsid w:val="00CA23CE"/>
    <w:rsid w:val="00CC78C4"/>
    <w:rsid w:val="00CF0E48"/>
    <w:rsid w:val="00D02BDD"/>
    <w:rsid w:val="00D818B7"/>
    <w:rsid w:val="00D854A5"/>
    <w:rsid w:val="00DA227C"/>
    <w:rsid w:val="00EC7008"/>
    <w:rsid w:val="00F33B24"/>
    <w:rsid w:val="00F36CD6"/>
    <w:rsid w:val="00F454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596033FE-89CE-4EF3-A316-97C668301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2014"/>
    <w:pPr>
      <w:spacing w:line="360" w:lineRule="auto"/>
      <w:jc w:val="both"/>
    </w:pPr>
    <w:rPr>
      <w:rFonts w:ascii="Times New Roman" w:eastAsiaTheme="minorEastAsia" w:hAnsi="Times New Roman"/>
      <w:sz w:val="24"/>
      <w:lang w:val="en-AU" w:eastAsia="en-AU"/>
    </w:rPr>
  </w:style>
  <w:style w:type="paragraph" w:styleId="Heading1">
    <w:name w:val="heading 1"/>
    <w:basedOn w:val="Normal"/>
    <w:next w:val="Normal"/>
    <w:link w:val="Heading1Char"/>
    <w:uiPriority w:val="9"/>
    <w:qFormat/>
    <w:rsid w:val="007D1947"/>
    <w:pPr>
      <w:keepNext/>
      <w:keepLines/>
      <w:spacing w:before="240" w:after="0" w:line="259" w:lineRule="auto"/>
      <w:jc w:val="left"/>
      <w:outlineLvl w:val="0"/>
    </w:pPr>
    <w:rPr>
      <w:rFonts w:asciiTheme="majorHAnsi" w:eastAsiaTheme="majorEastAsia" w:hAnsiTheme="majorHAnsi" w:cstheme="majorBidi"/>
      <w:color w:val="2E74B5" w:themeColor="accent1" w:themeShade="BF"/>
      <w:sz w:val="32"/>
      <w:szCs w:val="32"/>
      <w:lang w:val="en-GB" w:eastAsia="en-US"/>
    </w:rPr>
  </w:style>
  <w:style w:type="paragraph" w:styleId="Heading2">
    <w:name w:val="heading 2"/>
    <w:basedOn w:val="Normal"/>
    <w:next w:val="Normal"/>
    <w:link w:val="Heading2Char"/>
    <w:uiPriority w:val="9"/>
    <w:unhideWhenUsed/>
    <w:qFormat/>
    <w:rsid w:val="004D519C"/>
    <w:pPr>
      <w:keepNext/>
      <w:keepLines/>
      <w:spacing w:before="40" w:after="0" w:line="259" w:lineRule="auto"/>
      <w:jc w:val="left"/>
      <w:outlineLvl w:val="1"/>
    </w:pPr>
    <w:rPr>
      <w:rFonts w:asciiTheme="majorHAnsi" w:eastAsiaTheme="majorEastAsia" w:hAnsiTheme="majorHAnsi" w:cstheme="majorBidi"/>
      <w:color w:val="2E74B5" w:themeColor="accent1" w:themeShade="BF"/>
      <w:sz w:val="26"/>
      <w:szCs w:val="26"/>
      <w:lang w:val="en-GB" w:eastAsia="en-US"/>
    </w:rPr>
  </w:style>
  <w:style w:type="paragraph" w:styleId="Heading3">
    <w:name w:val="heading 3"/>
    <w:basedOn w:val="Normal"/>
    <w:next w:val="Normal"/>
    <w:link w:val="Heading3Char"/>
    <w:uiPriority w:val="9"/>
    <w:unhideWhenUsed/>
    <w:qFormat/>
    <w:rsid w:val="00CA23CE"/>
    <w:pPr>
      <w:keepNext/>
      <w:keepLines/>
      <w:spacing w:before="40" w:after="0" w:line="259" w:lineRule="auto"/>
      <w:jc w:val="left"/>
      <w:outlineLvl w:val="2"/>
    </w:pPr>
    <w:rPr>
      <w:rFonts w:asciiTheme="majorHAnsi" w:eastAsiaTheme="majorEastAsia" w:hAnsiTheme="majorHAnsi" w:cstheme="majorBidi"/>
      <w:color w:val="1F4D78" w:themeColor="accent1" w:themeShade="7F"/>
      <w:szCs w:val="24"/>
      <w:lang w:val="en-GB" w:eastAsia="en-US"/>
    </w:rPr>
  </w:style>
  <w:style w:type="paragraph" w:styleId="Heading4">
    <w:name w:val="heading 4"/>
    <w:basedOn w:val="Normal"/>
    <w:next w:val="Normal"/>
    <w:link w:val="Heading4Char"/>
    <w:uiPriority w:val="9"/>
    <w:semiHidden/>
    <w:unhideWhenUsed/>
    <w:qFormat/>
    <w:rsid w:val="00CA23CE"/>
    <w:pPr>
      <w:keepNext/>
      <w:keepLines/>
      <w:spacing w:before="80" w:after="40"/>
      <w:outlineLvl w:val="3"/>
    </w:pPr>
    <w:rPr>
      <w:rFonts w:eastAsiaTheme="majorEastAsia" w:cstheme="majorBidi"/>
      <w:i/>
      <w:iCs/>
      <w:color w:val="2E74B5" w:themeColor="accent1" w:themeShade="BF"/>
      <w:lang w:val="en-GB" w:eastAsia="en-US"/>
      <w14:ligatures w14:val="standardContextual"/>
    </w:rPr>
  </w:style>
  <w:style w:type="paragraph" w:styleId="Heading5">
    <w:name w:val="heading 5"/>
    <w:basedOn w:val="Normal"/>
    <w:next w:val="Normal"/>
    <w:link w:val="Heading5Char"/>
    <w:uiPriority w:val="9"/>
    <w:semiHidden/>
    <w:unhideWhenUsed/>
    <w:qFormat/>
    <w:rsid w:val="00CA23CE"/>
    <w:pPr>
      <w:keepNext/>
      <w:keepLines/>
      <w:spacing w:before="80" w:after="40"/>
      <w:outlineLvl w:val="4"/>
    </w:pPr>
    <w:rPr>
      <w:rFonts w:eastAsiaTheme="majorEastAsia" w:cstheme="majorBidi"/>
      <w:color w:val="2E74B5" w:themeColor="accent1" w:themeShade="BF"/>
      <w14:ligatures w14:val="standardContextual"/>
    </w:rPr>
  </w:style>
  <w:style w:type="paragraph" w:styleId="Heading6">
    <w:name w:val="heading 6"/>
    <w:basedOn w:val="Normal"/>
    <w:next w:val="Normal"/>
    <w:link w:val="Heading6Char"/>
    <w:uiPriority w:val="9"/>
    <w:semiHidden/>
    <w:unhideWhenUsed/>
    <w:qFormat/>
    <w:rsid w:val="00CA23CE"/>
    <w:pPr>
      <w:keepNext/>
      <w:keepLines/>
      <w:spacing w:before="40" w:after="0"/>
      <w:outlineLvl w:val="5"/>
    </w:pPr>
    <w:rPr>
      <w:rFonts w:eastAsiaTheme="majorEastAsia" w:cstheme="majorBidi"/>
      <w:i/>
      <w:iCs/>
      <w:color w:val="595959" w:themeColor="text1" w:themeTint="A6"/>
      <w14:ligatures w14:val="standardContextual"/>
    </w:rPr>
  </w:style>
  <w:style w:type="paragraph" w:styleId="Heading7">
    <w:name w:val="heading 7"/>
    <w:basedOn w:val="Normal"/>
    <w:next w:val="Normal"/>
    <w:link w:val="Heading7Char"/>
    <w:uiPriority w:val="9"/>
    <w:semiHidden/>
    <w:unhideWhenUsed/>
    <w:qFormat/>
    <w:rsid w:val="00CA23CE"/>
    <w:pPr>
      <w:keepNext/>
      <w:keepLines/>
      <w:spacing w:before="40" w:after="0"/>
      <w:outlineLvl w:val="6"/>
    </w:pPr>
    <w:rPr>
      <w:rFonts w:eastAsiaTheme="majorEastAsia" w:cstheme="majorBidi"/>
      <w:color w:val="595959" w:themeColor="text1" w:themeTint="A6"/>
      <w14:ligatures w14:val="standardContextual"/>
    </w:rPr>
  </w:style>
  <w:style w:type="paragraph" w:styleId="Heading8">
    <w:name w:val="heading 8"/>
    <w:basedOn w:val="Normal"/>
    <w:next w:val="Normal"/>
    <w:link w:val="Heading8Char"/>
    <w:uiPriority w:val="9"/>
    <w:semiHidden/>
    <w:unhideWhenUsed/>
    <w:qFormat/>
    <w:rsid w:val="00CA23CE"/>
    <w:pPr>
      <w:keepNext/>
      <w:keepLines/>
      <w:spacing w:after="0"/>
      <w:outlineLvl w:val="7"/>
    </w:pPr>
    <w:rPr>
      <w:rFonts w:eastAsiaTheme="majorEastAsia" w:cstheme="majorBidi"/>
      <w:i/>
      <w:iCs/>
      <w:color w:val="262626" w:themeColor="text1" w:themeTint="D9"/>
      <w14:ligatures w14:val="standardContextual"/>
    </w:rPr>
  </w:style>
  <w:style w:type="paragraph" w:styleId="Heading9">
    <w:name w:val="heading 9"/>
    <w:basedOn w:val="Normal"/>
    <w:next w:val="Normal"/>
    <w:link w:val="Heading9Char"/>
    <w:uiPriority w:val="9"/>
    <w:semiHidden/>
    <w:unhideWhenUsed/>
    <w:qFormat/>
    <w:rsid w:val="00CA23CE"/>
    <w:pPr>
      <w:keepNext/>
      <w:keepLines/>
      <w:spacing w:after="0"/>
      <w:outlineLvl w:val="8"/>
    </w:pPr>
    <w:rPr>
      <w:rFonts w:eastAsiaTheme="majorEastAsia" w:cstheme="majorBidi"/>
      <w:color w:val="262626" w:themeColor="text1" w:themeTint="D9"/>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7D194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qFormat/>
    <w:rsid w:val="004D519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qFormat/>
    <w:rsid w:val="00CA23C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qFormat/>
    <w:rsid w:val="00CA23CE"/>
    <w:rPr>
      <w:rFonts w:ascii="Times New Roman" w:eastAsiaTheme="majorEastAsia" w:hAnsi="Times New Roman" w:cstheme="majorBidi"/>
      <w:i/>
      <w:iCs/>
      <w:color w:val="2E74B5" w:themeColor="accent1" w:themeShade="BF"/>
      <w:sz w:val="24"/>
      <w14:ligatures w14:val="standardContextual"/>
    </w:rPr>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line="259" w:lineRule="auto"/>
      <w:jc w:val="left"/>
    </w:pPr>
    <w:rPr>
      <w:rFonts w:asciiTheme="minorHAnsi" w:eastAsiaTheme="minorHAnsi" w:hAnsiTheme="minorHAnsi"/>
      <w:sz w:val="22"/>
      <w:lang w:val="en-GB" w:eastAsia="en-US"/>
    </w:rPr>
  </w:style>
  <w:style w:type="character" w:styleId="Hyperlink">
    <w:name w:val="Hyperlink"/>
    <w:basedOn w:val="DefaultParagraphFont"/>
    <w:uiPriority w:val="99"/>
    <w:unhideWhenUsed/>
    <w:qFormat/>
    <w:rsid w:val="007D1947"/>
    <w:rPr>
      <w:color w:val="0563C1" w:themeColor="hyperlink"/>
      <w:u w:val="single"/>
    </w:rPr>
  </w:style>
  <w:style w:type="paragraph" w:styleId="TOC2">
    <w:name w:val="toc 2"/>
    <w:basedOn w:val="Normal"/>
    <w:next w:val="Normal"/>
    <w:autoRedefine/>
    <w:uiPriority w:val="39"/>
    <w:unhideWhenUsed/>
    <w:rsid w:val="00115B96"/>
    <w:pPr>
      <w:spacing w:after="100" w:line="259" w:lineRule="auto"/>
      <w:ind w:left="220"/>
      <w:jc w:val="left"/>
    </w:pPr>
    <w:rPr>
      <w:rFonts w:asciiTheme="minorHAnsi" w:eastAsiaTheme="minorHAnsi" w:hAnsiTheme="minorHAnsi"/>
      <w:sz w:val="22"/>
      <w:lang w:val="en-GB" w:eastAsia="en-US"/>
    </w:rPr>
  </w:style>
  <w:style w:type="paragraph" w:styleId="Header">
    <w:name w:val="header"/>
    <w:basedOn w:val="Normal"/>
    <w:link w:val="HeaderChar"/>
    <w:uiPriority w:val="99"/>
    <w:unhideWhenUsed/>
    <w:rsid w:val="00F33B24"/>
    <w:pPr>
      <w:tabs>
        <w:tab w:val="center" w:pos="4513"/>
        <w:tab w:val="right" w:pos="9026"/>
      </w:tabs>
      <w:spacing w:after="0" w:line="240" w:lineRule="auto"/>
      <w:jc w:val="left"/>
    </w:pPr>
    <w:rPr>
      <w:rFonts w:asciiTheme="minorHAnsi" w:eastAsiaTheme="minorHAnsi" w:hAnsiTheme="minorHAnsi"/>
      <w:sz w:val="22"/>
      <w:lang w:val="en-GB" w:eastAsia="en-US"/>
    </w:rPr>
  </w:style>
  <w:style w:type="character" w:customStyle="1" w:styleId="HeaderChar">
    <w:name w:val="Header Char"/>
    <w:basedOn w:val="DefaultParagraphFont"/>
    <w:link w:val="Header"/>
    <w:uiPriority w:val="99"/>
    <w:rsid w:val="00F33B24"/>
  </w:style>
  <w:style w:type="paragraph" w:styleId="Footer">
    <w:name w:val="footer"/>
    <w:basedOn w:val="Normal"/>
    <w:link w:val="FooterChar"/>
    <w:uiPriority w:val="99"/>
    <w:unhideWhenUsed/>
    <w:rsid w:val="00F33B24"/>
    <w:pPr>
      <w:tabs>
        <w:tab w:val="center" w:pos="4513"/>
        <w:tab w:val="right" w:pos="9026"/>
      </w:tabs>
      <w:spacing w:after="0" w:line="240" w:lineRule="auto"/>
      <w:jc w:val="left"/>
    </w:pPr>
    <w:rPr>
      <w:rFonts w:asciiTheme="minorHAnsi" w:eastAsiaTheme="minorHAnsi" w:hAnsiTheme="minorHAnsi"/>
      <w:sz w:val="22"/>
      <w:lang w:val="en-GB" w:eastAsia="en-US"/>
    </w:rPr>
  </w:style>
  <w:style w:type="character" w:customStyle="1" w:styleId="FooterChar">
    <w:name w:val="Footer Char"/>
    <w:basedOn w:val="DefaultParagraphFont"/>
    <w:link w:val="Footer"/>
    <w:uiPriority w:val="99"/>
    <w:rsid w:val="00F33B24"/>
  </w:style>
  <w:style w:type="paragraph" w:styleId="TOC3">
    <w:name w:val="toc 3"/>
    <w:basedOn w:val="Normal"/>
    <w:next w:val="Normal"/>
    <w:autoRedefine/>
    <w:uiPriority w:val="39"/>
    <w:unhideWhenUsed/>
    <w:rsid w:val="00CA23CE"/>
    <w:pPr>
      <w:spacing w:after="100" w:line="259" w:lineRule="auto"/>
      <w:ind w:left="440"/>
      <w:jc w:val="left"/>
    </w:pPr>
    <w:rPr>
      <w:rFonts w:asciiTheme="minorHAnsi" w:eastAsiaTheme="minorHAnsi" w:hAnsiTheme="minorHAnsi"/>
      <w:sz w:val="22"/>
      <w:lang w:val="en-GB" w:eastAsia="en-US"/>
    </w:rPr>
  </w:style>
  <w:style w:type="character" w:customStyle="1" w:styleId="Heading5Char">
    <w:name w:val="Heading 5 Char"/>
    <w:basedOn w:val="DefaultParagraphFont"/>
    <w:link w:val="Heading5"/>
    <w:uiPriority w:val="9"/>
    <w:semiHidden/>
    <w:qFormat/>
    <w:rsid w:val="00CA23CE"/>
    <w:rPr>
      <w:rFonts w:ascii="Times New Roman" w:eastAsiaTheme="majorEastAsia" w:hAnsi="Times New Roman" w:cstheme="majorBidi"/>
      <w:color w:val="2E74B5" w:themeColor="accent1" w:themeShade="BF"/>
      <w:sz w:val="24"/>
      <w14:ligatures w14:val="standardContextual"/>
    </w:rPr>
  </w:style>
  <w:style w:type="character" w:customStyle="1" w:styleId="Heading6Char">
    <w:name w:val="Heading 6 Char"/>
    <w:basedOn w:val="DefaultParagraphFont"/>
    <w:link w:val="Heading6"/>
    <w:uiPriority w:val="9"/>
    <w:semiHidden/>
    <w:qFormat/>
    <w:rsid w:val="00CA23CE"/>
    <w:rPr>
      <w:rFonts w:ascii="Times New Roman" w:eastAsiaTheme="majorEastAsia" w:hAnsi="Times New Roman" w:cstheme="majorBidi"/>
      <w:i/>
      <w:iCs/>
      <w:color w:val="595959" w:themeColor="text1" w:themeTint="A6"/>
      <w:sz w:val="24"/>
      <w14:ligatures w14:val="standardContextual"/>
    </w:rPr>
  </w:style>
  <w:style w:type="character" w:customStyle="1" w:styleId="Heading7Char">
    <w:name w:val="Heading 7 Char"/>
    <w:basedOn w:val="DefaultParagraphFont"/>
    <w:link w:val="Heading7"/>
    <w:uiPriority w:val="9"/>
    <w:semiHidden/>
    <w:qFormat/>
    <w:rsid w:val="00CA23CE"/>
    <w:rPr>
      <w:rFonts w:ascii="Times New Roman" w:eastAsiaTheme="majorEastAsia" w:hAnsi="Times New Roman" w:cstheme="majorBidi"/>
      <w:color w:val="595959" w:themeColor="text1" w:themeTint="A6"/>
      <w:sz w:val="24"/>
      <w14:ligatures w14:val="standardContextual"/>
    </w:rPr>
  </w:style>
  <w:style w:type="character" w:customStyle="1" w:styleId="Heading8Char">
    <w:name w:val="Heading 8 Char"/>
    <w:basedOn w:val="DefaultParagraphFont"/>
    <w:link w:val="Heading8"/>
    <w:uiPriority w:val="9"/>
    <w:semiHidden/>
    <w:qFormat/>
    <w:rsid w:val="00CA23CE"/>
    <w:rPr>
      <w:rFonts w:ascii="Times New Roman" w:eastAsiaTheme="majorEastAsia" w:hAnsi="Times New Roman" w:cstheme="majorBidi"/>
      <w:i/>
      <w:iCs/>
      <w:color w:val="262626" w:themeColor="text1" w:themeTint="D9"/>
      <w:sz w:val="24"/>
      <w14:ligatures w14:val="standardContextual"/>
    </w:rPr>
  </w:style>
  <w:style w:type="character" w:customStyle="1" w:styleId="Heading9Char">
    <w:name w:val="Heading 9 Char"/>
    <w:basedOn w:val="DefaultParagraphFont"/>
    <w:link w:val="Heading9"/>
    <w:uiPriority w:val="9"/>
    <w:semiHidden/>
    <w:qFormat/>
    <w:rsid w:val="00CA23CE"/>
    <w:rPr>
      <w:rFonts w:ascii="Times New Roman" w:eastAsiaTheme="majorEastAsia" w:hAnsi="Times New Roman" w:cstheme="majorBidi"/>
      <w:color w:val="262626" w:themeColor="text1" w:themeTint="D9"/>
      <w:sz w:val="24"/>
      <w14:ligatures w14:val="standardContextual"/>
    </w:rPr>
  </w:style>
  <w:style w:type="paragraph" w:styleId="NormalWeb">
    <w:name w:val="Normal (Web)"/>
    <w:basedOn w:val="Normal"/>
    <w:uiPriority w:val="99"/>
    <w:unhideWhenUsed/>
    <w:rsid w:val="00CA23CE"/>
    <w:rPr>
      <w:rFonts w:eastAsiaTheme="minorHAnsi" w:cs="Times New Roman"/>
      <w:szCs w:val="24"/>
      <w:lang w:val="en-GB" w:eastAsia="en-US"/>
      <w14:ligatures w14:val="standardContextual"/>
    </w:rPr>
  </w:style>
  <w:style w:type="character" w:styleId="Strong">
    <w:name w:val="Strong"/>
    <w:basedOn w:val="DefaultParagraphFont"/>
    <w:uiPriority w:val="22"/>
    <w:qFormat/>
    <w:rsid w:val="00CA23CE"/>
    <w:rPr>
      <w:b/>
      <w:bCs/>
    </w:rPr>
  </w:style>
  <w:style w:type="paragraph" w:styleId="Subtitle">
    <w:name w:val="Subtitle"/>
    <w:basedOn w:val="Normal"/>
    <w:next w:val="Normal"/>
    <w:link w:val="SubtitleChar"/>
    <w:uiPriority w:val="11"/>
    <w:qFormat/>
    <w:rsid w:val="00CA23CE"/>
    <w:rPr>
      <w:rFonts w:eastAsiaTheme="majorEastAsia" w:cstheme="majorBidi"/>
      <w:color w:val="595959" w:themeColor="text1" w:themeTint="A6"/>
      <w:spacing w:val="15"/>
      <w:sz w:val="28"/>
      <w:szCs w:val="28"/>
      <w:lang w:val="en-GB" w:eastAsia="en-US"/>
      <w14:ligatures w14:val="standardContextual"/>
    </w:rPr>
  </w:style>
  <w:style w:type="character" w:customStyle="1" w:styleId="SubtitleChar">
    <w:name w:val="Subtitle Char"/>
    <w:basedOn w:val="DefaultParagraphFont"/>
    <w:link w:val="Subtitle"/>
    <w:uiPriority w:val="11"/>
    <w:qFormat/>
    <w:rsid w:val="00CA23CE"/>
    <w:rPr>
      <w:rFonts w:ascii="Times New Roman" w:eastAsiaTheme="majorEastAsia" w:hAnsi="Times New Roman" w:cstheme="majorBidi"/>
      <w:color w:val="595959" w:themeColor="text1" w:themeTint="A6"/>
      <w:spacing w:val="15"/>
      <w:sz w:val="28"/>
      <w:szCs w:val="28"/>
      <w14:ligatures w14:val="standardContextual"/>
    </w:rPr>
  </w:style>
  <w:style w:type="paragraph" w:styleId="Title">
    <w:name w:val="Title"/>
    <w:basedOn w:val="Normal"/>
    <w:next w:val="Normal"/>
    <w:link w:val="TitleChar"/>
    <w:uiPriority w:val="10"/>
    <w:qFormat/>
    <w:rsid w:val="00CA23CE"/>
    <w:pPr>
      <w:spacing w:after="80" w:line="240" w:lineRule="auto"/>
      <w:contextualSpacing/>
    </w:pPr>
    <w:rPr>
      <w:rFonts w:asciiTheme="majorHAnsi" w:eastAsiaTheme="majorEastAsia" w:hAnsiTheme="majorHAnsi" w:cstheme="majorBidi"/>
      <w:spacing w:val="-10"/>
      <w:kern w:val="28"/>
      <w:sz w:val="56"/>
      <w:szCs w:val="56"/>
      <w:lang w:val="en-GB" w:eastAsia="en-US"/>
      <w14:ligatures w14:val="standardContextual"/>
    </w:rPr>
  </w:style>
  <w:style w:type="character" w:customStyle="1" w:styleId="TitleChar">
    <w:name w:val="Title Char"/>
    <w:basedOn w:val="DefaultParagraphFont"/>
    <w:link w:val="Title"/>
    <w:uiPriority w:val="10"/>
    <w:qFormat/>
    <w:rsid w:val="00CA23CE"/>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CA23CE"/>
    <w:pPr>
      <w:spacing w:before="160"/>
      <w:jc w:val="center"/>
    </w:pPr>
    <w:rPr>
      <w:rFonts w:eastAsiaTheme="minorHAnsi"/>
      <w:i/>
      <w:iCs/>
      <w:color w:val="404040" w:themeColor="text1" w:themeTint="BF"/>
      <w:lang w:val="en-GB" w:eastAsia="en-US"/>
      <w14:ligatures w14:val="standardContextual"/>
    </w:rPr>
  </w:style>
  <w:style w:type="character" w:customStyle="1" w:styleId="QuoteChar">
    <w:name w:val="Quote Char"/>
    <w:basedOn w:val="DefaultParagraphFont"/>
    <w:link w:val="Quote"/>
    <w:uiPriority w:val="29"/>
    <w:qFormat/>
    <w:rsid w:val="00CA23CE"/>
    <w:rPr>
      <w:rFonts w:ascii="Times New Roman" w:hAnsi="Times New Roman"/>
      <w:i/>
      <w:iCs/>
      <w:color w:val="404040" w:themeColor="text1" w:themeTint="BF"/>
      <w:sz w:val="24"/>
      <w14:ligatures w14:val="standardContextual"/>
    </w:rPr>
  </w:style>
  <w:style w:type="paragraph" w:styleId="ListParagraph">
    <w:name w:val="List Paragraph"/>
    <w:basedOn w:val="Normal"/>
    <w:uiPriority w:val="34"/>
    <w:qFormat/>
    <w:rsid w:val="00CA23CE"/>
    <w:pPr>
      <w:ind w:left="720"/>
      <w:contextualSpacing/>
    </w:pPr>
    <w:rPr>
      <w:rFonts w:eastAsiaTheme="minorHAnsi"/>
      <w:lang w:val="en-GB" w:eastAsia="en-US"/>
      <w14:ligatures w14:val="standardContextual"/>
    </w:rPr>
  </w:style>
  <w:style w:type="character" w:customStyle="1" w:styleId="IntenseEmphasis1">
    <w:name w:val="Intense Emphasis1"/>
    <w:basedOn w:val="DefaultParagraphFont"/>
    <w:uiPriority w:val="21"/>
    <w:qFormat/>
    <w:rsid w:val="00CA23CE"/>
    <w:rPr>
      <w:i/>
      <w:iCs/>
      <w:color w:val="2E74B5" w:themeColor="accent1" w:themeShade="BF"/>
    </w:rPr>
  </w:style>
  <w:style w:type="paragraph" w:styleId="IntenseQuote">
    <w:name w:val="Intense Quote"/>
    <w:basedOn w:val="Normal"/>
    <w:next w:val="Normal"/>
    <w:link w:val="IntenseQuoteChar"/>
    <w:uiPriority w:val="30"/>
    <w:qFormat/>
    <w:rsid w:val="00CA23CE"/>
    <w:pPr>
      <w:pBdr>
        <w:top w:val="single" w:sz="4" w:space="10" w:color="2E74B5" w:themeColor="accent1" w:themeShade="BF"/>
        <w:bottom w:val="single" w:sz="4" w:space="10" w:color="2E74B5" w:themeColor="accent1" w:themeShade="BF"/>
      </w:pBdr>
      <w:spacing w:before="360" w:after="360"/>
      <w:ind w:left="864" w:right="864"/>
      <w:jc w:val="center"/>
    </w:pPr>
    <w:rPr>
      <w:rFonts w:eastAsiaTheme="minorHAnsi"/>
      <w:i/>
      <w:iCs/>
      <w:color w:val="2E74B5" w:themeColor="accent1" w:themeShade="BF"/>
      <w:lang w:val="en-GB" w:eastAsia="en-US"/>
      <w14:ligatures w14:val="standardContextual"/>
    </w:rPr>
  </w:style>
  <w:style w:type="character" w:customStyle="1" w:styleId="IntenseQuoteChar">
    <w:name w:val="Intense Quote Char"/>
    <w:basedOn w:val="DefaultParagraphFont"/>
    <w:link w:val="IntenseQuote"/>
    <w:uiPriority w:val="30"/>
    <w:rsid w:val="00CA23CE"/>
    <w:rPr>
      <w:rFonts w:ascii="Times New Roman" w:hAnsi="Times New Roman"/>
      <w:i/>
      <w:iCs/>
      <w:color w:val="2E74B5" w:themeColor="accent1" w:themeShade="BF"/>
      <w:sz w:val="24"/>
      <w14:ligatures w14:val="standardContextual"/>
    </w:rPr>
  </w:style>
  <w:style w:type="character" w:customStyle="1" w:styleId="IntenseReference1">
    <w:name w:val="Intense Reference1"/>
    <w:basedOn w:val="DefaultParagraphFont"/>
    <w:uiPriority w:val="32"/>
    <w:qFormat/>
    <w:rsid w:val="00CA23CE"/>
    <w:rPr>
      <w:b/>
      <w:bCs/>
      <w:smallCaps/>
      <w:color w:val="2E74B5" w:themeColor="accent1" w:themeShade="BF"/>
      <w:spacing w:val="5"/>
    </w:rPr>
  </w:style>
  <w:style w:type="character" w:customStyle="1" w:styleId="BalloonTextChar">
    <w:name w:val="Balloon Text Char"/>
    <w:basedOn w:val="DefaultParagraphFont"/>
    <w:link w:val="BalloonText"/>
    <w:uiPriority w:val="99"/>
    <w:semiHidden/>
    <w:rsid w:val="00CA23CE"/>
    <w:rPr>
      <w:rFonts w:ascii="Tahoma" w:hAnsi="Tahoma" w:cs="Tahoma"/>
      <w:sz w:val="16"/>
      <w:szCs w:val="16"/>
      <w14:ligatures w14:val="standardContextual"/>
    </w:rPr>
  </w:style>
  <w:style w:type="paragraph" w:styleId="BalloonText">
    <w:name w:val="Balloon Text"/>
    <w:basedOn w:val="Normal"/>
    <w:link w:val="BalloonTextChar"/>
    <w:uiPriority w:val="99"/>
    <w:semiHidden/>
    <w:unhideWhenUsed/>
    <w:rsid w:val="00CA23CE"/>
    <w:pPr>
      <w:spacing w:after="0" w:line="240" w:lineRule="auto"/>
    </w:pPr>
    <w:rPr>
      <w:rFonts w:ascii="Tahoma" w:hAnsi="Tahoma" w:cs="Tahoma"/>
      <w:sz w:val="16"/>
      <w:szCs w:val="16"/>
      <w14:ligatures w14:val="standardContextual"/>
    </w:rPr>
  </w:style>
  <w:style w:type="character" w:styleId="IntenseEmphasis">
    <w:name w:val="Intense Emphasis"/>
    <w:basedOn w:val="DefaultParagraphFont"/>
    <w:uiPriority w:val="21"/>
    <w:qFormat/>
    <w:rsid w:val="00CA23CE"/>
    <w:rPr>
      <w:b/>
      <w:bCs/>
      <w:i/>
      <w:iCs/>
      <w:caps/>
    </w:rPr>
  </w:style>
  <w:style w:type="character" w:styleId="IntenseReference">
    <w:name w:val="Intense Reference"/>
    <w:basedOn w:val="DefaultParagraphFont"/>
    <w:uiPriority w:val="32"/>
    <w:qFormat/>
    <w:rsid w:val="00CA23CE"/>
    <w:rPr>
      <w:b/>
      <w:bCs/>
      <w:smallCaps/>
      <w:u w:val="single"/>
    </w:rPr>
  </w:style>
  <w:style w:type="character" w:styleId="Emphasis">
    <w:name w:val="Emphasis"/>
    <w:basedOn w:val="DefaultParagraphFont"/>
    <w:uiPriority w:val="20"/>
    <w:qFormat/>
    <w:rsid w:val="00CA23CE"/>
    <w:rPr>
      <w:i/>
      <w:iCs/>
      <w:color w:val="auto"/>
    </w:rPr>
  </w:style>
  <w:style w:type="character" w:styleId="SubtleEmphasis">
    <w:name w:val="Subtle Emphasis"/>
    <w:basedOn w:val="DefaultParagraphFont"/>
    <w:uiPriority w:val="19"/>
    <w:qFormat/>
    <w:rsid w:val="00CA23CE"/>
    <w:rPr>
      <w:i/>
      <w:iCs/>
      <w:color w:val="404040" w:themeColor="text1" w:themeTint="BF"/>
    </w:rPr>
  </w:style>
  <w:style w:type="character" w:styleId="SubtleReference">
    <w:name w:val="Subtle Reference"/>
    <w:basedOn w:val="DefaultParagraphFont"/>
    <w:uiPriority w:val="31"/>
    <w:qFormat/>
    <w:rsid w:val="00CA23CE"/>
    <w:rPr>
      <w:smallCaps/>
      <w:color w:val="404040" w:themeColor="text1" w:themeTint="BF"/>
      <w:u w:val="single" w:color="7F7F7F" w:themeColor="text1" w:themeTint="80"/>
    </w:rPr>
  </w:style>
  <w:style w:type="character" w:styleId="BookTitle">
    <w:name w:val="Book Title"/>
    <w:basedOn w:val="DefaultParagraphFont"/>
    <w:uiPriority w:val="33"/>
    <w:qFormat/>
    <w:rsid w:val="00CA23CE"/>
    <w:rPr>
      <w:b w:val="0"/>
      <w:bCs w:val="0"/>
      <w:smallCaps/>
      <w:spacing w:val="5"/>
    </w:rPr>
  </w:style>
  <w:style w:type="table" w:styleId="GridTable4-Accent1">
    <w:name w:val="Grid Table 4 Accent 1"/>
    <w:basedOn w:val="TableNormal"/>
    <w:uiPriority w:val="49"/>
    <w:rsid w:val="00CA23CE"/>
    <w:pPr>
      <w:spacing w:after="0" w:line="240" w:lineRule="auto"/>
    </w:pPr>
    <w:rPr>
      <w:rFonts w:ascii="Times New Roman" w:eastAsia="SimSun" w:hAnsi="Times New Roman" w:cs="Times New Roman"/>
      <w:sz w:val="20"/>
      <w:szCs w:val="20"/>
      <w:lang w:val="en-AU" w:eastAsia="en-AU"/>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4">
    <w:name w:val="toc 4"/>
    <w:basedOn w:val="Normal"/>
    <w:next w:val="Normal"/>
    <w:autoRedefine/>
    <w:uiPriority w:val="39"/>
    <w:unhideWhenUsed/>
    <w:rsid w:val="00CA23CE"/>
    <w:pPr>
      <w:spacing w:after="0"/>
      <w:ind w:left="720"/>
      <w:jc w:val="left"/>
    </w:pPr>
    <w:rPr>
      <w:rFonts w:asciiTheme="minorHAnsi" w:eastAsiaTheme="minorHAnsi" w:hAnsiTheme="minorHAnsi"/>
      <w:sz w:val="20"/>
      <w:szCs w:val="20"/>
      <w:lang w:val="en-GB" w:eastAsia="en-US"/>
      <w14:ligatures w14:val="standardContextual"/>
    </w:rPr>
  </w:style>
  <w:style w:type="paragraph" w:styleId="TOC5">
    <w:name w:val="toc 5"/>
    <w:basedOn w:val="Normal"/>
    <w:next w:val="Normal"/>
    <w:autoRedefine/>
    <w:uiPriority w:val="39"/>
    <w:unhideWhenUsed/>
    <w:rsid w:val="00CA23CE"/>
    <w:pPr>
      <w:spacing w:after="0"/>
      <w:ind w:left="960"/>
      <w:jc w:val="left"/>
    </w:pPr>
    <w:rPr>
      <w:rFonts w:asciiTheme="minorHAnsi" w:eastAsiaTheme="minorHAnsi" w:hAnsiTheme="minorHAnsi"/>
      <w:sz w:val="20"/>
      <w:szCs w:val="20"/>
      <w:lang w:val="en-GB" w:eastAsia="en-US"/>
      <w14:ligatures w14:val="standardContextual"/>
    </w:rPr>
  </w:style>
  <w:style w:type="paragraph" w:styleId="TOC6">
    <w:name w:val="toc 6"/>
    <w:basedOn w:val="Normal"/>
    <w:next w:val="Normal"/>
    <w:autoRedefine/>
    <w:uiPriority w:val="39"/>
    <w:unhideWhenUsed/>
    <w:rsid w:val="00CA23CE"/>
    <w:pPr>
      <w:spacing w:after="0"/>
      <w:ind w:left="1200"/>
      <w:jc w:val="left"/>
    </w:pPr>
    <w:rPr>
      <w:rFonts w:asciiTheme="minorHAnsi" w:eastAsiaTheme="minorHAnsi" w:hAnsiTheme="minorHAnsi"/>
      <w:sz w:val="20"/>
      <w:szCs w:val="20"/>
      <w:lang w:val="en-GB" w:eastAsia="en-US"/>
      <w14:ligatures w14:val="standardContextual"/>
    </w:rPr>
  </w:style>
  <w:style w:type="paragraph" w:styleId="TOC7">
    <w:name w:val="toc 7"/>
    <w:basedOn w:val="Normal"/>
    <w:next w:val="Normal"/>
    <w:autoRedefine/>
    <w:uiPriority w:val="39"/>
    <w:unhideWhenUsed/>
    <w:rsid w:val="00CA23CE"/>
    <w:pPr>
      <w:spacing w:after="0"/>
      <w:ind w:left="1440"/>
      <w:jc w:val="left"/>
    </w:pPr>
    <w:rPr>
      <w:rFonts w:asciiTheme="minorHAnsi" w:eastAsiaTheme="minorHAnsi" w:hAnsiTheme="minorHAnsi"/>
      <w:sz w:val="20"/>
      <w:szCs w:val="20"/>
      <w:lang w:val="en-GB" w:eastAsia="en-US"/>
      <w14:ligatures w14:val="standardContextual"/>
    </w:rPr>
  </w:style>
  <w:style w:type="paragraph" w:styleId="TOC8">
    <w:name w:val="toc 8"/>
    <w:basedOn w:val="Normal"/>
    <w:next w:val="Normal"/>
    <w:autoRedefine/>
    <w:uiPriority w:val="39"/>
    <w:unhideWhenUsed/>
    <w:rsid w:val="00CA23CE"/>
    <w:pPr>
      <w:spacing w:after="0"/>
      <w:ind w:left="1680"/>
      <w:jc w:val="left"/>
    </w:pPr>
    <w:rPr>
      <w:rFonts w:asciiTheme="minorHAnsi" w:eastAsiaTheme="minorHAnsi" w:hAnsiTheme="minorHAnsi"/>
      <w:sz w:val="20"/>
      <w:szCs w:val="20"/>
      <w:lang w:val="en-GB" w:eastAsia="en-US"/>
      <w14:ligatures w14:val="standardContextual"/>
    </w:rPr>
  </w:style>
  <w:style w:type="paragraph" w:styleId="TOC9">
    <w:name w:val="toc 9"/>
    <w:basedOn w:val="Normal"/>
    <w:next w:val="Normal"/>
    <w:autoRedefine/>
    <w:uiPriority w:val="39"/>
    <w:unhideWhenUsed/>
    <w:rsid w:val="00CA23CE"/>
    <w:pPr>
      <w:spacing w:after="0"/>
      <w:ind w:left="1920"/>
      <w:jc w:val="left"/>
    </w:pPr>
    <w:rPr>
      <w:rFonts w:asciiTheme="minorHAnsi" w:eastAsiaTheme="minorHAnsi" w:hAnsiTheme="minorHAnsi"/>
      <w:sz w:val="20"/>
      <w:szCs w:val="20"/>
      <w:lang w:val="en-GB" w:eastAsia="en-US"/>
      <w14:ligatures w14:val="standardContextual"/>
    </w:rPr>
  </w:style>
  <w:style w:type="character" w:styleId="UnresolvedMention">
    <w:name w:val="Unresolved Mention"/>
    <w:basedOn w:val="DefaultParagraphFont"/>
    <w:uiPriority w:val="99"/>
    <w:semiHidden/>
    <w:unhideWhenUsed/>
    <w:rsid w:val="00D818B7"/>
    <w:rPr>
      <w:color w:val="605E5C"/>
      <w:shd w:val="clear" w:color="auto" w:fill="E1DFDD"/>
    </w:rPr>
  </w:style>
  <w:style w:type="table" w:customStyle="1" w:styleId="PlainTable11">
    <w:name w:val="Plain Table 11"/>
    <w:basedOn w:val="TableNormal"/>
    <w:uiPriority w:val="41"/>
    <w:rsid w:val="004C2014"/>
    <w:pPr>
      <w:spacing w:line="256" w:lineRule="auto"/>
    </w:pPr>
    <w:rPr>
      <w:rFonts w:eastAsiaTheme="minorEastAsia"/>
      <w:lang w:val="en-AU" w:eastAsia="en-AU"/>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14626">
      <w:bodyDiv w:val="1"/>
      <w:marLeft w:val="0"/>
      <w:marRight w:val="0"/>
      <w:marTop w:val="0"/>
      <w:marBottom w:val="0"/>
      <w:divBdr>
        <w:top w:val="none" w:sz="0" w:space="0" w:color="auto"/>
        <w:left w:val="none" w:sz="0" w:space="0" w:color="auto"/>
        <w:bottom w:val="none" w:sz="0" w:space="0" w:color="auto"/>
        <w:right w:val="none" w:sz="0" w:space="0" w:color="auto"/>
      </w:divBdr>
      <w:divsChild>
        <w:div w:id="529800090">
          <w:marLeft w:val="0"/>
          <w:marRight w:val="0"/>
          <w:marTop w:val="0"/>
          <w:marBottom w:val="0"/>
          <w:divBdr>
            <w:top w:val="none" w:sz="0" w:space="0" w:color="auto"/>
            <w:left w:val="none" w:sz="0" w:space="0" w:color="auto"/>
            <w:bottom w:val="none" w:sz="0" w:space="0" w:color="auto"/>
            <w:right w:val="none" w:sz="0" w:space="0" w:color="auto"/>
          </w:divBdr>
        </w:div>
      </w:divsChild>
    </w:div>
    <w:div w:id="952401388">
      <w:bodyDiv w:val="1"/>
      <w:marLeft w:val="0"/>
      <w:marRight w:val="0"/>
      <w:marTop w:val="0"/>
      <w:marBottom w:val="0"/>
      <w:divBdr>
        <w:top w:val="none" w:sz="0" w:space="0" w:color="auto"/>
        <w:left w:val="none" w:sz="0" w:space="0" w:color="auto"/>
        <w:bottom w:val="none" w:sz="0" w:space="0" w:color="auto"/>
        <w:right w:val="none" w:sz="0" w:space="0" w:color="auto"/>
      </w:divBdr>
      <w:divsChild>
        <w:div w:id="2051568533">
          <w:marLeft w:val="0"/>
          <w:marRight w:val="0"/>
          <w:marTop w:val="0"/>
          <w:marBottom w:val="0"/>
          <w:divBdr>
            <w:top w:val="none" w:sz="0" w:space="0" w:color="auto"/>
            <w:left w:val="none" w:sz="0" w:space="0" w:color="auto"/>
            <w:bottom w:val="none" w:sz="0" w:space="0" w:color="auto"/>
            <w:right w:val="none" w:sz="0" w:space="0" w:color="auto"/>
          </w:divBdr>
        </w:div>
      </w:divsChild>
    </w:div>
    <w:div w:id="1400129690">
      <w:bodyDiv w:val="1"/>
      <w:marLeft w:val="0"/>
      <w:marRight w:val="0"/>
      <w:marTop w:val="0"/>
      <w:marBottom w:val="0"/>
      <w:divBdr>
        <w:top w:val="none" w:sz="0" w:space="0" w:color="auto"/>
        <w:left w:val="none" w:sz="0" w:space="0" w:color="auto"/>
        <w:bottom w:val="none" w:sz="0" w:space="0" w:color="auto"/>
        <w:right w:val="none" w:sz="0" w:space="0" w:color="auto"/>
      </w:divBdr>
    </w:div>
    <w:div w:id="1570264953">
      <w:bodyDiv w:val="1"/>
      <w:marLeft w:val="0"/>
      <w:marRight w:val="0"/>
      <w:marTop w:val="0"/>
      <w:marBottom w:val="0"/>
      <w:divBdr>
        <w:top w:val="none" w:sz="0" w:space="0" w:color="auto"/>
        <w:left w:val="none" w:sz="0" w:space="0" w:color="auto"/>
        <w:bottom w:val="none" w:sz="0" w:space="0" w:color="auto"/>
        <w:right w:val="none" w:sz="0" w:space="0" w:color="auto"/>
      </w:divBdr>
      <w:divsChild>
        <w:div w:id="746077287">
          <w:marLeft w:val="0"/>
          <w:marRight w:val="0"/>
          <w:marTop w:val="0"/>
          <w:marBottom w:val="0"/>
          <w:divBdr>
            <w:top w:val="none" w:sz="0" w:space="0" w:color="auto"/>
            <w:left w:val="none" w:sz="0" w:space="0" w:color="auto"/>
            <w:bottom w:val="none" w:sz="0" w:space="0" w:color="auto"/>
            <w:right w:val="none" w:sz="0" w:space="0" w:color="auto"/>
          </w:divBdr>
        </w:div>
      </w:divsChild>
    </w:div>
    <w:div w:id="1572696359">
      <w:bodyDiv w:val="1"/>
      <w:marLeft w:val="0"/>
      <w:marRight w:val="0"/>
      <w:marTop w:val="0"/>
      <w:marBottom w:val="0"/>
      <w:divBdr>
        <w:top w:val="none" w:sz="0" w:space="0" w:color="auto"/>
        <w:left w:val="none" w:sz="0" w:space="0" w:color="auto"/>
        <w:bottom w:val="none" w:sz="0" w:space="0" w:color="auto"/>
        <w:right w:val="none" w:sz="0" w:space="0" w:color="auto"/>
      </w:divBdr>
      <w:divsChild>
        <w:div w:id="2070808208">
          <w:marLeft w:val="0"/>
          <w:marRight w:val="0"/>
          <w:marTop w:val="0"/>
          <w:marBottom w:val="0"/>
          <w:divBdr>
            <w:top w:val="none" w:sz="0" w:space="0" w:color="auto"/>
            <w:left w:val="none" w:sz="0" w:space="0" w:color="auto"/>
            <w:bottom w:val="none" w:sz="0" w:space="0" w:color="auto"/>
            <w:right w:val="none" w:sz="0" w:space="0" w:color="auto"/>
          </w:divBdr>
        </w:div>
      </w:divsChild>
    </w:div>
    <w:div w:id="2075396108">
      <w:bodyDiv w:val="1"/>
      <w:marLeft w:val="0"/>
      <w:marRight w:val="0"/>
      <w:marTop w:val="0"/>
      <w:marBottom w:val="0"/>
      <w:divBdr>
        <w:top w:val="none" w:sz="0" w:space="0" w:color="auto"/>
        <w:left w:val="none" w:sz="0" w:space="0" w:color="auto"/>
        <w:bottom w:val="none" w:sz="0" w:space="0" w:color="auto"/>
        <w:right w:val="none" w:sz="0" w:space="0" w:color="auto"/>
      </w:divBdr>
      <w:divsChild>
        <w:div w:id="1326978800">
          <w:marLeft w:val="0"/>
          <w:marRight w:val="0"/>
          <w:marTop w:val="0"/>
          <w:marBottom w:val="0"/>
          <w:divBdr>
            <w:top w:val="none" w:sz="0" w:space="0" w:color="auto"/>
            <w:left w:val="none" w:sz="0" w:space="0" w:color="auto"/>
            <w:bottom w:val="none" w:sz="0" w:space="0" w:color="auto"/>
            <w:right w:val="none" w:sz="0" w:space="0" w:color="auto"/>
          </w:divBdr>
        </w:div>
      </w:divsChild>
    </w:div>
    <w:div w:id="2103332692">
      <w:bodyDiv w:val="1"/>
      <w:marLeft w:val="0"/>
      <w:marRight w:val="0"/>
      <w:marTop w:val="0"/>
      <w:marBottom w:val="0"/>
      <w:divBdr>
        <w:top w:val="none" w:sz="0" w:space="0" w:color="auto"/>
        <w:left w:val="none" w:sz="0" w:space="0" w:color="auto"/>
        <w:bottom w:val="none" w:sz="0" w:space="0" w:color="auto"/>
        <w:right w:val="none" w:sz="0" w:space="0" w:color="auto"/>
      </w:divBdr>
      <w:divsChild>
        <w:div w:id="18606616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Sayam%20Ahmed\Desktop\Global%20Business%20Challenges.docx" TargetMode="External"/><Relationship Id="rId18" Type="http://schemas.openxmlformats.org/officeDocument/2006/relationships/hyperlink" Target="file:///C:\Users\Sayam%20Ahmed\Desktop\Global%20Business%20Challenges.docx" TargetMode="External"/><Relationship Id="rId26" Type="http://schemas.openxmlformats.org/officeDocument/2006/relationships/hyperlink" Target="https://ico.org.uk/about-the-ico/what-we-do/legislation-we-cover/data-use-and-access-act-2025/the-data-use-and-access-act-2025-what-does-it-mean-for-organisations/" TargetMode="External"/><Relationship Id="rId39" Type="http://schemas.openxmlformats.org/officeDocument/2006/relationships/fontTable" Target="fontTable.xml"/><Relationship Id="rId21" Type="http://schemas.openxmlformats.org/officeDocument/2006/relationships/hyperlink" Target="https://www.gov.uk/guidance/data-use-and-access-act-2025-data-protection-and-privacy-changes" TargetMode="External"/><Relationship Id="rId34" Type="http://schemas.openxmlformats.org/officeDocument/2006/relationships/hyperlink" Target="https://corp.shiseido.com/en/news/detail.html?n=00000000004093" TargetMode="External"/><Relationship Id="rId7" Type="http://schemas.openxmlformats.org/officeDocument/2006/relationships/footnotes" Target="footnotes.xml"/><Relationship Id="rId12" Type="http://schemas.openxmlformats.org/officeDocument/2006/relationships/hyperlink" Target="file:///C:\Users\Sayam%20Ahmed\Desktop\Global%20Business%20Challenges.docx" TargetMode="External"/><Relationship Id="rId17" Type="http://schemas.openxmlformats.org/officeDocument/2006/relationships/hyperlink" Target="file:///C:\Users\Sayam%20Ahmed\Desktop\Global%20Business%20Challenges.docx" TargetMode="External"/><Relationship Id="rId25" Type="http://schemas.openxmlformats.org/officeDocument/2006/relationships/hyperlink" Target="https://ico.org.uk/for-organisations/uk-gdpr-guidance-and-resources/artificial-intelligence/guidance-on-ai-and-data-protection/" TargetMode="External"/><Relationship Id="rId33" Type="http://schemas.openxmlformats.org/officeDocument/2006/relationships/hyperlink" Target="https://corp.shiseido.com/en/news/detail.html?n=00000000004003"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file:///C:\Users\Sayam%20Ahmed\Desktop\Global%20Business%20Challenges.docx" TargetMode="External"/><Relationship Id="rId20" Type="http://schemas.openxmlformats.org/officeDocument/2006/relationships/hyperlink" Target="https://www.gov.uk/government/publications/regulators-strategic-approaches-to-ai/regulators-strategic-approaches-to-ai" TargetMode="External"/><Relationship Id="rId29" Type="http://schemas.openxmlformats.org/officeDocument/2006/relationships/hyperlink" Target="https://www.loreal.com/en/privacy-policy-link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Sayam%20Ahmed\Desktop\Global%20Business%20Challenges.docx" TargetMode="External"/><Relationship Id="rId24" Type="http://schemas.openxmlformats.org/officeDocument/2006/relationships/hyperlink" Target="https://ai-act-service-desk.ec.europa.eu/en/ai-act/timeline/timeline-implementation-eu-ai-act" TargetMode="External"/><Relationship Id="rId32" Type="http://schemas.openxmlformats.org/officeDocument/2006/relationships/hyperlink" Target="https://corp.shiseido.com/en/news/detail.html?n=00000000003893" TargetMode="External"/><Relationship Id="rId37" Type="http://schemas.openxmlformats.org/officeDocument/2006/relationships/hyperlink" Target="https://www.elcompanies.com/en/news-and-media/newsroom/press-releases/2026/02-05-2026-110042358"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file:///C:\Users\Sayam%20Ahmed\Desktop\Global%20Business%20Challenges.docx" TargetMode="External"/><Relationship Id="rId23" Type="http://schemas.openxmlformats.org/officeDocument/2006/relationships/hyperlink" Target="https://digital-strategy.ec.europa.eu/en/policies/regulatory-framework-ai" TargetMode="External"/><Relationship Id="rId28" Type="http://schemas.openxmlformats.org/officeDocument/2006/relationships/hyperlink" Target="https://www.marketscreener.com/quote/stock/L-OREAL-4666/news/L-Oreal-General-Meeting-of-29-April-2025-Answers-by-the-Board-of-Directors-to-written-questions-49746731/" TargetMode="External"/><Relationship Id="rId36" Type="http://schemas.openxmlformats.org/officeDocument/2006/relationships/hyperlink" Target="https://www.elcompanies.com/en/news-and-media/newsroom/press-releases/2025/08-20-2025-110025649" TargetMode="External"/><Relationship Id="rId10" Type="http://schemas.openxmlformats.org/officeDocument/2006/relationships/hyperlink" Target="file:///C:\Users\Sayam%20Ahmed\Desktop\Global%20Business%20Challenges.docx" TargetMode="External"/><Relationship Id="rId19" Type="http://schemas.openxmlformats.org/officeDocument/2006/relationships/hyperlink" Target="https://www.gov.uk/government/publications/implementing-the-uks-ai-regulatory-principles-initial-guidance-for-regulators/implementing-the-uks-ai-regulatory-principles-initial-guidance-for-regulators" TargetMode="External"/><Relationship Id="rId31" Type="http://schemas.openxmlformats.org/officeDocument/2006/relationships/hyperlink" Target="https://www.oecd.org/en/blogs/2025/07/unlocking-productivity-with-generative-ai-evidence-from-experimental-studies.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file:///C:\Users\Sayam%20Ahmed\Desktop\Global%20Business%20Challenges.docx" TargetMode="External"/><Relationship Id="rId22" Type="http://schemas.openxmlformats.org/officeDocument/2006/relationships/hyperlink" Target="https://www.edelman.com/in/trust/2026/trust-barometer" TargetMode="External"/><Relationship Id="rId27" Type="http://schemas.openxmlformats.org/officeDocument/2006/relationships/hyperlink" Target="https://www.loreal-finance.com/en/annual-report-2025/" TargetMode="External"/><Relationship Id="rId30" Type="http://schemas.openxmlformats.org/officeDocument/2006/relationships/hyperlink" Target="https://www.nist.gov/publications/artificial-intelligence-risk-management-framework-ai-rmf-10" TargetMode="External"/><Relationship Id="rId35" Type="http://schemas.openxmlformats.org/officeDocument/2006/relationships/hyperlink" Target="https://www.elcompanies.com/en/news-and-media/newsroom/press-releases/2025/03-12-2025-02" TargetMode="Externa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886</TotalTime>
  <Pages>22</Pages>
  <Words>7517</Words>
  <Characters>42851</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Business Report to the director of Vodaphone Group of plc</vt:lpstr>
    </vt:vector>
  </TitlesOfParts>
  <Company>University of Wales Trinity Saint David</Company>
  <LinksUpToDate>false</LinksUpToDate>
  <CharactersWithSpaces>50268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Report to the director of Vodaphone Group of plc</dc:title>
  <dc:subject>Finance For Business Managers BMMB7005</dc:subject>
  <dc:creator>Sayam Ahmed (2519728)</dc:creator>
  <cp:keywords/>
  <dc:description/>
  <cp:lastModifiedBy>Sayam Ahmed (2519728)</cp:lastModifiedBy>
  <cp:revision>7</cp:revision>
  <dcterms:created xsi:type="dcterms:W3CDTF">2026-04-20T15:21:00Z</dcterms:created>
  <dcterms:modified xsi:type="dcterms:W3CDTF">2026-04-26T12:42:00Z</dcterms:modified>
</cp:coreProperties>
</file>